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29"/>
          <w:szCs w:val="29"/>
          <w:b w:val="1"/>
          <w:bCs w:val="1"/>
          <w:color w:val="auto"/>
        </w:rPr>
        <w:t>UNITED STATES</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28"/>
          <w:szCs w:val="28"/>
          <w:b w:val="1"/>
          <w:bCs w:val="1"/>
          <w:color w:val="auto"/>
        </w:rPr>
        <w:t>SECURITIES AND EXCHANGE COMMISSION</w:t>
      </w:r>
    </w:p>
    <w:p>
      <w:pPr>
        <w:spacing w:after="0" w:line="72"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SCHEDULE 14A</w:t>
      </w:r>
    </w:p>
    <w:p>
      <w:pPr>
        <w:spacing w:after="0" w:line="6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Proxy Statement Pursuant to Section 14(a) of the</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Securities Exchange Act of 1934</w:t>
      </w:r>
    </w:p>
    <w:p>
      <w:pPr>
        <w:spacing w:after="0" w:line="44" w:lineRule="exact"/>
        <w:rPr>
          <w:sz w:val="24"/>
          <w:szCs w:val="24"/>
          <w:color w:val="auto"/>
        </w:rPr>
      </w:pPr>
    </w:p>
    <w:p>
      <w:pPr>
        <w:ind w:left="3180"/>
        <w:spacing w:after="0"/>
        <w:tabs>
          <w:tab w:leader="none" w:pos="5740" w:val="left"/>
        </w:tabs>
        <w:rPr>
          <w:sz w:val="20"/>
          <w:szCs w:val="20"/>
          <w:color w:val="auto"/>
        </w:rPr>
      </w:pPr>
      <w:r>
        <w:rPr>
          <w:rFonts w:ascii="Arial" w:cs="Arial" w:eastAsia="Arial" w:hAnsi="Arial"/>
          <w:sz w:val="22"/>
          <w:szCs w:val="22"/>
          <w:color w:val="auto"/>
        </w:rPr>
        <w:t>(Amendment No.</w:t>
      </w:r>
      <w:r>
        <w:rPr>
          <w:sz w:val="20"/>
          <w:szCs w:val="20"/>
          <w:color w:val="auto"/>
        </w:rPr>
        <w:tab/>
      </w:r>
      <w:r>
        <w:rPr>
          <w:rFonts w:ascii="Arial" w:cs="Arial" w:eastAsia="Arial" w:hAnsi="Arial"/>
          <w:sz w:val="22"/>
          <w:szCs w:val="22"/>
          <w:color w:val="auto"/>
        </w:rPr>
        <w:t>)</w:t>
      </w:r>
    </w:p>
    <w:p>
      <w:pPr>
        <w:sectPr>
          <w:pgSz w:w="11900" w:h="16838" w:orient="portrait"/>
          <w:cols w:equalWidth="0" w:num="1">
            <w:col w:w="9019"/>
          </w:cols>
          <w:pgMar w:left="1440" w:top="1440"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ind w:left="20"/>
        <w:spacing w:after="0"/>
        <w:rPr>
          <w:sz w:val="20"/>
          <w:szCs w:val="20"/>
          <w:color w:val="auto"/>
        </w:rPr>
      </w:pPr>
      <w:r>
        <w:rPr>
          <w:rFonts w:ascii="Arial" w:cs="Arial" w:eastAsia="Arial" w:hAnsi="Arial"/>
          <w:sz w:val="17"/>
          <w:szCs w:val="17"/>
          <w:color w:val="auto"/>
        </w:rPr>
        <w:t>Filed by the Registrant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4" w:lineRule="exact"/>
        <w:rPr>
          <w:sz w:val="24"/>
          <w:szCs w:val="24"/>
          <w:color w:val="auto"/>
        </w:rPr>
      </w:pPr>
    </w:p>
    <w:p>
      <w:pPr>
        <w:sectPr>
          <w:pgSz w:w="11900" w:h="16838" w:orient="portrait"/>
          <w:cols w:equalWidth="0" w:num="2">
            <w:col w:w="2720" w:space="720"/>
            <w:col w:w="5579"/>
          </w:cols>
          <w:pgMar w:left="1440" w:top="1440" w:right="1440" w:bottom="1440" w:gutter="0" w:footer="0" w:header="0"/>
          <w:type w:val="continuous"/>
        </w:sectPr>
      </w:pPr>
    </w:p>
    <w:p>
      <w:pPr>
        <w:spacing w:after="0" w:line="40" w:lineRule="exact"/>
        <w:rPr>
          <w:sz w:val="24"/>
          <w:szCs w:val="24"/>
          <w:color w:val="auto"/>
        </w:rPr>
      </w:pPr>
    </w:p>
    <w:p>
      <w:pPr>
        <w:ind w:left="20"/>
        <w:spacing w:after="0"/>
        <w:rPr>
          <w:sz w:val="20"/>
          <w:szCs w:val="20"/>
          <w:color w:val="auto"/>
        </w:rPr>
      </w:pPr>
      <w:r>
        <w:rPr>
          <w:rFonts w:ascii="Arial" w:cs="Arial" w:eastAsia="Arial" w:hAnsi="Arial"/>
          <w:sz w:val="17"/>
          <w:szCs w:val="17"/>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75" w:lineRule="exact"/>
        <w:rPr>
          <w:sz w:val="24"/>
          <w:szCs w:val="24"/>
          <w:color w:val="auto"/>
        </w:rPr>
      </w:pPr>
    </w:p>
    <w:p>
      <w:pPr>
        <w:sectPr>
          <w:pgSz w:w="11900" w:h="16838" w:orient="portrait"/>
          <w:cols w:equalWidth="0" w:num="2">
            <w:col w:w="3300" w:space="140"/>
            <w:col w:w="5579"/>
          </w:cols>
          <w:pgMar w:left="1440" w:top="1440" w:right="1440" w:bottom="1440" w:gutter="0" w:footer="0" w:header="0"/>
          <w:type w:val="continuous"/>
        </w:sectPr>
      </w:pPr>
    </w:p>
    <w:p>
      <w:pPr>
        <w:spacing w:after="0" w:line="334"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158" w:lineRule="exact"/>
        <w:rPr>
          <w:sz w:val="24"/>
          <w:szCs w:val="24"/>
          <w:color w:val="auto"/>
        </w:rPr>
      </w:pPr>
    </w:p>
    <w:p>
      <w:pPr>
        <w:ind w:left="300" w:hanging="285"/>
        <w:spacing w:after="0"/>
        <w:tabs>
          <w:tab w:leader="none" w:pos="3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57" w:lineRule="exact"/>
        <w:rPr>
          <w:rFonts w:ascii="MS PGothic" w:cs="MS PGothic" w:eastAsia="MS PGothic" w:hAnsi="MS PGothic"/>
          <w:sz w:val="18"/>
          <w:szCs w:val="18"/>
          <w:color w:val="auto"/>
        </w:rPr>
      </w:pPr>
    </w:p>
    <w:p>
      <w:pPr>
        <w:ind w:left="300" w:hanging="285"/>
        <w:spacing w:after="0"/>
        <w:tabs>
          <w:tab w:leader="none" w:pos="3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158" w:lineRule="exact"/>
        <w:rPr>
          <w:sz w:val="24"/>
          <w:szCs w:val="24"/>
          <w:color w:val="auto"/>
        </w:rPr>
      </w:pPr>
    </w:p>
    <w:p>
      <w:pPr>
        <w:ind w:left="300" w:hanging="285"/>
        <w:spacing w:after="0"/>
        <w:tabs>
          <w:tab w:leader="none" w:pos="3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58" w:lineRule="exact"/>
        <w:rPr>
          <w:sz w:val="24"/>
          <w:szCs w:val="24"/>
          <w:color w:val="auto"/>
        </w:rPr>
      </w:pPr>
    </w:p>
    <w:p>
      <w:pPr>
        <w:ind w:left="300" w:hanging="285"/>
        <w:spacing w:after="0"/>
        <w:tabs>
          <w:tab w:leader="none" w:pos="3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57" w:lineRule="exact"/>
        <w:rPr>
          <w:rFonts w:ascii="MS PGothic" w:cs="MS PGothic" w:eastAsia="MS PGothic" w:hAnsi="MS PGothic"/>
          <w:sz w:val="18"/>
          <w:szCs w:val="18"/>
          <w:color w:val="auto"/>
        </w:rPr>
      </w:pPr>
    </w:p>
    <w:p>
      <w:pPr>
        <w:ind w:left="300" w:hanging="285"/>
        <w:spacing w:after="0"/>
        <w:tabs>
          <w:tab w:leader="none" w:pos="3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1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HURON CONSULTING GROUP INC.</w:t>
      </w:r>
    </w:p>
    <w:p>
      <w:pPr>
        <w:spacing w:after="0" w:line="8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6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200" w:lineRule="exact"/>
        <w:rPr>
          <w:sz w:val="24"/>
          <w:szCs w:val="24"/>
          <w:color w:val="auto"/>
        </w:rPr>
      </w:pPr>
    </w:p>
    <w:p>
      <w:pPr>
        <w:spacing w:after="0" w:line="255" w:lineRule="exact"/>
        <w:rPr>
          <w:sz w:val="24"/>
          <w:szCs w:val="24"/>
          <w:color w:val="auto"/>
        </w:rPr>
      </w:pPr>
    </w:p>
    <w:p>
      <w:pPr>
        <w:ind w:left="20"/>
        <w:spacing w:after="0"/>
        <w:rPr>
          <w:sz w:val="20"/>
          <w:szCs w:val="20"/>
          <w:color w:val="auto"/>
        </w:rPr>
      </w:pPr>
      <w:r>
        <w:rPr>
          <w:rFonts w:ascii="Arial" w:cs="Arial" w:eastAsia="Arial" w:hAnsi="Arial"/>
          <w:sz w:val="18"/>
          <w:szCs w:val="18"/>
          <w:color w:val="auto"/>
        </w:rPr>
        <w:t>Payment of Filing Fee (Check all boxes that apply):</w:t>
      </w:r>
    </w:p>
    <w:p>
      <w:pPr>
        <w:spacing w:after="0" w:line="158" w:lineRule="exact"/>
        <w:rPr>
          <w:sz w:val="24"/>
          <w:szCs w:val="24"/>
          <w:color w:val="auto"/>
        </w:rPr>
      </w:pPr>
    </w:p>
    <w:p>
      <w:pPr>
        <w:ind w:left="440" w:hanging="425"/>
        <w:spacing w:after="0"/>
        <w:tabs>
          <w:tab w:leader="none" w:pos="4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58" w:lineRule="exact"/>
        <w:rPr>
          <w:sz w:val="24"/>
          <w:szCs w:val="24"/>
          <w:color w:val="auto"/>
        </w:rPr>
      </w:pPr>
    </w:p>
    <w:p>
      <w:pPr>
        <w:ind w:left="440" w:hanging="425"/>
        <w:spacing w:after="0"/>
        <w:tabs>
          <w:tab w:leader="none" w:pos="4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57" w:lineRule="exact"/>
        <w:rPr>
          <w:rFonts w:ascii="MS PGothic" w:cs="MS PGothic" w:eastAsia="MS PGothic" w:hAnsi="MS PGothic"/>
          <w:sz w:val="18"/>
          <w:szCs w:val="18"/>
          <w:color w:val="auto"/>
        </w:rPr>
      </w:pPr>
    </w:p>
    <w:p>
      <w:pPr>
        <w:ind w:left="440" w:hanging="425"/>
        <w:spacing w:after="0"/>
        <w:tabs>
          <w:tab w:leader="none" w:pos="44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-544830</wp:posOffset>
            </wp:positionH>
            <wp:positionV relativeFrom="paragraph">
              <wp:posOffset>1763395</wp:posOffset>
            </wp:positionV>
            <wp:extent cx="6810375" cy="14820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10375" cy="14820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105156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10375"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right="79"/>
        <w:spacing w:after="0" w:line="245" w:lineRule="auto"/>
        <w:rPr>
          <w:sz w:val="20"/>
          <w:szCs w:val="20"/>
          <w:color w:val="auto"/>
        </w:rPr>
      </w:pPr>
      <w:r>
        <w:rPr>
          <w:rFonts w:ascii="Arial" w:cs="Arial" w:eastAsia="Arial" w:hAnsi="Arial"/>
          <w:sz w:val="54"/>
          <w:szCs w:val="54"/>
          <w:color w:val="00558C"/>
        </w:rPr>
        <w:t>Letter from the Independent Directors of the Board</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Dear Fellow Stockholders:</w:t>
      </w:r>
    </w:p>
    <w:p>
      <w:pPr>
        <w:spacing w:after="0" w:line="167" w:lineRule="exact"/>
        <w:rPr>
          <w:sz w:val="20"/>
          <w:szCs w:val="20"/>
          <w:color w:val="auto"/>
        </w:rPr>
      </w:pPr>
    </w:p>
    <w:p>
      <w:pPr>
        <w:ind w:right="199"/>
        <w:spacing w:after="0" w:line="310" w:lineRule="auto"/>
        <w:rPr>
          <w:sz w:val="20"/>
          <w:szCs w:val="20"/>
          <w:color w:val="auto"/>
        </w:rPr>
      </w:pPr>
      <w:r>
        <w:rPr>
          <w:rFonts w:ascii="Arial" w:cs="Arial" w:eastAsia="Arial" w:hAnsi="Arial"/>
          <w:sz w:val="16"/>
          <w:szCs w:val="16"/>
          <w:color w:val="auto"/>
        </w:rPr>
        <w:t>We are writing to you as the independent members of the Huron board of directors (the “Board”). As fellow stockholders, we are focused on the successful transition of Board leadership, the execution of the Company's strategy and sustaining the alignment between Huron's management compensation programs and the interests of Huron's stockholders.</w:t>
      </w:r>
    </w:p>
    <w:p>
      <w:pPr>
        <w:sectPr>
          <w:pgSz w:w="11900" w:h="16982" w:orient="portrait"/>
          <w:cols w:equalWidth="0" w:num="1">
            <w:col w:w="9059"/>
          </w:cols>
          <w:pgMar w:left="1400" w:top="1440" w:right="1440" w:bottom="0" w:gutter="0" w:footer="0" w:header="0"/>
        </w:sectPr>
      </w:pPr>
    </w:p>
    <w:bookmarkStart w:id="2" w:name="page3"/>
    <w:bookmarkEnd w:id="2"/>
    <w:p>
      <w:pPr>
        <w:spacing w:after="0" w:line="13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57969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10375" cy="579691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b w:val="1"/>
          <w:bCs w:val="1"/>
          <w:color w:val="00558C"/>
        </w:rPr>
        <w:t>Enacting Our Board Leadership Succession Plan</w:t>
      </w:r>
    </w:p>
    <w:p>
      <w:pPr>
        <w:spacing w:after="0" w:line="11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As we previously reported, the Board recognized that Mr. McCartney had capably served as non-executive chairman for a number of years and, in conjunction with the overall board refreshment process, we considered whether the election of a new board chair in 2024 might be in the best interests of the Company and its stockholders. In light of the CEO leadership transition in 2023 and after consultation with Mr. Roth and Mr. Hussey, the Board concluded that it was not in the best interests of the Company and its stockholders to have simultaneous changes in CEO and Board leadership at that time. As previously mentioned in the Company’s Notice of Annual Meeting and Proxy Statement for the years ended 2022 and 2023, it was the Board’s intention that Mr. McCartney would step down as non-executive chairman on or before the Company’s annual meeting in May 2025. As a result, effective January 1, 2025, Hugh Sawyer was appointed as our non-executive chairman to succeed Mr. McCartney. Further, the Board reaffirmed its view that Mr. McCartney should continue to serve as an independent director given his extensive knowledge of the Company and its business.</w:t>
      </w:r>
    </w:p>
    <w:p>
      <w:pPr>
        <w:spacing w:after="0" w:line="112" w:lineRule="exact"/>
        <w:rPr>
          <w:sz w:val="20"/>
          <w:szCs w:val="20"/>
          <w:color w:val="auto"/>
        </w:rPr>
      </w:pPr>
    </w:p>
    <w:p>
      <w:pPr>
        <w:ind w:right="260"/>
        <w:spacing w:after="0" w:line="295" w:lineRule="auto"/>
        <w:rPr>
          <w:sz w:val="20"/>
          <w:szCs w:val="20"/>
          <w:color w:val="auto"/>
        </w:rPr>
      </w:pPr>
      <w:r>
        <w:rPr>
          <w:rFonts w:ascii="Arial" w:cs="Arial" w:eastAsia="Arial" w:hAnsi="Arial"/>
          <w:sz w:val="16"/>
          <w:szCs w:val="16"/>
          <w:color w:val="auto"/>
        </w:rPr>
        <w:t>Mr. Sawyer’s assumption of the role of non-executive chairman reflects the outcome of a carefully considered and thorough succession process, elements of which occurred over a nine-month period. The transition also reinforces the Company’s commitment to its periodic board refreshment process to ensure the Board has the range of relevant expertise, skills and business acumen necessary to evaluate and support the Company’s performance and strategy going forward.</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color w:val="00558C"/>
        </w:rPr>
        <w:t>Executing Our Growth Strategy</w:t>
      </w:r>
    </w:p>
    <w:p>
      <w:pPr>
        <w:spacing w:after="0" w:line="112" w:lineRule="exact"/>
        <w:rPr>
          <w:sz w:val="20"/>
          <w:szCs w:val="20"/>
          <w:color w:val="auto"/>
        </w:rPr>
      </w:pPr>
    </w:p>
    <w:p>
      <w:pPr>
        <w:spacing w:after="0" w:line="300" w:lineRule="auto"/>
        <w:rPr>
          <w:sz w:val="20"/>
          <w:szCs w:val="20"/>
          <w:color w:val="auto"/>
        </w:rPr>
      </w:pPr>
      <w:r>
        <w:rPr>
          <w:rFonts w:ascii="Arial" w:cs="Arial" w:eastAsia="Arial" w:hAnsi="Arial"/>
          <w:sz w:val="16"/>
          <w:szCs w:val="16"/>
          <w:color w:val="auto"/>
        </w:rPr>
        <w:t>The Board and management remain focused on targeting superior stockholder returns through the realization of Huron’s growth strategy, which was most recently shared at our recent investor day. We believe our team’s strong execution of our growth strategy over the past several years has created a solid foundation for continued growth and margin expansion in 2025. We note the following highlights from our 2024 financial results:</w:t>
      </w:r>
    </w:p>
    <w:p>
      <w:pPr>
        <w:spacing w:after="0" w:line="106" w:lineRule="exact"/>
        <w:rPr>
          <w:sz w:val="20"/>
          <w:szCs w:val="20"/>
          <w:color w:val="auto"/>
        </w:rPr>
      </w:pPr>
    </w:p>
    <w:p>
      <w:pPr>
        <w:ind w:left="180" w:right="400" w:hanging="172"/>
        <w:spacing w:after="0" w:line="275" w:lineRule="auto"/>
        <w:tabs>
          <w:tab w:leader="none" w:pos="180" w:val="left"/>
        </w:tabs>
        <w:numPr>
          <w:ilvl w:val="0"/>
          <w:numId w:val="6"/>
        </w:numPr>
        <w:rPr>
          <w:rFonts w:ascii="Arial" w:cs="Arial" w:eastAsia="Arial" w:hAnsi="Arial"/>
          <w:sz w:val="16"/>
          <w:szCs w:val="16"/>
          <w:b w:val="1"/>
          <w:bCs w:val="1"/>
          <w:color w:val="6AAA37"/>
        </w:rPr>
      </w:pPr>
      <w:r>
        <w:rPr>
          <w:rFonts w:ascii="Arial" w:cs="Arial" w:eastAsia="Arial" w:hAnsi="Arial"/>
          <w:sz w:val="16"/>
          <w:szCs w:val="16"/>
          <w:color w:val="auto"/>
        </w:rPr>
        <w:t>Achieved 9% revenues before reimbursable expenses (RBR) growth compared to 2023, which was on top of 20% RBR growth in 2023 compared to 2022;</w:t>
      </w:r>
    </w:p>
    <w:p>
      <w:pPr>
        <w:ind w:left="180" w:hanging="172"/>
        <w:spacing w:after="0"/>
        <w:tabs>
          <w:tab w:leader="none" w:pos="180" w:val="left"/>
        </w:tabs>
        <w:numPr>
          <w:ilvl w:val="0"/>
          <w:numId w:val="6"/>
        </w:numPr>
        <w:rPr>
          <w:rFonts w:ascii="Arial" w:cs="Arial" w:eastAsia="Arial" w:hAnsi="Arial"/>
          <w:sz w:val="16"/>
          <w:szCs w:val="16"/>
          <w:b w:val="1"/>
          <w:bCs w:val="1"/>
          <w:color w:val="6AAA37"/>
        </w:rPr>
      </w:pPr>
      <w:r>
        <w:rPr>
          <w:rFonts w:ascii="Arial" w:cs="Arial" w:eastAsia="Arial" w:hAnsi="Arial"/>
          <w:sz w:val="16"/>
          <w:szCs w:val="16"/>
          <w:color w:val="auto"/>
        </w:rPr>
        <w:t>Expanded net income margin and adjusted EBITDA margin</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by 320 and 120 basis points, respectively, over 2023;</w:t>
      </w:r>
    </w:p>
    <w:p>
      <w:pPr>
        <w:spacing w:after="0" w:line="40" w:lineRule="exact"/>
        <w:rPr>
          <w:rFonts w:ascii="Arial" w:cs="Arial" w:eastAsia="Arial" w:hAnsi="Arial"/>
          <w:sz w:val="16"/>
          <w:szCs w:val="16"/>
          <w:b w:val="1"/>
          <w:bCs w:val="1"/>
          <w:color w:val="6AAA37"/>
        </w:rPr>
      </w:pPr>
    </w:p>
    <w:p>
      <w:pPr>
        <w:ind w:left="180" w:right="140" w:hanging="172"/>
        <w:spacing w:after="0" w:line="218" w:lineRule="auto"/>
        <w:tabs>
          <w:tab w:leader="none" w:pos="180" w:val="left"/>
        </w:tabs>
        <w:numPr>
          <w:ilvl w:val="0"/>
          <w:numId w:val="6"/>
        </w:numPr>
        <w:rPr>
          <w:rFonts w:ascii="Arial" w:cs="Arial" w:eastAsia="Arial" w:hAnsi="Arial"/>
          <w:sz w:val="16"/>
          <w:szCs w:val="16"/>
          <w:b w:val="1"/>
          <w:bCs w:val="1"/>
          <w:color w:val="6AAA37"/>
        </w:rPr>
      </w:pPr>
      <w:r>
        <w:rPr>
          <w:rFonts w:ascii="Arial" w:cs="Arial" w:eastAsia="Arial" w:hAnsi="Arial"/>
          <w:sz w:val="16"/>
          <w:szCs w:val="16"/>
          <w:color w:val="auto"/>
        </w:rPr>
        <w:t>Increased diluted earnings per share and adjusted diluted earnings per share</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by 97% and 32%, respectively, compared to 2023;</w:t>
      </w:r>
    </w:p>
    <w:p>
      <w:pPr>
        <w:spacing w:after="0" w:line="33" w:lineRule="exact"/>
        <w:rPr>
          <w:rFonts w:ascii="Arial" w:cs="Arial" w:eastAsia="Arial" w:hAnsi="Arial"/>
          <w:sz w:val="16"/>
          <w:szCs w:val="16"/>
          <w:b w:val="1"/>
          <w:bCs w:val="1"/>
          <w:color w:val="6AAA37"/>
        </w:rPr>
      </w:pPr>
    </w:p>
    <w:p>
      <w:pPr>
        <w:ind w:left="180" w:hanging="172"/>
        <w:spacing w:after="0"/>
        <w:tabs>
          <w:tab w:leader="none" w:pos="180" w:val="left"/>
        </w:tabs>
        <w:numPr>
          <w:ilvl w:val="0"/>
          <w:numId w:val="6"/>
        </w:numPr>
        <w:rPr>
          <w:rFonts w:ascii="Arial" w:cs="Arial" w:eastAsia="Arial" w:hAnsi="Arial"/>
          <w:sz w:val="16"/>
          <w:szCs w:val="16"/>
          <w:b w:val="1"/>
          <w:bCs w:val="1"/>
          <w:color w:val="6AAA37"/>
        </w:rPr>
      </w:pPr>
      <w:r>
        <w:rPr>
          <w:rFonts w:ascii="Arial" w:cs="Arial" w:eastAsia="Arial" w:hAnsi="Arial"/>
          <w:sz w:val="16"/>
          <w:szCs w:val="16"/>
          <w:color w:val="auto"/>
        </w:rPr>
        <w:t>Generated record cash flow from operations and free cash flows</w:t>
      </w:r>
      <w:r>
        <w:rPr>
          <w:rFonts w:ascii="Arial" w:cs="Arial" w:eastAsia="Arial" w:hAnsi="Arial"/>
          <w:sz w:val="21"/>
          <w:szCs w:val="21"/>
          <w:color w:val="auto"/>
          <w:vertAlign w:val="superscript"/>
        </w:rPr>
        <w:t>1</w:t>
      </w:r>
      <w:r>
        <w:rPr>
          <w:rFonts w:ascii="Arial" w:cs="Arial" w:eastAsia="Arial" w:hAnsi="Arial"/>
          <w:sz w:val="16"/>
          <w:szCs w:val="16"/>
          <w:color w:val="auto"/>
        </w:rPr>
        <w:t>;</w:t>
      </w:r>
    </w:p>
    <w:p>
      <w:pPr>
        <w:spacing w:after="0" w:line="27" w:lineRule="exact"/>
        <w:rPr>
          <w:rFonts w:ascii="Arial" w:cs="Arial" w:eastAsia="Arial" w:hAnsi="Arial"/>
          <w:sz w:val="16"/>
          <w:szCs w:val="16"/>
          <w:b w:val="1"/>
          <w:bCs w:val="1"/>
          <w:color w:val="6AAA37"/>
        </w:rPr>
      </w:pPr>
    </w:p>
    <w:p>
      <w:pPr>
        <w:ind w:left="180" w:hanging="172"/>
        <w:spacing w:after="0"/>
        <w:tabs>
          <w:tab w:leader="none" w:pos="180" w:val="left"/>
        </w:tabs>
        <w:numPr>
          <w:ilvl w:val="0"/>
          <w:numId w:val="6"/>
        </w:numPr>
        <w:rPr>
          <w:rFonts w:ascii="Arial" w:cs="Arial" w:eastAsia="Arial" w:hAnsi="Arial"/>
          <w:sz w:val="16"/>
          <w:szCs w:val="16"/>
          <w:b w:val="1"/>
          <w:bCs w:val="1"/>
          <w:color w:val="6AAA37"/>
        </w:rPr>
      </w:pPr>
      <w:r>
        <w:rPr>
          <w:rFonts w:ascii="Arial" w:cs="Arial" w:eastAsia="Arial" w:hAnsi="Arial"/>
          <w:sz w:val="16"/>
          <w:szCs w:val="16"/>
          <w:color w:val="auto"/>
        </w:rPr>
        <w:t>Returned $122 million to stockholders via share repurchases; and</w:t>
      </w:r>
    </w:p>
    <w:p>
      <w:pPr>
        <w:spacing w:after="0" w:line="56" w:lineRule="exact"/>
        <w:rPr>
          <w:rFonts w:ascii="Arial" w:cs="Arial" w:eastAsia="Arial" w:hAnsi="Arial"/>
          <w:sz w:val="16"/>
          <w:szCs w:val="16"/>
          <w:b w:val="1"/>
          <w:bCs w:val="1"/>
          <w:color w:val="6AAA37"/>
        </w:rPr>
      </w:pPr>
    </w:p>
    <w:p>
      <w:pPr>
        <w:ind w:left="180" w:hanging="172"/>
        <w:spacing w:after="0"/>
        <w:tabs>
          <w:tab w:leader="none" w:pos="180" w:val="left"/>
        </w:tabs>
        <w:numPr>
          <w:ilvl w:val="0"/>
          <w:numId w:val="6"/>
        </w:numPr>
        <w:rPr>
          <w:rFonts w:ascii="Arial" w:cs="Arial" w:eastAsia="Arial" w:hAnsi="Arial"/>
          <w:sz w:val="16"/>
          <w:szCs w:val="16"/>
          <w:b w:val="1"/>
          <w:bCs w:val="1"/>
          <w:color w:val="6AAA37"/>
        </w:rPr>
      </w:pPr>
      <w:r>
        <w:rPr>
          <w:rFonts w:ascii="Arial" w:cs="Arial" w:eastAsia="Arial" w:hAnsi="Arial"/>
          <w:sz w:val="16"/>
          <w:szCs w:val="16"/>
          <w:color w:val="auto"/>
        </w:rPr>
        <w:t>Achieved annual total stockholder returns of 21%.</w:t>
      </w:r>
    </w:p>
    <w:p>
      <w:pPr>
        <w:spacing w:after="0" w:line="59" w:lineRule="exact"/>
        <w:rPr>
          <w:sz w:val="20"/>
          <w:szCs w:val="20"/>
          <w:color w:val="auto"/>
        </w:rPr>
      </w:pPr>
    </w:p>
    <w:p>
      <w:pPr>
        <w:ind w:right="740"/>
        <w:spacing w:after="0" w:line="321" w:lineRule="auto"/>
        <w:rPr>
          <w:sz w:val="20"/>
          <w:szCs w:val="20"/>
          <w:color w:val="auto"/>
        </w:rPr>
      </w:pPr>
      <w:r>
        <w:rPr>
          <w:rFonts w:ascii="Arial" w:cs="Arial" w:eastAsia="Arial" w:hAnsi="Arial"/>
          <w:sz w:val="16"/>
          <w:szCs w:val="16"/>
          <w:color w:val="auto"/>
        </w:rPr>
        <w:t>See section “Company Overview” of this Proxy Statement for additional information on our growth strategy and 2024 performance highlights.</w:t>
      </w:r>
    </w:p>
    <w:p>
      <w:pPr>
        <w:spacing w:after="0" w:line="73" w:lineRule="exact"/>
        <w:rPr>
          <w:sz w:val="20"/>
          <w:szCs w:val="20"/>
          <w:color w:val="auto"/>
        </w:rPr>
      </w:pPr>
    </w:p>
    <w:p>
      <w:pPr>
        <w:ind w:right="40" w:firstLine="8"/>
        <w:spacing w:after="0" w:line="224" w:lineRule="auto"/>
        <w:tabs>
          <w:tab w:leader="none" w:pos="80" w:val="left"/>
        </w:tabs>
        <w:numPr>
          <w:ilvl w:val="0"/>
          <w:numId w:val="7"/>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See Appendix C for the definitions of adjusted EBITDA margin, adjusted diluted earnings per share and free cash flows, and other non-GAAP financial measures included in this Proxy Statement, as well as their reconciliation to the most directly comparable GAAP financial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718820</wp:posOffset>
            </wp:positionV>
            <wp:extent cx="6810375" cy="4636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10375" cy="4636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960"/>
        <w:spacing w:after="0" w:line="285" w:lineRule="auto"/>
        <w:rPr>
          <w:sz w:val="20"/>
          <w:szCs w:val="20"/>
          <w:color w:val="auto"/>
        </w:rPr>
      </w:pPr>
      <w:r>
        <w:rPr>
          <w:rFonts w:ascii="Arial" w:cs="Arial" w:eastAsia="Arial" w:hAnsi="Arial"/>
          <w:sz w:val="22"/>
          <w:szCs w:val="22"/>
          <w:b w:val="1"/>
          <w:bCs w:val="1"/>
          <w:color w:val="00558C"/>
        </w:rPr>
        <w:t>Aligned Employee Compensation Strategy to Improve and Sustain Stockholder Value</w:t>
      </w:r>
    </w:p>
    <w:p>
      <w:pPr>
        <w:spacing w:after="0" w:line="2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Our professionals' expertise, skills and experience and our unique company culture are our biggest differentiators, and we will strategically invest in our workforce to enable the continued success of our growth strategy. In order to attract, engage, reward, and retain highly qualified employees, particularly our revenue-generating client-facing managing directors and principals, and align those employees' interests with the Company and stockholders, we believe it is imperative that we continue to grant equity awards to both current and future employees. As such, we have multiple proposals in this year’s Proxy Statement that we believe are foundational to the success of our business and that impact not only our named executive officers (NEOs), but importantly, our revenue-generating managing directors and principals, and our broader global employee population.</w:t>
      </w:r>
    </w:p>
    <w:p>
      <w:pPr>
        <w:spacing w:after="0" w:line="96" w:lineRule="exact"/>
        <w:rPr>
          <w:sz w:val="20"/>
          <w:szCs w:val="20"/>
          <w:color w:val="auto"/>
        </w:rPr>
      </w:pPr>
    </w:p>
    <w:p>
      <w:pPr>
        <w:ind w:right="120"/>
        <w:spacing w:after="0" w:line="300" w:lineRule="auto"/>
        <w:rPr>
          <w:sz w:val="20"/>
          <w:szCs w:val="20"/>
          <w:color w:val="auto"/>
        </w:rPr>
      </w:pPr>
      <w:r>
        <w:rPr>
          <w:rFonts w:ascii="Arial" w:cs="Arial" w:eastAsia="Arial" w:hAnsi="Arial"/>
          <w:sz w:val="16"/>
          <w:szCs w:val="16"/>
          <w:color w:val="auto"/>
        </w:rPr>
        <w:t>First, our NEO compensation. At the 2024 annual meeting, 98% of votes cast were in support of Huron’s NEO compensation. We continue to view this strong support of our compensation programs as a reflection of the deep alignment between our executives’ pay and stockholder value, as well as the Compensation Committee’s and Board’s stewardship of our people and pay-for-performance compensation strategies.</w:t>
      </w:r>
    </w:p>
    <w:p>
      <w:pPr>
        <w:spacing w:after="0" w:line="106"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Our NEOs’ compensation program is aligned with driving our business strategy and stockholder value creation. The core tenets of our executive compensation program include: (1) aligning to our business strategy, (2) attracting and retaining extraordinary employees, (3) paying for superior performance, and (4) upholding strong governance that mitigates risk while incentivizing long-term value creation. We continue to drive alignment of our NEOs’ interests with stockholders’ by maintaining a majority of NEO compensation as performance-based and at-risk. To further enhance this alignment, in 2024, we allocated a greater proportion of our NEOs’ total direct compensation to performance-based equity.</w:t>
      </w:r>
    </w:p>
    <w:p>
      <w:pPr>
        <w:spacing w:after="0" w:line="110" w:lineRule="exact"/>
        <w:rPr>
          <w:sz w:val="20"/>
          <w:szCs w:val="20"/>
          <w:color w:val="auto"/>
        </w:rPr>
      </w:pPr>
    </w:p>
    <w:p>
      <w:pPr>
        <w:ind w:right="320"/>
        <w:spacing w:after="0" w:line="301" w:lineRule="auto"/>
        <w:rPr>
          <w:sz w:val="20"/>
          <w:szCs w:val="20"/>
          <w:color w:val="auto"/>
        </w:rPr>
      </w:pPr>
      <w:r>
        <w:rPr>
          <w:rFonts w:ascii="Arial" w:cs="Arial" w:eastAsia="Arial" w:hAnsi="Arial"/>
          <w:sz w:val="16"/>
          <w:szCs w:val="16"/>
          <w:color w:val="auto"/>
        </w:rPr>
        <w:t>Our Say-on-Pay for 2025 Executive Compensation Proposal is found in Proposal 2 of this Proxy Statement, and our Board recommends that you vote “FOR” this proposal. We also invite you to review additional information on our compensation philosophy and decisions in the section titled “Executive Compensation” of this Proxy Statement.</w:t>
      </w:r>
    </w:p>
    <w:p>
      <w:pPr>
        <w:spacing w:after="0" w:line="104"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Second, the amendment to Huron’s Amended and Restated 2012 Omnibus Incentive Plan, which requests an increase in the number of shares available for grant under that plan and is needed to support the continued growth of our business and the associated growth of our employee population. We believe Huron’s long-term success is enabled by a balanced compensation</w:t>
      </w:r>
    </w:p>
    <w:p>
      <w:pPr>
        <w:sectPr>
          <w:pgSz w:w="11900" w:h="16975" w:orient="portrait"/>
          <w:cols w:equalWidth="0" w:num="1">
            <w:col w:w="9080"/>
          </w:cols>
          <w:pgMar w:left="1400" w:top="354" w:right="1419" w:bottom="0" w:gutter="0" w:footer="0" w:header="0"/>
        </w:sectPr>
      </w:pPr>
    </w:p>
    <w:bookmarkStart w:id="3" w:name="page4"/>
    <w:bookmarkEnd w:id="3"/>
    <w:p>
      <w:pPr>
        <w:ind w:right="2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42195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10375" cy="4219575"/>
                    </a:xfrm>
                    <a:prstGeom prst="rect">
                      <a:avLst/>
                    </a:prstGeom>
                    <a:noFill/>
                  </pic:spPr>
                </pic:pic>
              </a:graphicData>
            </a:graphic>
          </wp:anchor>
        </w:drawing>
        <w:t>program that aligns stockholder success, enterprise objectives, and employee performance. To achieve these goals, long-term equity plays a critical role in the variable portion of the compensation programs for our NEOs and our revenue-generating managing directors and principals. We believe that directly linking employee compensation with achievement of superior performance ultimately fosters a sense of ownership among employees and promotes long-term retention of our leaders. As an additional insight, on average, 40% of our managing director and principal compensation is at-risk and aligned with performance; and of that performance-based compensation, 30-50% is provided in equity, depending on level.</w:t>
      </w:r>
    </w:p>
    <w:p>
      <w:pPr>
        <w:spacing w:after="0" w:line="97"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Please note that over the last three years, on average, 84% of total shares granted have been issued to our nearly 270 revenue-generating managing directors and principals as part of their variable incentive compensation. These are the client-facing professionals that drive the growth of our business and facilitate multi-year client relationships. In contrast, over the last three years, on average, only 12% of total shares granted have been issued to our NEOs as part of their incentive compensation.</w:t>
      </w:r>
    </w:p>
    <w:p>
      <w:pPr>
        <w:spacing w:after="0" w:line="107"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We certainly understand the dilutive impact of equity awards granted and reflect the expense associated with these awards in our adjusted EBITDA and adjusted diluted earnings per share metrics. Both the Board and management are committed to thoughtfully managing our equity compensation programs while mitigating risk and dilution for stockholders. In 2024, we returned $122 million of capital to stockholders through our share repurchase program, which more than offsets the dilution to stockholders associated with our compensation program.</w:t>
      </w:r>
    </w:p>
    <w:p>
      <w:pPr>
        <w:spacing w:after="0" w:line="107" w:lineRule="exact"/>
        <w:rPr>
          <w:sz w:val="20"/>
          <w:szCs w:val="20"/>
          <w:color w:val="auto"/>
        </w:rPr>
      </w:pPr>
    </w:p>
    <w:p>
      <w:pPr>
        <w:ind w:right="60"/>
        <w:spacing w:after="0" w:line="299" w:lineRule="auto"/>
        <w:rPr>
          <w:sz w:val="20"/>
          <w:szCs w:val="20"/>
          <w:color w:val="auto"/>
        </w:rPr>
      </w:pPr>
      <w:r>
        <w:rPr>
          <w:rFonts w:ascii="Arial" w:cs="Arial" w:eastAsia="Arial" w:hAnsi="Arial"/>
          <w:sz w:val="16"/>
          <w:szCs w:val="16"/>
          <w:color w:val="auto"/>
        </w:rPr>
        <w:t>We believe that continuing to provide a meaningful portion of our revenue-generating managing director and principal annual incentive in the form of at-risk equity not only aligns total compensation with superior performance but also motivates employee commitment to company-wide strategic and financial objectives, which drive stockholder value and serves to contribute to the future success of our business as we attract, engage and retain the top talent needed to support our ongoing growth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1207770</wp:posOffset>
            </wp:positionV>
            <wp:extent cx="6810375" cy="62141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10375" cy="6214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Two years ago, at the 2023 annual meeting, we requested an increase in the number of shares available for grant under the Company’s 2012 Omnibus Incentive Plan, which you approved. We appreciate your continued support for our pay-for-performance compensation philosophy and the approval of this important proposal which is core to our compensation strategy.</w:t>
      </w:r>
    </w:p>
    <w:p>
      <w:pPr>
        <w:spacing w:after="0" w:line="104" w:lineRule="exact"/>
        <w:rPr>
          <w:sz w:val="20"/>
          <w:szCs w:val="20"/>
          <w:color w:val="auto"/>
        </w:rPr>
      </w:pPr>
    </w:p>
    <w:p>
      <w:pPr>
        <w:ind w:right="180"/>
        <w:spacing w:after="0" w:line="295" w:lineRule="auto"/>
        <w:rPr>
          <w:sz w:val="20"/>
          <w:szCs w:val="20"/>
          <w:color w:val="auto"/>
        </w:rPr>
      </w:pPr>
      <w:r>
        <w:rPr>
          <w:rFonts w:ascii="Arial" w:cs="Arial" w:eastAsia="Arial" w:hAnsi="Arial"/>
          <w:sz w:val="16"/>
          <w:szCs w:val="16"/>
          <w:color w:val="auto"/>
        </w:rPr>
        <w:t>Our Amendment to the Company’s Amended and Restated 2012 Omnibus Incentive Plan Proposal is found in Proposal 3 of this Proxy Statement, and the Board recommends that you vote “FOR” this proposal. We also invite you to review additional information about our equity incentive programs in our supplemental proxy materials, which can be found on the investor relations page of the Huron website.</w:t>
      </w:r>
    </w:p>
    <w:p>
      <w:pPr>
        <w:spacing w:after="0" w:line="108"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Third, the amendment to Huron’s Amended and Restated Stock Ownership Participation Program (SOPP), which requests an increase in the number of shares available for grant under the Company’s employee stock ownership program. We provide the opportunity for our eligible global employees below the managing director and principal level to participate in our SOPP, which as of December 31, 2024 included 95% of our employee population. Currently, approximately 20% of our eligible employees participate in this plan. Through the SOPP, we offer a 25% restricted stock unit match to employees who purchase stock under the plan. We believe providing an opportunity for employee stock ownership will continue to attract, engage, and retain highly qualified employees, align those employees’ interests with stockholders’ interests, foster a strong commitment to the Company’s growth strategy, and provide an opportunity to share in the growth of the Company.</w:t>
      </w:r>
    </w:p>
    <w:p>
      <w:pPr>
        <w:spacing w:after="0" w:line="113" w:lineRule="exact"/>
        <w:rPr>
          <w:sz w:val="20"/>
          <w:szCs w:val="20"/>
          <w:color w:val="auto"/>
        </w:rPr>
      </w:pPr>
    </w:p>
    <w:p>
      <w:pPr>
        <w:ind w:right="360"/>
        <w:spacing w:after="0" w:line="321" w:lineRule="auto"/>
        <w:rPr>
          <w:sz w:val="20"/>
          <w:szCs w:val="20"/>
          <w:color w:val="auto"/>
        </w:rPr>
      </w:pPr>
      <w:r>
        <w:rPr>
          <w:rFonts w:ascii="Arial" w:cs="Arial" w:eastAsia="Arial" w:hAnsi="Arial"/>
          <w:sz w:val="16"/>
          <w:szCs w:val="16"/>
          <w:color w:val="auto"/>
        </w:rPr>
        <w:t>Our Amendment to the Company’s Amended and Restated SOPP is found in Proposal 4 of this Proxy Statement, and the Board recommends that you vote “FOR” this proposal.</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00558C"/>
        </w:rPr>
        <w:t>Executing strong governance practices</w:t>
      </w:r>
    </w:p>
    <w:p>
      <w:pPr>
        <w:spacing w:after="0" w:line="11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have recently amended our “Compensation Clawback Policy” to allow for recovery of additional compensation in the event current or former covered executives engage in misconduct which causes material and adverse reputational or financial harm to the Company, among other items. This would include equity or equity-based awards granted to or received by a covered executive under the Company’s 2012 Omnibus Incentive Plan. This amendment expands the Board’s ability to recoup compensation in addition to the recovery of compensation required under the Dodd-Frank Wall Street Reform and Consumer Protection Act of 2010. We believe this amendment is reflective of our strong governance practices and adherence to our Company values.</w:t>
      </w:r>
    </w:p>
    <w:p>
      <w:pPr>
        <w:spacing w:after="0" w:line="112"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As shared in our 2023 and 2024 Proxy Statements, we are in the process of declassifying the Board over a three-year period. Directors have been and will continue to be elected on an annual basis beginning in 2024 and in each subsequent year such that all directors will be elected for a one-year term at the 2026 annual stockholders’ meeting. While we believe there were historical benefits to the classified board structure for Huron and for professional services firms generally, we recognize that the Board has a responsibility to be responsive to stockholder views, especially regarding governance and stockholder empowerment.</w:t>
      </w:r>
    </w:p>
    <w:p>
      <w:pPr>
        <w:spacing w:after="0" w:line="110" w:lineRule="exact"/>
        <w:rPr>
          <w:sz w:val="20"/>
          <w:szCs w:val="20"/>
          <w:color w:val="auto"/>
        </w:rPr>
      </w:pPr>
    </w:p>
    <w:p>
      <w:pPr>
        <w:ind w:right="500"/>
        <w:spacing w:after="0" w:line="321" w:lineRule="auto"/>
        <w:rPr>
          <w:sz w:val="20"/>
          <w:szCs w:val="20"/>
          <w:color w:val="auto"/>
        </w:rPr>
      </w:pPr>
      <w:r>
        <w:rPr>
          <w:rFonts w:ascii="Arial" w:cs="Arial" w:eastAsia="Arial" w:hAnsi="Arial"/>
          <w:sz w:val="16"/>
          <w:szCs w:val="16"/>
          <w:color w:val="auto"/>
        </w:rPr>
        <w:t>In closing, we are pleased to report another year of superior performance and to affirm our commitment to consider and respond to the perspective of our stockholders.</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Respectfully,</w:t>
      </w:r>
    </w:p>
    <w:p>
      <w:pPr>
        <w:sectPr>
          <w:pgSz w:w="11900" w:h="16838" w:orient="portrait"/>
          <w:cols w:equalWidth="0" w:num="1">
            <w:col w:w="9060"/>
          </w:cols>
          <w:pgMar w:left="1400" w:top="166" w:right="1439" w:bottom="0" w:gutter="0" w:footer="0" w:header="0"/>
        </w:sectPr>
      </w:pPr>
    </w:p>
    <w:bookmarkStart w:id="4" w:name="page5"/>
    <w:bookmarkEnd w:id="4"/>
    <w:p>
      <w:pPr>
        <w:spacing w:after="0" w:line="139" w:lineRule="exact"/>
        <w:rPr>
          <w:sz w:val="20"/>
          <w:szCs w:val="20"/>
          <w:color w:val="auto"/>
        </w:rPr>
      </w:pPr>
    </w:p>
    <w:tbl>
      <w:tblPr>
        <w:tblLayout w:type="fixed"/>
        <w:tblInd w:w="10" w:type="dxa"/>
        <w:tblCellMar>
          <w:top w:w="0" w:type="dxa"/>
          <w:left w:w="0" w:type="dxa"/>
          <w:bottom w:w="0" w:type="dxa"/>
          <w:right w:w="0" w:type="dxa"/>
        </w:tblCellMar>
      </w:tblPr>
      <w:tr>
        <w:trPr>
          <w:trHeight w:val="499"/>
        </w:trPr>
        <w:tc>
          <w:tcPr>
            <w:tcW w:w="820" w:type="dxa"/>
            <w:vAlign w:val="bottom"/>
            <w:tcBorders>
              <w:left w:val="single" w:sz="8" w:color="CCCCCC"/>
            </w:tcBorders>
          </w:tcPr>
          <w:p>
            <w:pPr>
              <w:spacing w:after="0"/>
              <w:rPr>
                <w:sz w:val="24"/>
                <w:szCs w:val="24"/>
                <w:color w:val="auto"/>
              </w:rPr>
            </w:pPr>
          </w:p>
        </w:tc>
        <w:tc>
          <w:tcPr>
            <w:tcW w:w="2840" w:type="dxa"/>
            <w:vAlign w:val="bottom"/>
            <w:tcBorders>
              <w:bottom w:val="single" w:sz="8" w:color="B2B3B6"/>
            </w:tcBorders>
          </w:tcPr>
          <w:p>
            <w:pPr>
              <w:spacing w:after="0"/>
              <w:rPr>
                <w:sz w:val="24"/>
                <w:szCs w:val="24"/>
                <w:color w:val="auto"/>
              </w:rPr>
            </w:pPr>
          </w:p>
        </w:tc>
        <w:tc>
          <w:tcPr>
            <w:tcW w:w="280" w:type="dxa"/>
            <w:vAlign w:val="bottom"/>
          </w:tcPr>
          <w:p>
            <w:pPr>
              <w:spacing w:after="0"/>
              <w:rPr>
                <w:sz w:val="24"/>
                <w:szCs w:val="24"/>
                <w:color w:val="auto"/>
              </w:rPr>
            </w:pPr>
          </w:p>
        </w:tc>
        <w:tc>
          <w:tcPr>
            <w:tcW w:w="2840" w:type="dxa"/>
            <w:vAlign w:val="bottom"/>
            <w:tcBorders>
              <w:bottom w:val="single" w:sz="8" w:color="B2B3B6"/>
            </w:tcBorders>
          </w:tcPr>
          <w:p>
            <w:pPr>
              <w:spacing w:after="0"/>
              <w:rPr>
                <w:sz w:val="24"/>
                <w:szCs w:val="24"/>
                <w:color w:val="auto"/>
              </w:rPr>
            </w:pPr>
          </w:p>
        </w:tc>
        <w:tc>
          <w:tcPr>
            <w:tcW w:w="280" w:type="dxa"/>
            <w:vAlign w:val="bottom"/>
          </w:tcPr>
          <w:p>
            <w:pPr>
              <w:spacing w:after="0"/>
              <w:rPr>
                <w:sz w:val="24"/>
                <w:szCs w:val="24"/>
                <w:color w:val="auto"/>
              </w:rPr>
            </w:pPr>
          </w:p>
        </w:tc>
        <w:tc>
          <w:tcPr>
            <w:tcW w:w="2820" w:type="dxa"/>
            <w:vAlign w:val="bottom"/>
            <w:tcBorders>
              <w:bottom w:val="single" w:sz="8" w:color="B2B3B6"/>
            </w:tcBorders>
          </w:tcPr>
          <w:p>
            <w:pPr>
              <w:spacing w:after="0"/>
              <w:rPr>
                <w:sz w:val="24"/>
                <w:szCs w:val="24"/>
                <w:color w:val="auto"/>
              </w:rPr>
            </w:pPr>
          </w:p>
        </w:tc>
        <w:tc>
          <w:tcPr>
            <w:tcW w:w="840" w:type="dxa"/>
            <w:vAlign w:val="bottom"/>
            <w:tcBorders>
              <w:right w:val="single" w:sz="8" w:color="CCCCCC"/>
            </w:tcBorders>
          </w:tcPr>
          <w:p>
            <w:pPr>
              <w:spacing w:after="0"/>
              <w:rPr>
                <w:sz w:val="24"/>
                <w:szCs w:val="24"/>
                <w:color w:val="auto"/>
              </w:rPr>
            </w:pPr>
          </w:p>
        </w:tc>
      </w:tr>
      <w:tr>
        <w:trPr>
          <w:trHeight w:val="234"/>
        </w:trPr>
        <w:tc>
          <w:tcPr>
            <w:tcW w:w="820" w:type="dxa"/>
            <w:vAlign w:val="bottom"/>
            <w:tcBorders>
              <w:left w:val="single" w:sz="8" w:color="CCCCCC"/>
            </w:tcBorders>
          </w:tcPr>
          <w:p>
            <w:pPr>
              <w:spacing w:after="0"/>
              <w:rPr>
                <w:sz w:val="20"/>
                <w:szCs w:val="20"/>
                <w:color w:val="auto"/>
              </w:rPr>
            </w:pPr>
          </w:p>
        </w:tc>
        <w:tc>
          <w:tcPr>
            <w:tcW w:w="3120" w:type="dxa"/>
            <w:vAlign w:val="bottom"/>
            <w:gridSpan w:val="2"/>
          </w:tcPr>
          <w:p>
            <w:pPr>
              <w:jc w:val="center"/>
              <w:ind w:right="260"/>
              <w:spacing w:after="0"/>
              <w:rPr>
                <w:sz w:val="20"/>
                <w:szCs w:val="20"/>
                <w:color w:val="auto"/>
              </w:rPr>
            </w:pPr>
            <w:r>
              <w:rPr>
                <w:rFonts w:ascii="Arial" w:cs="Arial" w:eastAsia="Arial" w:hAnsi="Arial"/>
                <w:sz w:val="16"/>
                <w:szCs w:val="16"/>
                <w:color w:val="auto"/>
              </w:rPr>
              <w:t>H. Eugene Lockhart</w:t>
            </w:r>
          </w:p>
        </w:tc>
        <w:tc>
          <w:tcPr>
            <w:tcW w:w="2840" w:type="dxa"/>
            <w:vAlign w:val="bottom"/>
          </w:tcPr>
          <w:p>
            <w:pPr>
              <w:jc w:val="center"/>
              <w:spacing w:after="0"/>
              <w:rPr>
                <w:sz w:val="20"/>
                <w:szCs w:val="20"/>
                <w:color w:val="auto"/>
              </w:rPr>
            </w:pPr>
            <w:r>
              <w:rPr>
                <w:rFonts w:ascii="Arial" w:cs="Arial" w:eastAsia="Arial" w:hAnsi="Arial"/>
                <w:sz w:val="16"/>
                <w:szCs w:val="16"/>
                <w:color w:val="auto"/>
              </w:rPr>
              <w:t>Hugh E. Sawyer</w:t>
            </w:r>
          </w:p>
        </w:tc>
        <w:tc>
          <w:tcPr>
            <w:tcW w:w="280" w:type="dxa"/>
            <w:vAlign w:val="bottom"/>
          </w:tcPr>
          <w:p>
            <w:pPr>
              <w:spacing w:after="0"/>
              <w:rPr>
                <w:sz w:val="20"/>
                <w:szCs w:val="20"/>
                <w:color w:val="auto"/>
              </w:rPr>
            </w:pPr>
          </w:p>
        </w:tc>
        <w:tc>
          <w:tcPr>
            <w:tcW w:w="3660" w:type="dxa"/>
            <w:vAlign w:val="bottom"/>
            <w:tcBorders>
              <w:right w:val="single" w:sz="8" w:color="CCCCCC"/>
            </w:tcBorders>
            <w:gridSpan w:val="2"/>
          </w:tcPr>
          <w:p>
            <w:pPr>
              <w:ind w:left="820"/>
              <w:spacing w:after="0"/>
              <w:rPr>
                <w:sz w:val="20"/>
                <w:szCs w:val="20"/>
                <w:color w:val="auto"/>
              </w:rPr>
            </w:pPr>
            <w:r>
              <w:rPr>
                <w:rFonts w:ascii="Arial" w:cs="Arial" w:eastAsia="Arial" w:hAnsi="Arial"/>
                <w:sz w:val="16"/>
                <w:szCs w:val="16"/>
                <w:color w:val="auto"/>
              </w:rPr>
              <w:t>John McCartney</w:t>
            </w:r>
          </w:p>
        </w:tc>
      </w:tr>
      <w:tr>
        <w:trPr>
          <w:trHeight w:val="461"/>
        </w:trPr>
        <w:tc>
          <w:tcPr>
            <w:tcW w:w="820" w:type="dxa"/>
            <w:vAlign w:val="bottom"/>
            <w:tcBorders>
              <w:left w:val="single" w:sz="8" w:color="CCCCCC"/>
            </w:tcBorders>
          </w:tcPr>
          <w:p>
            <w:pPr>
              <w:spacing w:after="0"/>
              <w:rPr>
                <w:sz w:val="24"/>
                <w:szCs w:val="24"/>
                <w:color w:val="auto"/>
              </w:rPr>
            </w:pPr>
          </w:p>
        </w:tc>
        <w:tc>
          <w:tcPr>
            <w:tcW w:w="2840" w:type="dxa"/>
            <w:vAlign w:val="bottom"/>
            <w:tcBorders>
              <w:bottom w:val="single" w:sz="8" w:color="B2B3B6"/>
            </w:tcBorders>
          </w:tcPr>
          <w:p>
            <w:pPr>
              <w:spacing w:after="0"/>
              <w:rPr>
                <w:sz w:val="24"/>
                <w:szCs w:val="24"/>
                <w:color w:val="auto"/>
              </w:rPr>
            </w:pPr>
          </w:p>
        </w:tc>
        <w:tc>
          <w:tcPr>
            <w:tcW w:w="280" w:type="dxa"/>
            <w:vAlign w:val="bottom"/>
          </w:tcPr>
          <w:p>
            <w:pPr>
              <w:spacing w:after="0"/>
              <w:rPr>
                <w:sz w:val="24"/>
                <w:szCs w:val="24"/>
                <w:color w:val="auto"/>
              </w:rPr>
            </w:pPr>
          </w:p>
        </w:tc>
        <w:tc>
          <w:tcPr>
            <w:tcW w:w="2840" w:type="dxa"/>
            <w:vAlign w:val="bottom"/>
            <w:tcBorders>
              <w:bottom w:val="single" w:sz="8" w:color="B2B3B6"/>
            </w:tcBorders>
          </w:tcPr>
          <w:p>
            <w:pPr>
              <w:spacing w:after="0"/>
              <w:rPr>
                <w:sz w:val="24"/>
                <w:szCs w:val="24"/>
                <w:color w:val="auto"/>
              </w:rPr>
            </w:pPr>
          </w:p>
        </w:tc>
        <w:tc>
          <w:tcPr>
            <w:tcW w:w="280" w:type="dxa"/>
            <w:vAlign w:val="bottom"/>
          </w:tcPr>
          <w:p>
            <w:pPr>
              <w:spacing w:after="0"/>
              <w:rPr>
                <w:sz w:val="24"/>
                <w:szCs w:val="24"/>
                <w:color w:val="auto"/>
              </w:rPr>
            </w:pPr>
          </w:p>
        </w:tc>
        <w:tc>
          <w:tcPr>
            <w:tcW w:w="2820" w:type="dxa"/>
            <w:vAlign w:val="bottom"/>
            <w:tcBorders>
              <w:bottom w:val="single" w:sz="8" w:color="B2B3B6"/>
            </w:tcBorders>
          </w:tcPr>
          <w:p>
            <w:pPr>
              <w:spacing w:after="0"/>
              <w:rPr>
                <w:sz w:val="24"/>
                <w:szCs w:val="24"/>
                <w:color w:val="auto"/>
              </w:rPr>
            </w:pPr>
          </w:p>
        </w:tc>
        <w:tc>
          <w:tcPr>
            <w:tcW w:w="840" w:type="dxa"/>
            <w:vAlign w:val="bottom"/>
            <w:tcBorders>
              <w:right w:val="single" w:sz="8" w:color="CCCCCC"/>
            </w:tcBorders>
          </w:tcPr>
          <w:p>
            <w:pPr>
              <w:spacing w:after="0"/>
              <w:rPr>
                <w:sz w:val="24"/>
                <w:szCs w:val="24"/>
                <w:color w:val="auto"/>
              </w:rPr>
            </w:pPr>
          </w:p>
        </w:tc>
      </w:tr>
      <w:tr>
        <w:trPr>
          <w:trHeight w:val="234"/>
        </w:trPr>
        <w:tc>
          <w:tcPr>
            <w:tcW w:w="820" w:type="dxa"/>
            <w:vAlign w:val="bottom"/>
            <w:tcBorders>
              <w:left w:val="single" w:sz="8" w:color="CCCCCC"/>
            </w:tcBorders>
          </w:tcPr>
          <w:p>
            <w:pPr>
              <w:spacing w:after="0"/>
              <w:rPr>
                <w:sz w:val="20"/>
                <w:szCs w:val="20"/>
                <w:color w:val="auto"/>
              </w:rPr>
            </w:pPr>
          </w:p>
        </w:tc>
        <w:tc>
          <w:tcPr>
            <w:tcW w:w="3120" w:type="dxa"/>
            <w:vAlign w:val="bottom"/>
            <w:gridSpan w:val="2"/>
          </w:tcPr>
          <w:p>
            <w:pPr>
              <w:jc w:val="center"/>
              <w:ind w:right="260"/>
              <w:spacing w:after="0"/>
              <w:rPr>
                <w:sz w:val="20"/>
                <w:szCs w:val="20"/>
                <w:color w:val="auto"/>
              </w:rPr>
            </w:pPr>
            <w:r>
              <w:rPr>
                <w:rFonts w:ascii="Arial" w:cs="Arial" w:eastAsia="Arial" w:hAnsi="Arial"/>
                <w:sz w:val="16"/>
                <w:szCs w:val="16"/>
                <w:color w:val="auto"/>
              </w:rPr>
              <w:t>Ekta Singh-Bushell</w:t>
            </w:r>
          </w:p>
        </w:tc>
        <w:tc>
          <w:tcPr>
            <w:tcW w:w="2840" w:type="dxa"/>
            <w:vAlign w:val="bottom"/>
          </w:tcPr>
          <w:p>
            <w:pPr>
              <w:jc w:val="center"/>
              <w:spacing w:after="0"/>
              <w:rPr>
                <w:sz w:val="20"/>
                <w:szCs w:val="20"/>
                <w:color w:val="auto"/>
              </w:rPr>
            </w:pPr>
            <w:r>
              <w:rPr>
                <w:rFonts w:ascii="Arial" w:cs="Arial" w:eastAsia="Arial" w:hAnsi="Arial"/>
                <w:sz w:val="16"/>
                <w:szCs w:val="16"/>
                <w:color w:val="auto"/>
              </w:rPr>
              <w:t>Debra L. Zumwalt</w:t>
            </w:r>
          </w:p>
        </w:tc>
        <w:tc>
          <w:tcPr>
            <w:tcW w:w="280" w:type="dxa"/>
            <w:vAlign w:val="bottom"/>
          </w:tcPr>
          <w:p>
            <w:pPr>
              <w:spacing w:after="0"/>
              <w:rPr>
                <w:sz w:val="20"/>
                <w:szCs w:val="20"/>
                <w:color w:val="auto"/>
              </w:rPr>
            </w:pPr>
          </w:p>
        </w:tc>
        <w:tc>
          <w:tcPr>
            <w:tcW w:w="3660" w:type="dxa"/>
            <w:vAlign w:val="bottom"/>
            <w:tcBorders>
              <w:right w:val="single" w:sz="8" w:color="CCCCCC"/>
            </w:tcBorders>
            <w:gridSpan w:val="2"/>
          </w:tcPr>
          <w:p>
            <w:pPr>
              <w:ind w:left="840"/>
              <w:spacing w:after="0"/>
              <w:rPr>
                <w:sz w:val="20"/>
                <w:szCs w:val="20"/>
                <w:color w:val="auto"/>
              </w:rPr>
            </w:pPr>
            <w:r>
              <w:rPr>
                <w:rFonts w:ascii="Arial" w:cs="Arial" w:eastAsia="Arial" w:hAnsi="Arial"/>
                <w:sz w:val="16"/>
                <w:szCs w:val="16"/>
                <w:color w:val="auto"/>
              </w:rPr>
              <w:t>Peter K. Markell</w:t>
            </w:r>
          </w:p>
        </w:tc>
      </w:tr>
      <w:tr>
        <w:trPr>
          <w:trHeight w:val="515"/>
        </w:trPr>
        <w:tc>
          <w:tcPr>
            <w:tcW w:w="820" w:type="dxa"/>
            <w:vAlign w:val="bottom"/>
            <w:tcBorders>
              <w:left w:val="single" w:sz="8" w:color="CCCCCC"/>
            </w:tcBorders>
          </w:tcPr>
          <w:p>
            <w:pPr>
              <w:spacing w:after="0"/>
              <w:rPr>
                <w:sz w:val="24"/>
                <w:szCs w:val="24"/>
                <w:color w:val="auto"/>
              </w:rPr>
            </w:pPr>
          </w:p>
        </w:tc>
        <w:tc>
          <w:tcPr>
            <w:tcW w:w="2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40" w:type="dxa"/>
            <w:vAlign w:val="bottom"/>
            <w:tcBorders>
              <w:bottom w:val="single" w:sz="8" w:color="B2B3B6"/>
            </w:tcBorders>
          </w:tcPr>
          <w:p>
            <w:pPr>
              <w:spacing w:after="0"/>
              <w:rPr>
                <w:sz w:val="24"/>
                <w:szCs w:val="24"/>
                <w:color w:val="auto"/>
              </w:rPr>
            </w:pPr>
          </w:p>
        </w:tc>
        <w:tc>
          <w:tcPr>
            <w:tcW w:w="2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840" w:type="dxa"/>
            <w:vAlign w:val="bottom"/>
            <w:tcBorders>
              <w:right w:val="single" w:sz="8" w:color="CCCCCC"/>
            </w:tcBorders>
          </w:tcPr>
          <w:p>
            <w:pPr>
              <w:spacing w:after="0"/>
              <w:rPr>
                <w:sz w:val="24"/>
                <w:szCs w:val="24"/>
                <w:color w:val="auto"/>
              </w:rPr>
            </w:pPr>
          </w:p>
        </w:tc>
      </w:tr>
      <w:tr>
        <w:trPr>
          <w:trHeight w:val="261"/>
        </w:trPr>
        <w:tc>
          <w:tcPr>
            <w:tcW w:w="820" w:type="dxa"/>
            <w:vAlign w:val="bottom"/>
            <w:tcBorders>
              <w:left w:val="single" w:sz="8" w:color="CCCCCC"/>
            </w:tcBorders>
          </w:tcPr>
          <w:p>
            <w:pPr>
              <w:spacing w:after="0"/>
              <w:rPr>
                <w:sz w:val="22"/>
                <w:szCs w:val="22"/>
                <w:color w:val="auto"/>
              </w:rPr>
            </w:pPr>
          </w:p>
        </w:tc>
        <w:tc>
          <w:tcPr>
            <w:tcW w:w="28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40" w:type="dxa"/>
            <w:vAlign w:val="bottom"/>
          </w:tcPr>
          <w:p>
            <w:pPr>
              <w:jc w:val="center"/>
              <w:spacing w:after="0"/>
              <w:rPr>
                <w:sz w:val="20"/>
                <w:szCs w:val="20"/>
                <w:color w:val="auto"/>
              </w:rPr>
            </w:pPr>
            <w:r>
              <w:rPr>
                <w:rFonts w:ascii="Arial" w:cs="Arial" w:eastAsia="Arial" w:hAnsi="Arial"/>
                <w:sz w:val="16"/>
                <w:szCs w:val="16"/>
                <w:color w:val="auto"/>
                <w:w w:val="98"/>
              </w:rPr>
              <w:t>Joy T. Brown</w:t>
            </w:r>
          </w:p>
        </w:tc>
        <w:tc>
          <w:tcPr>
            <w:tcW w:w="28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840" w:type="dxa"/>
            <w:vAlign w:val="bottom"/>
            <w:tcBorders>
              <w:right w:val="single" w:sz="8" w:color="CCCCCC"/>
            </w:tcBorders>
          </w:tcPr>
          <w:p>
            <w:pPr>
              <w:spacing w:after="0"/>
              <w:rPr>
                <w:sz w:val="22"/>
                <w:szCs w:val="22"/>
                <w:color w:val="auto"/>
              </w:rPr>
            </w:pPr>
          </w:p>
        </w:tc>
      </w:tr>
      <w:tr>
        <w:trPr>
          <w:trHeight w:val="1875"/>
        </w:trPr>
        <w:tc>
          <w:tcPr>
            <w:tcW w:w="820" w:type="dxa"/>
            <w:vAlign w:val="bottom"/>
            <w:tcBorders>
              <w:left w:val="single" w:sz="8" w:color="CCCCCC"/>
              <w:bottom w:val="single" w:sz="8" w:color="CCCCCC"/>
            </w:tcBorders>
          </w:tcPr>
          <w:p>
            <w:pPr>
              <w:spacing w:after="0"/>
              <w:rPr>
                <w:sz w:val="24"/>
                <w:szCs w:val="24"/>
                <w:color w:val="auto"/>
              </w:rPr>
            </w:pPr>
          </w:p>
        </w:tc>
        <w:tc>
          <w:tcPr>
            <w:tcW w:w="2840" w:type="dxa"/>
            <w:vAlign w:val="bottom"/>
            <w:tcBorders>
              <w:bottom w:val="single" w:sz="8" w:color="CCCCCC"/>
            </w:tcBorders>
          </w:tcPr>
          <w:p>
            <w:pPr>
              <w:spacing w:after="0"/>
              <w:rPr>
                <w:sz w:val="24"/>
                <w:szCs w:val="24"/>
                <w:color w:val="auto"/>
              </w:rPr>
            </w:pPr>
          </w:p>
        </w:tc>
        <w:tc>
          <w:tcPr>
            <w:tcW w:w="280" w:type="dxa"/>
            <w:vAlign w:val="bottom"/>
            <w:tcBorders>
              <w:bottom w:val="single" w:sz="8" w:color="CCCCCC"/>
            </w:tcBorders>
          </w:tcPr>
          <w:p>
            <w:pPr>
              <w:spacing w:after="0"/>
              <w:rPr>
                <w:sz w:val="24"/>
                <w:szCs w:val="24"/>
                <w:color w:val="auto"/>
              </w:rPr>
            </w:pPr>
          </w:p>
        </w:tc>
        <w:tc>
          <w:tcPr>
            <w:tcW w:w="2840" w:type="dxa"/>
            <w:vAlign w:val="bottom"/>
            <w:tcBorders>
              <w:bottom w:val="single" w:sz="8" w:color="CCCCCC"/>
            </w:tcBorders>
          </w:tcPr>
          <w:p>
            <w:pPr>
              <w:spacing w:after="0"/>
              <w:rPr>
                <w:sz w:val="24"/>
                <w:szCs w:val="24"/>
                <w:color w:val="auto"/>
              </w:rPr>
            </w:pPr>
          </w:p>
        </w:tc>
        <w:tc>
          <w:tcPr>
            <w:tcW w:w="280" w:type="dxa"/>
            <w:vAlign w:val="bottom"/>
            <w:tcBorders>
              <w:bottom w:val="single" w:sz="8" w:color="CCCCCC"/>
            </w:tcBorders>
          </w:tcPr>
          <w:p>
            <w:pPr>
              <w:spacing w:after="0"/>
              <w:rPr>
                <w:sz w:val="24"/>
                <w:szCs w:val="24"/>
                <w:color w:val="auto"/>
              </w:rPr>
            </w:pPr>
          </w:p>
        </w:tc>
        <w:tc>
          <w:tcPr>
            <w:tcW w:w="2820" w:type="dxa"/>
            <w:vAlign w:val="bottom"/>
            <w:tcBorders>
              <w:bottom w:val="single" w:sz="8" w:color="CCCCCC"/>
            </w:tcBorders>
          </w:tcPr>
          <w:p>
            <w:pPr>
              <w:spacing w:after="0"/>
              <w:rPr>
                <w:sz w:val="24"/>
                <w:szCs w:val="24"/>
                <w:color w:val="auto"/>
              </w:rPr>
            </w:pPr>
          </w:p>
        </w:tc>
        <w:tc>
          <w:tcPr>
            <w:tcW w:w="840" w:type="dxa"/>
            <w:vAlign w:val="bottom"/>
            <w:tcBorders>
              <w:bottom w:val="single" w:sz="8" w:color="CCCCCC"/>
              <w:right w:val="single" w:sz="8" w:color="CCCCCC"/>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859790</wp:posOffset>
            </wp:positionH>
            <wp:positionV relativeFrom="paragraph">
              <wp:posOffset>-2607310</wp:posOffset>
            </wp:positionV>
            <wp:extent cx="1131570" cy="2832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31570" cy="283210"/>
                    </a:xfrm>
                    <a:prstGeom prst="rect">
                      <a:avLst/>
                    </a:prstGeom>
                    <a:noFill/>
                  </pic:spPr>
                </pic:pic>
              </a:graphicData>
            </a:graphic>
          </wp:anchor>
        </w:drawing>
        <w:drawing>
          <wp:anchor simplePos="0" relativeHeight="251657728" behindDoc="1" locked="0" layoutInCell="0" allowOverlap="1">
            <wp:simplePos x="0" y="0"/>
            <wp:positionH relativeFrom="column">
              <wp:posOffset>2840355</wp:posOffset>
            </wp:positionH>
            <wp:positionV relativeFrom="paragraph">
              <wp:posOffset>-2607310</wp:posOffset>
            </wp:positionV>
            <wp:extent cx="1131570" cy="2832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31570" cy="283210"/>
                    </a:xfrm>
                    <a:prstGeom prst="rect">
                      <a:avLst/>
                    </a:prstGeom>
                    <a:noFill/>
                  </pic:spPr>
                </pic:pic>
              </a:graphicData>
            </a:graphic>
          </wp:anchor>
        </w:drawing>
        <w:drawing>
          <wp:anchor simplePos="0" relativeHeight="251657728" behindDoc="1" locked="0" layoutInCell="0" allowOverlap="1">
            <wp:simplePos x="0" y="0"/>
            <wp:positionH relativeFrom="column">
              <wp:posOffset>4812030</wp:posOffset>
            </wp:positionH>
            <wp:positionV relativeFrom="paragraph">
              <wp:posOffset>-2607310</wp:posOffset>
            </wp:positionV>
            <wp:extent cx="1131570" cy="2832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131570" cy="283210"/>
                    </a:xfrm>
                    <a:prstGeom prst="rect">
                      <a:avLst/>
                    </a:prstGeom>
                    <a:noFill/>
                  </pic:spPr>
                </pic:pic>
              </a:graphicData>
            </a:graphic>
          </wp:anchor>
        </w:drawing>
        <w:drawing>
          <wp:anchor simplePos="0" relativeHeight="251657728" behindDoc="1" locked="0" layoutInCell="0" allowOverlap="1">
            <wp:simplePos x="0" y="0"/>
            <wp:positionH relativeFrom="column">
              <wp:posOffset>859790</wp:posOffset>
            </wp:positionH>
            <wp:positionV relativeFrom="paragraph">
              <wp:posOffset>-2153285</wp:posOffset>
            </wp:positionV>
            <wp:extent cx="1131570" cy="2825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31570" cy="282575"/>
                    </a:xfrm>
                    <a:prstGeom prst="rect">
                      <a:avLst/>
                    </a:prstGeom>
                    <a:noFill/>
                  </pic:spPr>
                </pic:pic>
              </a:graphicData>
            </a:graphic>
          </wp:anchor>
        </w:drawing>
        <w:drawing>
          <wp:anchor simplePos="0" relativeHeight="251657728" behindDoc="1" locked="0" layoutInCell="0" allowOverlap="1">
            <wp:simplePos x="0" y="0"/>
            <wp:positionH relativeFrom="column">
              <wp:posOffset>2840355</wp:posOffset>
            </wp:positionH>
            <wp:positionV relativeFrom="paragraph">
              <wp:posOffset>-2153285</wp:posOffset>
            </wp:positionV>
            <wp:extent cx="1131570" cy="2825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31570" cy="282575"/>
                    </a:xfrm>
                    <a:prstGeom prst="rect">
                      <a:avLst/>
                    </a:prstGeom>
                    <a:noFill/>
                  </pic:spPr>
                </pic:pic>
              </a:graphicData>
            </a:graphic>
          </wp:anchor>
        </w:drawing>
        <w:drawing>
          <wp:anchor simplePos="0" relativeHeight="251657728" behindDoc="1" locked="0" layoutInCell="0" allowOverlap="1">
            <wp:simplePos x="0" y="0"/>
            <wp:positionH relativeFrom="column">
              <wp:posOffset>4812030</wp:posOffset>
            </wp:positionH>
            <wp:positionV relativeFrom="paragraph">
              <wp:posOffset>-2153285</wp:posOffset>
            </wp:positionV>
            <wp:extent cx="1131570" cy="2825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31570" cy="282575"/>
                    </a:xfrm>
                    <a:prstGeom prst="rect">
                      <a:avLst/>
                    </a:prstGeom>
                    <a:noFill/>
                  </pic:spPr>
                </pic:pic>
              </a:graphicData>
            </a:graphic>
          </wp:anchor>
        </w:drawing>
        <w:drawing>
          <wp:anchor simplePos="0" relativeHeight="251657728" behindDoc="1" locked="0" layoutInCell="0" allowOverlap="1">
            <wp:simplePos x="0" y="0"/>
            <wp:positionH relativeFrom="column">
              <wp:posOffset>2840355</wp:posOffset>
            </wp:positionH>
            <wp:positionV relativeFrom="paragraph">
              <wp:posOffset>-1698625</wp:posOffset>
            </wp:positionV>
            <wp:extent cx="1131570" cy="3175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31570" cy="3175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81915</wp:posOffset>
            </wp:positionV>
            <wp:extent cx="6810375" cy="779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10375" cy="7791450"/>
                    </a:xfrm>
                    <a:prstGeom prst="rect">
                      <a:avLst/>
                    </a:prstGeom>
                    <a:noFill/>
                  </pic:spPr>
                </pic:pic>
              </a:graphicData>
            </a:graphic>
          </wp:anchor>
        </w:drawing>
      </w:r>
    </w:p>
    <w:p>
      <w:pPr>
        <w:sectPr>
          <w:pgSz w:w="11900" w:h="16978" w:orient="portrait"/>
          <w:cols w:equalWidth="0" w:num="1">
            <w:col w:w="10720"/>
          </w:cols>
          <w:pgMar w:left="580" w:top="140" w:right="5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820" w:right="420"/>
        <w:spacing w:after="0" w:line="270" w:lineRule="auto"/>
        <w:rPr>
          <w:sz w:val="20"/>
          <w:szCs w:val="20"/>
          <w:color w:val="auto"/>
        </w:rPr>
      </w:pPr>
      <w:r>
        <w:rPr>
          <w:rFonts w:ascii="Arial" w:cs="Arial" w:eastAsia="Arial" w:hAnsi="Arial"/>
          <w:sz w:val="54"/>
          <w:szCs w:val="54"/>
          <w:color w:val="00558C"/>
        </w:rPr>
        <w:t>Notice of Annual Meeting of Stockholders</w:t>
      </w:r>
    </w:p>
    <w:p>
      <w:pPr>
        <w:spacing w:after="0" w:line="2" w:lineRule="exact"/>
        <w:rPr>
          <w:sz w:val="20"/>
          <w:szCs w:val="20"/>
          <w:color w:val="auto"/>
        </w:rPr>
      </w:pPr>
    </w:p>
    <w:p>
      <w:pPr>
        <w:ind w:left="820"/>
        <w:spacing w:after="0"/>
        <w:rPr>
          <w:sz w:val="20"/>
          <w:szCs w:val="20"/>
          <w:color w:val="auto"/>
        </w:rPr>
      </w:pPr>
      <w:r>
        <w:rPr>
          <w:rFonts w:ascii="Arial" w:cs="Arial" w:eastAsia="Arial" w:hAnsi="Arial"/>
          <w:sz w:val="29"/>
          <w:szCs w:val="29"/>
          <w:b w:val="1"/>
          <w:bCs w:val="1"/>
          <w:color w:val="B2B3B6"/>
        </w:rPr>
        <w:t>May 9, 2025</w:t>
      </w:r>
    </w:p>
    <w:p>
      <w:pPr>
        <w:spacing w:after="0" w:line="362" w:lineRule="exact"/>
        <w:rPr>
          <w:sz w:val="20"/>
          <w:szCs w:val="20"/>
          <w:color w:val="auto"/>
        </w:rPr>
      </w:pPr>
    </w:p>
    <w:p>
      <w:pPr>
        <w:ind w:left="820" w:right="120"/>
        <w:spacing w:after="0" w:line="295" w:lineRule="auto"/>
        <w:rPr>
          <w:sz w:val="20"/>
          <w:szCs w:val="20"/>
          <w:color w:val="auto"/>
        </w:rPr>
      </w:pPr>
      <w:r>
        <w:rPr>
          <w:rFonts w:ascii="Arial" w:cs="Arial" w:eastAsia="Arial" w:hAnsi="Arial"/>
          <w:sz w:val="16"/>
          <w:szCs w:val="16"/>
          <w:color w:val="auto"/>
        </w:rPr>
        <w:t>The Annual Meeting of Stockholders of Huron Consulting Group Inc. (the “Company,” "Huron," "we" or "us") will be held on May 9, 2025, at 11:00 a.m. Central Time in a virtual meeting format via live audio webcast at www.virtualshareholdermeeting.com/ HURN2025, (the "Annual Meeting") for the following purposes:</w:t>
      </w:r>
    </w:p>
    <w:p>
      <w:pPr>
        <w:spacing w:after="0" w:line="136" w:lineRule="exact"/>
        <w:rPr>
          <w:sz w:val="20"/>
          <w:szCs w:val="20"/>
          <w:color w:val="auto"/>
        </w:rPr>
      </w:pPr>
    </w:p>
    <w:tbl>
      <w:tblPr>
        <w:tblLayout w:type="fixed"/>
        <w:tblInd w:w="820" w:type="dxa"/>
        <w:tblCellMar>
          <w:top w:w="0" w:type="dxa"/>
          <w:left w:w="0" w:type="dxa"/>
          <w:bottom w:w="0" w:type="dxa"/>
          <w:right w:w="0" w:type="dxa"/>
        </w:tblCellMar>
      </w:tblPr>
      <w:tr>
        <w:trPr>
          <w:trHeight w:val="301"/>
        </w:trPr>
        <w:tc>
          <w:tcPr>
            <w:tcW w:w="540" w:type="dxa"/>
            <w:vAlign w:val="bottom"/>
            <w:shd w:val="clear" w:color="auto" w:fill="00558C"/>
          </w:tcPr>
          <w:p>
            <w:pPr>
              <w:spacing w:after="0"/>
              <w:rPr>
                <w:sz w:val="24"/>
                <w:szCs w:val="24"/>
                <w:color w:val="auto"/>
              </w:rPr>
            </w:pPr>
          </w:p>
        </w:tc>
        <w:tc>
          <w:tcPr>
            <w:tcW w:w="3960" w:type="dxa"/>
            <w:vAlign w:val="bottom"/>
            <w:shd w:val="clear" w:color="auto" w:fill="00558C"/>
          </w:tcPr>
          <w:p>
            <w:pPr>
              <w:spacing w:after="0"/>
              <w:rPr>
                <w:sz w:val="24"/>
                <w:szCs w:val="24"/>
                <w:color w:val="auto"/>
              </w:rPr>
            </w:pPr>
          </w:p>
        </w:tc>
        <w:tc>
          <w:tcPr>
            <w:tcW w:w="1720" w:type="dxa"/>
            <w:vAlign w:val="bottom"/>
            <w:shd w:val="clear" w:color="auto" w:fill="00558C"/>
          </w:tcPr>
          <w:p>
            <w:pPr>
              <w:ind w:left="120"/>
              <w:spacing w:after="0"/>
              <w:rPr>
                <w:sz w:val="20"/>
                <w:szCs w:val="20"/>
                <w:color w:val="auto"/>
              </w:rPr>
            </w:pPr>
            <w:r>
              <w:rPr>
                <w:rFonts w:ascii="Arial" w:cs="Arial" w:eastAsia="Arial" w:hAnsi="Arial"/>
                <w:sz w:val="14"/>
                <w:szCs w:val="14"/>
                <w:b w:val="1"/>
                <w:bCs w:val="1"/>
                <w:color w:val="FFFFFF"/>
              </w:rPr>
              <w:t>Board</w:t>
            </w:r>
          </w:p>
        </w:tc>
        <w:tc>
          <w:tcPr>
            <w:tcW w:w="0" w:type="dxa"/>
            <w:vAlign w:val="bottom"/>
          </w:tcPr>
          <w:p>
            <w:pPr>
              <w:spacing w:after="0"/>
              <w:rPr>
                <w:sz w:val="1"/>
                <w:szCs w:val="1"/>
                <w:color w:val="auto"/>
              </w:rPr>
            </w:pPr>
          </w:p>
        </w:tc>
      </w:tr>
      <w:tr>
        <w:trPr>
          <w:trHeight w:val="196"/>
        </w:trPr>
        <w:tc>
          <w:tcPr>
            <w:tcW w:w="4500" w:type="dxa"/>
            <w:vAlign w:val="bottom"/>
            <w:gridSpan w:val="2"/>
            <w:shd w:val="clear" w:color="auto" w:fill="00558C"/>
          </w:tcPr>
          <w:p>
            <w:pPr>
              <w:ind w:left="140"/>
              <w:spacing w:after="0"/>
              <w:rPr>
                <w:sz w:val="20"/>
                <w:szCs w:val="20"/>
                <w:color w:val="auto"/>
              </w:rPr>
            </w:pPr>
            <w:r>
              <w:rPr>
                <w:rFonts w:ascii="Arial" w:cs="Arial" w:eastAsia="Arial" w:hAnsi="Arial"/>
                <w:sz w:val="14"/>
                <w:szCs w:val="14"/>
                <w:b w:val="1"/>
                <w:bCs w:val="1"/>
                <w:color w:val="FFFFFF"/>
              </w:rPr>
              <w:t>Voting Matter</w:t>
            </w:r>
          </w:p>
        </w:tc>
        <w:tc>
          <w:tcPr>
            <w:tcW w:w="1720" w:type="dxa"/>
            <w:vAlign w:val="bottom"/>
            <w:shd w:val="clear" w:color="auto" w:fill="00558C"/>
          </w:tcPr>
          <w:p>
            <w:pPr>
              <w:ind w:left="120"/>
              <w:spacing w:after="0"/>
              <w:rPr>
                <w:sz w:val="20"/>
                <w:szCs w:val="20"/>
                <w:color w:val="auto"/>
              </w:rPr>
            </w:pPr>
            <w:r>
              <w:rPr>
                <w:rFonts w:ascii="Arial" w:cs="Arial" w:eastAsia="Arial" w:hAnsi="Arial"/>
                <w:sz w:val="14"/>
                <w:szCs w:val="14"/>
                <w:b w:val="1"/>
                <w:bCs w:val="1"/>
                <w:color w:val="FFFFFF"/>
              </w:rPr>
              <w:t>Recommendation</w:t>
            </w:r>
          </w:p>
        </w:tc>
        <w:tc>
          <w:tcPr>
            <w:tcW w:w="0" w:type="dxa"/>
            <w:vAlign w:val="bottom"/>
          </w:tcPr>
          <w:p>
            <w:pPr>
              <w:spacing w:after="0"/>
              <w:rPr>
                <w:sz w:val="1"/>
                <w:szCs w:val="1"/>
                <w:color w:val="auto"/>
              </w:rPr>
            </w:pPr>
          </w:p>
        </w:tc>
      </w:tr>
      <w:tr>
        <w:trPr>
          <w:trHeight w:val="97"/>
        </w:trPr>
        <w:tc>
          <w:tcPr>
            <w:tcW w:w="540" w:type="dxa"/>
            <w:vAlign w:val="bottom"/>
            <w:shd w:val="clear" w:color="auto" w:fill="00558C"/>
          </w:tcPr>
          <w:p>
            <w:pPr>
              <w:spacing w:after="0"/>
              <w:rPr>
                <w:sz w:val="8"/>
                <w:szCs w:val="8"/>
                <w:color w:val="auto"/>
              </w:rPr>
            </w:pPr>
          </w:p>
        </w:tc>
        <w:tc>
          <w:tcPr>
            <w:tcW w:w="3960" w:type="dxa"/>
            <w:vAlign w:val="bottom"/>
            <w:shd w:val="clear" w:color="auto" w:fill="00558C"/>
          </w:tcPr>
          <w:p>
            <w:pPr>
              <w:spacing w:after="0"/>
              <w:rPr>
                <w:sz w:val="8"/>
                <w:szCs w:val="8"/>
                <w:color w:val="auto"/>
              </w:rPr>
            </w:pPr>
          </w:p>
        </w:tc>
        <w:tc>
          <w:tcPr>
            <w:tcW w:w="1720" w:type="dxa"/>
            <w:vAlign w:val="bottom"/>
            <w:shd w:val="clear" w:color="auto" w:fill="00558C"/>
          </w:tcPr>
          <w:p>
            <w:pPr>
              <w:spacing w:after="0"/>
              <w:rPr>
                <w:sz w:val="8"/>
                <w:szCs w:val="8"/>
                <w:color w:val="auto"/>
              </w:rPr>
            </w:pPr>
          </w:p>
        </w:tc>
        <w:tc>
          <w:tcPr>
            <w:tcW w:w="0" w:type="dxa"/>
            <w:vAlign w:val="bottom"/>
          </w:tcPr>
          <w:p>
            <w:pPr>
              <w:spacing w:after="0"/>
              <w:rPr>
                <w:sz w:val="1"/>
                <w:szCs w:val="1"/>
                <w:color w:val="auto"/>
              </w:rPr>
            </w:pPr>
          </w:p>
        </w:tc>
      </w:tr>
      <w:tr>
        <w:trPr>
          <w:trHeight w:val="351"/>
        </w:trPr>
        <w:tc>
          <w:tcPr>
            <w:tcW w:w="540" w:type="dxa"/>
            <w:vAlign w:val="bottom"/>
            <w:vMerge w:val="restart"/>
            <w:shd w:val="clear" w:color="auto" w:fill="6AAA37"/>
          </w:tcPr>
          <w:p>
            <w:pPr>
              <w:ind w:left="240"/>
              <w:spacing w:after="0"/>
              <w:rPr>
                <w:sz w:val="20"/>
                <w:szCs w:val="20"/>
                <w:color w:val="auto"/>
              </w:rPr>
            </w:pPr>
            <w:r>
              <w:rPr>
                <w:rFonts w:ascii="Arial" w:cs="Arial" w:eastAsia="Arial" w:hAnsi="Arial"/>
                <w:sz w:val="29"/>
                <w:szCs w:val="29"/>
                <w:b w:val="1"/>
                <w:bCs w:val="1"/>
                <w:color w:val="FFFFFF"/>
              </w:rPr>
              <w:t>1</w:t>
            </w:r>
          </w:p>
        </w:tc>
        <w:tc>
          <w:tcPr>
            <w:tcW w:w="3960" w:type="dxa"/>
            <w:vAlign w:val="bottom"/>
            <w:shd w:val="clear" w:color="auto" w:fill="F2F3F2"/>
          </w:tcPr>
          <w:p>
            <w:pPr>
              <w:ind w:left="140"/>
              <w:spacing w:after="0"/>
              <w:rPr>
                <w:sz w:val="20"/>
                <w:szCs w:val="20"/>
                <w:color w:val="auto"/>
              </w:rPr>
            </w:pPr>
            <w:r>
              <w:rPr>
                <w:rFonts w:ascii="Arial" w:cs="Arial" w:eastAsia="Arial" w:hAnsi="Arial"/>
                <w:sz w:val="14"/>
                <w:szCs w:val="14"/>
                <w:color w:val="auto"/>
              </w:rPr>
              <w:t>To elect to the board of directors the six persons</w:t>
            </w:r>
          </w:p>
        </w:tc>
        <w:tc>
          <w:tcPr>
            <w:tcW w:w="1720" w:type="dxa"/>
            <w:vAlign w:val="bottom"/>
            <w:shd w:val="clear" w:color="auto" w:fill="F2F3F2"/>
          </w:tcPr>
          <w:p>
            <w:pPr>
              <w:ind w:left="700"/>
              <w:spacing w:after="0"/>
              <w:rPr>
                <w:sz w:val="20"/>
                <w:szCs w:val="20"/>
                <w:color w:val="auto"/>
              </w:rPr>
            </w:pPr>
            <w:r>
              <w:rPr>
                <w:rFonts w:ascii="Arial" w:cs="Arial" w:eastAsia="Arial" w:hAnsi="Arial"/>
                <w:sz w:val="20"/>
                <w:szCs w:val="20"/>
                <w:b w:val="1"/>
                <w:bCs w:val="1"/>
                <w:color w:val="00558C"/>
              </w:rPr>
              <w:t xml:space="preserve">FOR </w:t>
            </w:r>
            <w:r>
              <w:rPr>
                <w:rFonts w:ascii="Arial" w:cs="Arial" w:eastAsia="Arial" w:hAnsi="Arial"/>
                <w:sz w:val="14"/>
                <w:szCs w:val="14"/>
                <w:color w:val="000000"/>
              </w:rPr>
              <w:t>each</w:t>
            </w:r>
          </w:p>
        </w:tc>
        <w:tc>
          <w:tcPr>
            <w:tcW w:w="0" w:type="dxa"/>
            <w:vAlign w:val="bottom"/>
          </w:tcPr>
          <w:p>
            <w:pPr>
              <w:spacing w:after="0"/>
              <w:rPr>
                <w:sz w:val="1"/>
                <w:szCs w:val="1"/>
                <w:color w:val="auto"/>
              </w:rPr>
            </w:pPr>
          </w:p>
        </w:tc>
      </w:tr>
      <w:tr>
        <w:trPr>
          <w:trHeight w:val="162"/>
        </w:trPr>
        <w:tc>
          <w:tcPr>
            <w:tcW w:w="540" w:type="dxa"/>
            <w:vAlign w:val="bottom"/>
            <w:vMerge w:val="continue"/>
            <w:shd w:val="clear" w:color="auto" w:fill="6AAA37"/>
          </w:tcPr>
          <w:p>
            <w:pPr>
              <w:spacing w:after="0"/>
              <w:rPr>
                <w:sz w:val="14"/>
                <w:szCs w:val="14"/>
                <w:color w:val="auto"/>
              </w:rPr>
            </w:pPr>
          </w:p>
        </w:tc>
        <w:tc>
          <w:tcPr>
            <w:tcW w:w="3960" w:type="dxa"/>
            <w:vAlign w:val="bottom"/>
            <w:shd w:val="clear" w:color="auto" w:fill="F2F3F2"/>
          </w:tcPr>
          <w:p>
            <w:pPr>
              <w:ind w:left="140"/>
              <w:spacing w:after="0"/>
              <w:rPr>
                <w:sz w:val="20"/>
                <w:szCs w:val="20"/>
                <w:color w:val="auto"/>
              </w:rPr>
            </w:pPr>
            <w:r>
              <w:rPr>
                <w:rFonts w:ascii="Arial" w:cs="Arial" w:eastAsia="Arial" w:hAnsi="Arial"/>
                <w:sz w:val="14"/>
                <w:szCs w:val="14"/>
                <w:color w:val="auto"/>
              </w:rPr>
              <w:t>nominated by the board of directors to serve as Class II</w:t>
            </w:r>
          </w:p>
        </w:tc>
        <w:tc>
          <w:tcPr>
            <w:tcW w:w="1720" w:type="dxa"/>
            <w:vAlign w:val="bottom"/>
            <w:shd w:val="clear" w:color="auto" w:fill="F2F3F2"/>
          </w:tcPr>
          <w:p>
            <w:pPr>
              <w:ind w:left="700"/>
              <w:spacing w:after="0"/>
              <w:rPr>
                <w:sz w:val="20"/>
                <w:szCs w:val="20"/>
                <w:color w:val="auto"/>
              </w:rPr>
            </w:pPr>
            <w:r>
              <w:rPr>
                <w:rFonts w:ascii="Arial" w:cs="Arial" w:eastAsia="Arial" w:hAnsi="Arial"/>
                <w:sz w:val="14"/>
                <w:szCs w:val="14"/>
                <w:color w:val="auto"/>
              </w:rPr>
              <w:t>nominee</w:t>
            </w:r>
          </w:p>
        </w:tc>
        <w:tc>
          <w:tcPr>
            <w:tcW w:w="0" w:type="dxa"/>
            <w:vAlign w:val="bottom"/>
          </w:tcPr>
          <w:p>
            <w:pPr>
              <w:spacing w:after="0"/>
              <w:rPr>
                <w:sz w:val="1"/>
                <w:szCs w:val="1"/>
                <w:color w:val="auto"/>
              </w:rPr>
            </w:pPr>
          </w:p>
        </w:tc>
      </w:tr>
      <w:tr>
        <w:trPr>
          <w:trHeight w:val="194"/>
        </w:trPr>
        <w:tc>
          <w:tcPr>
            <w:tcW w:w="540" w:type="dxa"/>
            <w:vAlign w:val="bottom"/>
            <w:vMerge w:val="continue"/>
            <w:shd w:val="clear" w:color="auto" w:fill="6AAA37"/>
          </w:tcPr>
          <w:p>
            <w:pPr>
              <w:spacing w:after="0"/>
              <w:rPr>
                <w:sz w:val="16"/>
                <w:szCs w:val="16"/>
                <w:color w:val="auto"/>
              </w:rPr>
            </w:pPr>
          </w:p>
        </w:tc>
        <w:tc>
          <w:tcPr>
            <w:tcW w:w="3960" w:type="dxa"/>
            <w:vAlign w:val="bottom"/>
            <w:shd w:val="clear" w:color="auto" w:fill="F2F3F2"/>
          </w:tcPr>
          <w:p>
            <w:pPr>
              <w:ind w:left="140"/>
              <w:spacing w:after="0"/>
              <w:rPr>
                <w:sz w:val="20"/>
                <w:szCs w:val="20"/>
                <w:color w:val="auto"/>
              </w:rPr>
            </w:pPr>
            <w:r>
              <w:rPr>
                <w:rFonts w:ascii="Arial" w:cs="Arial" w:eastAsia="Arial" w:hAnsi="Arial"/>
                <w:sz w:val="14"/>
                <w:szCs w:val="14"/>
                <w:color w:val="auto"/>
              </w:rPr>
              <w:t>and Class III Directors;</w:t>
            </w:r>
          </w:p>
        </w:tc>
        <w:tc>
          <w:tcPr>
            <w:tcW w:w="1720" w:type="dxa"/>
            <w:vAlign w:val="bottom"/>
            <w:shd w:val="clear" w:color="auto" w:fill="F2F3F2"/>
          </w:tcPr>
          <w:p>
            <w:pPr>
              <w:ind w:left="700"/>
              <w:spacing w:after="0"/>
              <w:rPr>
                <w:sz w:val="20"/>
                <w:szCs w:val="20"/>
                <w:color w:val="auto"/>
              </w:rPr>
            </w:pPr>
            <w:r>
              <w:rPr>
                <w:rFonts w:ascii="Arial" w:cs="Arial" w:eastAsia="Arial" w:hAnsi="Arial"/>
                <w:sz w:val="13"/>
                <w:szCs w:val="13"/>
                <w:b w:val="1"/>
                <w:bCs w:val="1"/>
                <w:color w:val="00558C"/>
              </w:rPr>
              <w:t>See page 2</w:t>
            </w:r>
          </w:p>
        </w:tc>
        <w:tc>
          <w:tcPr>
            <w:tcW w:w="0" w:type="dxa"/>
            <w:vAlign w:val="bottom"/>
          </w:tcPr>
          <w:p>
            <w:pPr>
              <w:spacing w:after="0"/>
              <w:rPr>
                <w:sz w:val="1"/>
                <w:szCs w:val="1"/>
                <w:color w:val="auto"/>
              </w:rPr>
            </w:pPr>
          </w:p>
        </w:tc>
      </w:tr>
      <w:tr>
        <w:trPr>
          <w:trHeight w:val="103"/>
        </w:trPr>
        <w:tc>
          <w:tcPr>
            <w:tcW w:w="540" w:type="dxa"/>
            <w:vAlign w:val="bottom"/>
            <w:vMerge w:val="restart"/>
            <w:shd w:val="clear" w:color="auto" w:fill="6AAA37"/>
          </w:tcPr>
          <w:p>
            <w:pPr>
              <w:ind w:left="200"/>
              <w:spacing w:after="0"/>
              <w:rPr>
                <w:sz w:val="20"/>
                <w:szCs w:val="20"/>
                <w:color w:val="auto"/>
              </w:rPr>
            </w:pPr>
            <w:r>
              <w:rPr>
                <w:rFonts w:ascii="Arial" w:cs="Arial" w:eastAsia="Arial" w:hAnsi="Arial"/>
                <w:sz w:val="29"/>
                <w:szCs w:val="29"/>
                <w:b w:val="1"/>
                <w:bCs w:val="1"/>
                <w:color w:val="FFFFFF"/>
              </w:rPr>
              <w:t>2</w:t>
            </w:r>
          </w:p>
        </w:tc>
        <w:tc>
          <w:tcPr>
            <w:tcW w:w="3960" w:type="dxa"/>
            <w:vAlign w:val="bottom"/>
            <w:shd w:val="clear" w:color="auto" w:fill="F2F3F2"/>
          </w:tcPr>
          <w:p>
            <w:pPr>
              <w:spacing w:after="0"/>
              <w:rPr>
                <w:sz w:val="8"/>
                <w:szCs w:val="8"/>
                <w:color w:val="auto"/>
              </w:rPr>
            </w:pPr>
          </w:p>
        </w:tc>
        <w:tc>
          <w:tcPr>
            <w:tcW w:w="1720" w:type="dxa"/>
            <w:vAlign w:val="bottom"/>
            <w:shd w:val="clear" w:color="auto" w:fill="F2F3F2"/>
          </w:tcPr>
          <w:p>
            <w:pPr>
              <w:spacing w:after="0"/>
              <w:rPr>
                <w:sz w:val="8"/>
                <w:szCs w:val="8"/>
                <w:color w:val="auto"/>
              </w:rPr>
            </w:pPr>
          </w:p>
        </w:tc>
        <w:tc>
          <w:tcPr>
            <w:tcW w:w="0" w:type="dxa"/>
            <w:vAlign w:val="bottom"/>
          </w:tcPr>
          <w:p>
            <w:pPr>
              <w:spacing w:after="0"/>
              <w:rPr>
                <w:sz w:val="1"/>
                <w:szCs w:val="1"/>
                <w:color w:val="auto"/>
              </w:rPr>
            </w:pPr>
          </w:p>
        </w:tc>
      </w:tr>
      <w:tr>
        <w:trPr>
          <w:trHeight w:val="369"/>
        </w:trPr>
        <w:tc>
          <w:tcPr>
            <w:tcW w:w="540" w:type="dxa"/>
            <w:vAlign w:val="bottom"/>
            <w:vMerge w:val="continue"/>
            <w:shd w:val="clear" w:color="auto" w:fill="6AAA37"/>
          </w:tcPr>
          <w:p>
            <w:pPr>
              <w:spacing w:after="0"/>
              <w:rPr>
                <w:sz w:val="24"/>
                <w:szCs w:val="24"/>
                <w:color w:val="auto"/>
              </w:rPr>
            </w:pPr>
          </w:p>
        </w:tc>
        <w:tc>
          <w:tcPr>
            <w:tcW w:w="3960" w:type="dxa"/>
            <w:vAlign w:val="bottom"/>
          </w:tcPr>
          <w:p>
            <w:pPr>
              <w:ind w:left="140"/>
              <w:spacing w:after="0"/>
              <w:rPr>
                <w:sz w:val="20"/>
                <w:szCs w:val="20"/>
                <w:color w:val="auto"/>
              </w:rPr>
            </w:pPr>
            <w:r>
              <w:rPr>
                <w:rFonts w:ascii="Arial" w:cs="Arial" w:eastAsia="Arial" w:hAnsi="Arial"/>
                <w:sz w:val="14"/>
                <w:szCs w:val="14"/>
                <w:color w:val="auto"/>
              </w:rPr>
              <w:t>An advisory vote to approve the Company’s Executive</w:t>
            </w:r>
          </w:p>
        </w:tc>
        <w:tc>
          <w:tcPr>
            <w:tcW w:w="1720" w:type="dxa"/>
            <w:vAlign w:val="bottom"/>
          </w:tcPr>
          <w:p>
            <w:pPr>
              <w:ind w:left="700"/>
              <w:spacing w:after="0"/>
              <w:rPr>
                <w:sz w:val="20"/>
                <w:szCs w:val="20"/>
                <w:color w:val="auto"/>
              </w:rPr>
            </w:pPr>
            <w:r>
              <w:rPr>
                <w:rFonts w:ascii="Arial" w:cs="Arial" w:eastAsia="Arial" w:hAnsi="Arial"/>
                <w:sz w:val="20"/>
                <w:szCs w:val="20"/>
                <w:b w:val="1"/>
                <w:bCs w:val="1"/>
                <w:color w:val="00558C"/>
              </w:rPr>
              <w:t>FOR</w:t>
            </w:r>
          </w:p>
        </w:tc>
        <w:tc>
          <w:tcPr>
            <w:tcW w:w="0" w:type="dxa"/>
            <w:vAlign w:val="bottom"/>
          </w:tcPr>
          <w:p>
            <w:pPr>
              <w:spacing w:after="0"/>
              <w:rPr>
                <w:sz w:val="1"/>
                <w:szCs w:val="1"/>
                <w:color w:val="auto"/>
              </w:rPr>
            </w:pPr>
          </w:p>
        </w:tc>
      </w:tr>
      <w:tr>
        <w:trPr>
          <w:trHeight w:val="210"/>
        </w:trPr>
        <w:tc>
          <w:tcPr>
            <w:tcW w:w="540" w:type="dxa"/>
            <w:vAlign w:val="bottom"/>
            <w:vMerge w:val="continue"/>
            <w:shd w:val="clear" w:color="auto" w:fill="6AAA37"/>
          </w:tcPr>
          <w:p>
            <w:pPr>
              <w:spacing w:after="0"/>
              <w:rPr>
                <w:sz w:val="18"/>
                <w:szCs w:val="18"/>
                <w:color w:val="auto"/>
              </w:rPr>
            </w:pPr>
          </w:p>
        </w:tc>
        <w:tc>
          <w:tcPr>
            <w:tcW w:w="3960" w:type="dxa"/>
            <w:vAlign w:val="bottom"/>
          </w:tcPr>
          <w:p>
            <w:pPr>
              <w:ind w:left="140"/>
              <w:spacing w:after="0"/>
              <w:rPr>
                <w:sz w:val="20"/>
                <w:szCs w:val="20"/>
                <w:color w:val="auto"/>
              </w:rPr>
            </w:pPr>
            <w:r>
              <w:rPr>
                <w:rFonts w:ascii="Arial" w:cs="Arial" w:eastAsia="Arial" w:hAnsi="Arial"/>
                <w:sz w:val="14"/>
                <w:szCs w:val="14"/>
                <w:color w:val="auto"/>
              </w:rPr>
              <w:t>Compensation;</w:t>
            </w:r>
          </w:p>
        </w:tc>
        <w:tc>
          <w:tcPr>
            <w:tcW w:w="1720" w:type="dxa"/>
            <w:vAlign w:val="bottom"/>
          </w:tcPr>
          <w:p>
            <w:pPr>
              <w:ind w:left="700"/>
              <w:spacing w:after="0"/>
              <w:rPr>
                <w:sz w:val="20"/>
                <w:szCs w:val="20"/>
                <w:color w:val="auto"/>
              </w:rPr>
            </w:pPr>
            <w:r>
              <w:rPr>
                <w:rFonts w:ascii="Arial" w:cs="Arial" w:eastAsia="Arial" w:hAnsi="Arial"/>
                <w:sz w:val="13"/>
                <w:szCs w:val="13"/>
                <w:b w:val="1"/>
                <w:bCs w:val="1"/>
                <w:color w:val="00558C"/>
              </w:rPr>
              <w:t>See page 33</w:t>
            </w:r>
          </w:p>
        </w:tc>
        <w:tc>
          <w:tcPr>
            <w:tcW w:w="0" w:type="dxa"/>
            <w:vAlign w:val="bottom"/>
          </w:tcPr>
          <w:p>
            <w:pPr>
              <w:spacing w:after="0"/>
              <w:rPr>
                <w:sz w:val="1"/>
                <w:szCs w:val="1"/>
                <w:color w:val="auto"/>
              </w:rPr>
            </w:pPr>
          </w:p>
        </w:tc>
      </w:tr>
      <w:tr>
        <w:trPr>
          <w:trHeight w:val="137"/>
        </w:trPr>
        <w:tc>
          <w:tcPr>
            <w:tcW w:w="540" w:type="dxa"/>
            <w:vAlign w:val="bottom"/>
            <w:vMerge w:val="restart"/>
            <w:shd w:val="clear" w:color="auto" w:fill="6AAA37"/>
          </w:tcPr>
          <w:p>
            <w:pPr>
              <w:ind w:left="200"/>
              <w:spacing w:after="0"/>
              <w:rPr>
                <w:sz w:val="20"/>
                <w:szCs w:val="20"/>
                <w:color w:val="auto"/>
              </w:rPr>
            </w:pPr>
            <w:r>
              <w:rPr>
                <w:rFonts w:ascii="Arial" w:cs="Arial" w:eastAsia="Arial" w:hAnsi="Arial"/>
                <w:sz w:val="29"/>
                <w:szCs w:val="29"/>
                <w:b w:val="1"/>
                <w:bCs w:val="1"/>
                <w:color w:val="FFFFFF"/>
              </w:rPr>
              <w:t>3</w:t>
            </w:r>
          </w:p>
        </w:tc>
        <w:tc>
          <w:tcPr>
            <w:tcW w:w="39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9"/>
        </w:trPr>
        <w:tc>
          <w:tcPr>
            <w:tcW w:w="540" w:type="dxa"/>
            <w:vAlign w:val="bottom"/>
            <w:vMerge w:val="continue"/>
            <w:shd w:val="clear" w:color="auto" w:fill="6AAA37"/>
          </w:tcPr>
          <w:p>
            <w:pPr>
              <w:spacing w:after="0"/>
              <w:rPr>
                <w:sz w:val="24"/>
                <w:szCs w:val="24"/>
                <w:color w:val="auto"/>
              </w:rPr>
            </w:pPr>
          </w:p>
        </w:tc>
        <w:tc>
          <w:tcPr>
            <w:tcW w:w="3960" w:type="dxa"/>
            <w:vAlign w:val="bottom"/>
            <w:shd w:val="clear" w:color="auto" w:fill="F2F3F2"/>
          </w:tcPr>
          <w:p>
            <w:pPr>
              <w:ind w:left="140"/>
              <w:spacing w:after="0"/>
              <w:rPr>
                <w:sz w:val="20"/>
                <w:szCs w:val="20"/>
                <w:color w:val="auto"/>
              </w:rPr>
            </w:pPr>
            <w:r>
              <w:rPr>
                <w:rFonts w:ascii="Arial" w:cs="Arial" w:eastAsia="Arial" w:hAnsi="Arial"/>
                <w:sz w:val="14"/>
                <w:szCs w:val="14"/>
                <w:color w:val="auto"/>
              </w:rPr>
              <w:t>To approve an amendment to the Company’s Amended</w:t>
            </w:r>
          </w:p>
        </w:tc>
        <w:tc>
          <w:tcPr>
            <w:tcW w:w="1720" w:type="dxa"/>
            <w:vAlign w:val="bottom"/>
            <w:shd w:val="clear" w:color="auto" w:fill="F2F3F2"/>
          </w:tcPr>
          <w:p>
            <w:pPr>
              <w:ind w:left="700"/>
              <w:spacing w:after="0"/>
              <w:rPr>
                <w:sz w:val="20"/>
                <w:szCs w:val="20"/>
                <w:color w:val="auto"/>
              </w:rPr>
            </w:pPr>
            <w:r>
              <w:rPr>
                <w:rFonts w:ascii="Arial" w:cs="Arial" w:eastAsia="Arial" w:hAnsi="Arial"/>
                <w:sz w:val="20"/>
                <w:szCs w:val="20"/>
                <w:b w:val="1"/>
                <w:bCs w:val="1"/>
                <w:color w:val="00558C"/>
              </w:rPr>
              <w:t>FOR</w:t>
            </w:r>
          </w:p>
        </w:tc>
        <w:tc>
          <w:tcPr>
            <w:tcW w:w="0" w:type="dxa"/>
            <w:vAlign w:val="bottom"/>
          </w:tcPr>
          <w:p>
            <w:pPr>
              <w:spacing w:after="0"/>
              <w:rPr>
                <w:sz w:val="1"/>
                <w:szCs w:val="1"/>
                <w:color w:val="auto"/>
              </w:rPr>
            </w:pPr>
          </w:p>
        </w:tc>
      </w:tr>
      <w:tr>
        <w:trPr>
          <w:trHeight w:val="210"/>
        </w:trPr>
        <w:tc>
          <w:tcPr>
            <w:tcW w:w="540" w:type="dxa"/>
            <w:vAlign w:val="bottom"/>
            <w:vMerge w:val="continue"/>
            <w:shd w:val="clear" w:color="auto" w:fill="6AAA37"/>
          </w:tcPr>
          <w:p>
            <w:pPr>
              <w:spacing w:after="0"/>
              <w:rPr>
                <w:sz w:val="18"/>
                <w:szCs w:val="18"/>
                <w:color w:val="auto"/>
              </w:rPr>
            </w:pPr>
          </w:p>
        </w:tc>
        <w:tc>
          <w:tcPr>
            <w:tcW w:w="3960" w:type="dxa"/>
            <w:vAlign w:val="bottom"/>
            <w:shd w:val="clear" w:color="auto" w:fill="F2F3F2"/>
          </w:tcPr>
          <w:p>
            <w:pPr>
              <w:ind w:left="140"/>
              <w:spacing w:after="0"/>
              <w:rPr>
                <w:sz w:val="20"/>
                <w:szCs w:val="20"/>
                <w:color w:val="auto"/>
              </w:rPr>
            </w:pPr>
            <w:r>
              <w:rPr>
                <w:rFonts w:ascii="Arial" w:cs="Arial" w:eastAsia="Arial" w:hAnsi="Arial"/>
                <w:sz w:val="14"/>
                <w:szCs w:val="14"/>
                <w:color w:val="auto"/>
              </w:rPr>
              <w:t>and Restated 2012 Omnibus Incentive Plan;</w:t>
            </w:r>
          </w:p>
        </w:tc>
        <w:tc>
          <w:tcPr>
            <w:tcW w:w="1720" w:type="dxa"/>
            <w:vAlign w:val="bottom"/>
            <w:shd w:val="clear" w:color="auto" w:fill="F2F3F2"/>
          </w:tcPr>
          <w:p>
            <w:pPr>
              <w:ind w:left="700"/>
              <w:spacing w:after="0"/>
              <w:rPr>
                <w:sz w:val="20"/>
                <w:szCs w:val="20"/>
                <w:color w:val="auto"/>
              </w:rPr>
            </w:pPr>
            <w:r>
              <w:rPr>
                <w:rFonts w:ascii="Arial" w:cs="Arial" w:eastAsia="Arial" w:hAnsi="Arial"/>
                <w:sz w:val="13"/>
                <w:szCs w:val="13"/>
                <w:b w:val="1"/>
                <w:bCs w:val="1"/>
                <w:color w:val="00558C"/>
              </w:rPr>
              <w:t>See page 68</w:t>
            </w:r>
          </w:p>
        </w:tc>
        <w:tc>
          <w:tcPr>
            <w:tcW w:w="0" w:type="dxa"/>
            <w:vAlign w:val="bottom"/>
          </w:tcPr>
          <w:p>
            <w:pPr>
              <w:spacing w:after="0"/>
              <w:rPr>
                <w:sz w:val="1"/>
                <w:szCs w:val="1"/>
                <w:color w:val="auto"/>
              </w:rPr>
            </w:pPr>
          </w:p>
        </w:tc>
      </w:tr>
      <w:tr>
        <w:trPr>
          <w:trHeight w:val="137"/>
        </w:trPr>
        <w:tc>
          <w:tcPr>
            <w:tcW w:w="540" w:type="dxa"/>
            <w:vAlign w:val="bottom"/>
            <w:vMerge w:val="restart"/>
            <w:shd w:val="clear" w:color="auto" w:fill="6AAA37"/>
          </w:tcPr>
          <w:p>
            <w:pPr>
              <w:ind w:left="200"/>
              <w:spacing w:after="0"/>
              <w:rPr>
                <w:sz w:val="20"/>
                <w:szCs w:val="20"/>
                <w:color w:val="auto"/>
              </w:rPr>
            </w:pPr>
            <w:r>
              <w:rPr>
                <w:rFonts w:ascii="Arial" w:cs="Arial" w:eastAsia="Arial" w:hAnsi="Arial"/>
                <w:sz w:val="29"/>
                <w:szCs w:val="29"/>
                <w:b w:val="1"/>
                <w:bCs w:val="1"/>
                <w:color w:val="FFFFFF"/>
              </w:rPr>
              <w:t>4</w:t>
            </w:r>
          </w:p>
        </w:tc>
        <w:tc>
          <w:tcPr>
            <w:tcW w:w="3960" w:type="dxa"/>
            <w:vAlign w:val="bottom"/>
            <w:shd w:val="clear" w:color="auto" w:fill="F2F3F2"/>
          </w:tcPr>
          <w:p>
            <w:pPr>
              <w:spacing w:after="0"/>
              <w:rPr>
                <w:sz w:val="11"/>
                <w:szCs w:val="11"/>
                <w:color w:val="auto"/>
              </w:rPr>
            </w:pPr>
          </w:p>
        </w:tc>
        <w:tc>
          <w:tcPr>
            <w:tcW w:w="1720" w:type="dxa"/>
            <w:vAlign w:val="bottom"/>
            <w:shd w:val="clear" w:color="auto" w:fill="F2F3F2"/>
          </w:tcPr>
          <w:p>
            <w:pPr>
              <w:spacing w:after="0"/>
              <w:rPr>
                <w:sz w:val="11"/>
                <w:szCs w:val="11"/>
                <w:color w:val="auto"/>
              </w:rPr>
            </w:pPr>
          </w:p>
        </w:tc>
        <w:tc>
          <w:tcPr>
            <w:tcW w:w="0" w:type="dxa"/>
            <w:vAlign w:val="bottom"/>
          </w:tcPr>
          <w:p>
            <w:pPr>
              <w:spacing w:after="0"/>
              <w:rPr>
                <w:sz w:val="1"/>
                <w:szCs w:val="1"/>
                <w:color w:val="auto"/>
              </w:rPr>
            </w:pPr>
          </w:p>
        </w:tc>
      </w:tr>
      <w:tr>
        <w:trPr>
          <w:trHeight w:val="355"/>
        </w:trPr>
        <w:tc>
          <w:tcPr>
            <w:tcW w:w="540" w:type="dxa"/>
            <w:vAlign w:val="bottom"/>
            <w:vMerge w:val="continue"/>
            <w:shd w:val="clear" w:color="auto" w:fill="6AAA37"/>
          </w:tcPr>
          <w:p>
            <w:pPr>
              <w:spacing w:after="0"/>
              <w:rPr>
                <w:sz w:val="24"/>
                <w:szCs w:val="24"/>
                <w:color w:val="auto"/>
              </w:rPr>
            </w:pPr>
          </w:p>
        </w:tc>
        <w:tc>
          <w:tcPr>
            <w:tcW w:w="3960" w:type="dxa"/>
            <w:vAlign w:val="bottom"/>
          </w:tcPr>
          <w:p>
            <w:pPr>
              <w:ind w:left="140"/>
              <w:spacing w:after="0"/>
              <w:rPr>
                <w:sz w:val="20"/>
                <w:szCs w:val="20"/>
                <w:color w:val="auto"/>
              </w:rPr>
            </w:pPr>
            <w:r>
              <w:rPr>
                <w:rFonts w:ascii="Arial" w:cs="Arial" w:eastAsia="Arial" w:hAnsi="Arial"/>
                <w:sz w:val="14"/>
                <w:szCs w:val="14"/>
                <w:color w:val="auto"/>
              </w:rPr>
              <w:t>To approve an amendment to the Company’s Amended</w:t>
            </w:r>
          </w:p>
        </w:tc>
        <w:tc>
          <w:tcPr>
            <w:tcW w:w="1720" w:type="dxa"/>
            <w:vAlign w:val="bottom"/>
          </w:tcPr>
          <w:p>
            <w:pPr>
              <w:ind w:left="700"/>
              <w:spacing w:after="0"/>
              <w:rPr>
                <w:sz w:val="20"/>
                <w:szCs w:val="20"/>
                <w:color w:val="auto"/>
              </w:rPr>
            </w:pPr>
            <w:r>
              <w:rPr>
                <w:rFonts w:ascii="Arial" w:cs="Arial" w:eastAsia="Arial" w:hAnsi="Arial"/>
                <w:sz w:val="20"/>
                <w:szCs w:val="20"/>
                <w:b w:val="1"/>
                <w:bCs w:val="1"/>
                <w:color w:val="00558C"/>
              </w:rPr>
              <w:t>FOR</w:t>
            </w:r>
          </w:p>
        </w:tc>
        <w:tc>
          <w:tcPr>
            <w:tcW w:w="0" w:type="dxa"/>
            <w:vAlign w:val="bottom"/>
          </w:tcPr>
          <w:p>
            <w:pPr>
              <w:spacing w:after="0"/>
              <w:rPr>
                <w:sz w:val="1"/>
                <w:szCs w:val="1"/>
                <w:color w:val="auto"/>
              </w:rPr>
            </w:pPr>
          </w:p>
        </w:tc>
      </w:tr>
      <w:tr>
        <w:trPr>
          <w:trHeight w:val="210"/>
        </w:trPr>
        <w:tc>
          <w:tcPr>
            <w:tcW w:w="540" w:type="dxa"/>
            <w:vAlign w:val="bottom"/>
            <w:vMerge w:val="continue"/>
            <w:shd w:val="clear" w:color="auto" w:fill="6AAA37"/>
          </w:tcPr>
          <w:p>
            <w:pPr>
              <w:spacing w:after="0"/>
              <w:rPr>
                <w:sz w:val="18"/>
                <w:szCs w:val="18"/>
                <w:color w:val="auto"/>
              </w:rPr>
            </w:pPr>
          </w:p>
        </w:tc>
        <w:tc>
          <w:tcPr>
            <w:tcW w:w="3960" w:type="dxa"/>
            <w:vAlign w:val="bottom"/>
          </w:tcPr>
          <w:p>
            <w:pPr>
              <w:ind w:left="140"/>
              <w:spacing w:after="0"/>
              <w:rPr>
                <w:sz w:val="20"/>
                <w:szCs w:val="20"/>
                <w:color w:val="auto"/>
              </w:rPr>
            </w:pPr>
            <w:r>
              <w:rPr>
                <w:rFonts w:ascii="Arial" w:cs="Arial" w:eastAsia="Arial" w:hAnsi="Arial"/>
                <w:sz w:val="14"/>
                <w:szCs w:val="14"/>
                <w:color w:val="auto"/>
              </w:rPr>
              <w:t>and Restated Stock Ownership Participation Program;</w:t>
            </w:r>
          </w:p>
        </w:tc>
        <w:tc>
          <w:tcPr>
            <w:tcW w:w="1720" w:type="dxa"/>
            <w:vAlign w:val="bottom"/>
          </w:tcPr>
          <w:p>
            <w:pPr>
              <w:ind w:left="700"/>
              <w:spacing w:after="0"/>
              <w:rPr>
                <w:sz w:val="20"/>
                <w:szCs w:val="20"/>
                <w:color w:val="auto"/>
              </w:rPr>
            </w:pPr>
            <w:r>
              <w:rPr>
                <w:rFonts w:ascii="Arial" w:cs="Arial" w:eastAsia="Arial" w:hAnsi="Arial"/>
                <w:sz w:val="13"/>
                <w:szCs w:val="13"/>
                <w:b w:val="1"/>
                <w:bCs w:val="1"/>
                <w:color w:val="00558C"/>
              </w:rPr>
              <w:t>See page 77</w:t>
            </w:r>
          </w:p>
        </w:tc>
        <w:tc>
          <w:tcPr>
            <w:tcW w:w="0" w:type="dxa"/>
            <w:vAlign w:val="bottom"/>
          </w:tcPr>
          <w:p>
            <w:pPr>
              <w:spacing w:after="0"/>
              <w:rPr>
                <w:sz w:val="1"/>
                <w:szCs w:val="1"/>
                <w:color w:val="auto"/>
              </w:rPr>
            </w:pPr>
          </w:p>
        </w:tc>
      </w:tr>
      <w:tr>
        <w:trPr>
          <w:trHeight w:val="124"/>
        </w:trPr>
        <w:tc>
          <w:tcPr>
            <w:tcW w:w="540" w:type="dxa"/>
            <w:vAlign w:val="bottom"/>
            <w:shd w:val="clear" w:color="auto" w:fill="6AAA37"/>
          </w:tcPr>
          <w:p>
            <w:pPr>
              <w:spacing w:after="0"/>
              <w:rPr>
                <w:sz w:val="10"/>
                <w:szCs w:val="10"/>
                <w:color w:val="auto"/>
              </w:rPr>
            </w:pPr>
          </w:p>
        </w:tc>
        <w:tc>
          <w:tcPr>
            <w:tcW w:w="39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82"/>
        </w:trPr>
        <w:tc>
          <w:tcPr>
            <w:tcW w:w="540" w:type="dxa"/>
            <w:vAlign w:val="bottom"/>
            <w:vMerge w:val="restart"/>
            <w:shd w:val="clear" w:color="auto" w:fill="6AAA37"/>
          </w:tcPr>
          <w:p>
            <w:pPr>
              <w:ind w:left="200"/>
              <w:spacing w:after="0"/>
              <w:rPr>
                <w:sz w:val="20"/>
                <w:szCs w:val="20"/>
                <w:color w:val="auto"/>
              </w:rPr>
            </w:pPr>
            <w:r>
              <w:rPr>
                <w:rFonts w:ascii="Arial" w:cs="Arial" w:eastAsia="Arial" w:hAnsi="Arial"/>
                <w:sz w:val="29"/>
                <w:szCs w:val="29"/>
                <w:b w:val="1"/>
                <w:bCs w:val="1"/>
                <w:color w:val="FFFFFF"/>
              </w:rPr>
              <w:t>5</w:t>
            </w:r>
          </w:p>
        </w:tc>
        <w:tc>
          <w:tcPr>
            <w:tcW w:w="3960" w:type="dxa"/>
            <w:vAlign w:val="bottom"/>
            <w:shd w:val="clear" w:color="auto" w:fill="F2F3F2"/>
          </w:tcPr>
          <w:p>
            <w:pPr>
              <w:ind w:left="140"/>
              <w:spacing w:after="0"/>
              <w:rPr>
                <w:sz w:val="20"/>
                <w:szCs w:val="20"/>
                <w:color w:val="auto"/>
              </w:rPr>
            </w:pPr>
            <w:r>
              <w:rPr>
                <w:rFonts w:ascii="Arial" w:cs="Arial" w:eastAsia="Arial" w:hAnsi="Arial"/>
                <w:sz w:val="14"/>
                <w:szCs w:val="14"/>
                <w:color w:val="auto"/>
              </w:rPr>
              <w:t>To ratify the appointment of PricewaterhouseCoopers LLP</w:t>
            </w:r>
          </w:p>
        </w:tc>
        <w:tc>
          <w:tcPr>
            <w:tcW w:w="1720" w:type="dxa"/>
            <w:vAlign w:val="bottom"/>
            <w:vMerge w:val="restart"/>
            <w:shd w:val="clear" w:color="auto" w:fill="F2F3F2"/>
          </w:tcPr>
          <w:p>
            <w:pPr>
              <w:ind w:left="700"/>
              <w:spacing w:after="0"/>
              <w:rPr>
                <w:sz w:val="20"/>
                <w:szCs w:val="20"/>
                <w:color w:val="auto"/>
              </w:rPr>
            </w:pPr>
            <w:r>
              <w:rPr>
                <w:rFonts w:ascii="Arial" w:cs="Arial" w:eastAsia="Arial" w:hAnsi="Arial"/>
                <w:sz w:val="20"/>
                <w:szCs w:val="20"/>
                <w:b w:val="1"/>
                <w:bCs w:val="1"/>
                <w:color w:val="00558C"/>
              </w:rPr>
              <w:t>FOR</w:t>
            </w:r>
          </w:p>
        </w:tc>
        <w:tc>
          <w:tcPr>
            <w:tcW w:w="0" w:type="dxa"/>
            <w:vAlign w:val="bottom"/>
          </w:tcPr>
          <w:p>
            <w:pPr>
              <w:spacing w:after="0"/>
              <w:rPr>
                <w:sz w:val="1"/>
                <w:szCs w:val="1"/>
                <w:color w:val="auto"/>
              </w:rPr>
            </w:pPr>
          </w:p>
        </w:tc>
      </w:tr>
      <w:tr>
        <w:trPr>
          <w:trHeight w:val="162"/>
        </w:trPr>
        <w:tc>
          <w:tcPr>
            <w:tcW w:w="540" w:type="dxa"/>
            <w:vAlign w:val="bottom"/>
            <w:vMerge w:val="continue"/>
            <w:shd w:val="clear" w:color="auto" w:fill="6AAA37"/>
          </w:tcPr>
          <w:p>
            <w:pPr>
              <w:spacing w:after="0"/>
              <w:rPr>
                <w:sz w:val="14"/>
                <w:szCs w:val="14"/>
                <w:color w:val="auto"/>
              </w:rPr>
            </w:pPr>
          </w:p>
        </w:tc>
        <w:tc>
          <w:tcPr>
            <w:tcW w:w="3960" w:type="dxa"/>
            <w:vAlign w:val="bottom"/>
            <w:shd w:val="clear" w:color="auto" w:fill="F2F3F2"/>
          </w:tcPr>
          <w:p>
            <w:pPr>
              <w:ind w:left="140"/>
              <w:spacing w:after="0"/>
              <w:rPr>
                <w:sz w:val="20"/>
                <w:szCs w:val="20"/>
                <w:color w:val="auto"/>
              </w:rPr>
            </w:pPr>
            <w:r>
              <w:rPr>
                <w:rFonts w:ascii="Arial" w:cs="Arial" w:eastAsia="Arial" w:hAnsi="Arial"/>
                <w:sz w:val="14"/>
                <w:szCs w:val="14"/>
                <w:color w:val="auto"/>
              </w:rPr>
              <w:t>as the Company’s independent registered public</w:t>
            </w:r>
          </w:p>
        </w:tc>
        <w:tc>
          <w:tcPr>
            <w:tcW w:w="1720" w:type="dxa"/>
            <w:vAlign w:val="bottom"/>
            <w:vMerge w:val="continue"/>
            <w:shd w:val="clear" w:color="auto" w:fill="F2F3F2"/>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40" w:type="dxa"/>
            <w:vAlign w:val="bottom"/>
            <w:vMerge w:val="continue"/>
            <w:shd w:val="clear" w:color="auto" w:fill="6AAA37"/>
          </w:tcPr>
          <w:p>
            <w:pPr>
              <w:spacing w:after="0"/>
              <w:rPr>
                <w:sz w:val="15"/>
                <w:szCs w:val="15"/>
                <w:color w:val="auto"/>
              </w:rPr>
            </w:pPr>
          </w:p>
        </w:tc>
        <w:tc>
          <w:tcPr>
            <w:tcW w:w="3960" w:type="dxa"/>
            <w:vAlign w:val="bottom"/>
            <w:shd w:val="clear" w:color="auto" w:fill="F2F3F2"/>
          </w:tcPr>
          <w:p>
            <w:pPr>
              <w:ind w:left="140"/>
              <w:spacing w:after="0"/>
              <w:rPr>
                <w:sz w:val="20"/>
                <w:szCs w:val="20"/>
                <w:color w:val="auto"/>
              </w:rPr>
            </w:pPr>
            <w:r>
              <w:rPr>
                <w:rFonts w:ascii="Arial" w:cs="Arial" w:eastAsia="Arial" w:hAnsi="Arial"/>
                <w:sz w:val="14"/>
                <w:szCs w:val="14"/>
                <w:color w:val="auto"/>
              </w:rPr>
              <w:t>accounting firm for the fiscal year ending December 31,</w:t>
            </w:r>
          </w:p>
        </w:tc>
        <w:tc>
          <w:tcPr>
            <w:tcW w:w="1720" w:type="dxa"/>
            <w:vAlign w:val="bottom"/>
            <w:shd w:val="clear" w:color="auto" w:fill="F2F3F2"/>
          </w:tcPr>
          <w:p>
            <w:pPr>
              <w:ind w:left="700"/>
              <w:spacing w:after="0"/>
              <w:rPr>
                <w:sz w:val="20"/>
                <w:szCs w:val="20"/>
                <w:color w:val="auto"/>
              </w:rPr>
            </w:pPr>
            <w:r>
              <w:rPr>
                <w:rFonts w:ascii="Arial" w:cs="Arial" w:eastAsia="Arial" w:hAnsi="Arial"/>
                <w:sz w:val="13"/>
                <w:szCs w:val="13"/>
                <w:b w:val="1"/>
                <w:bCs w:val="1"/>
                <w:color w:val="00558C"/>
              </w:rPr>
              <w:t>See page 82</w:t>
            </w:r>
          </w:p>
        </w:tc>
        <w:tc>
          <w:tcPr>
            <w:tcW w:w="0" w:type="dxa"/>
            <w:vAlign w:val="bottom"/>
          </w:tcPr>
          <w:p>
            <w:pPr>
              <w:spacing w:after="0"/>
              <w:rPr>
                <w:sz w:val="1"/>
                <w:szCs w:val="1"/>
                <w:color w:val="auto"/>
              </w:rPr>
            </w:pPr>
          </w:p>
        </w:tc>
      </w:tr>
      <w:tr>
        <w:trPr>
          <w:trHeight w:val="190"/>
        </w:trPr>
        <w:tc>
          <w:tcPr>
            <w:tcW w:w="540" w:type="dxa"/>
            <w:vAlign w:val="bottom"/>
            <w:shd w:val="clear" w:color="auto" w:fill="6AAA37"/>
          </w:tcPr>
          <w:p>
            <w:pPr>
              <w:spacing w:after="0"/>
              <w:rPr>
                <w:sz w:val="16"/>
                <w:szCs w:val="16"/>
                <w:color w:val="auto"/>
              </w:rPr>
            </w:pPr>
          </w:p>
        </w:tc>
        <w:tc>
          <w:tcPr>
            <w:tcW w:w="3960" w:type="dxa"/>
            <w:vAlign w:val="bottom"/>
            <w:shd w:val="clear" w:color="auto" w:fill="F2F3F2"/>
          </w:tcPr>
          <w:p>
            <w:pPr>
              <w:ind w:left="140"/>
              <w:spacing w:after="0"/>
              <w:rPr>
                <w:sz w:val="20"/>
                <w:szCs w:val="20"/>
                <w:color w:val="auto"/>
              </w:rPr>
            </w:pPr>
            <w:r>
              <w:rPr>
                <w:rFonts w:ascii="Arial" w:cs="Arial" w:eastAsia="Arial" w:hAnsi="Arial"/>
                <w:sz w:val="14"/>
                <w:szCs w:val="14"/>
                <w:color w:val="auto"/>
              </w:rPr>
              <w:t>2025; and</w:t>
            </w:r>
          </w:p>
        </w:tc>
        <w:tc>
          <w:tcPr>
            <w:tcW w:w="1720" w:type="dxa"/>
            <w:vAlign w:val="bottom"/>
            <w:shd w:val="clear" w:color="auto" w:fill="F2F3F2"/>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540" w:type="dxa"/>
            <w:vAlign w:val="bottom"/>
            <w:shd w:val="clear" w:color="auto" w:fill="6AAA37"/>
          </w:tcPr>
          <w:p>
            <w:pPr>
              <w:spacing w:after="0"/>
              <w:rPr>
                <w:sz w:val="14"/>
                <w:szCs w:val="14"/>
                <w:color w:val="auto"/>
              </w:rPr>
            </w:pPr>
          </w:p>
        </w:tc>
        <w:tc>
          <w:tcPr>
            <w:tcW w:w="3960" w:type="dxa"/>
            <w:vAlign w:val="bottom"/>
            <w:shd w:val="clear" w:color="auto" w:fill="F2F3F2"/>
          </w:tcPr>
          <w:p>
            <w:pPr>
              <w:spacing w:after="0"/>
              <w:rPr>
                <w:sz w:val="14"/>
                <w:szCs w:val="14"/>
                <w:color w:val="auto"/>
              </w:rPr>
            </w:pPr>
          </w:p>
        </w:tc>
        <w:tc>
          <w:tcPr>
            <w:tcW w:w="1720" w:type="dxa"/>
            <w:vAlign w:val="bottom"/>
            <w:shd w:val="clear" w:color="auto" w:fill="F2F3F2"/>
          </w:tcPr>
          <w:p>
            <w:pPr>
              <w:spacing w:after="0"/>
              <w:rPr>
                <w:sz w:val="14"/>
                <w:szCs w:val="14"/>
                <w:color w:val="auto"/>
              </w:rPr>
            </w:pPr>
          </w:p>
        </w:tc>
        <w:tc>
          <w:tcPr>
            <w:tcW w:w="0" w:type="dxa"/>
            <w:vAlign w:val="bottom"/>
          </w:tcPr>
          <w:p>
            <w:pPr>
              <w:spacing w:after="0"/>
              <w:rPr>
                <w:sz w:val="1"/>
                <w:szCs w:val="1"/>
                <w:color w:val="auto"/>
              </w:rPr>
            </w:pPr>
          </w:p>
        </w:tc>
      </w:tr>
      <w:tr>
        <w:trPr>
          <w:trHeight w:val="328"/>
        </w:trPr>
        <w:tc>
          <w:tcPr>
            <w:tcW w:w="540" w:type="dxa"/>
            <w:vAlign w:val="bottom"/>
            <w:vMerge w:val="restart"/>
            <w:shd w:val="clear" w:color="auto" w:fill="6AAA37"/>
          </w:tcPr>
          <w:p>
            <w:pPr>
              <w:ind w:left="200"/>
              <w:spacing w:after="0"/>
              <w:rPr>
                <w:sz w:val="20"/>
                <w:szCs w:val="20"/>
                <w:color w:val="auto"/>
              </w:rPr>
            </w:pPr>
            <w:r>
              <w:rPr>
                <w:rFonts w:ascii="Arial" w:cs="Arial" w:eastAsia="Arial" w:hAnsi="Arial"/>
                <w:sz w:val="29"/>
                <w:szCs w:val="29"/>
                <w:b w:val="1"/>
                <w:bCs w:val="1"/>
                <w:color w:val="FFFFFF"/>
              </w:rPr>
              <w:t>6</w:t>
            </w:r>
          </w:p>
        </w:tc>
        <w:tc>
          <w:tcPr>
            <w:tcW w:w="3960" w:type="dxa"/>
            <w:vAlign w:val="bottom"/>
          </w:tcPr>
          <w:p>
            <w:pPr>
              <w:ind w:left="140"/>
              <w:spacing w:after="0"/>
              <w:rPr>
                <w:sz w:val="20"/>
                <w:szCs w:val="20"/>
                <w:color w:val="auto"/>
              </w:rPr>
            </w:pPr>
            <w:r>
              <w:rPr>
                <w:rFonts w:ascii="Arial" w:cs="Arial" w:eastAsia="Arial" w:hAnsi="Arial"/>
                <w:sz w:val="14"/>
                <w:szCs w:val="14"/>
                <w:color w:val="auto"/>
              </w:rPr>
              <w:t>To transact such other business as may properly come</w:t>
            </w: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40" w:type="dxa"/>
            <w:vAlign w:val="bottom"/>
            <w:vMerge w:val="continue"/>
            <w:shd w:val="clear" w:color="auto" w:fill="6AAA37"/>
          </w:tcPr>
          <w:p>
            <w:pPr>
              <w:spacing w:after="0"/>
              <w:rPr>
                <w:sz w:val="16"/>
                <w:szCs w:val="16"/>
                <w:color w:val="auto"/>
              </w:rPr>
            </w:pPr>
          </w:p>
        </w:tc>
        <w:tc>
          <w:tcPr>
            <w:tcW w:w="3960" w:type="dxa"/>
            <w:vAlign w:val="bottom"/>
          </w:tcPr>
          <w:p>
            <w:pPr>
              <w:ind w:left="140"/>
              <w:spacing w:after="0"/>
              <w:rPr>
                <w:sz w:val="20"/>
                <w:szCs w:val="20"/>
                <w:color w:val="auto"/>
              </w:rPr>
            </w:pPr>
            <w:r>
              <w:rPr>
                <w:rFonts w:ascii="Arial" w:cs="Arial" w:eastAsia="Arial" w:hAnsi="Arial"/>
                <w:sz w:val="14"/>
                <w:szCs w:val="14"/>
                <w:color w:val="auto"/>
              </w:rPr>
              <w:t>before the meeting or any postponement or adjournment</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40" w:type="dxa"/>
            <w:vAlign w:val="bottom"/>
            <w:shd w:val="clear" w:color="auto" w:fill="6AAA37"/>
          </w:tcPr>
          <w:p>
            <w:pPr>
              <w:spacing w:after="0"/>
              <w:rPr>
                <w:sz w:val="16"/>
                <w:szCs w:val="16"/>
                <w:color w:val="auto"/>
              </w:rPr>
            </w:pPr>
          </w:p>
        </w:tc>
        <w:tc>
          <w:tcPr>
            <w:tcW w:w="3960" w:type="dxa"/>
            <w:vAlign w:val="bottom"/>
          </w:tcPr>
          <w:p>
            <w:pPr>
              <w:ind w:left="140"/>
              <w:spacing w:after="0"/>
              <w:rPr>
                <w:sz w:val="20"/>
                <w:szCs w:val="20"/>
                <w:color w:val="auto"/>
              </w:rPr>
            </w:pPr>
            <w:r>
              <w:rPr>
                <w:rFonts w:ascii="Arial" w:cs="Arial" w:eastAsia="Arial" w:hAnsi="Arial"/>
                <w:sz w:val="14"/>
                <w:szCs w:val="14"/>
                <w:color w:val="auto"/>
              </w:rPr>
              <w:t>thereof.</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540" w:type="dxa"/>
            <w:vAlign w:val="bottom"/>
            <w:tcBorders>
              <w:bottom w:val="single" w:sz="8" w:color="B2B3B6"/>
            </w:tcBorders>
            <w:shd w:val="clear" w:color="auto" w:fill="6AAA37"/>
          </w:tcPr>
          <w:p>
            <w:pPr>
              <w:spacing w:after="0"/>
              <w:rPr>
                <w:sz w:val="8"/>
                <w:szCs w:val="8"/>
                <w:color w:val="auto"/>
              </w:rPr>
            </w:pPr>
          </w:p>
        </w:tc>
        <w:tc>
          <w:tcPr>
            <w:tcW w:w="3960" w:type="dxa"/>
            <w:vAlign w:val="bottom"/>
            <w:tcBorders>
              <w:bottom w:val="single" w:sz="8" w:color="B2B3B6"/>
            </w:tcBorders>
          </w:tcPr>
          <w:p>
            <w:pPr>
              <w:spacing w:after="0"/>
              <w:rPr>
                <w:sz w:val="8"/>
                <w:szCs w:val="8"/>
                <w:color w:val="auto"/>
              </w:rPr>
            </w:pPr>
          </w:p>
        </w:tc>
        <w:tc>
          <w:tcPr>
            <w:tcW w:w="1720" w:type="dxa"/>
            <w:vAlign w:val="bottom"/>
            <w:tcBorders>
              <w:bottom w:val="single" w:sz="8" w:color="B2B3B6"/>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820" w:right="40"/>
        <w:spacing w:after="0" w:line="321" w:lineRule="auto"/>
        <w:rPr>
          <w:sz w:val="20"/>
          <w:szCs w:val="20"/>
          <w:color w:val="auto"/>
        </w:rPr>
      </w:pPr>
      <w:r>
        <w:rPr>
          <w:rFonts w:ascii="Arial" w:cs="Arial" w:eastAsia="Arial" w:hAnsi="Arial"/>
          <w:sz w:val="16"/>
          <w:szCs w:val="16"/>
          <w:color w:val="auto"/>
        </w:rPr>
        <w:t>Only stockholders of record at the close of business on March 10, 2025 will be entitled to notice of and to vote at the Annual Meeting.</w:t>
      </w:r>
    </w:p>
    <w:p>
      <w:pPr>
        <w:spacing w:after="0" w:line="88" w:lineRule="exact"/>
        <w:rPr>
          <w:sz w:val="20"/>
          <w:szCs w:val="20"/>
          <w:color w:val="auto"/>
        </w:rPr>
      </w:pPr>
    </w:p>
    <w:p>
      <w:pPr>
        <w:ind w:left="820" w:right="140"/>
        <w:spacing w:after="0" w:line="321" w:lineRule="auto"/>
        <w:rPr>
          <w:sz w:val="20"/>
          <w:szCs w:val="20"/>
          <w:color w:val="auto"/>
        </w:rPr>
      </w:pPr>
      <w:r>
        <w:rPr>
          <w:rFonts w:ascii="Arial" w:cs="Arial" w:eastAsia="Arial" w:hAnsi="Arial"/>
          <w:sz w:val="16"/>
          <w:szCs w:val="16"/>
          <w:color w:val="auto"/>
        </w:rPr>
        <w:t>Your vote is very important, regardless of the number of shares you hold. Whether or not you plan to attend the Annual Meeting, please cast your vote, as instructed in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b w:val="1"/>
          <w:bCs w:val="1"/>
          <w:color w:val="B2B3B6"/>
        </w:rPr>
        <w:t>Time &amp; Date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color w:val="auto"/>
        </w:rPr>
        <w:t>May 9, 2025, at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11:00 a.m. Central Time</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2"/>
          <w:szCs w:val="22"/>
          <w:b w:val="1"/>
          <w:bCs w:val="1"/>
          <w:color w:val="B2B3B6"/>
        </w:rPr>
        <w:t>Virtual Meeting</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right="1220"/>
        <w:spacing w:after="0" w:line="310" w:lineRule="auto"/>
        <w:rPr>
          <w:sz w:val="20"/>
          <w:szCs w:val="20"/>
          <w:color w:val="auto"/>
        </w:rPr>
      </w:pPr>
      <w:r>
        <w:rPr>
          <w:rFonts w:ascii="Arial" w:cs="Arial" w:eastAsia="Arial" w:hAnsi="Arial"/>
          <w:sz w:val="16"/>
          <w:szCs w:val="16"/>
          <w:color w:val="auto"/>
        </w:rPr>
        <w:t>live audio webcast at virtualshareholdermeeting. com/HURN2025</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22"/>
          <w:szCs w:val="22"/>
          <w:b w:val="1"/>
          <w:bCs w:val="1"/>
          <w:color w:val="B2B3B6"/>
        </w:rPr>
        <w:t>Voting</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right="1220"/>
        <w:spacing w:after="0" w:line="293" w:lineRule="auto"/>
        <w:rPr>
          <w:sz w:val="20"/>
          <w:szCs w:val="20"/>
          <w:color w:val="auto"/>
        </w:rPr>
      </w:pPr>
      <w:r>
        <w:rPr>
          <w:rFonts w:ascii="Arial" w:cs="Arial" w:eastAsia="Arial" w:hAnsi="Arial"/>
          <w:sz w:val="16"/>
          <w:szCs w:val="16"/>
          <w:color w:val="auto"/>
        </w:rPr>
        <w:t>Only stockholders of record at the close of business on March 10, 2025 will be entitled to notice of and to vote at the Annual Meeting.</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Your vote is very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important, regardless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number of shares</w:t>
      </w:r>
    </w:p>
    <w:p>
      <w:pPr>
        <w:sectPr>
          <w:pgSz w:w="11900" w:h="16978" w:orient="portrait"/>
          <w:cols w:equalWidth="0" w:num="2">
            <w:col w:w="7040" w:space="560"/>
            <w:col w:w="3120"/>
          </w:cols>
          <w:pgMar w:left="580" w:top="140" w:right="599" w:bottom="0" w:gutter="0" w:footer="0" w:header="0"/>
          <w:type w:val="continuous"/>
        </w:sectPr>
      </w:pPr>
    </w:p>
    <w:bookmarkStart w:id="5" w:name="page6"/>
    <w:bookmarkEnd w:id="5"/>
    <w:tbl>
      <w:tblPr>
        <w:tblLayout w:type="fixed"/>
        <w:tblInd w:w="10" w:type="dxa"/>
        <w:tblCellMar>
          <w:top w:w="0" w:type="dxa"/>
          <w:left w:w="0" w:type="dxa"/>
          <w:bottom w:w="0" w:type="dxa"/>
          <w:right w:w="0" w:type="dxa"/>
        </w:tblCellMar>
      </w:tblPr>
      <w:tr>
        <w:trPr>
          <w:trHeight w:val="184"/>
        </w:trPr>
        <w:tc>
          <w:tcPr>
            <w:tcW w:w="7380" w:type="dxa"/>
            <w:vAlign w:val="bottom"/>
            <w:tcBorders>
              <w:left w:val="single" w:sz="8" w:color="CCCCCC"/>
            </w:tcBorders>
          </w:tcPr>
          <w:p>
            <w:pPr>
              <w:ind w:left="820"/>
              <w:spacing w:after="0"/>
              <w:rPr>
                <w:sz w:val="20"/>
                <w:szCs w:val="20"/>
                <w:color w:val="auto"/>
              </w:rPr>
            </w:pPr>
            <w:r>
              <w:rPr>
                <w:rFonts w:ascii="Arial" w:cs="Arial" w:eastAsia="Arial" w:hAnsi="Arial"/>
                <w:sz w:val="16"/>
                <w:szCs w:val="16"/>
                <w:color w:val="auto"/>
              </w:rPr>
              <w:t>Notice of Internet Availability of Proxy Materials or proxy card, over the Internet, as</w:t>
            </w:r>
          </w:p>
        </w:tc>
        <w:tc>
          <w:tcPr>
            <w:tcW w:w="2520" w:type="dxa"/>
            <w:vAlign w:val="bottom"/>
            <w:shd w:val="clear" w:color="auto" w:fill="F2F3F2"/>
          </w:tcPr>
          <w:p>
            <w:pPr>
              <w:ind w:left="220"/>
              <w:spacing w:after="0"/>
              <w:rPr>
                <w:sz w:val="20"/>
                <w:szCs w:val="20"/>
                <w:color w:val="auto"/>
              </w:rPr>
            </w:pPr>
            <w:r>
              <w:rPr>
                <w:rFonts w:ascii="Arial" w:cs="Arial" w:eastAsia="Arial" w:hAnsi="Arial"/>
                <w:sz w:val="16"/>
                <w:szCs w:val="16"/>
                <w:color w:val="auto"/>
              </w:rPr>
              <w:t>you hold.</w:t>
            </w:r>
          </w:p>
        </w:tc>
        <w:tc>
          <w:tcPr>
            <w:tcW w:w="820" w:type="dxa"/>
            <w:vAlign w:val="bottom"/>
            <w:tcBorders>
              <w:right w:val="single" w:sz="8" w:color="CCCCCC"/>
            </w:tcBorders>
          </w:tcPr>
          <w:p>
            <w:pPr>
              <w:spacing w:after="0"/>
              <w:rPr>
                <w:sz w:val="16"/>
                <w:szCs w:val="16"/>
                <w:color w:val="auto"/>
              </w:rPr>
            </w:pPr>
          </w:p>
        </w:tc>
      </w:tr>
      <w:tr>
        <w:trPr>
          <w:trHeight w:val="268"/>
        </w:trPr>
        <w:tc>
          <w:tcPr>
            <w:tcW w:w="7380" w:type="dxa"/>
            <w:vAlign w:val="bottom"/>
            <w:tcBorders>
              <w:left w:val="single" w:sz="8" w:color="CCCCCC"/>
            </w:tcBorders>
          </w:tcPr>
          <w:p>
            <w:pPr>
              <w:ind w:left="820"/>
              <w:spacing w:after="0"/>
              <w:rPr>
                <w:sz w:val="20"/>
                <w:szCs w:val="20"/>
                <w:color w:val="auto"/>
              </w:rPr>
            </w:pPr>
            <w:r>
              <w:rPr>
                <w:rFonts w:ascii="Arial" w:cs="Arial" w:eastAsia="Arial" w:hAnsi="Arial"/>
                <w:sz w:val="16"/>
                <w:szCs w:val="16"/>
                <w:color w:val="auto"/>
              </w:rPr>
              <w:t>promptly as possible.</w:t>
            </w:r>
          </w:p>
        </w:tc>
        <w:tc>
          <w:tcPr>
            <w:tcW w:w="2520" w:type="dxa"/>
            <w:vAlign w:val="bottom"/>
            <w:shd w:val="clear" w:color="auto" w:fill="F2F3F2"/>
          </w:tcPr>
          <w:p>
            <w:pPr>
              <w:spacing w:after="0"/>
              <w:rPr>
                <w:sz w:val="23"/>
                <w:szCs w:val="23"/>
                <w:color w:val="auto"/>
              </w:rPr>
            </w:pPr>
          </w:p>
        </w:tc>
        <w:tc>
          <w:tcPr>
            <w:tcW w:w="820" w:type="dxa"/>
            <w:vAlign w:val="bottom"/>
            <w:tcBorders>
              <w:right w:val="single" w:sz="8" w:color="CCCCCC"/>
            </w:tcBorders>
          </w:tcPr>
          <w:p>
            <w:pPr>
              <w:spacing w:after="0"/>
              <w:rPr>
                <w:sz w:val="23"/>
                <w:szCs w:val="23"/>
                <w:color w:val="auto"/>
              </w:rPr>
            </w:pPr>
          </w:p>
        </w:tc>
      </w:tr>
      <w:tr>
        <w:trPr>
          <w:trHeight w:val="1214"/>
        </w:trPr>
        <w:tc>
          <w:tcPr>
            <w:tcW w:w="7380" w:type="dxa"/>
            <w:vAlign w:val="bottom"/>
            <w:tcBorders>
              <w:left w:val="single" w:sz="8" w:color="CCCCCC"/>
              <w:bottom w:val="single" w:sz="8" w:color="CCCCCC"/>
            </w:tcBorders>
          </w:tcPr>
          <w:p>
            <w:pPr>
              <w:spacing w:after="0"/>
              <w:rPr>
                <w:sz w:val="24"/>
                <w:szCs w:val="24"/>
                <w:color w:val="auto"/>
              </w:rPr>
            </w:pPr>
          </w:p>
        </w:tc>
        <w:tc>
          <w:tcPr>
            <w:tcW w:w="2520" w:type="dxa"/>
            <w:vAlign w:val="bottom"/>
            <w:tcBorders>
              <w:bottom w:val="single" w:sz="8" w:color="CCCCCC"/>
            </w:tcBorders>
            <w:shd w:val="clear" w:color="auto" w:fill="F2F3F2"/>
          </w:tcPr>
          <w:p>
            <w:pPr>
              <w:spacing w:after="0"/>
              <w:rPr>
                <w:sz w:val="24"/>
                <w:szCs w:val="24"/>
                <w:color w:val="auto"/>
              </w:rPr>
            </w:pPr>
          </w:p>
        </w:tc>
        <w:tc>
          <w:tcPr>
            <w:tcW w:w="820" w:type="dxa"/>
            <w:vAlign w:val="bottom"/>
            <w:tcBorders>
              <w:bottom w:val="single" w:sz="8" w:color="CCCCCC"/>
              <w:right w:val="single" w:sz="8" w:color="CCCCCC"/>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6810375" cy="88677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820" w:right="900"/>
        <w:spacing w:after="0" w:line="301" w:lineRule="auto"/>
        <w:rPr>
          <w:sz w:val="20"/>
          <w:szCs w:val="20"/>
          <w:color w:val="auto"/>
        </w:rPr>
      </w:pPr>
      <w:r>
        <w:rPr>
          <w:rFonts w:ascii="Arial" w:cs="Arial" w:eastAsia="Arial" w:hAnsi="Arial"/>
          <w:sz w:val="16"/>
          <w:szCs w:val="16"/>
          <w:color w:val="auto"/>
        </w:rPr>
        <w:t>If you received only a Notice of Internet Availability of Proxy Materials in the mail or by electronic mail, you may also request a paper proxy card to submit your vote by mail, if you prefer. However, we encourage you to vote over the Internet because it is convenient and will save printing costs and postage fees, as well as natural resources.</w:t>
      </w:r>
    </w:p>
    <w:p>
      <w:pPr>
        <w:sectPr>
          <w:pgSz w:w="11900" w:h="16838" w:orient="portrait"/>
          <w:cols w:equalWidth="0" w:num="1">
            <w:col w:w="10720"/>
          </w:cols>
          <w:pgMar w:left="580" w:top="131"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Phone</w:t>
      </w:r>
    </w:p>
    <w:p>
      <w:pPr>
        <w:spacing w:after="0" w:line="86" w:lineRule="exact"/>
        <w:rPr>
          <w:sz w:val="20"/>
          <w:szCs w:val="20"/>
          <w:color w:val="auto"/>
        </w:rPr>
      </w:pPr>
    </w:p>
    <w:p>
      <w:pPr>
        <w:ind w:left="1060"/>
        <w:spacing w:after="0"/>
        <w:rPr>
          <w:sz w:val="20"/>
          <w:szCs w:val="20"/>
          <w:color w:val="auto"/>
        </w:rPr>
      </w:pPr>
      <w:r>
        <w:rPr>
          <w:rFonts w:ascii="Arial" w:cs="Arial" w:eastAsia="Arial" w:hAnsi="Arial"/>
          <w:sz w:val="14"/>
          <w:szCs w:val="14"/>
          <w:color w:val="auto"/>
        </w:rPr>
        <w:t>1-800-690-6903</w:t>
      </w:r>
    </w:p>
    <w:p>
      <w:pPr>
        <w:spacing w:after="0" w:line="69" w:lineRule="exact"/>
        <w:rPr>
          <w:sz w:val="20"/>
          <w:szCs w:val="20"/>
          <w:color w:val="auto"/>
        </w:rPr>
      </w:pPr>
    </w:p>
    <w:p>
      <w:pPr>
        <w:ind w:left="1060"/>
        <w:spacing w:after="0" w:line="267" w:lineRule="auto"/>
        <w:rPr>
          <w:sz w:val="20"/>
          <w:szCs w:val="20"/>
          <w:color w:val="auto"/>
        </w:rPr>
      </w:pPr>
      <w:r>
        <w:rPr>
          <w:rFonts w:ascii="Arial" w:cs="Arial" w:eastAsia="Arial" w:hAnsi="Arial"/>
          <w:sz w:val="14"/>
          <w:szCs w:val="14"/>
          <w:color w:val="auto"/>
        </w:rPr>
        <w:t>Use any touch-tone telephone to transmit your voting instructions. Vote by 11:59 p.m. ET on May 8, 2025. Have your proxy card in hand when you call and the follow the instructions.</w:t>
      </w:r>
    </w:p>
    <w:p>
      <w:pPr>
        <w:spacing w:after="0" w:line="20" w:lineRule="exact"/>
        <w:rPr>
          <w:sz w:val="20"/>
          <w:szCs w:val="20"/>
          <w:color w:val="auto"/>
        </w:rPr>
      </w:pPr>
      <w:r>
        <w:rPr>
          <w:sz w:val="20"/>
          <w:szCs w:val="20"/>
          <w:color w:val="auto"/>
        </w:rPr>
        <w:br w:type="column"/>
      </w:r>
    </w:p>
    <w:p>
      <w:pPr>
        <w:spacing w:after="0" w:line="3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648"/>
        </w:trPr>
        <w:tc>
          <w:tcPr>
            <w:tcW w:w="100" w:type="dxa"/>
            <w:vAlign w:val="bottom"/>
            <w:tcBorders>
              <w:right w:val="single" w:sz="8" w:color="B2B3B6"/>
            </w:tcBorders>
          </w:tcPr>
          <w:p>
            <w:pPr>
              <w:spacing w:after="0"/>
              <w:rPr>
                <w:sz w:val="24"/>
                <w:szCs w:val="24"/>
                <w:color w:val="auto"/>
              </w:rPr>
            </w:pPr>
          </w:p>
        </w:tc>
        <w:tc>
          <w:tcPr>
            <w:tcW w:w="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00" w:type="dxa"/>
            <w:vAlign w:val="bottom"/>
            <w:tcBorders>
              <w:right w:val="single" w:sz="8" w:color="B2B3B6"/>
            </w:tcBorders>
          </w:tcPr>
          <w:p>
            <w:pPr>
              <w:spacing w:after="0"/>
              <w:rPr>
                <w:sz w:val="24"/>
                <w:szCs w:val="24"/>
                <w:color w:val="auto"/>
              </w:rPr>
            </w:pPr>
          </w:p>
        </w:tc>
        <w:tc>
          <w:tcPr>
            <w:tcW w:w="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00" w:type="dxa"/>
            <w:vAlign w:val="bottom"/>
            <w:tcBorders>
              <w:right w:val="single" w:sz="8" w:color="F2F3F2"/>
            </w:tcBorders>
            <w:shd w:val="clear" w:color="auto" w:fill="F2F3F2"/>
          </w:tcPr>
          <w:p>
            <w:pPr>
              <w:spacing w:after="0"/>
              <w:rPr>
                <w:sz w:val="24"/>
                <w:szCs w:val="24"/>
                <w:color w:val="auto"/>
              </w:rPr>
            </w:pPr>
          </w:p>
        </w:tc>
        <w:tc>
          <w:tcPr>
            <w:tcW w:w="80" w:type="dxa"/>
            <w:vAlign w:val="bottom"/>
            <w:shd w:val="clear" w:color="auto" w:fill="F2F3F2"/>
          </w:tcPr>
          <w:p>
            <w:pPr>
              <w:spacing w:after="0"/>
              <w:rPr>
                <w:sz w:val="24"/>
                <w:szCs w:val="24"/>
                <w:color w:val="auto"/>
              </w:rPr>
            </w:pPr>
          </w:p>
        </w:tc>
        <w:tc>
          <w:tcPr>
            <w:tcW w:w="2840" w:type="dxa"/>
            <w:vAlign w:val="bottom"/>
            <w:vMerge w:val="restart"/>
            <w:shd w:val="clear" w:color="auto" w:fill="F2F3F2"/>
          </w:tcPr>
          <w:p>
            <w:pPr>
              <w:ind w:left="120"/>
              <w:spacing w:after="0"/>
              <w:rPr>
                <w:sz w:val="20"/>
                <w:szCs w:val="20"/>
                <w:color w:val="auto"/>
              </w:rPr>
            </w:pPr>
            <w:r>
              <w:rPr>
                <w:rFonts w:ascii="Arial" w:cs="Arial" w:eastAsia="Arial" w:hAnsi="Arial"/>
                <w:sz w:val="18"/>
                <w:szCs w:val="18"/>
                <w:b w:val="1"/>
                <w:bCs w:val="1"/>
                <w:color w:val="auto"/>
              </w:rPr>
              <w:t>Mail</w:t>
            </w:r>
          </w:p>
        </w:tc>
        <w:tc>
          <w:tcPr>
            <w:tcW w:w="100" w:type="dxa"/>
            <w:vAlign w:val="bottom"/>
            <w:tcBorders>
              <w:right w:val="single" w:sz="8" w:color="F2F3F2"/>
            </w:tcBorders>
            <w:shd w:val="clear" w:color="auto" w:fill="F2F3F2"/>
          </w:tcPr>
          <w:p>
            <w:pPr>
              <w:spacing w:after="0"/>
              <w:rPr>
                <w:sz w:val="24"/>
                <w:szCs w:val="24"/>
                <w:color w:val="auto"/>
              </w:rPr>
            </w:pPr>
          </w:p>
        </w:tc>
        <w:tc>
          <w:tcPr>
            <w:tcW w:w="80" w:type="dxa"/>
            <w:vAlign w:val="bottom"/>
            <w:shd w:val="clear" w:color="auto" w:fill="F2F3F2"/>
          </w:tcPr>
          <w:p>
            <w:pPr>
              <w:spacing w:after="0"/>
              <w:rPr>
                <w:sz w:val="24"/>
                <w:szCs w:val="24"/>
                <w:color w:val="auto"/>
              </w:rPr>
            </w:pPr>
          </w:p>
        </w:tc>
        <w:tc>
          <w:tcPr>
            <w:tcW w:w="2920" w:type="dxa"/>
            <w:vAlign w:val="bottom"/>
            <w:vMerge w:val="restart"/>
            <w:shd w:val="clear" w:color="auto" w:fill="F2F3F2"/>
          </w:tcPr>
          <w:p>
            <w:pPr>
              <w:ind w:left="140"/>
              <w:spacing w:after="0"/>
              <w:rPr>
                <w:sz w:val="20"/>
                <w:szCs w:val="20"/>
                <w:color w:val="auto"/>
              </w:rPr>
            </w:pPr>
            <w:r>
              <w:rPr>
                <w:rFonts w:ascii="Arial" w:cs="Arial" w:eastAsia="Arial" w:hAnsi="Arial"/>
                <w:sz w:val="18"/>
                <w:szCs w:val="18"/>
                <w:b w:val="1"/>
                <w:bCs w:val="1"/>
                <w:color w:val="auto"/>
              </w:rPr>
              <w:t>Online</w:t>
            </w:r>
          </w:p>
        </w:tc>
        <w:tc>
          <w:tcPr>
            <w:tcW w:w="0" w:type="dxa"/>
            <w:vAlign w:val="bottom"/>
          </w:tcPr>
          <w:p>
            <w:pPr>
              <w:spacing w:after="0"/>
              <w:rPr>
                <w:sz w:val="1"/>
                <w:szCs w:val="1"/>
                <w:color w:val="auto"/>
              </w:rPr>
            </w:pPr>
          </w:p>
        </w:tc>
      </w:tr>
      <w:tr>
        <w:trPr>
          <w:trHeight w:val="282"/>
        </w:trPr>
        <w:tc>
          <w:tcPr>
            <w:tcW w:w="100" w:type="dxa"/>
            <w:vAlign w:val="bottom"/>
            <w:tcBorders>
              <w:right w:val="single" w:sz="8" w:color="B2B3B6"/>
            </w:tcBorders>
            <w:shd w:val="clear" w:color="auto" w:fill="F2F3F2"/>
          </w:tcPr>
          <w:p>
            <w:pPr>
              <w:spacing w:after="0"/>
              <w:rPr>
                <w:sz w:val="24"/>
                <w:szCs w:val="24"/>
                <w:color w:val="auto"/>
              </w:rPr>
            </w:pPr>
          </w:p>
        </w:tc>
        <w:tc>
          <w:tcPr>
            <w:tcW w:w="80" w:type="dxa"/>
            <w:vAlign w:val="bottom"/>
            <w:shd w:val="clear" w:color="auto" w:fill="F2F3F2"/>
          </w:tcPr>
          <w:p>
            <w:pPr>
              <w:spacing w:after="0"/>
              <w:rPr>
                <w:sz w:val="24"/>
                <w:szCs w:val="24"/>
                <w:color w:val="auto"/>
              </w:rPr>
            </w:pPr>
          </w:p>
        </w:tc>
        <w:tc>
          <w:tcPr>
            <w:tcW w:w="2840" w:type="dxa"/>
            <w:vAlign w:val="bottom"/>
            <w:vMerge w:val="continue"/>
            <w:shd w:val="clear" w:color="auto" w:fill="F2F3F2"/>
          </w:tcPr>
          <w:p>
            <w:pPr>
              <w:spacing w:after="0"/>
              <w:rPr>
                <w:sz w:val="24"/>
                <w:szCs w:val="24"/>
                <w:color w:val="auto"/>
              </w:rPr>
            </w:pPr>
          </w:p>
        </w:tc>
        <w:tc>
          <w:tcPr>
            <w:tcW w:w="100" w:type="dxa"/>
            <w:vAlign w:val="bottom"/>
            <w:tcBorders>
              <w:right w:val="single" w:sz="8" w:color="B2B3B6"/>
            </w:tcBorders>
            <w:shd w:val="clear" w:color="auto" w:fill="F2F3F2"/>
          </w:tcPr>
          <w:p>
            <w:pPr>
              <w:spacing w:after="0"/>
              <w:rPr>
                <w:sz w:val="24"/>
                <w:szCs w:val="24"/>
                <w:color w:val="auto"/>
              </w:rPr>
            </w:pPr>
          </w:p>
        </w:tc>
        <w:tc>
          <w:tcPr>
            <w:tcW w:w="80" w:type="dxa"/>
            <w:vAlign w:val="bottom"/>
            <w:shd w:val="clear" w:color="auto" w:fill="F2F3F2"/>
          </w:tcPr>
          <w:p>
            <w:pPr>
              <w:spacing w:after="0"/>
              <w:rPr>
                <w:sz w:val="24"/>
                <w:szCs w:val="24"/>
                <w:color w:val="auto"/>
              </w:rPr>
            </w:pPr>
          </w:p>
        </w:tc>
        <w:tc>
          <w:tcPr>
            <w:tcW w:w="2920" w:type="dxa"/>
            <w:vAlign w:val="bottom"/>
            <w:vMerge w:val="continue"/>
            <w:shd w:val="clear" w:color="auto" w:fill="F2F3F2"/>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00" w:type="dxa"/>
            <w:vAlign w:val="bottom"/>
            <w:tcBorders>
              <w:right w:val="single" w:sz="8" w:color="B2B3B6"/>
            </w:tcBorders>
            <w:shd w:val="clear" w:color="auto" w:fill="F2F3F2"/>
          </w:tcPr>
          <w:p>
            <w:pPr>
              <w:spacing w:after="0"/>
              <w:rPr>
                <w:sz w:val="19"/>
                <w:szCs w:val="19"/>
                <w:color w:val="auto"/>
              </w:rPr>
            </w:pPr>
          </w:p>
        </w:tc>
        <w:tc>
          <w:tcPr>
            <w:tcW w:w="80" w:type="dxa"/>
            <w:vAlign w:val="bottom"/>
            <w:shd w:val="clear" w:color="auto" w:fill="F2F3F2"/>
          </w:tcPr>
          <w:p>
            <w:pPr>
              <w:spacing w:after="0"/>
              <w:rPr>
                <w:sz w:val="19"/>
                <w:szCs w:val="19"/>
                <w:color w:val="auto"/>
              </w:rPr>
            </w:pPr>
          </w:p>
        </w:tc>
        <w:tc>
          <w:tcPr>
            <w:tcW w:w="2840" w:type="dxa"/>
            <w:vAlign w:val="bottom"/>
            <w:shd w:val="clear" w:color="auto" w:fill="F2F3F2"/>
          </w:tcPr>
          <w:p>
            <w:pPr>
              <w:ind w:left="120"/>
              <w:spacing w:after="0"/>
              <w:rPr>
                <w:sz w:val="20"/>
                <w:szCs w:val="20"/>
                <w:color w:val="auto"/>
              </w:rPr>
            </w:pPr>
            <w:r>
              <w:rPr>
                <w:rFonts w:ascii="Arial" w:cs="Arial" w:eastAsia="Arial" w:hAnsi="Arial"/>
                <w:sz w:val="14"/>
                <w:szCs w:val="14"/>
                <w:color w:val="auto"/>
              </w:rPr>
              <w:t>Mark, sign and date your proxy card and</w:t>
            </w:r>
          </w:p>
        </w:tc>
        <w:tc>
          <w:tcPr>
            <w:tcW w:w="100" w:type="dxa"/>
            <w:vAlign w:val="bottom"/>
            <w:tcBorders>
              <w:right w:val="single" w:sz="8" w:color="B2B3B6"/>
            </w:tcBorders>
            <w:shd w:val="clear" w:color="auto" w:fill="F2F3F2"/>
          </w:tcPr>
          <w:p>
            <w:pPr>
              <w:spacing w:after="0"/>
              <w:rPr>
                <w:sz w:val="19"/>
                <w:szCs w:val="19"/>
                <w:color w:val="auto"/>
              </w:rPr>
            </w:pPr>
          </w:p>
        </w:tc>
        <w:tc>
          <w:tcPr>
            <w:tcW w:w="80" w:type="dxa"/>
            <w:vAlign w:val="bottom"/>
            <w:shd w:val="clear" w:color="auto" w:fill="F2F3F2"/>
          </w:tcPr>
          <w:p>
            <w:pPr>
              <w:spacing w:after="0"/>
              <w:rPr>
                <w:sz w:val="19"/>
                <w:szCs w:val="19"/>
                <w:color w:val="auto"/>
              </w:rPr>
            </w:pPr>
          </w:p>
        </w:tc>
        <w:tc>
          <w:tcPr>
            <w:tcW w:w="2920" w:type="dxa"/>
            <w:vAlign w:val="bottom"/>
            <w:shd w:val="clear" w:color="auto" w:fill="F2F3F2"/>
          </w:tcPr>
          <w:p>
            <w:pPr>
              <w:ind w:left="140"/>
              <w:spacing w:after="0"/>
              <w:rPr>
                <w:sz w:val="20"/>
                <w:szCs w:val="20"/>
                <w:color w:val="auto"/>
              </w:rPr>
            </w:pPr>
            <w:r>
              <w:rPr>
                <w:rFonts w:ascii="Arial" w:cs="Arial" w:eastAsia="Arial" w:hAnsi="Arial"/>
                <w:sz w:val="14"/>
                <w:szCs w:val="14"/>
                <w:color w:val="auto"/>
              </w:rPr>
              <w:t>Use the Internet to transmit your voting</w:t>
            </w:r>
          </w:p>
        </w:tc>
        <w:tc>
          <w:tcPr>
            <w:tcW w:w="0" w:type="dxa"/>
            <w:vAlign w:val="bottom"/>
          </w:tcPr>
          <w:p>
            <w:pPr>
              <w:spacing w:after="0"/>
              <w:rPr>
                <w:sz w:val="1"/>
                <w:szCs w:val="1"/>
                <w:color w:val="auto"/>
              </w:rPr>
            </w:pPr>
          </w:p>
        </w:tc>
      </w:tr>
      <w:tr>
        <w:trPr>
          <w:trHeight w:val="176"/>
        </w:trPr>
        <w:tc>
          <w:tcPr>
            <w:tcW w:w="100" w:type="dxa"/>
            <w:vAlign w:val="bottom"/>
            <w:tcBorders>
              <w:right w:val="single" w:sz="8" w:color="B2B3B6"/>
            </w:tcBorders>
            <w:shd w:val="clear" w:color="auto" w:fill="F2F3F2"/>
          </w:tcPr>
          <w:p>
            <w:pPr>
              <w:spacing w:after="0"/>
              <w:rPr>
                <w:sz w:val="15"/>
                <w:szCs w:val="15"/>
                <w:color w:val="auto"/>
              </w:rPr>
            </w:pPr>
          </w:p>
        </w:tc>
        <w:tc>
          <w:tcPr>
            <w:tcW w:w="80" w:type="dxa"/>
            <w:vAlign w:val="bottom"/>
            <w:shd w:val="clear" w:color="auto" w:fill="F2F3F2"/>
          </w:tcPr>
          <w:p>
            <w:pPr>
              <w:spacing w:after="0"/>
              <w:rPr>
                <w:sz w:val="15"/>
                <w:szCs w:val="15"/>
                <w:color w:val="auto"/>
              </w:rPr>
            </w:pPr>
          </w:p>
        </w:tc>
        <w:tc>
          <w:tcPr>
            <w:tcW w:w="2840" w:type="dxa"/>
            <w:vAlign w:val="bottom"/>
            <w:shd w:val="clear" w:color="auto" w:fill="F2F3F2"/>
          </w:tcPr>
          <w:p>
            <w:pPr>
              <w:ind w:left="120"/>
              <w:spacing w:after="0"/>
              <w:rPr>
                <w:sz w:val="20"/>
                <w:szCs w:val="20"/>
                <w:color w:val="auto"/>
              </w:rPr>
            </w:pPr>
            <w:r>
              <w:rPr>
                <w:rFonts w:ascii="Arial" w:cs="Arial" w:eastAsia="Arial" w:hAnsi="Arial"/>
                <w:sz w:val="14"/>
                <w:szCs w:val="14"/>
                <w:color w:val="auto"/>
              </w:rPr>
              <w:t>return it in the postage-paid envelope</w:t>
            </w:r>
          </w:p>
        </w:tc>
        <w:tc>
          <w:tcPr>
            <w:tcW w:w="100" w:type="dxa"/>
            <w:vAlign w:val="bottom"/>
            <w:tcBorders>
              <w:right w:val="single" w:sz="8" w:color="B2B3B6"/>
            </w:tcBorders>
            <w:shd w:val="clear" w:color="auto" w:fill="F2F3F2"/>
          </w:tcPr>
          <w:p>
            <w:pPr>
              <w:spacing w:after="0"/>
              <w:rPr>
                <w:sz w:val="15"/>
                <w:szCs w:val="15"/>
                <w:color w:val="auto"/>
              </w:rPr>
            </w:pPr>
          </w:p>
        </w:tc>
        <w:tc>
          <w:tcPr>
            <w:tcW w:w="80" w:type="dxa"/>
            <w:vAlign w:val="bottom"/>
            <w:shd w:val="clear" w:color="auto" w:fill="F2F3F2"/>
          </w:tcPr>
          <w:p>
            <w:pPr>
              <w:spacing w:after="0"/>
              <w:rPr>
                <w:sz w:val="15"/>
                <w:szCs w:val="15"/>
                <w:color w:val="auto"/>
              </w:rPr>
            </w:pPr>
          </w:p>
        </w:tc>
        <w:tc>
          <w:tcPr>
            <w:tcW w:w="2920" w:type="dxa"/>
            <w:vAlign w:val="bottom"/>
            <w:shd w:val="clear" w:color="auto" w:fill="F2F3F2"/>
          </w:tcPr>
          <w:p>
            <w:pPr>
              <w:ind w:left="140"/>
              <w:spacing w:after="0"/>
              <w:rPr>
                <w:sz w:val="20"/>
                <w:szCs w:val="20"/>
                <w:color w:val="auto"/>
              </w:rPr>
            </w:pPr>
            <w:r>
              <w:rPr>
                <w:rFonts w:ascii="Arial" w:cs="Arial" w:eastAsia="Arial" w:hAnsi="Arial"/>
                <w:sz w:val="14"/>
                <w:szCs w:val="14"/>
                <w:color w:val="auto"/>
              </w:rPr>
              <w:t>instructions and for electronic delivery</w:t>
            </w:r>
          </w:p>
        </w:tc>
        <w:tc>
          <w:tcPr>
            <w:tcW w:w="0" w:type="dxa"/>
            <w:vAlign w:val="bottom"/>
          </w:tcPr>
          <w:p>
            <w:pPr>
              <w:spacing w:after="0"/>
              <w:rPr>
                <w:sz w:val="1"/>
                <w:szCs w:val="1"/>
                <w:color w:val="auto"/>
              </w:rPr>
            </w:pPr>
          </w:p>
        </w:tc>
      </w:tr>
      <w:tr>
        <w:trPr>
          <w:trHeight w:val="162"/>
        </w:trPr>
        <w:tc>
          <w:tcPr>
            <w:tcW w:w="100" w:type="dxa"/>
            <w:vAlign w:val="bottom"/>
            <w:tcBorders>
              <w:right w:val="single" w:sz="8" w:color="B2B3B6"/>
            </w:tcBorders>
            <w:shd w:val="clear" w:color="auto" w:fill="F2F3F2"/>
          </w:tcPr>
          <w:p>
            <w:pPr>
              <w:spacing w:after="0"/>
              <w:rPr>
                <w:sz w:val="14"/>
                <w:szCs w:val="14"/>
                <w:color w:val="auto"/>
              </w:rPr>
            </w:pPr>
          </w:p>
        </w:tc>
        <w:tc>
          <w:tcPr>
            <w:tcW w:w="80" w:type="dxa"/>
            <w:vAlign w:val="bottom"/>
            <w:shd w:val="clear" w:color="auto" w:fill="F2F3F2"/>
          </w:tcPr>
          <w:p>
            <w:pPr>
              <w:spacing w:after="0"/>
              <w:rPr>
                <w:sz w:val="14"/>
                <w:szCs w:val="14"/>
                <w:color w:val="auto"/>
              </w:rPr>
            </w:pPr>
          </w:p>
        </w:tc>
        <w:tc>
          <w:tcPr>
            <w:tcW w:w="2840" w:type="dxa"/>
            <w:vAlign w:val="bottom"/>
            <w:shd w:val="clear" w:color="auto" w:fill="F2F3F2"/>
          </w:tcPr>
          <w:p>
            <w:pPr>
              <w:ind w:left="120"/>
              <w:spacing w:after="0"/>
              <w:rPr>
                <w:sz w:val="20"/>
                <w:szCs w:val="20"/>
                <w:color w:val="auto"/>
              </w:rPr>
            </w:pPr>
            <w:r>
              <w:rPr>
                <w:rFonts w:ascii="Arial" w:cs="Arial" w:eastAsia="Arial" w:hAnsi="Arial"/>
                <w:sz w:val="14"/>
                <w:szCs w:val="14"/>
                <w:color w:val="auto"/>
              </w:rPr>
              <w:t>we have provided or return it to Vote</w:t>
            </w:r>
          </w:p>
        </w:tc>
        <w:tc>
          <w:tcPr>
            <w:tcW w:w="100" w:type="dxa"/>
            <w:vAlign w:val="bottom"/>
            <w:tcBorders>
              <w:right w:val="single" w:sz="8" w:color="B2B3B6"/>
            </w:tcBorders>
            <w:shd w:val="clear" w:color="auto" w:fill="F2F3F2"/>
          </w:tcPr>
          <w:p>
            <w:pPr>
              <w:spacing w:after="0"/>
              <w:rPr>
                <w:sz w:val="14"/>
                <w:szCs w:val="14"/>
                <w:color w:val="auto"/>
              </w:rPr>
            </w:pPr>
          </w:p>
        </w:tc>
        <w:tc>
          <w:tcPr>
            <w:tcW w:w="80" w:type="dxa"/>
            <w:vAlign w:val="bottom"/>
            <w:shd w:val="clear" w:color="auto" w:fill="F2F3F2"/>
          </w:tcPr>
          <w:p>
            <w:pPr>
              <w:spacing w:after="0"/>
              <w:rPr>
                <w:sz w:val="14"/>
                <w:szCs w:val="14"/>
                <w:color w:val="auto"/>
              </w:rPr>
            </w:pPr>
          </w:p>
        </w:tc>
        <w:tc>
          <w:tcPr>
            <w:tcW w:w="2920" w:type="dxa"/>
            <w:vAlign w:val="bottom"/>
            <w:shd w:val="clear" w:color="auto" w:fill="F2F3F2"/>
          </w:tcPr>
          <w:p>
            <w:pPr>
              <w:ind w:left="140"/>
              <w:spacing w:after="0"/>
              <w:rPr>
                <w:sz w:val="20"/>
                <w:szCs w:val="20"/>
                <w:color w:val="auto"/>
              </w:rPr>
            </w:pPr>
            <w:r>
              <w:rPr>
                <w:rFonts w:ascii="Arial" w:cs="Arial" w:eastAsia="Arial" w:hAnsi="Arial"/>
                <w:sz w:val="14"/>
                <w:szCs w:val="14"/>
                <w:color w:val="auto"/>
              </w:rPr>
              <w:t>of information. Vote by 11:59 p.m. ET on</w:t>
            </w:r>
          </w:p>
        </w:tc>
        <w:tc>
          <w:tcPr>
            <w:tcW w:w="0" w:type="dxa"/>
            <w:vAlign w:val="bottom"/>
          </w:tcPr>
          <w:p>
            <w:pPr>
              <w:spacing w:after="0"/>
              <w:rPr>
                <w:sz w:val="1"/>
                <w:szCs w:val="1"/>
                <w:color w:val="auto"/>
              </w:rPr>
            </w:pPr>
          </w:p>
        </w:tc>
      </w:tr>
      <w:tr>
        <w:trPr>
          <w:trHeight w:val="176"/>
        </w:trPr>
        <w:tc>
          <w:tcPr>
            <w:tcW w:w="100" w:type="dxa"/>
            <w:vAlign w:val="bottom"/>
            <w:tcBorders>
              <w:right w:val="single" w:sz="8" w:color="B2B3B6"/>
            </w:tcBorders>
            <w:shd w:val="clear" w:color="auto" w:fill="F2F3F2"/>
          </w:tcPr>
          <w:p>
            <w:pPr>
              <w:spacing w:after="0"/>
              <w:rPr>
                <w:sz w:val="15"/>
                <w:szCs w:val="15"/>
                <w:color w:val="auto"/>
              </w:rPr>
            </w:pPr>
          </w:p>
        </w:tc>
        <w:tc>
          <w:tcPr>
            <w:tcW w:w="80" w:type="dxa"/>
            <w:vAlign w:val="bottom"/>
            <w:shd w:val="clear" w:color="auto" w:fill="F2F3F2"/>
          </w:tcPr>
          <w:p>
            <w:pPr>
              <w:spacing w:after="0"/>
              <w:rPr>
                <w:sz w:val="15"/>
                <w:szCs w:val="15"/>
                <w:color w:val="auto"/>
              </w:rPr>
            </w:pPr>
          </w:p>
        </w:tc>
        <w:tc>
          <w:tcPr>
            <w:tcW w:w="2840" w:type="dxa"/>
            <w:vAlign w:val="bottom"/>
            <w:shd w:val="clear" w:color="auto" w:fill="F2F3F2"/>
          </w:tcPr>
          <w:p>
            <w:pPr>
              <w:ind w:left="120"/>
              <w:spacing w:after="0"/>
              <w:rPr>
                <w:sz w:val="20"/>
                <w:szCs w:val="20"/>
                <w:color w:val="auto"/>
              </w:rPr>
            </w:pPr>
            <w:r>
              <w:rPr>
                <w:rFonts w:ascii="Arial" w:cs="Arial" w:eastAsia="Arial" w:hAnsi="Arial"/>
                <w:sz w:val="14"/>
                <w:szCs w:val="14"/>
                <w:color w:val="auto"/>
              </w:rPr>
              <w:t>Processing, c/o Broadridge, 51</w:t>
            </w:r>
          </w:p>
        </w:tc>
        <w:tc>
          <w:tcPr>
            <w:tcW w:w="100" w:type="dxa"/>
            <w:vAlign w:val="bottom"/>
            <w:tcBorders>
              <w:right w:val="single" w:sz="8" w:color="B2B3B6"/>
            </w:tcBorders>
            <w:shd w:val="clear" w:color="auto" w:fill="F2F3F2"/>
          </w:tcPr>
          <w:p>
            <w:pPr>
              <w:spacing w:after="0"/>
              <w:rPr>
                <w:sz w:val="15"/>
                <w:szCs w:val="15"/>
                <w:color w:val="auto"/>
              </w:rPr>
            </w:pPr>
          </w:p>
        </w:tc>
        <w:tc>
          <w:tcPr>
            <w:tcW w:w="80" w:type="dxa"/>
            <w:vAlign w:val="bottom"/>
            <w:shd w:val="clear" w:color="auto" w:fill="F2F3F2"/>
          </w:tcPr>
          <w:p>
            <w:pPr>
              <w:spacing w:after="0"/>
              <w:rPr>
                <w:sz w:val="15"/>
                <w:szCs w:val="15"/>
                <w:color w:val="auto"/>
              </w:rPr>
            </w:pPr>
          </w:p>
        </w:tc>
        <w:tc>
          <w:tcPr>
            <w:tcW w:w="2920" w:type="dxa"/>
            <w:vAlign w:val="bottom"/>
            <w:shd w:val="clear" w:color="auto" w:fill="F2F3F2"/>
          </w:tcPr>
          <w:p>
            <w:pPr>
              <w:ind w:left="140"/>
              <w:spacing w:after="0"/>
              <w:rPr>
                <w:sz w:val="20"/>
                <w:szCs w:val="20"/>
                <w:color w:val="auto"/>
              </w:rPr>
            </w:pPr>
            <w:r>
              <w:rPr>
                <w:rFonts w:ascii="Arial" w:cs="Arial" w:eastAsia="Arial" w:hAnsi="Arial"/>
                <w:sz w:val="14"/>
                <w:szCs w:val="14"/>
                <w:color w:val="auto"/>
              </w:rPr>
              <w:t>May 8, 2025. Have your proxy card in</w:t>
            </w:r>
          </w:p>
        </w:tc>
        <w:tc>
          <w:tcPr>
            <w:tcW w:w="0" w:type="dxa"/>
            <w:vAlign w:val="bottom"/>
          </w:tcPr>
          <w:p>
            <w:pPr>
              <w:spacing w:after="0"/>
              <w:rPr>
                <w:sz w:val="1"/>
                <w:szCs w:val="1"/>
                <w:color w:val="auto"/>
              </w:rPr>
            </w:pPr>
          </w:p>
        </w:tc>
      </w:tr>
      <w:tr>
        <w:trPr>
          <w:trHeight w:val="176"/>
        </w:trPr>
        <w:tc>
          <w:tcPr>
            <w:tcW w:w="100" w:type="dxa"/>
            <w:vAlign w:val="bottom"/>
            <w:tcBorders>
              <w:right w:val="single" w:sz="8" w:color="B2B3B6"/>
            </w:tcBorders>
            <w:shd w:val="clear" w:color="auto" w:fill="F2F3F2"/>
          </w:tcPr>
          <w:p>
            <w:pPr>
              <w:spacing w:after="0"/>
              <w:rPr>
                <w:sz w:val="15"/>
                <w:szCs w:val="15"/>
                <w:color w:val="auto"/>
              </w:rPr>
            </w:pPr>
          </w:p>
        </w:tc>
        <w:tc>
          <w:tcPr>
            <w:tcW w:w="80" w:type="dxa"/>
            <w:vAlign w:val="bottom"/>
            <w:shd w:val="clear" w:color="auto" w:fill="F2F3F2"/>
          </w:tcPr>
          <w:p>
            <w:pPr>
              <w:spacing w:after="0"/>
              <w:rPr>
                <w:sz w:val="15"/>
                <w:szCs w:val="15"/>
                <w:color w:val="auto"/>
              </w:rPr>
            </w:pPr>
          </w:p>
        </w:tc>
        <w:tc>
          <w:tcPr>
            <w:tcW w:w="2840" w:type="dxa"/>
            <w:vAlign w:val="bottom"/>
            <w:shd w:val="clear" w:color="auto" w:fill="F2F3F2"/>
          </w:tcPr>
          <w:p>
            <w:pPr>
              <w:ind w:left="120"/>
              <w:spacing w:after="0"/>
              <w:rPr>
                <w:sz w:val="20"/>
                <w:szCs w:val="20"/>
                <w:color w:val="auto"/>
              </w:rPr>
            </w:pPr>
            <w:r>
              <w:rPr>
                <w:rFonts w:ascii="Arial" w:cs="Arial" w:eastAsia="Arial" w:hAnsi="Arial"/>
                <w:sz w:val="14"/>
                <w:szCs w:val="14"/>
                <w:color w:val="auto"/>
              </w:rPr>
              <w:t>Mercedes Way, Edgewood, NY 11717.</w:t>
            </w:r>
          </w:p>
        </w:tc>
        <w:tc>
          <w:tcPr>
            <w:tcW w:w="100" w:type="dxa"/>
            <w:vAlign w:val="bottom"/>
            <w:tcBorders>
              <w:right w:val="single" w:sz="8" w:color="B2B3B6"/>
            </w:tcBorders>
            <w:shd w:val="clear" w:color="auto" w:fill="F2F3F2"/>
          </w:tcPr>
          <w:p>
            <w:pPr>
              <w:spacing w:after="0"/>
              <w:rPr>
                <w:sz w:val="15"/>
                <w:szCs w:val="15"/>
                <w:color w:val="auto"/>
              </w:rPr>
            </w:pPr>
          </w:p>
        </w:tc>
        <w:tc>
          <w:tcPr>
            <w:tcW w:w="80" w:type="dxa"/>
            <w:vAlign w:val="bottom"/>
            <w:shd w:val="clear" w:color="auto" w:fill="F2F3F2"/>
          </w:tcPr>
          <w:p>
            <w:pPr>
              <w:spacing w:after="0"/>
              <w:rPr>
                <w:sz w:val="15"/>
                <w:szCs w:val="15"/>
                <w:color w:val="auto"/>
              </w:rPr>
            </w:pPr>
          </w:p>
        </w:tc>
        <w:tc>
          <w:tcPr>
            <w:tcW w:w="2920" w:type="dxa"/>
            <w:vAlign w:val="bottom"/>
            <w:shd w:val="clear" w:color="auto" w:fill="F2F3F2"/>
          </w:tcPr>
          <w:p>
            <w:pPr>
              <w:ind w:left="140"/>
              <w:spacing w:after="0"/>
              <w:rPr>
                <w:sz w:val="20"/>
                <w:szCs w:val="20"/>
                <w:color w:val="auto"/>
              </w:rPr>
            </w:pPr>
            <w:r>
              <w:rPr>
                <w:rFonts w:ascii="Arial" w:cs="Arial" w:eastAsia="Arial" w:hAnsi="Arial"/>
                <w:sz w:val="14"/>
                <w:szCs w:val="14"/>
                <w:color w:val="auto"/>
              </w:rPr>
              <w:t>hand when you access the website and</w:t>
            </w:r>
          </w:p>
        </w:tc>
        <w:tc>
          <w:tcPr>
            <w:tcW w:w="0" w:type="dxa"/>
            <w:vAlign w:val="bottom"/>
          </w:tcPr>
          <w:p>
            <w:pPr>
              <w:spacing w:after="0"/>
              <w:rPr>
                <w:sz w:val="1"/>
                <w:szCs w:val="1"/>
                <w:color w:val="auto"/>
              </w:rPr>
            </w:pPr>
          </w:p>
        </w:tc>
      </w:tr>
      <w:tr>
        <w:trPr>
          <w:trHeight w:val="175"/>
        </w:trPr>
        <w:tc>
          <w:tcPr>
            <w:tcW w:w="100" w:type="dxa"/>
            <w:vAlign w:val="bottom"/>
            <w:tcBorders>
              <w:right w:val="single" w:sz="8" w:color="B2B3B6"/>
            </w:tcBorders>
            <w:shd w:val="clear" w:color="auto" w:fill="F2F3F2"/>
          </w:tcPr>
          <w:p>
            <w:pPr>
              <w:spacing w:after="0"/>
              <w:rPr>
                <w:sz w:val="15"/>
                <w:szCs w:val="15"/>
                <w:color w:val="auto"/>
              </w:rPr>
            </w:pPr>
          </w:p>
        </w:tc>
        <w:tc>
          <w:tcPr>
            <w:tcW w:w="80" w:type="dxa"/>
            <w:vAlign w:val="bottom"/>
            <w:shd w:val="clear" w:color="auto" w:fill="F2F3F2"/>
          </w:tcPr>
          <w:p>
            <w:pPr>
              <w:spacing w:after="0"/>
              <w:rPr>
                <w:sz w:val="15"/>
                <w:szCs w:val="15"/>
                <w:color w:val="auto"/>
              </w:rPr>
            </w:pPr>
          </w:p>
        </w:tc>
        <w:tc>
          <w:tcPr>
            <w:tcW w:w="2840" w:type="dxa"/>
            <w:vAlign w:val="bottom"/>
            <w:shd w:val="clear" w:color="auto" w:fill="F2F3F2"/>
          </w:tcPr>
          <w:p>
            <w:pPr>
              <w:spacing w:after="0"/>
              <w:rPr>
                <w:sz w:val="15"/>
                <w:szCs w:val="15"/>
                <w:color w:val="auto"/>
              </w:rPr>
            </w:pPr>
          </w:p>
        </w:tc>
        <w:tc>
          <w:tcPr>
            <w:tcW w:w="100" w:type="dxa"/>
            <w:vAlign w:val="bottom"/>
            <w:tcBorders>
              <w:right w:val="single" w:sz="8" w:color="B2B3B6"/>
            </w:tcBorders>
            <w:shd w:val="clear" w:color="auto" w:fill="F2F3F2"/>
          </w:tcPr>
          <w:p>
            <w:pPr>
              <w:spacing w:after="0"/>
              <w:rPr>
                <w:sz w:val="15"/>
                <w:szCs w:val="15"/>
                <w:color w:val="auto"/>
              </w:rPr>
            </w:pPr>
          </w:p>
        </w:tc>
        <w:tc>
          <w:tcPr>
            <w:tcW w:w="80" w:type="dxa"/>
            <w:vAlign w:val="bottom"/>
            <w:shd w:val="clear" w:color="auto" w:fill="F2F3F2"/>
          </w:tcPr>
          <w:p>
            <w:pPr>
              <w:spacing w:after="0"/>
              <w:rPr>
                <w:sz w:val="15"/>
                <w:szCs w:val="15"/>
                <w:color w:val="auto"/>
              </w:rPr>
            </w:pPr>
          </w:p>
        </w:tc>
        <w:tc>
          <w:tcPr>
            <w:tcW w:w="2920" w:type="dxa"/>
            <w:vAlign w:val="bottom"/>
            <w:shd w:val="clear" w:color="auto" w:fill="F2F3F2"/>
          </w:tcPr>
          <w:p>
            <w:pPr>
              <w:ind w:left="140"/>
              <w:spacing w:after="0"/>
              <w:rPr>
                <w:sz w:val="20"/>
                <w:szCs w:val="20"/>
                <w:color w:val="auto"/>
              </w:rPr>
            </w:pPr>
            <w:r>
              <w:rPr>
                <w:rFonts w:ascii="Arial" w:cs="Arial" w:eastAsia="Arial" w:hAnsi="Arial"/>
                <w:sz w:val="14"/>
                <w:szCs w:val="14"/>
                <w:color w:val="auto"/>
              </w:rPr>
              <w:t>follow the instructions to obtain your</w:t>
            </w:r>
          </w:p>
        </w:tc>
        <w:tc>
          <w:tcPr>
            <w:tcW w:w="0" w:type="dxa"/>
            <w:vAlign w:val="bottom"/>
          </w:tcPr>
          <w:p>
            <w:pPr>
              <w:spacing w:after="0"/>
              <w:rPr>
                <w:sz w:val="1"/>
                <w:szCs w:val="1"/>
                <w:color w:val="auto"/>
              </w:rPr>
            </w:pPr>
          </w:p>
        </w:tc>
      </w:tr>
      <w:tr>
        <w:trPr>
          <w:trHeight w:val="176"/>
        </w:trPr>
        <w:tc>
          <w:tcPr>
            <w:tcW w:w="100" w:type="dxa"/>
            <w:vAlign w:val="bottom"/>
            <w:tcBorders>
              <w:right w:val="single" w:sz="8" w:color="B2B3B6"/>
            </w:tcBorders>
            <w:shd w:val="clear" w:color="auto" w:fill="F2F3F2"/>
          </w:tcPr>
          <w:p>
            <w:pPr>
              <w:spacing w:after="0"/>
              <w:rPr>
                <w:sz w:val="15"/>
                <w:szCs w:val="15"/>
                <w:color w:val="auto"/>
              </w:rPr>
            </w:pPr>
          </w:p>
        </w:tc>
        <w:tc>
          <w:tcPr>
            <w:tcW w:w="80" w:type="dxa"/>
            <w:vAlign w:val="bottom"/>
            <w:shd w:val="clear" w:color="auto" w:fill="F2F3F2"/>
          </w:tcPr>
          <w:p>
            <w:pPr>
              <w:spacing w:after="0"/>
              <w:rPr>
                <w:sz w:val="15"/>
                <w:szCs w:val="15"/>
                <w:color w:val="auto"/>
              </w:rPr>
            </w:pPr>
          </w:p>
        </w:tc>
        <w:tc>
          <w:tcPr>
            <w:tcW w:w="2840" w:type="dxa"/>
            <w:vAlign w:val="bottom"/>
            <w:shd w:val="clear" w:color="auto" w:fill="F2F3F2"/>
          </w:tcPr>
          <w:p>
            <w:pPr>
              <w:spacing w:after="0"/>
              <w:rPr>
                <w:sz w:val="15"/>
                <w:szCs w:val="15"/>
                <w:color w:val="auto"/>
              </w:rPr>
            </w:pPr>
          </w:p>
        </w:tc>
        <w:tc>
          <w:tcPr>
            <w:tcW w:w="100" w:type="dxa"/>
            <w:vAlign w:val="bottom"/>
            <w:tcBorders>
              <w:right w:val="single" w:sz="8" w:color="B2B3B6"/>
            </w:tcBorders>
            <w:shd w:val="clear" w:color="auto" w:fill="F2F3F2"/>
          </w:tcPr>
          <w:p>
            <w:pPr>
              <w:spacing w:after="0"/>
              <w:rPr>
                <w:sz w:val="15"/>
                <w:szCs w:val="15"/>
                <w:color w:val="auto"/>
              </w:rPr>
            </w:pPr>
          </w:p>
        </w:tc>
        <w:tc>
          <w:tcPr>
            <w:tcW w:w="80" w:type="dxa"/>
            <w:vAlign w:val="bottom"/>
            <w:shd w:val="clear" w:color="auto" w:fill="F2F3F2"/>
          </w:tcPr>
          <w:p>
            <w:pPr>
              <w:spacing w:after="0"/>
              <w:rPr>
                <w:sz w:val="15"/>
                <w:szCs w:val="15"/>
                <w:color w:val="auto"/>
              </w:rPr>
            </w:pPr>
          </w:p>
        </w:tc>
        <w:tc>
          <w:tcPr>
            <w:tcW w:w="2920" w:type="dxa"/>
            <w:vAlign w:val="bottom"/>
            <w:shd w:val="clear" w:color="auto" w:fill="F2F3F2"/>
          </w:tcPr>
          <w:p>
            <w:pPr>
              <w:ind w:left="140"/>
              <w:spacing w:after="0"/>
              <w:rPr>
                <w:sz w:val="20"/>
                <w:szCs w:val="20"/>
                <w:color w:val="auto"/>
              </w:rPr>
            </w:pPr>
            <w:r>
              <w:rPr>
                <w:rFonts w:ascii="Arial" w:cs="Arial" w:eastAsia="Arial" w:hAnsi="Arial"/>
                <w:sz w:val="14"/>
                <w:szCs w:val="14"/>
                <w:color w:val="auto"/>
              </w:rPr>
              <w:t>records and to create an electronic</w:t>
            </w:r>
          </w:p>
        </w:tc>
        <w:tc>
          <w:tcPr>
            <w:tcW w:w="0" w:type="dxa"/>
            <w:vAlign w:val="bottom"/>
          </w:tcPr>
          <w:p>
            <w:pPr>
              <w:spacing w:after="0"/>
              <w:rPr>
                <w:sz w:val="1"/>
                <w:szCs w:val="1"/>
                <w:color w:val="auto"/>
              </w:rPr>
            </w:pPr>
          </w:p>
        </w:tc>
      </w:tr>
      <w:tr>
        <w:trPr>
          <w:trHeight w:val="198"/>
        </w:trPr>
        <w:tc>
          <w:tcPr>
            <w:tcW w:w="100" w:type="dxa"/>
            <w:vAlign w:val="bottom"/>
            <w:tcBorders>
              <w:right w:val="single" w:sz="8" w:color="B2B3B6"/>
            </w:tcBorders>
            <w:shd w:val="clear" w:color="auto" w:fill="F2F3F2"/>
          </w:tcPr>
          <w:p>
            <w:pPr>
              <w:spacing w:after="0"/>
              <w:rPr>
                <w:sz w:val="17"/>
                <w:szCs w:val="17"/>
                <w:color w:val="auto"/>
              </w:rPr>
            </w:pPr>
          </w:p>
        </w:tc>
        <w:tc>
          <w:tcPr>
            <w:tcW w:w="80" w:type="dxa"/>
            <w:vAlign w:val="bottom"/>
            <w:shd w:val="clear" w:color="auto" w:fill="F2F3F2"/>
          </w:tcPr>
          <w:p>
            <w:pPr>
              <w:spacing w:after="0"/>
              <w:rPr>
                <w:sz w:val="17"/>
                <w:szCs w:val="17"/>
                <w:color w:val="auto"/>
              </w:rPr>
            </w:pPr>
          </w:p>
        </w:tc>
        <w:tc>
          <w:tcPr>
            <w:tcW w:w="2840" w:type="dxa"/>
            <w:vAlign w:val="bottom"/>
            <w:shd w:val="clear" w:color="auto" w:fill="F2F3F2"/>
          </w:tcPr>
          <w:p>
            <w:pPr>
              <w:spacing w:after="0"/>
              <w:rPr>
                <w:sz w:val="17"/>
                <w:szCs w:val="17"/>
                <w:color w:val="auto"/>
              </w:rPr>
            </w:pPr>
          </w:p>
        </w:tc>
        <w:tc>
          <w:tcPr>
            <w:tcW w:w="100" w:type="dxa"/>
            <w:vAlign w:val="bottom"/>
            <w:tcBorders>
              <w:right w:val="single" w:sz="8" w:color="B2B3B6"/>
            </w:tcBorders>
            <w:shd w:val="clear" w:color="auto" w:fill="F2F3F2"/>
          </w:tcPr>
          <w:p>
            <w:pPr>
              <w:spacing w:after="0"/>
              <w:rPr>
                <w:sz w:val="17"/>
                <w:szCs w:val="17"/>
                <w:color w:val="auto"/>
              </w:rPr>
            </w:pPr>
          </w:p>
        </w:tc>
        <w:tc>
          <w:tcPr>
            <w:tcW w:w="80" w:type="dxa"/>
            <w:vAlign w:val="bottom"/>
            <w:shd w:val="clear" w:color="auto" w:fill="F2F3F2"/>
          </w:tcPr>
          <w:p>
            <w:pPr>
              <w:spacing w:after="0"/>
              <w:rPr>
                <w:sz w:val="17"/>
                <w:szCs w:val="17"/>
                <w:color w:val="auto"/>
              </w:rPr>
            </w:pPr>
          </w:p>
        </w:tc>
        <w:tc>
          <w:tcPr>
            <w:tcW w:w="2920" w:type="dxa"/>
            <w:vAlign w:val="bottom"/>
            <w:shd w:val="clear" w:color="auto" w:fill="F2F3F2"/>
          </w:tcPr>
          <w:p>
            <w:pPr>
              <w:ind w:left="140"/>
              <w:spacing w:after="0"/>
              <w:rPr>
                <w:sz w:val="20"/>
                <w:szCs w:val="20"/>
                <w:color w:val="auto"/>
              </w:rPr>
            </w:pPr>
            <w:r>
              <w:rPr>
                <w:rFonts w:ascii="Arial" w:cs="Arial" w:eastAsia="Arial" w:hAnsi="Arial"/>
                <w:sz w:val="14"/>
                <w:szCs w:val="14"/>
                <w:color w:val="auto"/>
              </w:rPr>
              <w:t>voting instruction form.</w:t>
            </w:r>
          </w:p>
        </w:tc>
        <w:tc>
          <w:tcPr>
            <w:tcW w:w="0" w:type="dxa"/>
            <w:vAlign w:val="bottom"/>
          </w:tcPr>
          <w:p>
            <w:pPr>
              <w:spacing w:after="0"/>
              <w:rPr>
                <w:sz w:val="1"/>
                <w:szCs w:val="1"/>
                <w:color w:val="auto"/>
              </w:rPr>
            </w:pPr>
          </w:p>
        </w:tc>
      </w:tr>
      <w:tr>
        <w:trPr>
          <w:trHeight w:val="270"/>
        </w:trPr>
        <w:tc>
          <w:tcPr>
            <w:tcW w:w="100" w:type="dxa"/>
            <w:vAlign w:val="bottom"/>
            <w:tcBorders>
              <w:right w:val="single" w:sz="8" w:color="F2F3F2"/>
            </w:tcBorders>
            <w:shd w:val="clear" w:color="auto" w:fill="F2F3F2"/>
          </w:tcPr>
          <w:p>
            <w:pPr>
              <w:spacing w:after="0"/>
              <w:rPr>
                <w:sz w:val="23"/>
                <w:szCs w:val="23"/>
                <w:color w:val="auto"/>
              </w:rPr>
            </w:pPr>
          </w:p>
        </w:tc>
        <w:tc>
          <w:tcPr>
            <w:tcW w:w="80" w:type="dxa"/>
            <w:vAlign w:val="bottom"/>
            <w:shd w:val="clear" w:color="auto" w:fill="F2F3F2"/>
          </w:tcPr>
          <w:p>
            <w:pPr>
              <w:spacing w:after="0"/>
              <w:rPr>
                <w:sz w:val="23"/>
                <w:szCs w:val="23"/>
                <w:color w:val="auto"/>
              </w:rPr>
            </w:pPr>
          </w:p>
        </w:tc>
        <w:tc>
          <w:tcPr>
            <w:tcW w:w="2840" w:type="dxa"/>
            <w:vAlign w:val="bottom"/>
            <w:shd w:val="clear" w:color="auto" w:fill="F2F3F2"/>
          </w:tcPr>
          <w:p>
            <w:pPr>
              <w:spacing w:after="0"/>
              <w:rPr>
                <w:sz w:val="23"/>
                <w:szCs w:val="23"/>
                <w:color w:val="auto"/>
              </w:rPr>
            </w:pPr>
          </w:p>
        </w:tc>
        <w:tc>
          <w:tcPr>
            <w:tcW w:w="100" w:type="dxa"/>
            <w:vAlign w:val="bottom"/>
            <w:tcBorders>
              <w:right w:val="single" w:sz="8" w:color="F2F3F2"/>
            </w:tcBorders>
            <w:shd w:val="clear" w:color="auto" w:fill="F2F3F2"/>
          </w:tcPr>
          <w:p>
            <w:pPr>
              <w:spacing w:after="0"/>
              <w:rPr>
                <w:sz w:val="23"/>
                <w:szCs w:val="23"/>
                <w:color w:val="auto"/>
              </w:rPr>
            </w:pPr>
          </w:p>
        </w:tc>
        <w:tc>
          <w:tcPr>
            <w:tcW w:w="80" w:type="dxa"/>
            <w:vAlign w:val="bottom"/>
            <w:shd w:val="clear" w:color="auto" w:fill="F2F3F2"/>
          </w:tcPr>
          <w:p>
            <w:pPr>
              <w:spacing w:after="0"/>
              <w:rPr>
                <w:sz w:val="23"/>
                <w:szCs w:val="23"/>
                <w:color w:val="auto"/>
              </w:rPr>
            </w:pPr>
          </w:p>
        </w:tc>
        <w:tc>
          <w:tcPr>
            <w:tcW w:w="2920" w:type="dxa"/>
            <w:vAlign w:val="bottom"/>
            <w:shd w:val="clear" w:color="auto" w:fill="F2F3F2"/>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720" w:space="60"/>
            <w:col w:w="6940"/>
          </w:cols>
          <w:pgMar w:left="580" w:top="131" w:right="599" w:bottom="1440" w:gutter="0" w:footer="0" w:header="0"/>
          <w:type w:val="continuous"/>
        </w:sectPr>
      </w:pPr>
    </w:p>
    <w:p>
      <w:pPr>
        <w:spacing w:after="0" w:line="218" w:lineRule="exact"/>
        <w:rPr>
          <w:sz w:val="20"/>
          <w:szCs w:val="20"/>
          <w:color w:val="auto"/>
        </w:rPr>
      </w:pPr>
    </w:p>
    <w:p>
      <w:pPr>
        <w:ind w:left="820" w:right="980"/>
        <w:spacing w:after="0" w:line="310" w:lineRule="auto"/>
        <w:rPr>
          <w:sz w:val="20"/>
          <w:szCs w:val="20"/>
          <w:color w:val="auto"/>
        </w:rPr>
      </w:pPr>
      <w:r>
        <w:rPr>
          <w:rFonts w:ascii="Arial" w:cs="Arial" w:eastAsia="Arial" w:hAnsi="Arial"/>
          <w:sz w:val="16"/>
          <w:szCs w:val="16"/>
          <w:color w:val="auto"/>
        </w:rPr>
        <w:t>We intend to hold our Annual Meeting via live audio webcast. You will not be able to attend in person. If we do decide to hold our Annual Meeting in person, then we will announce our decision and post additional information on our Investor Relations website at https://ir.huronconsultinggroup.com. Please check this website in advance of the Annual Meeting date.</w:t>
      </w:r>
    </w:p>
    <w:p>
      <w:pPr>
        <w:spacing w:after="0" w:line="84" w:lineRule="exact"/>
        <w:rPr>
          <w:sz w:val="20"/>
          <w:szCs w:val="20"/>
          <w:color w:val="auto"/>
        </w:rPr>
      </w:pPr>
    </w:p>
    <w:p>
      <w:pPr>
        <w:ind w:left="820" w:right="820"/>
        <w:spacing w:after="0" w:line="295" w:lineRule="auto"/>
        <w:rPr>
          <w:sz w:val="20"/>
          <w:szCs w:val="20"/>
          <w:color w:val="auto"/>
        </w:rPr>
      </w:pPr>
      <w:r>
        <w:rPr>
          <w:rFonts w:ascii="Arial" w:cs="Arial" w:eastAsia="Arial" w:hAnsi="Arial"/>
          <w:sz w:val="16"/>
          <w:szCs w:val="16"/>
          <w:color w:val="auto"/>
        </w:rPr>
        <w:t xml:space="preserve">Stockholders who wish to attend the Annual Meeting via live audio webcast may do so via the website reflected on their proxy card. We have worked to offer the same participation opportunities as were provided at the in-person portion of our past meetings while further enhancing the online experience available to all stockholders regardless of their location. During the Annual Meeting, stockholders will have the opportunity to ask questions of management or directors via live chat and to vote or change their previous vote. You may also address any questions in advance of the Annual Meeting to Corporate Secretary, Huron Consulting Group Inc., 550 West Van Buren Street, 17th Floor, Chicago, Illinois 60607, or </w:t>
      </w:r>
      <w:r>
        <w:rPr>
          <w:rFonts w:ascii="Arial" w:cs="Arial" w:eastAsia="Arial" w:hAnsi="Arial"/>
          <w:sz w:val="16"/>
          <w:szCs w:val="16"/>
          <w:i w:val="1"/>
          <w:iCs w:val="1"/>
          <w:color w:val="auto"/>
        </w:rPr>
        <w:t>corporatesecretary@hcg.com</w:t>
      </w:r>
      <w:r>
        <w:rPr>
          <w:rFonts w:ascii="Arial" w:cs="Arial" w:eastAsia="Arial" w:hAnsi="Arial"/>
          <w:sz w:val="16"/>
          <w:szCs w:val="16"/>
          <w:i w:val="1"/>
          <w:iCs w:val="1"/>
          <w:color w:val="FF0090"/>
        </w:rPr>
        <w:t>.</w:t>
      </w:r>
    </w:p>
    <w:p>
      <w:pPr>
        <w:spacing w:after="0" w:line="331" w:lineRule="exact"/>
        <w:rPr>
          <w:sz w:val="20"/>
          <w:szCs w:val="20"/>
          <w:color w:val="auto"/>
        </w:rPr>
      </w:pPr>
    </w:p>
    <w:p>
      <w:pPr>
        <w:ind w:left="820"/>
        <w:spacing w:after="0"/>
        <w:rPr>
          <w:sz w:val="20"/>
          <w:szCs w:val="20"/>
          <w:color w:val="auto"/>
        </w:rPr>
      </w:pPr>
      <w:r>
        <w:rPr>
          <w:rFonts w:ascii="Arial" w:cs="Arial" w:eastAsia="Arial" w:hAnsi="Arial"/>
          <w:sz w:val="16"/>
          <w:szCs w:val="16"/>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00558C"/>
        </w:rPr>
        <w:t>Hope Katz</w:t>
      </w:r>
    </w:p>
    <w:p>
      <w:pPr>
        <w:spacing w:after="0" w:line="113" w:lineRule="exact"/>
        <w:rPr>
          <w:sz w:val="20"/>
          <w:szCs w:val="20"/>
          <w:color w:val="auto"/>
        </w:rPr>
      </w:pPr>
    </w:p>
    <w:p>
      <w:pPr>
        <w:ind w:left="820"/>
        <w:spacing w:after="0"/>
        <w:rPr>
          <w:sz w:val="20"/>
          <w:szCs w:val="20"/>
          <w:color w:val="auto"/>
        </w:rPr>
      </w:pPr>
      <w:r>
        <w:rPr>
          <w:rFonts w:ascii="Arial" w:cs="Arial" w:eastAsia="Arial" w:hAnsi="Arial"/>
          <w:sz w:val="16"/>
          <w:szCs w:val="16"/>
          <w:color w:val="auto"/>
        </w:rPr>
        <w:t>Executive Vice President, General Counsel and Corporate Secretary</w:t>
      </w:r>
    </w:p>
    <w:p>
      <w:pPr>
        <w:spacing w:after="0" w:line="181" w:lineRule="exact"/>
        <w:rPr>
          <w:sz w:val="20"/>
          <w:szCs w:val="20"/>
          <w:color w:val="auto"/>
        </w:rPr>
      </w:pPr>
    </w:p>
    <w:p>
      <w:pPr>
        <w:ind w:left="820"/>
        <w:spacing w:after="0"/>
        <w:rPr>
          <w:sz w:val="20"/>
          <w:szCs w:val="20"/>
          <w:color w:val="auto"/>
        </w:rPr>
      </w:pPr>
      <w:r>
        <w:rPr>
          <w:rFonts w:ascii="Arial" w:cs="Arial" w:eastAsia="Arial" w:hAnsi="Arial"/>
          <w:sz w:val="16"/>
          <w:szCs w:val="16"/>
          <w:color w:val="auto"/>
        </w:rPr>
        <w:t>Chicago, Illinois</w:t>
      </w:r>
    </w:p>
    <w:p>
      <w:pPr>
        <w:spacing w:after="0" w:line="32" w:lineRule="exact"/>
        <w:rPr>
          <w:sz w:val="20"/>
          <w:szCs w:val="20"/>
          <w:color w:val="auto"/>
        </w:rPr>
      </w:pPr>
    </w:p>
    <w:p>
      <w:pPr>
        <w:ind w:left="820"/>
        <w:spacing w:after="0"/>
        <w:rPr>
          <w:sz w:val="20"/>
          <w:szCs w:val="20"/>
          <w:color w:val="auto"/>
        </w:rPr>
      </w:pPr>
      <w:r>
        <w:rPr>
          <w:rFonts w:ascii="Arial" w:cs="Arial" w:eastAsia="Arial" w:hAnsi="Arial"/>
          <w:sz w:val="16"/>
          <w:szCs w:val="16"/>
          <w:color w:val="auto"/>
        </w:rPr>
        <w:t>March 28,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700" w:right="2220" w:hanging="1271"/>
        <w:spacing w:after="0" w:line="311" w:lineRule="auto"/>
        <w:rPr>
          <w:sz w:val="20"/>
          <w:szCs w:val="20"/>
          <w:color w:val="auto"/>
        </w:rPr>
      </w:pPr>
      <w:r>
        <w:rPr>
          <w:rFonts w:ascii="Arial" w:cs="Arial" w:eastAsia="Arial" w:hAnsi="Arial"/>
          <w:sz w:val="22"/>
          <w:szCs w:val="22"/>
          <w:b w:val="1"/>
          <w:bCs w:val="1"/>
          <w:color w:val="00558C"/>
        </w:rPr>
        <w:t>Important Notice Regarding the Availability of Proxy Materials for the Stockholder Meeting to be Held on May 9, 2025</w:t>
      </w:r>
    </w:p>
    <w:p>
      <w:pPr>
        <w:sectPr>
          <w:pgSz w:w="11900" w:h="16838" w:orient="portrait"/>
          <w:cols w:equalWidth="0" w:num="1">
            <w:col w:w="10720"/>
          </w:cols>
          <w:pgMar w:left="580" w:top="131" w:right="599" w:bottom="1440" w:gutter="0" w:footer="0" w:header="0"/>
          <w:type w:val="continuous"/>
        </w:sectPr>
      </w:pPr>
    </w:p>
    <w:p>
      <w:pPr>
        <w:spacing w:after="0" w:line="70" w:lineRule="exact"/>
        <w:rPr>
          <w:sz w:val="20"/>
          <w:szCs w:val="20"/>
          <w:color w:val="auto"/>
        </w:rPr>
      </w:pPr>
    </w:p>
    <w:p>
      <w:pPr>
        <w:ind w:left="1160"/>
        <w:spacing w:after="0"/>
        <w:rPr>
          <w:sz w:val="20"/>
          <w:szCs w:val="20"/>
          <w:color w:val="auto"/>
        </w:rPr>
      </w:pPr>
      <w:r>
        <w:rPr>
          <w:rFonts w:ascii="Arial" w:cs="Arial" w:eastAsia="Arial" w:hAnsi="Arial"/>
          <w:sz w:val="17"/>
          <w:szCs w:val="17"/>
          <w:color w:val="00558C"/>
        </w:rPr>
        <w:t>The Proxy Statement and Annual Report to Stockholders are available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1154430</wp:posOffset>
            </wp:positionV>
            <wp:extent cx="6810375" cy="419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10375" cy="419100"/>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type w:val="continuous"/>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8437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10375" cy="8437245"/>
                    </a:xfrm>
                    <a:prstGeom prst="rect">
                      <a:avLst/>
                    </a:prstGeom>
                    <a:noFill/>
                  </pic:spPr>
                </pic:pic>
              </a:graphicData>
            </a:graphic>
          </wp:anchor>
        </w:drawing>
      </w:r>
    </w:p>
    <w:p>
      <w:pPr>
        <w:spacing w:after="0" w:line="212" w:lineRule="exact"/>
        <w:rPr>
          <w:sz w:val="20"/>
          <w:szCs w:val="20"/>
          <w:color w:val="auto"/>
        </w:rPr>
      </w:pPr>
    </w:p>
    <w:p>
      <w:pPr>
        <w:spacing w:after="0"/>
        <w:rPr>
          <w:sz w:val="20"/>
          <w:szCs w:val="20"/>
          <w:color w:val="auto"/>
        </w:rPr>
      </w:pPr>
      <w:r>
        <w:rPr>
          <w:rFonts w:ascii="Arial" w:cs="Arial" w:eastAsia="Arial" w:hAnsi="Arial"/>
          <w:sz w:val="53"/>
          <w:szCs w:val="53"/>
          <w:color w:val="00558C"/>
        </w:rPr>
        <w:t>Table of Contents</w:t>
      </w:r>
    </w:p>
    <w:p>
      <w:pPr>
        <w:sectPr>
          <w:pgSz w:w="11900" w:h="16838" w:orient="portrait"/>
          <w:cols w:equalWidth="0" w:num="1">
            <w:col w:w="9080"/>
          </w:cols>
          <w:pgMar w:left="1400" w:top="1440" w:right="1419" w:bottom="0" w:gutter="0" w:footer="0" w:header="0"/>
        </w:sectPr>
      </w:pPr>
    </w:p>
    <w:p>
      <w:pPr>
        <w:spacing w:after="0" w:line="365" w:lineRule="exact"/>
        <w:rPr>
          <w:sz w:val="20"/>
          <w:szCs w:val="20"/>
          <w:color w:val="auto"/>
        </w:rPr>
      </w:pPr>
    </w:p>
    <w:p>
      <w:pPr>
        <w:ind w:left="140"/>
        <w:spacing w:after="0"/>
        <w:rPr>
          <w:sz w:val="20"/>
          <w:szCs w:val="20"/>
          <w:color w:val="auto"/>
        </w:rPr>
      </w:pPr>
      <w:r>
        <w:rPr>
          <w:rFonts w:ascii="Arial" w:cs="Arial" w:eastAsia="Arial" w:hAnsi="Arial"/>
          <w:sz w:val="27"/>
          <w:szCs w:val="27"/>
          <w:color w:val="00558C"/>
        </w:rPr>
        <w:t>Company Overview</w:t>
      </w:r>
    </w:p>
    <w:p>
      <w:pPr>
        <w:spacing w:after="0" w:line="176" w:lineRule="exact"/>
        <w:rPr>
          <w:sz w:val="20"/>
          <w:szCs w:val="20"/>
          <w:color w:val="auto"/>
        </w:rPr>
      </w:pPr>
    </w:p>
    <w:p>
      <w:pPr>
        <w:ind w:left="140"/>
        <w:spacing w:after="0"/>
        <w:rPr>
          <w:sz w:val="20"/>
          <w:szCs w:val="20"/>
          <w:color w:val="auto"/>
        </w:rPr>
      </w:pPr>
      <w:r>
        <w:rPr>
          <w:rFonts w:ascii="Arial" w:cs="Arial" w:eastAsia="Arial" w:hAnsi="Arial"/>
          <w:sz w:val="26"/>
          <w:szCs w:val="26"/>
          <w:color w:val="00558C"/>
        </w:rPr>
        <w:t>General Information About the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0"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00558C"/>
        </w:rPr>
        <w:t>i</w:t>
      </w:r>
    </w:p>
    <w:p>
      <w:pPr>
        <w:spacing w:after="0" w:line="325" w:lineRule="exact"/>
        <w:rPr>
          <w:sz w:val="20"/>
          <w:szCs w:val="20"/>
          <w:color w:val="auto"/>
        </w:rPr>
      </w:pPr>
    </w:p>
    <w:p>
      <w:pPr>
        <w:spacing w:after="0"/>
        <w:rPr>
          <w:sz w:val="20"/>
          <w:szCs w:val="20"/>
          <w:color w:val="auto"/>
        </w:rPr>
      </w:pPr>
      <w:r>
        <w:rPr>
          <w:rFonts w:ascii="Arial" w:cs="Arial" w:eastAsia="Arial" w:hAnsi="Arial"/>
          <w:sz w:val="14"/>
          <w:szCs w:val="14"/>
          <w:color w:val="00558C"/>
        </w:rPr>
        <w:t>1</w:t>
      </w:r>
    </w:p>
    <w:p>
      <w:pPr>
        <w:spacing w:after="0" w:line="158" w:lineRule="exact"/>
        <w:rPr>
          <w:sz w:val="20"/>
          <w:szCs w:val="20"/>
          <w:color w:val="auto"/>
        </w:rPr>
      </w:pPr>
    </w:p>
    <w:p>
      <w:pPr>
        <w:sectPr>
          <w:pgSz w:w="11900" w:h="16838" w:orient="portrait"/>
          <w:cols w:equalWidth="0" w:num="2">
            <w:col w:w="8240" w:space="720"/>
            <w:col w:w="120"/>
          </w:cols>
          <w:pgMar w:left="1400" w:top="1440" w:right="1419" w:bottom="0" w:gutter="0" w:footer="0" w:header="0"/>
          <w:type w:val="continuous"/>
        </w:sectPr>
      </w:pPr>
    </w:p>
    <w:tbl>
      <w:tblPr>
        <w:tblLayout w:type="fixed"/>
        <w:tblInd w:w="80" w:type="dxa"/>
        <w:tblCellMar>
          <w:top w:w="0" w:type="dxa"/>
          <w:left w:w="0" w:type="dxa"/>
          <w:bottom w:w="0" w:type="dxa"/>
          <w:right w:w="0" w:type="dxa"/>
        </w:tblCellMar>
      </w:tblPr>
      <w:tr>
        <w:trPr>
          <w:trHeight w:val="303"/>
        </w:trPr>
        <w:tc>
          <w:tcPr>
            <w:tcW w:w="7820" w:type="dxa"/>
            <w:vAlign w:val="bottom"/>
            <w:shd w:val="clear" w:color="auto" w:fill="F2F3F2"/>
          </w:tcPr>
          <w:p>
            <w:pPr>
              <w:ind w:left="60"/>
              <w:spacing w:after="0"/>
              <w:rPr>
                <w:sz w:val="20"/>
                <w:szCs w:val="20"/>
                <w:color w:val="auto"/>
              </w:rPr>
            </w:pPr>
            <w:r>
              <w:rPr>
                <w:rFonts w:ascii="Arial" w:cs="Arial" w:eastAsia="Arial" w:hAnsi="Arial"/>
                <w:sz w:val="16"/>
                <w:szCs w:val="16"/>
                <w:b w:val="1"/>
                <w:bCs w:val="1"/>
                <w:color w:val="00558C"/>
              </w:rPr>
              <w:t>Quorum and Voting Requirements</w:t>
            </w:r>
          </w:p>
        </w:tc>
        <w:tc>
          <w:tcPr>
            <w:tcW w:w="1180" w:type="dxa"/>
            <w:vAlign w:val="bottom"/>
            <w:shd w:val="clear" w:color="auto" w:fill="F2F3F2"/>
          </w:tcPr>
          <w:p>
            <w:pPr>
              <w:jc w:val="right"/>
              <w:spacing w:after="0"/>
              <w:rPr>
                <w:sz w:val="20"/>
                <w:szCs w:val="20"/>
                <w:color w:val="auto"/>
              </w:rPr>
            </w:pPr>
            <w:r>
              <w:rPr>
                <w:rFonts w:ascii="Arial" w:cs="Arial" w:eastAsia="Arial" w:hAnsi="Arial"/>
                <w:sz w:val="14"/>
                <w:szCs w:val="14"/>
                <w:color w:val="00558C"/>
              </w:rPr>
              <w:t>1</w:t>
            </w:r>
          </w:p>
        </w:tc>
        <w:tc>
          <w:tcPr>
            <w:tcW w:w="0" w:type="dxa"/>
            <w:vAlign w:val="bottom"/>
          </w:tcPr>
          <w:p>
            <w:pPr>
              <w:spacing w:after="0"/>
              <w:rPr>
                <w:sz w:val="1"/>
                <w:szCs w:val="1"/>
                <w:color w:val="auto"/>
              </w:rPr>
            </w:pPr>
          </w:p>
        </w:tc>
      </w:tr>
      <w:tr>
        <w:trPr>
          <w:trHeight w:val="61"/>
        </w:trPr>
        <w:tc>
          <w:tcPr>
            <w:tcW w:w="7820" w:type="dxa"/>
            <w:vAlign w:val="bottom"/>
            <w:tcBorders>
              <w:bottom w:val="single" w:sz="8" w:color="B2B3B6"/>
            </w:tcBorders>
            <w:shd w:val="clear" w:color="auto" w:fill="F2F3F2"/>
          </w:tcPr>
          <w:p>
            <w:pPr>
              <w:spacing w:after="0"/>
              <w:rPr>
                <w:sz w:val="5"/>
                <w:szCs w:val="5"/>
                <w:color w:val="auto"/>
              </w:rPr>
            </w:pPr>
          </w:p>
        </w:tc>
        <w:tc>
          <w:tcPr>
            <w:tcW w:w="1180" w:type="dxa"/>
            <w:vAlign w:val="bottom"/>
            <w:tcBorders>
              <w:bottom w:val="single" w:sz="8" w:color="B2B3B6"/>
            </w:tcBorders>
            <w:shd w:val="clear" w:color="auto" w:fill="F2F3F2"/>
          </w:tcPr>
          <w:p>
            <w:pPr>
              <w:spacing w:after="0"/>
              <w:rPr>
                <w:sz w:val="5"/>
                <w:szCs w:val="5"/>
                <w:color w:val="auto"/>
              </w:rPr>
            </w:pPr>
          </w:p>
        </w:tc>
        <w:tc>
          <w:tcPr>
            <w:tcW w:w="0" w:type="dxa"/>
            <w:vAlign w:val="bottom"/>
          </w:tcPr>
          <w:p>
            <w:pPr>
              <w:spacing w:after="0"/>
              <w:rPr>
                <w:sz w:val="1"/>
                <w:szCs w:val="1"/>
                <w:color w:val="auto"/>
              </w:rPr>
            </w:pPr>
          </w:p>
        </w:tc>
      </w:tr>
      <w:tr>
        <w:trPr>
          <w:trHeight w:val="390"/>
        </w:trPr>
        <w:tc>
          <w:tcPr>
            <w:tcW w:w="7820" w:type="dxa"/>
            <w:vAlign w:val="bottom"/>
          </w:tcPr>
          <w:p>
            <w:pPr>
              <w:ind w:left="60"/>
              <w:spacing w:after="0"/>
              <w:rPr>
                <w:sz w:val="20"/>
                <w:szCs w:val="20"/>
                <w:color w:val="auto"/>
              </w:rPr>
            </w:pPr>
            <w:r>
              <w:rPr>
                <w:rFonts w:ascii="Arial" w:cs="Arial" w:eastAsia="Arial" w:hAnsi="Arial"/>
                <w:sz w:val="27"/>
                <w:szCs w:val="27"/>
                <w:color w:val="00558C"/>
              </w:rPr>
              <w:t>Proposal One - Election of Directors</w:t>
            </w:r>
          </w:p>
        </w:tc>
        <w:tc>
          <w:tcPr>
            <w:tcW w:w="1180" w:type="dxa"/>
            <w:vAlign w:val="bottom"/>
          </w:tcPr>
          <w:p>
            <w:pPr>
              <w:jc w:val="right"/>
              <w:spacing w:after="0"/>
              <w:rPr>
                <w:sz w:val="20"/>
                <w:szCs w:val="20"/>
                <w:color w:val="auto"/>
              </w:rPr>
            </w:pPr>
            <w:r>
              <w:rPr>
                <w:rFonts w:ascii="Arial" w:cs="Arial" w:eastAsia="Arial" w:hAnsi="Arial"/>
                <w:sz w:val="14"/>
                <w:szCs w:val="14"/>
                <w:color w:val="00558C"/>
              </w:rPr>
              <w:t>2</w:t>
            </w:r>
          </w:p>
        </w:tc>
        <w:tc>
          <w:tcPr>
            <w:tcW w:w="0" w:type="dxa"/>
            <w:vAlign w:val="bottom"/>
          </w:tcPr>
          <w:p>
            <w:pPr>
              <w:spacing w:after="0"/>
              <w:rPr>
                <w:sz w:val="1"/>
                <w:szCs w:val="1"/>
                <w:color w:val="auto"/>
              </w:rPr>
            </w:pPr>
          </w:p>
        </w:tc>
      </w:tr>
      <w:tr>
        <w:trPr>
          <w:trHeight w:val="36"/>
        </w:trPr>
        <w:tc>
          <w:tcPr>
            <w:tcW w:w="78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03"/>
        </w:trPr>
        <w:tc>
          <w:tcPr>
            <w:tcW w:w="7820" w:type="dxa"/>
            <w:vAlign w:val="bottom"/>
            <w:shd w:val="clear" w:color="auto" w:fill="F2F3F2"/>
          </w:tcPr>
          <w:p>
            <w:pPr>
              <w:ind w:left="60"/>
              <w:spacing w:after="0"/>
              <w:rPr>
                <w:sz w:val="20"/>
                <w:szCs w:val="20"/>
                <w:color w:val="auto"/>
              </w:rPr>
            </w:pPr>
            <w:r>
              <w:rPr>
                <w:rFonts w:ascii="Arial" w:cs="Arial" w:eastAsia="Arial" w:hAnsi="Arial"/>
                <w:sz w:val="16"/>
                <w:szCs w:val="16"/>
                <w:b w:val="1"/>
                <w:bCs w:val="1"/>
                <w:color w:val="00558C"/>
              </w:rPr>
              <w:t>Board of Directors</w:t>
            </w:r>
          </w:p>
        </w:tc>
        <w:tc>
          <w:tcPr>
            <w:tcW w:w="1180" w:type="dxa"/>
            <w:vAlign w:val="bottom"/>
            <w:shd w:val="clear" w:color="auto" w:fill="F2F3F2"/>
          </w:tcPr>
          <w:p>
            <w:pPr>
              <w:jc w:val="right"/>
              <w:spacing w:after="0"/>
              <w:rPr>
                <w:sz w:val="20"/>
                <w:szCs w:val="20"/>
                <w:color w:val="auto"/>
              </w:rPr>
            </w:pPr>
            <w:r>
              <w:rPr>
                <w:rFonts w:ascii="Arial" w:cs="Arial" w:eastAsia="Arial" w:hAnsi="Arial"/>
                <w:sz w:val="14"/>
                <w:szCs w:val="14"/>
                <w:color w:val="00558C"/>
              </w:rPr>
              <w:t>2</w:t>
            </w:r>
          </w:p>
        </w:tc>
        <w:tc>
          <w:tcPr>
            <w:tcW w:w="0" w:type="dxa"/>
            <w:vAlign w:val="bottom"/>
          </w:tcPr>
          <w:p>
            <w:pPr>
              <w:spacing w:after="0"/>
              <w:rPr>
                <w:sz w:val="1"/>
                <w:szCs w:val="1"/>
                <w:color w:val="auto"/>
              </w:rPr>
            </w:pPr>
          </w:p>
        </w:tc>
      </w:tr>
      <w:tr>
        <w:trPr>
          <w:trHeight w:val="61"/>
        </w:trPr>
        <w:tc>
          <w:tcPr>
            <w:tcW w:w="7820" w:type="dxa"/>
            <w:vAlign w:val="bottom"/>
            <w:shd w:val="clear" w:color="auto" w:fill="F2F3F2"/>
          </w:tcPr>
          <w:p>
            <w:pPr>
              <w:spacing w:after="0"/>
              <w:rPr>
                <w:sz w:val="5"/>
                <w:szCs w:val="5"/>
                <w:color w:val="auto"/>
              </w:rPr>
            </w:pPr>
          </w:p>
        </w:tc>
        <w:tc>
          <w:tcPr>
            <w:tcW w:w="1180" w:type="dxa"/>
            <w:vAlign w:val="bottom"/>
            <w:shd w:val="clear" w:color="auto" w:fill="F2F3F2"/>
          </w:tcPr>
          <w:p>
            <w:pPr>
              <w:spacing w:after="0"/>
              <w:rPr>
                <w:sz w:val="5"/>
                <w:szCs w:val="5"/>
                <w:color w:val="auto"/>
              </w:rPr>
            </w:pPr>
          </w:p>
        </w:tc>
        <w:tc>
          <w:tcPr>
            <w:tcW w:w="0" w:type="dxa"/>
            <w:vAlign w:val="bottom"/>
          </w:tcPr>
          <w:p>
            <w:pPr>
              <w:spacing w:after="0"/>
              <w:rPr>
                <w:sz w:val="1"/>
                <w:szCs w:val="1"/>
                <w:color w:val="auto"/>
              </w:rPr>
            </w:pPr>
          </w:p>
        </w:tc>
      </w:tr>
      <w:tr>
        <w:trPr>
          <w:trHeight w:val="303"/>
        </w:trPr>
        <w:tc>
          <w:tcPr>
            <w:tcW w:w="7820" w:type="dxa"/>
            <w:vAlign w:val="bottom"/>
          </w:tcPr>
          <w:p>
            <w:pPr>
              <w:ind w:left="60"/>
              <w:spacing w:after="0"/>
              <w:rPr>
                <w:sz w:val="20"/>
                <w:szCs w:val="20"/>
                <w:color w:val="auto"/>
              </w:rPr>
            </w:pPr>
            <w:r>
              <w:rPr>
                <w:rFonts w:ascii="Arial" w:cs="Arial" w:eastAsia="Arial" w:hAnsi="Arial"/>
                <w:sz w:val="16"/>
                <w:szCs w:val="16"/>
                <w:b w:val="1"/>
                <w:bCs w:val="1"/>
                <w:color w:val="00558C"/>
              </w:rPr>
              <w:t>About the Board</w:t>
            </w:r>
          </w:p>
        </w:tc>
        <w:tc>
          <w:tcPr>
            <w:tcW w:w="1180" w:type="dxa"/>
            <w:vAlign w:val="bottom"/>
          </w:tcPr>
          <w:p>
            <w:pPr>
              <w:jc w:val="right"/>
              <w:spacing w:after="0"/>
              <w:rPr>
                <w:sz w:val="20"/>
                <w:szCs w:val="20"/>
                <w:color w:val="auto"/>
              </w:rPr>
            </w:pPr>
            <w:r>
              <w:rPr>
                <w:rFonts w:ascii="Arial" w:cs="Arial" w:eastAsia="Arial" w:hAnsi="Arial"/>
                <w:sz w:val="14"/>
                <w:szCs w:val="14"/>
                <w:color w:val="00558C"/>
              </w:rPr>
              <w:t>3</w:t>
            </w:r>
          </w:p>
        </w:tc>
        <w:tc>
          <w:tcPr>
            <w:tcW w:w="0" w:type="dxa"/>
            <w:vAlign w:val="bottom"/>
          </w:tcPr>
          <w:p>
            <w:pPr>
              <w:spacing w:after="0"/>
              <w:rPr>
                <w:sz w:val="1"/>
                <w:szCs w:val="1"/>
                <w:color w:val="auto"/>
              </w:rPr>
            </w:pPr>
          </w:p>
        </w:tc>
      </w:tr>
      <w:tr>
        <w:trPr>
          <w:trHeight w:val="62"/>
        </w:trPr>
        <w:tc>
          <w:tcPr>
            <w:tcW w:w="78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3"/>
        </w:trPr>
        <w:tc>
          <w:tcPr>
            <w:tcW w:w="7820" w:type="dxa"/>
            <w:vAlign w:val="bottom"/>
            <w:shd w:val="clear" w:color="auto" w:fill="F2F3F2"/>
          </w:tcPr>
          <w:p>
            <w:pPr>
              <w:ind w:left="60"/>
              <w:spacing w:after="0"/>
              <w:rPr>
                <w:sz w:val="20"/>
                <w:szCs w:val="20"/>
                <w:color w:val="auto"/>
              </w:rPr>
            </w:pPr>
            <w:r>
              <w:rPr>
                <w:rFonts w:ascii="Arial" w:cs="Arial" w:eastAsia="Arial" w:hAnsi="Arial"/>
                <w:sz w:val="16"/>
                <w:szCs w:val="16"/>
                <w:b w:val="1"/>
                <w:bCs w:val="1"/>
                <w:color w:val="00558C"/>
              </w:rPr>
              <w:t>Nominees to Board of Directors</w:t>
            </w:r>
          </w:p>
        </w:tc>
        <w:tc>
          <w:tcPr>
            <w:tcW w:w="1180" w:type="dxa"/>
            <w:vAlign w:val="bottom"/>
            <w:shd w:val="clear" w:color="auto" w:fill="F2F3F2"/>
          </w:tcPr>
          <w:p>
            <w:pPr>
              <w:jc w:val="right"/>
              <w:spacing w:after="0"/>
              <w:rPr>
                <w:sz w:val="20"/>
                <w:szCs w:val="20"/>
                <w:color w:val="auto"/>
              </w:rPr>
            </w:pPr>
            <w:r>
              <w:rPr>
                <w:rFonts w:ascii="Arial" w:cs="Arial" w:eastAsia="Arial" w:hAnsi="Arial"/>
                <w:sz w:val="14"/>
                <w:szCs w:val="14"/>
                <w:color w:val="00558C"/>
              </w:rPr>
              <w:t>6</w:t>
            </w:r>
          </w:p>
        </w:tc>
        <w:tc>
          <w:tcPr>
            <w:tcW w:w="0" w:type="dxa"/>
            <w:vAlign w:val="bottom"/>
          </w:tcPr>
          <w:p>
            <w:pPr>
              <w:spacing w:after="0"/>
              <w:rPr>
                <w:sz w:val="1"/>
                <w:szCs w:val="1"/>
                <w:color w:val="auto"/>
              </w:rPr>
            </w:pPr>
          </w:p>
        </w:tc>
      </w:tr>
      <w:tr>
        <w:trPr>
          <w:trHeight w:val="62"/>
        </w:trPr>
        <w:tc>
          <w:tcPr>
            <w:tcW w:w="7820" w:type="dxa"/>
            <w:vAlign w:val="bottom"/>
            <w:shd w:val="clear" w:color="auto" w:fill="F2F3F2"/>
          </w:tcPr>
          <w:p>
            <w:pPr>
              <w:spacing w:after="0"/>
              <w:rPr>
                <w:sz w:val="5"/>
                <w:szCs w:val="5"/>
                <w:color w:val="auto"/>
              </w:rPr>
            </w:pPr>
          </w:p>
        </w:tc>
        <w:tc>
          <w:tcPr>
            <w:tcW w:w="1180" w:type="dxa"/>
            <w:vAlign w:val="bottom"/>
            <w:shd w:val="clear" w:color="auto" w:fill="F2F3F2"/>
          </w:tcPr>
          <w:p>
            <w:pPr>
              <w:spacing w:after="0"/>
              <w:rPr>
                <w:sz w:val="5"/>
                <w:szCs w:val="5"/>
                <w:color w:val="auto"/>
              </w:rPr>
            </w:pPr>
          </w:p>
        </w:tc>
        <w:tc>
          <w:tcPr>
            <w:tcW w:w="0" w:type="dxa"/>
            <w:vAlign w:val="bottom"/>
          </w:tcPr>
          <w:p>
            <w:pPr>
              <w:spacing w:after="0"/>
              <w:rPr>
                <w:sz w:val="1"/>
                <w:szCs w:val="1"/>
                <w:color w:val="auto"/>
              </w:rPr>
            </w:pPr>
          </w:p>
        </w:tc>
      </w:tr>
      <w:tr>
        <w:trPr>
          <w:trHeight w:val="303"/>
        </w:trPr>
        <w:tc>
          <w:tcPr>
            <w:tcW w:w="7820" w:type="dxa"/>
            <w:vAlign w:val="bottom"/>
          </w:tcPr>
          <w:p>
            <w:pPr>
              <w:ind w:left="60"/>
              <w:spacing w:after="0"/>
              <w:rPr>
                <w:sz w:val="20"/>
                <w:szCs w:val="20"/>
                <w:color w:val="auto"/>
              </w:rPr>
            </w:pPr>
            <w:r>
              <w:rPr>
                <w:rFonts w:ascii="Arial" w:cs="Arial" w:eastAsia="Arial" w:hAnsi="Arial"/>
                <w:sz w:val="16"/>
                <w:szCs w:val="16"/>
                <w:b w:val="1"/>
                <w:bCs w:val="1"/>
                <w:color w:val="00558C"/>
              </w:rPr>
              <w:t>Directors Not Standing for Election</w:t>
            </w:r>
          </w:p>
        </w:tc>
        <w:tc>
          <w:tcPr>
            <w:tcW w:w="1180" w:type="dxa"/>
            <w:vAlign w:val="bottom"/>
          </w:tcPr>
          <w:p>
            <w:pPr>
              <w:jc w:val="right"/>
              <w:spacing w:after="0"/>
              <w:rPr>
                <w:sz w:val="20"/>
                <w:szCs w:val="20"/>
                <w:color w:val="auto"/>
              </w:rPr>
            </w:pPr>
            <w:r>
              <w:rPr>
                <w:rFonts w:ascii="Arial" w:cs="Arial" w:eastAsia="Arial" w:hAnsi="Arial"/>
                <w:sz w:val="14"/>
                <w:szCs w:val="14"/>
                <w:color w:val="00558C"/>
              </w:rPr>
              <w:t>12</w:t>
            </w:r>
          </w:p>
        </w:tc>
        <w:tc>
          <w:tcPr>
            <w:tcW w:w="0" w:type="dxa"/>
            <w:vAlign w:val="bottom"/>
          </w:tcPr>
          <w:p>
            <w:pPr>
              <w:spacing w:after="0"/>
              <w:rPr>
                <w:sz w:val="1"/>
                <w:szCs w:val="1"/>
                <w:color w:val="auto"/>
              </w:rPr>
            </w:pPr>
          </w:p>
        </w:tc>
      </w:tr>
      <w:tr>
        <w:trPr>
          <w:trHeight w:val="62"/>
        </w:trPr>
        <w:tc>
          <w:tcPr>
            <w:tcW w:w="78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3"/>
        </w:trPr>
        <w:tc>
          <w:tcPr>
            <w:tcW w:w="7820" w:type="dxa"/>
            <w:vAlign w:val="bottom"/>
            <w:shd w:val="clear" w:color="auto" w:fill="F2F3F2"/>
          </w:tcPr>
          <w:p>
            <w:pPr>
              <w:ind w:left="60"/>
              <w:spacing w:after="0"/>
              <w:rPr>
                <w:sz w:val="20"/>
                <w:szCs w:val="20"/>
                <w:color w:val="auto"/>
              </w:rPr>
            </w:pPr>
            <w:r>
              <w:rPr>
                <w:rFonts w:ascii="Arial" w:cs="Arial" w:eastAsia="Arial" w:hAnsi="Arial"/>
                <w:sz w:val="16"/>
                <w:szCs w:val="16"/>
                <w:b w:val="1"/>
                <w:bCs w:val="1"/>
                <w:color w:val="00558C"/>
              </w:rPr>
              <w:t>Director Independence</w:t>
            </w:r>
          </w:p>
        </w:tc>
        <w:tc>
          <w:tcPr>
            <w:tcW w:w="1180" w:type="dxa"/>
            <w:vAlign w:val="bottom"/>
            <w:shd w:val="clear" w:color="auto" w:fill="F2F3F2"/>
          </w:tcPr>
          <w:p>
            <w:pPr>
              <w:jc w:val="right"/>
              <w:spacing w:after="0"/>
              <w:rPr>
                <w:sz w:val="20"/>
                <w:szCs w:val="20"/>
                <w:color w:val="auto"/>
              </w:rPr>
            </w:pPr>
            <w:r>
              <w:rPr>
                <w:rFonts w:ascii="Arial" w:cs="Arial" w:eastAsia="Arial" w:hAnsi="Arial"/>
                <w:sz w:val="14"/>
                <w:szCs w:val="14"/>
                <w:color w:val="00558C"/>
              </w:rPr>
              <w:t>15</w:t>
            </w:r>
          </w:p>
        </w:tc>
        <w:tc>
          <w:tcPr>
            <w:tcW w:w="0" w:type="dxa"/>
            <w:vAlign w:val="bottom"/>
          </w:tcPr>
          <w:p>
            <w:pPr>
              <w:spacing w:after="0"/>
              <w:rPr>
                <w:sz w:val="1"/>
                <w:szCs w:val="1"/>
                <w:color w:val="auto"/>
              </w:rPr>
            </w:pPr>
          </w:p>
        </w:tc>
      </w:tr>
      <w:tr>
        <w:trPr>
          <w:trHeight w:val="62"/>
        </w:trPr>
        <w:tc>
          <w:tcPr>
            <w:tcW w:w="7820" w:type="dxa"/>
            <w:vAlign w:val="bottom"/>
            <w:tcBorders>
              <w:bottom w:val="single" w:sz="8" w:color="B2B3B6"/>
            </w:tcBorders>
            <w:shd w:val="clear" w:color="auto" w:fill="F2F3F2"/>
          </w:tcPr>
          <w:p>
            <w:pPr>
              <w:spacing w:after="0"/>
              <w:rPr>
                <w:sz w:val="5"/>
                <w:szCs w:val="5"/>
                <w:color w:val="auto"/>
              </w:rPr>
            </w:pPr>
          </w:p>
        </w:tc>
        <w:tc>
          <w:tcPr>
            <w:tcW w:w="1180" w:type="dxa"/>
            <w:vAlign w:val="bottom"/>
            <w:tcBorders>
              <w:bottom w:val="single" w:sz="8" w:color="B2B3B6"/>
            </w:tcBorders>
            <w:shd w:val="clear" w:color="auto" w:fill="F2F3F2"/>
          </w:tcPr>
          <w:p>
            <w:pPr>
              <w:spacing w:after="0"/>
              <w:rPr>
                <w:sz w:val="5"/>
                <w:szCs w:val="5"/>
                <w:color w:val="auto"/>
              </w:rPr>
            </w:pPr>
          </w:p>
        </w:tc>
        <w:tc>
          <w:tcPr>
            <w:tcW w:w="0" w:type="dxa"/>
            <w:vAlign w:val="bottom"/>
          </w:tcPr>
          <w:p>
            <w:pPr>
              <w:spacing w:after="0"/>
              <w:rPr>
                <w:sz w:val="1"/>
                <w:szCs w:val="1"/>
                <w:color w:val="auto"/>
              </w:rPr>
            </w:pPr>
          </w:p>
        </w:tc>
      </w:tr>
      <w:tr>
        <w:trPr>
          <w:trHeight w:val="417"/>
        </w:trPr>
        <w:tc>
          <w:tcPr>
            <w:tcW w:w="7820" w:type="dxa"/>
            <w:vAlign w:val="bottom"/>
          </w:tcPr>
          <w:p>
            <w:pPr>
              <w:ind w:left="60"/>
              <w:spacing w:after="0"/>
              <w:rPr>
                <w:sz w:val="20"/>
                <w:szCs w:val="20"/>
                <w:color w:val="auto"/>
              </w:rPr>
            </w:pPr>
            <w:r>
              <w:rPr>
                <w:rFonts w:ascii="Arial" w:cs="Arial" w:eastAsia="Arial" w:hAnsi="Arial"/>
                <w:sz w:val="27"/>
                <w:szCs w:val="27"/>
                <w:color w:val="00558C"/>
              </w:rPr>
              <w:t>Corporate Governance</w:t>
            </w:r>
          </w:p>
        </w:tc>
        <w:tc>
          <w:tcPr>
            <w:tcW w:w="1180" w:type="dxa"/>
            <w:vAlign w:val="bottom"/>
          </w:tcPr>
          <w:p>
            <w:pPr>
              <w:jc w:val="right"/>
              <w:spacing w:after="0"/>
              <w:rPr>
                <w:sz w:val="20"/>
                <w:szCs w:val="20"/>
                <w:color w:val="auto"/>
              </w:rPr>
            </w:pPr>
            <w:r>
              <w:rPr>
                <w:rFonts w:ascii="Arial" w:cs="Arial" w:eastAsia="Arial" w:hAnsi="Arial"/>
                <w:sz w:val="14"/>
                <w:szCs w:val="14"/>
                <w:color w:val="00558C"/>
              </w:rPr>
              <w:t>16</w:t>
            </w:r>
          </w:p>
        </w:tc>
        <w:tc>
          <w:tcPr>
            <w:tcW w:w="0" w:type="dxa"/>
            <w:vAlign w:val="bottom"/>
          </w:tcPr>
          <w:p>
            <w:pPr>
              <w:spacing w:after="0"/>
              <w:rPr>
                <w:sz w:val="1"/>
                <w:szCs w:val="1"/>
                <w:color w:val="auto"/>
              </w:rPr>
            </w:pPr>
          </w:p>
        </w:tc>
      </w:tr>
      <w:tr>
        <w:trPr>
          <w:trHeight w:val="49"/>
        </w:trPr>
        <w:tc>
          <w:tcPr>
            <w:tcW w:w="78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3"/>
        </w:trPr>
        <w:tc>
          <w:tcPr>
            <w:tcW w:w="7820" w:type="dxa"/>
            <w:vAlign w:val="bottom"/>
            <w:shd w:val="clear" w:color="auto" w:fill="F2F3F2"/>
          </w:tcPr>
          <w:p>
            <w:pPr>
              <w:ind w:left="60"/>
              <w:spacing w:after="0"/>
              <w:rPr>
                <w:sz w:val="20"/>
                <w:szCs w:val="20"/>
                <w:color w:val="auto"/>
              </w:rPr>
            </w:pPr>
            <w:r>
              <w:rPr>
                <w:rFonts w:ascii="Arial" w:cs="Arial" w:eastAsia="Arial" w:hAnsi="Arial"/>
                <w:sz w:val="16"/>
                <w:szCs w:val="16"/>
                <w:b w:val="1"/>
                <w:bCs w:val="1"/>
                <w:color w:val="00558C"/>
              </w:rPr>
              <w:t>Board Compensation, Leadership Structure and Risk Oversight</w:t>
            </w:r>
          </w:p>
        </w:tc>
        <w:tc>
          <w:tcPr>
            <w:tcW w:w="1180" w:type="dxa"/>
            <w:vAlign w:val="bottom"/>
            <w:shd w:val="clear" w:color="auto" w:fill="F2F3F2"/>
          </w:tcPr>
          <w:p>
            <w:pPr>
              <w:jc w:val="right"/>
              <w:spacing w:after="0"/>
              <w:rPr>
                <w:sz w:val="20"/>
                <w:szCs w:val="20"/>
                <w:color w:val="auto"/>
              </w:rPr>
            </w:pPr>
            <w:r>
              <w:rPr>
                <w:rFonts w:ascii="Arial" w:cs="Arial" w:eastAsia="Arial" w:hAnsi="Arial"/>
                <w:sz w:val="14"/>
                <w:szCs w:val="14"/>
                <w:color w:val="00558C"/>
              </w:rPr>
              <w:t>16</w:t>
            </w:r>
          </w:p>
        </w:tc>
        <w:tc>
          <w:tcPr>
            <w:tcW w:w="0" w:type="dxa"/>
            <w:vAlign w:val="bottom"/>
          </w:tcPr>
          <w:p>
            <w:pPr>
              <w:spacing w:after="0"/>
              <w:rPr>
                <w:sz w:val="1"/>
                <w:szCs w:val="1"/>
                <w:color w:val="auto"/>
              </w:rPr>
            </w:pPr>
          </w:p>
        </w:tc>
      </w:tr>
      <w:tr>
        <w:trPr>
          <w:trHeight w:val="62"/>
        </w:trPr>
        <w:tc>
          <w:tcPr>
            <w:tcW w:w="7820" w:type="dxa"/>
            <w:vAlign w:val="bottom"/>
            <w:shd w:val="clear" w:color="auto" w:fill="F2F3F2"/>
          </w:tcPr>
          <w:p>
            <w:pPr>
              <w:spacing w:after="0"/>
              <w:rPr>
                <w:sz w:val="5"/>
                <w:szCs w:val="5"/>
                <w:color w:val="auto"/>
              </w:rPr>
            </w:pPr>
          </w:p>
        </w:tc>
        <w:tc>
          <w:tcPr>
            <w:tcW w:w="1180" w:type="dxa"/>
            <w:vAlign w:val="bottom"/>
            <w:shd w:val="clear" w:color="auto" w:fill="F2F3F2"/>
          </w:tcPr>
          <w:p>
            <w:pPr>
              <w:spacing w:after="0"/>
              <w:rPr>
                <w:sz w:val="5"/>
                <w:szCs w:val="5"/>
                <w:color w:val="auto"/>
              </w:rPr>
            </w:pPr>
          </w:p>
        </w:tc>
        <w:tc>
          <w:tcPr>
            <w:tcW w:w="0" w:type="dxa"/>
            <w:vAlign w:val="bottom"/>
          </w:tcPr>
          <w:p>
            <w:pPr>
              <w:spacing w:after="0"/>
              <w:rPr>
                <w:sz w:val="1"/>
                <w:szCs w:val="1"/>
                <w:color w:val="auto"/>
              </w:rPr>
            </w:pPr>
          </w:p>
        </w:tc>
      </w:tr>
      <w:tr>
        <w:trPr>
          <w:trHeight w:val="303"/>
        </w:trPr>
        <w:tc>
          <w:tcPr>
            <w:tcW w:w="7820" w:type="dxa"/>
            <w:vAlign w:val="bottom"/>
          </w:tcPr>
          <w:p>
            <w:pPr>
              <w:ind w:left="60"/>
              <w:spacing w:after="0"/>
              <w:rPr>
                <w:sz w:val="20"/>
                <w:szCs w:val="20"/>
                <w:color w:val="auto"/>
              </w:rPr>
            </w:pPr>
            <w:r>
              <w:rPr>
                <w:rFonts w:ascii="Arial" w:cs="Arial" w:eastAsia="Arial" w:hAnsi="Arial"/>
                <w:sz w:val="16"/>
                <w:szCs w:val="16"/>
                <w:b w:val="1"/>
                <w:bCs w:val="1"/>
                <w:color w:val="00558C"/>
              </w:rPr>
              <w:t>Board Meetings and Committees</w:t>
            </w:r>
          </w:p>
        </w:tc>
        <w:tc>
          <w:tcPr>
            <w:tcW w:w="1180" w:type="dxa"/>
            <w:vAlign w:val="bottom"/>
          </w:tcPr>
          <w:p>
            <w:pPr>
              <w:jc w:val="right"/>
              <w:spacing w:after="0"/>
              <w:rPr>
                <w:sz w:val="20"/>
                <w:szCs w:val="20"/>
                <w:color w:val="auto"/>
              </w:rPr>
            </w:pPr>
            <w:r>
              <w:rPr>
                <w:rFonts w:ascii="Arial" w:cs="Arial" w:eastAsia="Arial" w:hAnsi="Arial"/>
                <w:sz w:val="14"/>
                <w:szCs w:val="14"/>
                <w:color w:val="00558C"/>
              </w:rPr>
              <w:t>19</w:t>
            </w:r>
          </w:p>
        </w:tc>
        <w:tc>
          <w:tcPr>
            <w:tcW w:w="0" w:type="dxa"/>
            <w:vAlign w:val="bottom"/>
          </w:tcPr>
          <w:p>
            <w:pPr>
              <w:spacing w:after="0"/>
              <w:rPr>
                <w:sz w:val="1"/>
                <w:szCs w:val="1"/>
                <w:color w:val="auto"/>
              </w:rPr>
            </w:pPr>
          </w:p>
        </w:tc>
      </w:tr>
      <w:tr>
        <w:trPr>
          <w:trHeight w:val="62"/>
        </w:trPr>
        <w:tc>
          <w:tcPr>
            <w:tcW w:w="78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3"/>
        </w:trPr>
        <w:tc>
          <w:tcPr>
            <w:tcW w:w="7820" w:type="dxa"/>
            <w:vAlign w:val="bottom"/>
            <w:shd w:val="clear" w:color="auto" w:fill="F2F3F2"/>
          </w:tcPr>
          <w:p>
            <w:pPr>
              <w:ind w:left="60"/>
              <w:spacing w:after="0"/>
              <w:rPr>
                <w:sz w:val="20"/>
                <w:szCs w:val="20"/>
                <w:color w:val="auto"/>
              </w:rPr>
            </w:pPr>
            <w:r>
              <w:rPr>
                <w:rFonts w:ascii="Arial" w:cs="Arial" w:eastAsia="Arial" w:hAnsi="Arial"/>
                <w:sz w:val="16"/>
                <w:szCs w:val="16"/>
                <w:b w:val="1"/>
                <w:bCs w:val="1"/>
                <w:color w:val="00558C"/>
              </w:rPr>
              <w:t>Director Resignation Policy</w:t>
            </w:r>
          </w:p>
        </w:tc>
        <w:tc>
          <w:tcPr>
            <w:tcW w:w="1180" w:type="dxa"/>
            <w:vAlign w:val="bottom"/>
            <w:shd w:val="clear" w:color="auto" w:fill="F2F3F2"/>
          </w:tcPr>
          <w:p>
            <w:pPr>
              <w:jc w:val="right"/>
              <w:spacing w:after="0"/>
              <w:rPr>
                <w:sz w:val="20"/>
                <w:szCs w:val="20"/>
                <w:color w:val="auto"/>
              </w:rPr>
            </w:pPr>
            <w:r>
              <w:rPr>
                <w:rFonts w:ascii="Arial" w:cs="Arial" w:eastAsia="Arial" w:hAnsi="Arial"/>
                <w:sz w:val="14"/>
                <w:szCs w:val="14"/>
                <w:color w:val="00558C"/>
              </w:rPr>
              <w:t>23</w:t>
            </w:r>
          </w:p>
        </w:tc>
        <w:tc>
          <w:tcPr>
            <w:tcW w:w="0" w:type="dxa"/>
            <w:vAlign w:val="bottom"/>
          </w:tcPr>
          <w:p>
            <w:pPr>
              <w:spacing w:after="0"/>
              <w:rPr>
                <w:sz w:val="1"/>
                <w:szCs w:val="1"/>
                <w:color w:val="auto"/>
              </w:rPr>
            </w:pPr>
          </w:p>
        </w:tc>
      </w:tr>
      <w:tr>
        <w:trPr>
          <w:trHeight w:val="61"/>
        </w:trPr>
        <w:tc>
          <w:tcPr>
            <w:tcW w:w="7820" w:type="dxa"/>
            <w:vAlign w:val="bottom"/>
            <w:shd w:val="clear" w:color="auto" w:fill="F2F3F2"/>
          </w:tcPr>
          <w:p>
            <w:pPr>
              <w:spacing w:after="0"/>
              <w:rPr>
                <w:sz w:val="5"/>
                <w:szCs w:val="5"/>
                <w:color w:val="auto"/>
              </w:rPr>
            </w:pPr>
          </w:p>
        </w:tc>
        <w:tc>
          <w:tcPr>
            <w:tcW w:w="1180" w:type="dxa"/>
            <w:vAlign w:val="bottom"/>
            <w:shd w:val="clear" w:color="auto" w:fill="F2F3F2"/>
          </w:tcPr>
          <w:p>
            <w:pPr>
              <w:spacing w:after="0"/>
              <w:rPr>
                <w:sz w:val="5"/>
                <w:szCs w:val="5"/>
                <w:color w:val="auto"/>
              </w:rPr>
            </w:pPr>
          </w:p>
        </w:tc>
        <w:tc>
          <w:tcPr>
            <w:tcW w:w="0" w:type="dxa"/>
            <w:vAlign w:val="bottom"/>
          </w:tcPr>
          <w:p>
            <w:pPr>
              <w:spacing w:after="0"/>
              <w:rPr>
                <w:sz w:val="1"/>
                <w:szCs w:val="1"/>
                <w:color w:val="auto"/>
              </w:rPr>
            </w:pPr>
          </w:p>
        </w:tc>
      </w:tr>
      <w:tr>
        <w:trPr>
          <w:trHeight w:val="303"/>
        </w:trPr>
        <w:tc>
          <w:tcPr>
            <w:tcW w:w="7820" w:type="dxa"/>
            <w:vAlign w:val="bottom"/>
          </w:tcPr>
          <w:p>
            <w:pPr>
              <w:ind w:left="60"/>
              <w:spacing w:after="0"/>
              <w:rPr>
                <w:sz w:val="20"/>
                <w:szCs w:val="20"/>
                <w:color w:val="auto"/>
              </w:rPr>
            </w:pPr>
            <w:r>
              <w:rPr>
                <w:rFonts w:ascii="Arial" w:cs="Arial" w:eastAsia="Arial" w:hAnsi="Arial"/>
                <w:sz w:val="16"/>
                <w:szCs w:val="16"/>
                <w:b w:val="1"/>
                <w:bCs w:val="1"/>
                <w:color w:val="00558C"/>
              </w:rPr>
              <w:t>Range of Board Skills and Experiences</w:t>
            </w:r>
          </w:p>
        </w:tc>
        <w:tc>
          <w:tcPr>
            <w:tcW w:w="1180" w:type="dxa"/>
            <w:vAlign w:val="bottom"/>
          </w:tcPr>
          <w:p>
            <w:pPr>
              <w:jc w:val="right"/>
              <w:spacing w:after="0"/>
              <w:rPr>
                <w:sz w:val="20"/>
                <w:szCs w:val="20"/>
                <w:color w:val="auto"/>
              </w:rPr>
            </w:pPr>
            <w:r>
              <w:rPr>
                <w:rFonts w:ascii="Arial" w:cs="Arial" w:eastAsia="Arial" w:hAnsi="Arial"/>
                <w:sz w:val="14"/>
                <w:szCs w:val="14"/>
                <w:color w:val="00558C"/>
              </w:rPr>
              <w:t>23</w:t>
            </w:r>
          </w:p>
        </w:tc>
        <w:tc>
          <w:tcPr>
            <w:tcW w:w="0" w:type="dxa"/>
            <w:vAlign w:val="bottom"/>
          </w:tcPr>
          <w:p>
            <w:pPr>
              <w:spacing w:after="0"/>
              <w:rPr>
                <w:sz w:val="1"/>
                <w:szCs w:val="1"/>
                <w:color w:val="auto"/>
              </w:rPr>
            </w:pPr>
          </w:p>
        </w:tc>
      </w:tr>
      <w:tr>
        <w:trPr>
          <w:trHeight w:val="62"/>
        </w:trPr>
        <w:tc>
          <w:tcPr>
            <w:tcW w:w="78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3"/>
        </w:trPr>
        <w:tc>
          <w:tcPr>
            <w:tcW w:w="7820" w:type="dxa"/>
            <w:vAlign w:val="bottom"/>
            <w:shd w:val="clear" w:color="auto" w:fill="F2F3F2"/>
          </w:tcPr>
          <w:p>
            <w:pPr>
              <w:ind w:left="60"/>
              <w:spacing w:after="0"/>
              <w:rPr>
                <w:sz w:val="20"/>
                <w:szCs w:val="20"/>
                <w:color w:val="auto"/>
              </w:rPr>
            </w:pPr>
            <w:r>
              <w:rPr>
                <w:rFonts w:ascii="Arial" w:cs="Arial" w:eastAsia="Arial" w:hAnsi="Arial"/>
                <w:sz w:val="16"/>
                <w:szCs w:val="16"/>
                <w:b w:val="1"/>
                <w:bCs w:val="1"/>
                <w:color w:val="00558C"/>
              </w:rPr>
              <w:t>Compensation of Directors</w:t>
            </w:r>
          </w:p>
        </w:tc>
        <w:tc>
          <w:tcPr>
            <w:tcW w:w="1180" w:type="dxa"/>
            <w:vAlign w:val="bottom"/>
            <w:shd w:val="clear" w:color="auto" w:fill="F2F3F2"/>
          </w:tcPr>
          <w:p>
            <w:pPr>
              <w:jc w:val="right"/>
              <w:spacing w:after="0"/>
              <w:rPr>
                <w:sz w:val="20"/>
                <w:szCs w:val="20"/>
                <w:color w:val="auto"/>
              </w:rPr>
            </w:pPr>
            <w:r>
              <w:rPr>
                <w:rFonts w:ascii="Arial" w:cs="Arial" w:eastAsia="Arial" w:hAnsi="Arial"/>
                <w:sz w:val="14"/>
                <w:szCs w:val="14"/>
                <w:color w:val="00558C"/>
              </w:rPr>
              <w:t>24</w:t>
            </w:r>
          </w:p>
        </w:tc>
        <w:tc>
          <w:tcPr>
            <w:tcW w:w="0" w:type="dxa"/>
            <w:vAlign w:val="bottom"/>
          </w:tcPr>
          <w:p>
            <w:pPr>
              <w:spacing w:after="0"/>
              <w:rPr>
                <w:sz w:val="1"/>
                <w:szCs w:val="1"/>
                <w:color w:val="auto"/>
              </w:rPr>
            </w:pPr>
          </w:p>
        </w:tc>
      </w:tr>
      <w:tr>
        <w:trPr>
          <w:trHeight w:val="62"/>
        </w:trPr>
        <w:tc>
          <w:tcPr>
            <w:tcW w:w="7820" w:type="dxa"/>
            <w:vAlign w:val="bottom"/>
            <w:shd w:val="clear" w:color="auto" w:fill="F2F3F2"/>
          </w:tcPr>
          <w:p>
            <w:pPr>
              <w:spacing w:after="0"/>
              <w:rPr>
                <w:sz w:val="5"/>
                <w:szCs w:val="5"/>
                <w:color w:val="auto"/>
              </w:rPr>
            </w:pPr>
          </w:p>
        </w:tc>
        <w:tc>
          <w:tcPr>
            <w:tcW w:w="1180" w:type="dxa"/>
            <w:vAlign w:val="bottom"/>
            <w:shd w:val="clear" w:color="auto" w:fill="F2F3F2"/>
          </w:tcPr>
          <w:p>
            <w:pPr>
              <w:spacing w:after="0"/>
              <w:rPr>
                <w:sz w:val="5"/>
                <w:szCs w:val="5"/>
                <w:color w:val="auto"/>
              </w:rPr>
            </w:pPr>
          </w:p>
        </w:tc>
        <w:tc>
          <w:tcPr>
            <w:tcW w:w="0" w:type="dxa"/>
            <w:vAlign w:val="bottom"/>
          </w:tcPr>
          <w:p>
            <w:pPr>
              <w:spacing w:after="0"/>
              <w:rPr>
                <w:sz w:val="1"/>
                <w:szCs w:val="1"/>
                <w:color w:val="auto"/>
              </w:rPr>
            </w:pPr>
          </w:p>
        </w:tc>
      </w:tr>
      <w:tr>
        <w:trPr>
          <w:trHeight w:val="303"/>
        </w:trPr>
        <w:tc>
          <w:tcPr>
            <w:tcW w:w="7820" w:type="dxa"/>
            <w:vAlign w:val="bottom"/>
          </w:tcPr>
          <w:p>
            <w:pPr>
              <w:ind w:left="60"/>
              <w:spacing w:after="0"/>
              <w:rPr>
                <w:sz w:val="20"/>
                <w:szCs w:val="20"/>
                <w:color w:val="auto"/>
              </w:rPr>
            </w:pPr>
            <w:r>
              <w:rPr>
                <w:rFonts w:ascii="Arial" w:cs="Arial" w:eastAsia="Arial" w:hAnsi="Arial"/>
                <w:sz w:val="16"/>
                <w:szCs w:val="16"/>
                <w:b w:val="1"/>
                <w:bCs w:val="1"/>
                <w:color w:val="00558C"/>
              </w:rPr>
              <w:t>Director Compensation Table</w:t>
            </w:r>
          </w:p>
        </w:tc>
        <w:tc>
          <w:tcPr>
            <w:tcW w:w="1180" w:type="dxa"/>
            <w:vAlign w:val="bottom"/>
          </w:tcPr>
          <w:p>
            <w:pPr>
              <w:jc w:val="right"/>
              <w:spacing w:after="0"/>
              <w:rPr>
                <w:sz w:val="20"/>
                <w:szCs w:val="20"/>
                <w:color w:val="auto"/>
              </w:rPr>
            </w:pPr>
            <w:r>
              <w:rPr>
                <w:rFonts w:ascii="Arial" w:cs="Arial" w:eastAsia="Arial" w:hAnsi="Arial"/>
                <w:sz w:val="14"/>
                <w:szCs w:val="14"/>
                <w:color w:val="00558C"/>
              </w:rPr>
              <w:t>25</w:t>
            </w:r>
          </w:p>
        </w:tc>
        <w:tc>
          <w:tcPr>
            <w:tcW w:w="0" w:type="dxa"/>
            <w:vAlign w:val="bottom"/>
          </w:tcPr>
          <w:p>
            <w:pPr>
              <w:spacing w:after="0"/>
              <w:rPr>
                <w:sz w:val="1"/>
                <w:szCs w:val="1"/>
                <w:color w:val="auto"/>
              </w:rPr>
            </w:pPr>
          </w:p>
        </w:tc>
      </w:tr>
      <w:tr>
        <w:trPr>
          <w:trHeight w:val="61"/>
        </w:trPr>
        <w:tc>
          <w:tcPr>
            <w:tcW w:w="78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3"/>
        </w:trPr>
        <w:tc>
          <w:tcPr>
            <w:tcW w:w="7820" w:type="dxa"/>
            <w:vAlign w:val="bottom"/>
            <w:shd w:val="clear" w:color="auto" w:fill="F2F3F2"/>
          </w:tcPr>
          <w:p>
            <w:pPr>
              <w:ind w:left="60"/>
              <w:spacing w:after="0"/>
              <w:rPr>
                <w:sz w:val="20"/>
                <w:szCs w:val="20"/>
                <w:color w:val="auto"/>
              </w:rPr>
            </w:pPr>
            <w:r>
              <w:rPr>
                <w:rFonts w:ascii="Arial" w:cs="Arial" w:eastAsia="Arial" w:hAnsi="Arial"/>
                <w:sz w:val="16"/>
                <w:szCs w:val="16"/>
                <w:b w:val="1"/>
                <w:bCs w:val="1"/>
                <w:color w:val="00558C"/>
              </w:rPr>
              <w:t>Executive Officers</w:t>
            </w:r>
          </w:p>
        </w:tc>
        <w:tc>
          <w:tcPr>
            <w:tcW w:w="1180" w:type="dxa"/>
            <w:vAlign w:val="bottom"/>
            <w:shd w:val="clear" w:color="auto" w:fill="F2F3F2"/>
          </w:tcPr>
          <w:p>
            <w:pPr>
              <w:jc w:val="right"/>
              <w:spacing w:after="0"/>
              <w:rPr>
                <w:sz w:val="20"/>
                <w:szCs w:val="20"/>
                <w:color w:val="auto"/>
              </w:rPr>
            </w:pPr>
            <w:r>
              <w:rPr>
                <w:rFonts w:ascii="Arial" w:cs="Arial" w:eastAsia="Arial" w:hAnsi="Arial"/>
                <w:sz w:val="14"/>
                <w:szCs w:val="14"/>
                <w:color w:val="00558C"/>
              </w:rPr>
              <w:t>26</w:t>
            </w:r>
          </w:p>
        </w:tc>
        <w:tc>
          <w:tcPr>
            <w:tcW w:w="0" w:type="dxa"/>
            <w:vAlign w:val="bottom"/>
          </w:tcPr>
          <w:p>
            <w:pPr>
              <w:spacing w:after="0"/>
              <w:rPr>
                <w:sz w:val="1"/>
                <w:szCs w:val="1"/>
                <w:color w:val="auto"/>
              </w:rPr>
            </w:pPr>
          </w:p>
        </w:tc>
      </w:tr>
      <w:tr>
        <w:trPr>
          <w:trHeight w:val="61"/>
        </w:trPr>
        <w:tc>
          <w:tcPr>
            <w:tcW w:w="7820" w:type="dxa"/>
            <w:vAlign w:val="bottom"/>
            <w:shd w:val="clear" w:color="auto" w:fill="F2F3F2"/>
          </w:tcPr>
          <w:p>
            <w:pPr>
              <w:spacing w:after="0"/>
              <w:rPr>
                <w:sz w:val="5"/>
                <w:szCs w:val="5"/>
                <w:color w:val="auto"/>
              </w:rPr>
            </w:pPr>
          </w:p>
        </w:tc>
        <w:tc>
          <w:tcPr>
            <w:tcW w:w="1180" w:type="dxa"/>
            <w:vAlign w:val="bottom"/>
            <w:shd w:val="clear" w:color="auto" w:fill="F2F3F2"/>
          </w:tcPr>
          <w:p>
            <w:pPr>
              <w:spacing w:after="0"/>
              <w:rPr>
                <w:sz w:val="5"/>
                <w:szCs w:val="5"/>
                <w:color w:val="auto"/>
              </w:rPr>
            </w:pPr>
          </w:p>
        </w:tc>
        <w:tc>
          <w:tcPr>
            <w:tcW w:w="0" w:type="dxa"/>
            <w:vAlign w:val="bottom"/>
          </w:tcPr>
          <w:p>
            <w:pPr>
              <w:spacing w:after="0"/>
              <w:rPr>
                <w:sz w:val="1"/>
                <w:szCs w:val="1"/>
                <w:color w:val="auto"/>
              </w:rPr>
            </w:pPr>
          </w:p>
        </w:tc>
      </w:tr>
      <w:tr>
        <w:trPr>
          <w:trHeight w:val="303"/>
        </w:trPr>
        <w:tc>
          <w:tcPr>
            <w:tcW w:w="7820" w:type="dxa"/>
            <w:vAlign w:val="bottom"/>
          </w:tcPr>
          <w:p>
            <w:pPr>
              <w:ind w:left="60"/>
              <w:spacing w:after="0"/>
              <w:rPr>
                <w:sz w:val="20"/>
                <w:szCs w:val="20"/>
                <w:color w:val="auto"/>
              </w:rPr>
            </w:pPr>
            <w:r>
              <w:rPr>
                <w:rFonts w:ascii="Arial" w:cs="Arial" w:eastAsia="Arial" w:hAnsi="Arial"/>
                <w:sz w:val="16"/>
                <w:szCs w:val="16"/>
                <w:b w:val="1"/>
                <w:bCs w:val="1"/>
                <w:color w:val="00558C"/>
              </w:rPr>
              <w:t>Stock Ownership of Certain Beneficial Owners and Management</w:t>
            </w:r>
          </w:p>
        </w:tc>
        <w:tc>
          <w:tcPr>
            <w:tcW w:w="1180" w:type="dxa"/>
            <w:vAlign w:val="bottom"/>
          </w:tcPr>
          <w:p>
            <w:pPr>
              <w:jc w:val="right"/>
              <w:spacing w:after="0"/>
              <w:rPr>
                <w:sz w:val="20"/>
                <w:szCs w:val="20"/>
                <w:color w:val="auto"/>
              </w:rPr>
            </w:pPr>
            <w:r>
              <w:rPr>
                <w:rFonts w:ascii="Arial" w:cs="Arial" w:eastAsia="Arial" w:hAnsi="Arial"/>
                <w:sz w:val="14"/>
                <w:szCs w:val="14"/>
                <w:color w:val="00558C"/>
              </w:rPr>
              <w:t>27</w:t>
            </w:r>
          </w:p>
        </w:tc>
        <w:tc>
          <w:tcPr>
            <w:tcW w:w="0" w:type="dxa"/>
            <w:vAlign w:val="bottom"/>
          </w:tcPr>
          <w:p>
            <w:pPr>
              <w:spacing w:after="0"/>
              <w:rPr>
                <w:sz w:val="1"/>
                <w:szCs w:val="1"/>
                <w:color w:val="auto"/>
              </w:rPr>
            </w:pPr>
          </w:p>
        </w:tc>
      </w:tr>
      <w:tr>
        <w:trPr>
          <w:trHeight w:val="62"/>
        </w:trPr>
        <w:tc>
          <w:tcPr>
            <w:tcW w:w="78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3"/>
        </w:trPr>
        <w:tc>
          <w:tcPr>
            <w:tcW w:w="7820" w:type="dxa"/>
            <w:vAlign w:val="bottom"/>
            <w:shd w:val="clear" w:color="auto" w:fill="F2F3F2"/>
          </w:tcPr>
          <w:p>
            <w:pPr>
              <w:ind w:left="60"/>
              <w:spacing w:after="0"/>
              <w:rPr>
                <w:sz w:val="20"/>
                <w:szCs w:val="20"/>
                <w:color w:val="auto"/>
              </w:rPr>
            </w:pPr>
            <w:r>
              <w:rPr>
                <w:rFonts w:ascii="Arial" w:cs="Arial" w:eastAsia="Arial" w:hAnsi="Arial"/>
                <w:sz w:val="16"/>
                <w:szCs w:val="16"/>
                <w:b w:val="1"/>
                <w:bCs w:val="1"/>
                <w:color w:val="00558C"/>
              </w:rPr>
              <w:t>Delinquent Section 16(a) Reports</w:t>
            </w:r>
          </w:p>
        </w:tc>
        <w:tc>
          <w:tcPr>
            <w:tcW w:w="1180" w:type="dxa"/>
            <w:vAlign w:val="bottom"/>
            <w:shd w:val="clear" w:color="auto" w:fill="F2F3F2"/>
          </w:tcPr>
          <w:p>
            <w:pPr>
              <w:jc w:val="right"/>
              <w:spacing w:after="0"/>
              <w:rPr>
                <w:sz w:val="20"/>
                <w:szCs w:val="20"/>
                <w:color w:val="auto"/>
              </w:rPr>
            </w:pPr>
            <w:r>
              <w:rPr>
                <w:rFonts w:ascii="Arial" w:cs="Arial" w:eastAsia="Arial" w:hAnsi="Arial"/>
                <w:sz w:val="14"/>
                <w:szCs w:val="14"/>
                <w:color w:val="00558C"/>
              </w:rPr>
              <w:t>29</w:t>
            </w:r>
          </w:p>
        </w:tc>
        <w:tc>
          <w:tcPr>
            <w:tcW w:w="0" w:type="dxa"/>
            <w:vAlign w:val="bottom"/>
          </w:tcPr>
          <w:p>
            <w:pPr>
              <w:spacing w:after="0"/>
              <w:rPr>
                <w:sz w:val="1"/>
                <w:szCs w:val="1"/>
                <w:color w:val="auto"/>
              </w:rPr>
            </w:pPr>
          </w:p>
        </w:tc>
      </w:tr>
      <w:tr>
        <w:trPr>
          <w:trHeight w:val="62"/>
        </w:trPr>
        <w:tc>
          <w:tcPr>
            <w:tcW w:w="7820" w:type="dxa"/>
            <w:vAlign w:val="bottom"/>
            <w:shd w:val="clear" w:color="auto" w:fill="F2F3F2"/>
          </w:tcPr>
          <w:p>
            <w:pPr>
              <w:spacing w:after="0"/>
              <w:rPr>
                <w:sz w:val="5"/>
                <w:szCs w:val="5"/>
                <w:color w:val="auto"/>
              </w:rPr>
            </w:pPr>
          </w:p>
        </w:tc>
        <w:tc>
          <w:tcPr>
            <w:tcW w:w="1180" w:type="dxa"/>
            <w:vAlign w:val="bottom"/>
            <w:shd w:val="clear" w:color="auto" w:fill="F2F3F2"/>
          </w:tcPr>
          <w:p>
            <w:pPr>
              <w:spacing w:after="0"/>
              <w:rPr>
                <w:sz w:val="5"/>
                <w:szCs w:val="5"/>
                <w:color w:val="auto"/>
              </w:rPr>
            </w:pPr>
          </w:p>
        </w:tc>
        <w:tc>
          <w:tcPr>
            <w:tcW w:w="0" w:type="dxa"/>
            <w:vAlign w:val="bottom"/>
          </w:tcPr>
          <w:p>
            <w:pPr>
              <w:spacing w:after="0"/>
              <w:rPr>
                <w:sz w:val="1"/>
                <w:szCs w:val="1"/>
                <w:color w:val="auto"/>
              </w:rPr>
            </w:pPr>
          </w:p>
        </w:tc>
      </w:tr>
      <w:tr>
        <w:trPr>
          <w:trHeight w:val="303"/>
        </w:trPr>
        <w:tc>
          <w:tcPr>
            <w:tcW w:w="7820" w:type="dxa"/>
            <w:vAlign w:val="bottom"/>
          </w:tcPr>
          <w:p>
            <w:pPr>
              <w:ind w:left="60"/>
              <w:spacing w:after="0"/>
              <w:rPr>
                <w:sz w:val="20"/>
                <w:szCs w:val="20"/>
                <w:color w:val="auto"/>
              </w:rPr>
            </w:pPr>
            <w:r>
              <w:rPr>
                <w:rFonts w:ascii="Arial" w:cs="Arial" w:eastAsia="Arial" w:hAnsi="Arial"/>
                <w:sz w:val="16"/>
                <w:szCs w:val="16"/>
                <w:b w:val="1"/>
                <w:bCs w:val="1"/>
                <w:color w:val="00558C"/>
              </w:rPr>
              <w:t>Corporate Social Responsibility</w:t>
            </w:r>
          </w:p>
        </w:tc>
        <w:tc>
          <w:tcPr>
            <w:tcW w:w="1180" w:type="dxa"/>
            <w:vAlign w:val="bottom"/>
          </w:tcPr>
          <w:p>
            <w:pPr>
              <w:jc w:val="right"/>
              <w:spacing w:after="0"/>
              <w:rPr>
                <w:sz w:val="20"/>
                <w:szCs w:val="20"/>
                <w:color w:val="auto"/>
              </w:rPr>
            </w:pPr>
            <w:r>
              <w:rPr>
                <w:rFonts w:ascii="Arial" w:cs="Arial" w:eastAsia="Arial" w:hAnsi="Arial"/>
                <w:sz w:val="14"/>
                <w:szCs w:val="14"/>
                <w:color w:val="00558C"/>
              </w:rPr>
              <w:t>30</w:t>
            </w:r>
          </w:p>
        </w:tc>
        <w:tc>
          <w:tcPr>
            <w:tcW w:w="0" w:type="dxa"/>
            <w:vAlign w:val="bottom"/>
          </w:tcPr>
          <w:p>
            <w:pPr>
              <w:spacing w:after="0"/>
              <w:rPr>
                <w:sz w:val="1"/>
                <w:szCs w:val="1"/>
                <w:color w:val="auto"/>
              </w:rPr>
            </w:pPr>
          </w:p>
        </w:tc>
      </w:tr>
      <w:tr>
        <w:trPr>
          <w:trHeight w:val="61"/>
        </w:trPr>
        <w:tc>
          <w:tcPr>
            <w:tcW w:w="78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3"/>
        </w:trPr>
        <w:tc>
          <w:tcPr>
            <w:tcW w:w="7820" w:type="dxa"/>
            <w:vAlign w:val="bottom"/>
            <w:shd w:val="clear" w:color="auto" w:fill="F2F3F2"/>
          </w:tcPr>
          <w:p>
            <w:pPr>
              <w:ind w:left="60"/>
              <w:spacing w:after="0"/>
              <w:rPr>
                <w:sz w:val="20"/>
                <w:szCs w:val="20"/>
                <w:color w:val="auto"/>
              </w:rPr>
            </w:pPr>
            <w:r>
              <w:rPr>
                <w:rFonts w:ascii="Arial" w:cs="Arial" w:eastAsia="Arial" w:hAnsi="Arial"/>
                <w:sz w:val="16"/>
                <w:szCs w:val="16"/>
                <w:b w:val="1"/>
                <w:bCs w:val="1"/>
                <w:color w:val="00558C"/>
              </w:rPr>
              <w:t>Stockholder Communications Policy</w:t>
            </w:r>
          </w:p>
        </w:tc>
        <w:tc>
          <w:tcPr>
            <w:tcW w:w="1180" w:type="dxa"/>
            <w:vAlign w:val="bottom"/>
            <w:shd w:val="clear" w:color="auto" w:fill="F2F3F2"/>
          </w:tcPr>
          <w:p>
            <w:pPr>
              <w:jc w:val="right"/>
              <w:spacing w:after="0"/>
              <w:rPr>
                <w:sz w:val="20"/>
                <w:szCs w:val="20"/>
                <w:color w:val="auto"/>
              </w:rPr>
            </w:pPr>
            <w:r>
              <w:rPr>
                <w:rFonts w:ascii="Arial" w:cs="Arial" w:eastAsia="Arial" w:hAnsi="Arial"/>
                <w:sz w:val="14"/>
                <w:szCs w:val="14"/>
                <w:color w:val="00558C"/>
              </w:rPr>
              <w:t>32</w:t>
            </w:r>
          </w:p>
        </w:tc>
        <w:tc>
          <w:tcPr>
            <w:tcW w:w="0" w:type="dxa"/>
            <w:vAlign w:val="bottom"/>
          </w:tcPr>
          <w:p>
            <w:pPr>
              <w:spacing w:after="0"/>
              <w:rPr>
                <w:sz w:val="1"/>
                <w:szCs w:val="1"/>
                <w:color w:val="auto"/>
              </w:rPr>
            </w:pPr>
          </w:p>
        </w:tc>
      </w:tr>
      <w:tr>
        <w:trPr>
          <w:trHeight w:val="61"/>
        </w:trPr>
        <w:tc>
          <w:tcPr>
            <w:tcW w:w="7820" w:type="dxa"/>
            <w:vAlign w:val="bottom"/>
            <w:tcBorders>
              <w:bottom w:val="single" w:sz="8" w:color="B2B3B6"/>
            </w:tcBorders>
            <w:shd w:val="clear" w:color="auto" w:fill="F2F3F2"/>
          </w:tcPr>
          <w:p>
            <w:pPr>
              <w:spacing w:after="0"/>
              <w:rPr>
                <w:sz w:val="5"/>
                <w:szCs w:val="5"/>
                <w:color w:val="auto"/>
              </w:rPr>
            </w:pPr>
          </w:p>
        </w:tc>
        <w:tc>
          <w:tcPr>
            <w:tcW w:w="1180" w:type="dxa"/>
            <w:vAlign w:val="bottom"/>
            <w:tcBorders>
              <w:bottom w:val="single" w:sz="8" w:color="B2B3B6"/>
            </w:tcBorders>
            <w:shd w:val="clear" w:color="auto" w:fill="F2F3F2"/>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7820" w:type="dxa"/>
            <w:vAlign w:val="bottom"/>
          </w:tcPr>
          <w:p>
            <w:pPr>
              <w:ind w:left="60"/>
              <w:spacing w:after="0"/>
              <w:rPr>
                <w:sz w:val="20"/>
                <w:szCs w:val="20"/>
                <w:color w:val="auto"/>
              </w:rPr>
            </w:pPr>
            <w:r>
              <w:rPr>
                <w:rFonts w:ascii="Arial" w:cs="Arial" w:eastAsia="Arial" w:hAnsi="Arial"/>
                <w:sz w:val="27"/>
                <w:szCs w:val="27"/>
                <w:color w:val="00558C"/>
              </w:rPr>
              <w:t>Proposal Two - Advisory Vote to Approve the Company’s</w:t>
            </w:r>
          </w:p>
        </w:tc>
        <w:tc>
          <w:tcPr>
            <w:tcW w:w="1180" w:type="dxa"/>
            <w:vAlign w:val="bottom"/>
            <w:vMerge w:val="restart"/>
          </w:tcPr>
          <w:p>
            <w:pPr>
              <w:jc w:val="right"/>
              <w:spacing w:after="0"/>
              <w:rPr>
                <w:sz w:val="20"/>
                <w:szCs w:val="20"/>
                <w:color w:val="auto"/>
              </w:rPr>
            </w:pPr>
            <w:r>
              <w:rPr>
                <w:rFonts w:ascii="Arial" w:cs="Arial" w:eastAsia="Arial" w:hAnsi="Arial"/>
                <w:sz w:val="14"/>
                <w:szCs w:val="14"/>
                <w:color w:val="00558C"/>
              </w:rPr>
              <w:t>33</w:t>
            </w:r>
          </w:p>
        </w:tc>
        <w:tc>
          <w:tcPr>
            <w:tcW w:w="0" w:type="dxa"/>
            <w:vAlign w:val="bottom"/>
          </w:tcPr>
          <w:p>
            <w:pPr>
              <w:spacing w:after="0"/>
              <w:rPr>
                <w:sz w:val="1"/>
                <w:szCs w:val="1"/>
                <w:color w:val="auto"/>
              </w:rPr>
            </w:pPr>
          </w:p>
        </w:tc>
      </w:tr>
      <w:tr>
        <w:trPr>
          <w:trHeight w:val="114"/>
        </w:trPr>
        <w:tc>
          <w:tcPr>
            <w:tcW w:w="7820" w:type="dxa"/>
            <w:vAlign w:val="bottom"/>
            <w:vMerge w:val="restart"/>
          </w:tcPr>
          <w:p>
            <w:pPr>
              <w:ind w:left="60"/>
              <w:spacing w:after="0"/>
              <w:rPr>
                <w:sz w:val="20"/>
                <w:szCs w:val="20"/>
                <w:color w:val="auto"/>
              </w:rPr>
            </w:pPr>
            <w:r>
              <w:rPr>
                <w:rFonts w:ascii="Arial" w:cs="Arial" w:eastAsia="Arial" w:hAnsi="Arial"/>
                <w:sz w:val="27"/>
                <w:szCs w:val="27"/>
                <w:color w:val="00558C"/>
              </w:rPr>
              <w:t>Executive Compensation</w:t>
            </w:r>
          </w:p>
        </w:tc>
        <w:tc>
          <w:tcPr>
            <w:tcW w:w="1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7"/>
        </w:trPr>
        <w:tc>
          <w:tcPr>
            <w:tcW w:w="7820" w:type="dxa"/>
            <w:vAlign w:val="bottom"/>
            <w:tcBorders>
              <w:bottom w:val="single" w:sz="8" w:color="B2B3B6"/>
            </w:tcBorders>
            <w:vMerge w:val="continue"/>
          </w:tcPr>
          <w:p>
            <w:pPr>
              <w:spacing w:after="0"/>
              <w:rPr>
                <w:sz w:val="21"/>
                <w:szCs w:val="21"/>
                <w:color w:val="auto"/>
              </w:rPr>
            </w:pPr>
          </w:p>
        </w:tc>
        <w:tc>
          <w:tcPr>
            <w:tcW w:w="1180" w:type="dxa"/>
            <w:vAlign w:val="bottom"/>
            <w:tcBorders>
              <w:bottom w:val="single" w:sz="8" w:color="B2B3B6"/>
            </w:tcBorders>
          </w:tcPr>
          <w:p>
            <w:pPr>
              <w:spacing w:after="0"/>
              <w:rPr>
                <w:sz w:val="21"/>
                <w:szCs w:val="21"/>
                <w:color w:val="auto"/>
              </w:rPr>
            </w:pPr>
          </w:p>
        </w:tc>
        <w:tc>
          <w:tcPr>
            <w:tcW w:w="0" w:type="dxa"/>
            <w:vAlign w:val="bottom"/>
          </w:tcPr>
          <w:p>
            <w:pPr>
              <w:spacing w:after="0"/>
              <w:rPr>
                <w:sz w:val="1"/>
                <w:szCs w:val="1"/>
                <w:color w:val="auto"/>
              </w:rPr>
            </w:pPr>
          </w:p>
        </w:tc>
      </w:tr>
      <w:tr>
        <w:trPr>
          <w:trHeight w:val="421"/>
        </w:trPr>
        <w:tc>
          <w:tcPr>
            <w:tcW w:w="7820" w:type="dxa"/>
            <w:vAlign w:val="bottom"/>
          </w:tcPr>
          <w:p>
            <w:pPr>
              <w:ind w:left="60"/>
              <w:spacing w:after="0"/>
              <w:rPr>
                <w:sz w:val="20"/>
                <w:szCs w:val="20"/>
                <w:color w:val="auto"/>
              </w:rPr>
            </w:pPr>
            <w:r>
              <w:rPr>
                <w:rFonts w:ascii="Arial" w:cs="Arial" w:eastAsia="Arial" w:hAnsi="Arial"/>
                <w:sz w:val="27"/>
                <w:szCs w:val="27"/>
                <w:color w:val="00558C"/>
              </w:rPr>
              <w:t>Executive Compensation</w:t>
            </w:r>
          </w:p>
        </w:tc>
        <w:tc>
          <w:tcPr>
            <w:tcW w:w="1180" w:type="dxa"/>
            <w:vAlign w:val="bottom"/>
          </w:tcPr>
          <w:p>
            <w:pPr>
              <w:jc w:val="right"/>
              <w:spacing w:after="0"/>
              <w:rPr>
                <w:sz w:val="20"/>
                <w:szCs w:val="20"/>
                <w:color w:val="auto"/>
              </w:rPr>
            </w:pPr>
            <w:r>
              <w:rPr>
                <w:rFonts w:ascii="Arial" w:cs="Arial" w:eastAsia="Arial" w:hAnsi="Arial"/>
                <w:sz w:val="14"/>
                <w:szCs w:val="14"/>
                <w:color w:val="00558C"/>
              </w:rPr>
              <w:t>34</w:t>
            </w:r>
          </w:p>
        </w:tc>
        <w:tc>
          <w:tcPr>
            <w:tcW w:w="0" w:type="dxa"/>
            <w:vAlign w:val="bottom"/>
          </w:tcPr>
          <w:p>
            <w:pPr>
              <w:spacing w:after="0"/>
              <w:rPr>
                <w:sz w:val="1"/>
                <w:szCs w:val="1"/>
                <w:color w:val="auto"/>
              </w:rPr>
            </w:pPr>
          </w:p>
        </w:tc>
      </w:tr>
      <w:tr>
        <w:trPr>
          <w:trHeight w:val="49"/>
        </w:trPr>
        <w:tc>
          <w:tcPr>
            <w:tcW w:w="78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3"/>
        </w:trPr>
        <w:tc>
          <w:tcPr>
            <w:tcW w:w="7820" w:type="dxa"/>
            <w:vAlign w:val="bottom"/>
            <w:shd w:val="clear" w:color="auto" w:fill="F2F3F2"/>
          </w:tcPr>
          <w:p>
            <w:pPr>
              <w:ind w:left="60"/>
              <w:spacing w:after="0"/>
              <w:rPr>
                <w:sz w:val="20"/>
                <w:szCs w:val="20"/>
                <w:color w:val="auto"/>
              </w:rPr>
            </w:pPr>
            <w:r>
              <w:rPr>
                <w:rFonts w:ascii="Arial" w:cs="Arial" w:eastAsia="Arial" w:hAnsi="Arial"/>
                <w:sz w:val="16"/>
                <w:szCs w:val="16"/>
                <w:b w:val="1"/>
                <w:bCs w:val="1"/>
                <w:color w:val="00558C"/>
              </w:rPr>
              <w:t>Compensation Discussion and Analysis</w:t>
            </w:r>
          </w:p>
        </w:tc>
        <w:tc>
          <w:tcPr>
            <w:tcW w:w="1180" w:type="dxa"/>
            <w:vAlign w:val="bottom"/>
            <w:shd w:val="clear" w:color="auto" w:fill="F2F3F2"/>
          </w:tcPr>
          <w:p>
            <w:pPr>
              <w:jc w:val="right"/>
              <w:spacing w:after="0"/>
              <w:rPr>
                <w:sz w:val="20"/>
                <w:szCs w:val="20"/>
                <w:color w:val="auto"/>
              </w:rPr>
            </w:pPr>
            <w:r>
              <w:rPr>
                <w:rFonts w:ascii="Arial" w:cs="Arial" w:eastAsia="Arial" w:hAnsi="Arial"/>
                <w:sz w:val="14"/>
                <w:szCs w:val="14"/>
                <w:color w:val="00558C"/>
              </w:rPr>
              <w:t>35</w:t>
            </w:r>
          </w:p>
        </w:tc>
        <w:tc>
          <w:tcPr>
            <w:tcW w:w="0" w:type="dxa"/>
            <w:vAlign w:val="bottom"/>
          </w:tcPr>
          <w:p>
            <w:pPr>
              <w:spacing w:after="0"/>
              <w:rPr>
                <w:sz w:val="1"/>
                <w:szCs w:val="1"/>
                <w:color w:val="auto"/>
              </w:rPr>
            </w:pPr>
          </w:p>
        </w:tc>
      </w:tr>
      <w:tr>
        <w:trPr>
          <w:trHeight w:val="61"/>
        </w:trPr>
        <w:tc>
          <w:tcPr>
            <w:tcW w:w="7820" w:type="dxa"/>
            <w:vAlign w:val="bottom"/>
            <w:shd w:val="clear" w:color="auto" w:fill="F2F3F2"/>
          </w:tcPr>
          <w:p>
            <w:pPr>
              <w:spacing w:after="0"/>
              <w:rPr>
                <w:sz w:val="5"/>
                <w:szCs w:val="5"/>
                <w:color w:val="auto"/>
              </w:rPr>
            </w:pPr>
          </w:p>
        </w:tc>
        <w:tc>
          <w:tcPr>
            <w:tcW w:w="1180" w:type="dxa"/>
            <w:vAlign w:val="bottom"/>
            <w:shd w:val="clear" w:color="auto" w:fill="F2F3F2"/>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726440</wp:posOffset>
            </wp:positionV>
            <wp:extent cx="6810375" cy="19964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10375" cy="1996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140" w:type="dxa"/>
        <w:tblCellMar>
          <w:top w:w="0" w:type="dxa"/>
          <w:left w:w="0" w:type="dxa"/>
          <w:bottom w:w="0" w:type="dxa"/>
          <w:right w:w="0" w:type="dxa"/>
        </w:tblCellMar>
      </w:tblPr>
      <w:tr>
        <w:trPr>
          <w:trHeight w:val="223"/>
        </w:trPr>
        <w:tc>
          <w:tcPr>
            <w:tcW w:w="6340" w:type="dxa"/>
            <w:vAlign w:val="bottom"/>
            <w:gridSpan w:val="2"/>
          </w:tcPr>
          <w:p>
            <w:pPr>
              <w:spacing w:after="0"/>
              <w:rPr>
                <w:sz w:val="20"/>
                <w:szCs w:val="20"/>
                <w:color w:val="auto"/>
              </w:rPr>
            </w:pPr>
            <w:r>
              <w:rPr>
                <w:rFonts w:ascii="Arial" w:cs="Arial" w:eastAsia="Arial" w:hAnsi="Arial"/>
                <w:sz w:val="16"/>
                <w:szCs w:val="16"/>
                <w:b w:val="1"/>
                <w:bCs w:val="1"/>
                <w:color w:val="00558C"/>
              </w:rPr>
              <w:t>Compensation Committee Report</w:t>
            </w:r>
          </w:p>
        </w:tc>
        <w:tc>
          <w:tcPr>
            <w:tcW w:w="2560" w:type="dxa"/>
            <w:vAlign w:val="bottom"/>
          </w:tcPr>
          <w:p>
            <w:pPr>
              <w:jc w:val="right"/>
              <w:spacing w:after="0"/>
              <w:rPr>
                <w:sz w:val="20"/>
                <w:szCs w:val="20"/>
                <w:color w:val="auto"/>
              </w:rPr>
            </w:pPr>
            <w:r>
              <w:rPr>
                <w:rFonts w:ascii="Arial" w:cs="Arial" w:eastAsia="Arial" w:hAnsi="Arial"/>
                <w:sz w:val="14"/>
                <w:szCs w:val="14"/>
                <w:color w:val="00558C"/>
              </w:rPr>
              <w:t>49</w:t>
            </w:r>
          </w:p>
        </w:tc>
      </w:tr>
      <w:tr>
        <w:trPr>
          <w:trHeight w:val="364"/>
        </w:trPr>
        <w:tc>
          <w:tcPr>
            <w:tcW w:w="6340" w:type="dxa"/>
            <w:vAlign w:val="bottom"/>
            <w:gridSpan w:val="2"/>
          </w:tcPr>
          <w:p>
            <w:pPr>
              <w:spacing w:after="0"/>
              <w:rPr>
                <w:sz w:val="20"/>
                <w:szCs w:val="20"/>
                <w:color w:val="auto"/>
              </w:rPr>
            </w:pPr>
            <w:r>
              <w:rPr>
                <w:rFonts w:ascii="Arial" w:cs="Arial" w:eastAsia="Arial" w:hAnsi="Arial"/>
                <w:sz w:val="16"/>
                <w:szCs w:val="16"/>
                <w:b w:val="1"/>
                <w:bCs w:val="1"/>
                <w:color w:val="00558C"/>
              </w:rPr>
              <w:t>2024 Summary Compensation Table</w:t>
            </w:r>
          </w:p>
        </w:tc>
        <w:tc>
          <w:tcPr>
            <w:tcW w:w="2560" w:type="dxa"/>
            <w:vAlign w:val="bottom"/>
          </w:tcPr>
          <w:p>
            <w:pPr>
              <w:jc w:val="right"/>
              <w:spacing w:after="0"/>
              <w:rPr>
                <w:sz w:val="20"/>
                <w:szCs w:val="20"/>
                <w:color w:val="auto"/>
              </w:rPr>
            </w:pPr>
            <w:r>
              <w:rPr>
                <w:rFonts w:ascii="Arial" w:cs="Arial" w:eastAsia="Arial" w:hAnsi="Arial"/>
                <w:sz w:val="14"/>
                <w:szCs w:val="14"/>
                <w:color w:val="00558C"/>
              </w:rPr>
              <w:t>50</w:t>
            </w:r>
          </w:p>
        </w:tc>
      </w:tr>
      <w:tr>
        <w:trPr>
          <w:trHeight w:val="364"/>
        </w:trPr>
        <w:tc>
          <w:tcPr>
            <w:tcW w:w="380" w:type="dxa"/>
            <w:vAlign w:val="bottom"/>
          </w:tcPr>
          <w:p>
            <w:pPr>
              <w:spacing w:after="0"/>
              <w:rPr>
                <w:sz w:val="20"/>
                <w:szCs w:val="20"/>
                <w:color w:val="auto"/>
              </w:rPr>
            </w:pPr>
            <w:r>
              <w:rPr>
                <w:rFonts w:ascii="Arial" w:cs="Arial" w:eastAsia="Arial" w:hAnsi="Arial"/>
                <w:sz w:val="16"/>
                <w:szCs w:val="16"/>
                <w:b w:val="1"/>
                <w:bCs w:val="1"/>
                <w:color w:val="00558C"/>
              </w:rPr>
              <w:t>2024</w:t>
            </w:r>
          </w:p>
        </w:tc>
        <w:tc>
          <w:tcPr>
            <w:tcW w:w="5960" w:type="dxa"/>
            <w:vAlign w:val="bottom"/>
          </w:tcPr>
          <w:p>
            <w:pPr>
              <w:ind w:left="20"/>
              <w:spacing w:after="0"/>
              <w:rPr>
                <w:sz w:val="20"/>
                <w:szCs w:val="20"/>
                <w:color w:val="auto"/>
              </w:rPr>
            </w:pPr>
            <w:r>
              <w:rPr>
                <w:rFonts w:ascii="Arial" w:cs="Arial" w:eastAsia="Arial" w:hAnsi="Arial"/>
                <w:sz w:val="16"/>
                <w:szCs w:val="16"/>
                <w:b w:val="1"/>
                <w:bCs w:val="1"/>
                <w:color w:val="00558C"/>
              </w:rPr>
              <w:t>Grants of Plan-Based Awards</w:t>
            </w:r>
          </w:p>
        </w:tc>
        <w:tc>
          <w:tcPr>
            <w:tcW w:w="2560" w:type="dxa"/>
            <w:vAlign w:val="bottom"/>
          </w:tcPr>
          <w:p>
            <w:pPr>
              <w:jc w:val="right"/>
              <w:spacing w:after="0"/>
              <w:rPr>
                <w:sz w:val="20"/>
                <w:szCs w:val="20"/>
                <w:color w:val="auto"/>
              </w:rPr>
            </w:pPr>
            <w:r>
              <w:rPr>
                <w:rFonts w:ascii="Arial" w:cs="Arial" w:eastAsia="Arial" w:hAnsi="Arial"/>
                <w:sz w:val="14"/>
                <w:szCs w:val="14"/>
                <w:color w:val="00558C"/>
              </w:rPr>
              <w:t>52</w:t>
            </w:r>
          </w:p>
        </w:tc>
      </w:tr>
      <w:tr>
        <w:trPr>
          <w:trHeight w:val="364"/>
        </w:trPr>
        <w:tc>
          <w:tcPr>
            <w:tcW w:w="380" w:type="dxa"/>
            <w:vAlign w:val="bottom"/>
          </w:tcPr>
          <w:p>
            <w:pPr>
              <w:spacing w:after="0"/>
              <w:rPr>
                <w:sz w:val="20"/>
                <w:szCs w:val="20"/>
                <w:color w:val="auto"/>
              </w:rPr>
            </w:pPr>
            <w:r>
              <w:rPr>
                <w:rFonts w:ascii="Arial" w:cs="Arial" w:eastAsia="Arial" w:hAnsi="Arial"/>
                <w:sz w:val="16"/>
                <w:szCs w:val="16"/>
                <w:b w:val="1"/>
                <w:bCs w:val="1"/>
                <w:color w:val="00558C"/>
              </w:rPr>
              <w:t>2024</w:t>
            </w:r>
          </w:p>
        </w:tc>
        <w:tc>
          <w:tcPr>
            <w:tcW w:w="5960" w:type="dxa"/>
            <w:vAlign w:val="bottom"/>
          </w:tcPr>
          <w:p>
            <w:pPr>
              <w:ind w:left="20"/>
              <w:spacing w:after="0"/>
              <w:rPr>
                <w:sz w:val="20"/>
                <w:szCs w:val="20"/>
                <w:color w:val="auto"/>
              </w:rPr>
            </w:pPr>
            <w:r>
              <w:rPr>
                <w:rFonts w:ascii="Arial" w:cs="Arial" w:eastAsia="Arial" w:hAnsi="Arial"/>
                <w:sz w:val="16"/>
                <w:szCs w:val="16"/>
                <w:b w:val="1"/>
                <w:bCs w:val="1"/>
                <w:color w:val="00558C"/>
              </w:rPr>
              <w:t>Outstanding Equity Awards at Fiscal Year-End</w:t>
            </w:r>
          </w:p>
        </w:tc>
        <w:tc>
          <w:tcPr>
            <w:tcW w:w="2560" w:type="dxa"/>
            <w:vAlign w:val="bottom"/>
          </w:tcPr>
          <w:p>
            <w:pPr>
              <w:jc w:val="right"/>
              <w:spacing w:after="0"/>
              <w:rPr>
                <w:sz w:val="20"/>
                <w:szCs w:val="20"/>
                <w:color w:val="auto"/>
              </w:rPr>
            </w:pPr>
            <w:r>
              <w:rPr>
                <w:rFonts w:ascii="Arial" w:cs="Arial" w:eastAsia="Arial" w:hAnsi="Arial"/>
                <w:sz w:val="14"/>
                <w:szCs w:val="14"/>
                <w:color w:val="00558C"/>
              </w:rPr>
              <w:t>53</w:t>
            </w:r>
          </w:p>
        </w:tc>
      </w:tr>
      <w:tr>
        <w:trPr>
          <w:trHeight w:val="364"/>
        </w:trPr>
        <w:tc>
          <w:tcPr>
            <w:tcW w:w="380" w:type="dxa"/>
            <w:vAlign w:val="bottom"/>
          </w:tcPr>
          <w:p>
            <w:pPr>
              <w:spacing w:after="0"/>
              <w:rPr>
                <w:sz w:val="20"/>
                <w:szCs w:val="20"/>
                <w:color w:val="auto"/>
              </w:rPr>
            </w:pPr>
            <w:r>
              <w:rPr>
                <w:rFonts w:ascii="Arial" w:cs="Arial" w:eastAsia="Arial" w:hAnsi="Arial"/>
                <w:sz w:val="16"/>
                <w:szCs w:val="16"/>
                <w:b w:val="1"/>
                <w:bCs w:val="1"/>
                <w:color w:val="00558C"/>
              </w:rPr>
              <w:t>2024</w:t>
            </w:r>
          </w:p>
        </w:tc>
        <w:tc>
          <w:tcPr>
            <w:tcW w:w="5960" w:type="dxa"/>
            <w:vAlign w:val="bottom"/>
          </w:tcPr>
          <w:p>
            <w:pPr>
              <w:ind w:left="20"/>
              <w:spacing w:after="0"/>
              <w:rPr>
                <w:sz w:val="20"/>
                <w:szCs w:val="20"/>
                <w:color w:val="auto"/>
              </w:rPr>
            </w:pPr>
            <w:r>
              <w:rPr>
                <w:rFonts w:ascii="Arial" w:cs="Arial" w:eastAsia="Arial" w:hAnsi="Arial"/>
                <w:sz w:val="16"/>
                <w:szCs w:val="16"/>
                <w:b w:val="1"/>
                <w:bCs w:val="1"/>
                <w:color w:val="00558C"/>
              </w:rPr>
              <w:t>Option Exercises and Stock Vested</w:t>
            </w:r>
          </w:p>
        </w:tc>
        <w:tc>
          <w:tcPr>
            <w:tcW w:w="2560" w:type="dxa"/>
            <w:vAlign w:val="bottom"/>
          </w:tcPr>
          <w:p>
            <w:pPr>
              <w:jc w:val="right"/>
              <w:spacing w:after="0"/>
              <w:rPr>
                <w:sz w:val="20"/>
                <w:szCs w:val="20"/>
                <w:color w:val="auto"/>
              </w:rPr>
            </w:pPr>
            <w:r>
              <w:rPr>
                <w:rFonts w:ascii="Arial" w:cs="Arial" w:eastAsia="Arial" w:hAnsi="Arial"/>
                <w:sz w:val="14"/>
                <w:szCs w:val="14"/>
                <w:color w:val="00558C"/>
              </w:rPr>
              <w:t>55</w:t>
            </w:r>
          </w:p>
        </w:tc>
      </w:tr>
    </w:tbl>
    <w:p>
      <w:pPr>
        <w:sectPr>
          <w:pgSz w:w="11900" w:h="16838" w:orient="portrait"/>
          <w:cols w:equalWidth="0" w:num="1">
            <w:col w:w="9080"/>
          </w:cols>
          <w:pgMar w:left="1400" w:top="1440" w:right="1419" w:bottom="0" w:gutter="0" w:footer="0" w:header="0"/>
          <w:type w:val="continuous"/>
        </w:sectPr>
      </w:pPr>
    </w:p>
    <w:bookmarkStart w:id="7" w:name="page8"/>
    <w:bookmarkEnd w:id="7"/>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244"/>
        </w:trPr>
        <w:tc>
          <w:tcPr>
            <w:tcW w:w="6800" w:type="dxa"/>
            <w:vAlign w:val="bottom"/>
          </w:tcPr>
          <w:p>
            <w:pPr>
              <w:ind w:left="60"/>
              <w:spacing w:after="0"/>
              <w:rPr>
                <w:sz w:val="20"/>
                <w:szCs w:val="20"/>
                <w:color w:val="auto"/>
              </w:rPr>
            </w:pPr>
            <w:r>
              <w:rPr>
                <w:rFonts w:ascii="Arial" w:cs="Arial" w:eastAsia="Arial" w:hAnsi="Arial"/>
                <w:sz w:val="16"/>
                <w:szCs w:val="16"/>
                <w:b w:val="1"/>
                <w:bCs w:val="1"/>
                <w:color w:val="00558C"/>
              </w:rPr>
              <w:t>2024 Nonqualified Deferred Compensation</w:t>
            </w:r>
          </w:p>
        </w:tc>
        <w:tc>
          <w:tcPr>
            <w:tcW w:w="2200" w:type="dxa"/>
            <w:vAlign w:val="bottom"/>
          </w:tcPr>
          <w:p>
            <w:pPr>
              <w:jc w:val="right"/>
              <w:spacing w:after="0"/>
              <w:rPr>
                <w:sz w:val="20"/>
                <w:szCs w:val="20"/>
                <w:color w:val="auto"/>
              </w:rPr>
            </w:pPr>
            <w:r>
              <w:rPr>
                <w:rFonts w:ascii="Arial" w:cs="Arial" w:eastAsia="Arial" w:hAnsi="Arial"/>
                <w:sz w:val="14"/>
                <w:szCs w:val="14"/>
                <w:color w:val="00558C"/>
              </w:rPr>
              <w:t>55</w:t>
            </w:r>
          </w:p>
        </w:tc>
      </w:tr>
      <w:tr>
        <w:trPr>
          <w:trHeight w:val="229"/>
        </w:trPr>
        <w:tc>
          <w:tcPr>
            <w:tcW w:w="6800" w:type="dxa"/>
            <w:vAlign w:val="bottom"/>
          </w:tcPr>
          <w:p>
            <w:pPr>
              <w:ind w:left="60"/>
              <w:spacing w:after="0"/>
              <w:rPr>
                <w:sz w:val="20"/>
                <w:szCs w:val="20"/>
                <w:color w:val="auto"/>
              </w:rPr>
            </w:pPr>
            <w:r>
              <w:rPr>
                <w:rFonts w:ascii="Arial" w:cs="Arial" w:eastAsia="Arial" w:hAnsi="Arial"/>
                <w:sz w:val="16"/>
                <w:szCs w:val="16"/>
                <w:b w:val="1"/>
                <w:bCs w:val="1"/>
                <w:color w:val="00558C"/>
              </w:rPr>
              <w:t>Potential Payments upon Termination or Change of Control</w:t>
            </w:r>
          </w:p>
        </w:tc>
        <w:tc>
          <w:tcPr>
            <w:tcW w:w="2200" w:type="dxa"/>
            <w:vAlign w:val="bottom"/>
          </w:tcPr>
          <w:p>
            <w:pPr>
              <w:jc w:val="right"/>
              <w:spacing w:after="0"/>
              <w:rPr>
                <w:sz w:val="20"/>
                <w:szCs w:val="20"/>
                <w:color w:val="auto"/>
              </w:rPr>
            </w:pPr>
            <w:r>
              <w:rPr>
                <w:rFonts w:ascii="Arial" w:cs="Arial" w:eastAsia="Arial" w:hAnsi="Arial"/>
                <w:sz w:val="14"/>
                <w:szCs w:val="14"/>
                <w:color w:val="00558C"/>
              </w:rPr>
              <w:t>56</w:t>
            </w:r>
          </w:p>
        </w:tc>
      </w:tr>
      <w:tr>
        <w:trPr>
          <w:trHeight w:val="364"/>
        </w:trPr>
        <w:tc>
          <w:tcPr>
            <w:tcW w:w="6800" w:type="dxa"/>
            <w:vAlign w:val="bottom"/>
          </w:tcPr>
          <w:p>
            <w:pPr>
              <w:ind w:left="60"/>
              <w:spacing w:after="0"/>
              <w:rPr>
                <w:sz w:val="20"/>
                <w:szCs w:val="20"/>
                <w:color w:val="auto"/>
              </w:rPr>
            </w:pPr>
            <w:r>
              <w:rPr>
                <w:rFonts w:ascii="Arial" w:cs="Arial" w:eastAsia="Arial" w:hAnsi="Arial"/>
                <w:sz w:val="16"/>
                <w:szCs w:val="16"/>
                <w:b w:val="1"/>
                <w:bCs w:val="1"/>
                <w:color w:val="00558C"/>
              </w:rPr>
              <w:t>Pay Versus Performance</w:t>
            </w:r>
          </w:p>
        </w:tc>
        <w:tc>
          <w:tcPr>
            <w:tcW w:w="2200" w:type="dxa"/>
            <w:vAlign w:val="bottom"/>
          </w:tcPr>
          <w:p>
            <w:pPr>
              <w:jc w:val="right"/>
              <w:spacing w:after="0"/>
              <w:rPr>
                <w:sz w:val="20"/>
                <w:szCs w:val="20"/>
                <w:color w:val="auto"/>
              </w:rPr>
            </w:pPr>
            <w:r>
              <w:rPr>
                <w:rFonts w:ascii="Arial" w:cs="Arial" w:eastAsia="Arial" w:hAnsi="Arial"/>
                <w:sz w:val="14"/>
                <w:szCs w:val="14"/>
                <w:color w:val="00558C"/>
              </w:rPr>
              <w:t>62</w:t>
            </w:r>
          </w:p>
        </w:tc>
      </w:tr>
      <w:tr>
        <w:trPr>
          <w:trHeight w:val="365"/>
        </w:trPr>
        <w:tc>
          <w:tcPr>
            <w:tcW w:w="6800" w:type="dxa"/>
            <w:vAlign w:val="bottom"/>
          </w:tcPr>
          <w:p>
            <w:pPr>
              <w:ind w:left="60"/>
              <w:spacing w:after="0"/>
              <w:rPr>
                <w:sz w:val="20"/>
                <w:szCs w:val="20"/>
                <w:color w:val="auto"/>
              </w:rPr>
            </w:pPr>
            <w:r>
              <w:rPr>
                <w:rFonts w:ascii="Arial" w:cs="Arial" w:eastAsia="Arial" w:hAnsi="Arial"/>
                <w:sz w:val="16"/>
                <w:szCs w:val="16"/>
                <w:b w:val="1"/>
                <w:bCs w:val="1"/>
                <w:color w:val="00558C"/>
              </w:rPr>
              <w:t>CEO Pay Ratio</w:t>
            </w:r>
          </w:p>
        </w:tc>
        <w:tc>
          <w:tcPr>
            <w:tcW w:w="2200" w:type="dxa"/>
            <w:vAlign w:val="bottom"/>
          </w:tcPr>
          <w:p>
            <w:pPr>
              <w:jc w:val="right"/>
              <w:spacing w:after="0"/>
              <w:rPr>
                <w:sz w:val="20"/>
                <w:szCs w:val="20"/>
                <w:color w:val="auto"/>
              </w:rPr>
            </w:pPr>
            <w:r>
              <w:rPr>
                <w:rFonts w:ascii="Arial" w:cs="Arial" w:eastAsia="Arial" w:hAnsi="Arial"/>
                <w:sz w:val="14"/>
                <w:szCs w:val="14"/>
                <w:color w:val="00558C"/>
              </w:rPr>
              <w:t>65</w:t>
            </w:r>
          </w:p>
        </w:tc>
      </w:tr>
      <w:tr>
        <w:trPr>
          <w:trHeight w:val="364"/>
        </w:trPr>
        <w:tc>
          <w:tcPr>
            <w:tcW w:w="6800" w:type="dxa"/>
            <w:vAlign w:val="bottom"/>
          </w:tcPr>
          <w:p>
            <w:pPr>
              <w:ind w:left="60"/>
              <w:spacing w:after="0"/>
              <w:rPr>
                <w:sz w:val="20"/>
                <w:szCs w:val="20"/>
                <w:color w:val="auto"/>
              </w:rPr>
            </w:pPr>
            <w:r>
              <w:rPr>
                <w:rFonts w:ascii="Arial" w:cs="Arial" w:eastAsia="Arial" w:hAnsi="Arial"/>
                <w:sz w:val="16"/>
                <w:szCs w:val="16"/>
                <w:b w:val="1"/>
                <w:bCs w:val="1"/>
                <w:color w:val="00558C"/>
              </w:rPr>
              <w:t>Compensation Committee Interlocks and Insider Participation</w:t>
            </w:r>
          </w:p>
        </w:tc>
        <w:tc>
          <w:tcPr>
            <w:tcW w:w="2200" w:type="dxa"/>
            <w:vAlign w:val="bottom"/>
          </w:tcPr>
          <w:p>
            <w:pPr>
              <w:jc w:val="right"/>
              <w:spacing w:after="0"/>
              <w:rPr>
                <w:sz w:val="20"/>
                <w:szCs w:val="20"/>
                <w:color w:val="auto"/>
              </w:rPr>
            </w:pPr>
            <w:r>
              <w:rPr>
                <w:rFonts w:ascii="Arial" w:cs="Arial" w:eastAsia="Arial" w:hAnsi="Arial"/>
                <w:sz w:val="14"/>
                <w:szCs w:val="14"/>
                <w:color w:val="00558C"/>
              </w:rPr>
              <w:t>65</w:t>
            </w:r>
          </w:p>
        </w:tc>
      </w:tr>
      <w:tr>
        <w:trPr>
          <w:trHeight w:val="365"/>
        </w:trPr>
        <w:tc>
          <w:tcPr>
            <w:tcW w:w="6800" w:type="dxa"/>
            <w:vAlign w:val="bottom"/>
          </w:tcPr>
          <w:p>
            <w:pPr>
              <w:ind w:left="60"/>
              <w:spacing w:after="0"/>
              <w:rPr>
                <w:sz w:val="20"/>
                <w:szCs w:val="20"/>
                <w:color w:val="auto"/>
              </w:rPr>
            </w:pPr>
            <w:r>
              <w:rPr>
                <w:rFonts w:ascii="Arial" w:cs="Arial" w:eastAsia="Arial" w:hAnsi="Arial"/>
                <w:sz w:val="16"/>
                <w:szCs w:val="16"/>
                <w:b w:val="1"/>
                <w:bCs w:val="1"/>
                <w:color w:val="00558C"/>
              </w:rPr>
              <w:t>Certain Relationships and Related Transactions</w:t>
            </w:r>
          </w:p>
        </w:tc>
        <w:tc>
          <w:tcPr>
            <w:tcW w:w="2200" w:type="dxa"/>
            <w:vAlign w:val="bottom"/>
          </w:tcPr>
          <w:p>
            <w:pPr>
              <w:jc w:val="right"/>
              <w:spacing w:after="0"/>
              <w:rPr>
                <w:sz w:val="20"/>
                <w:szCs w:val="20"/>
                <w:color w:val="auto"/>
              </w:rPr>
            </w:pPr>
            <w:r>
              <w:rPr>
                <w:rFonts w:ascii="Arial" w:cs="Arial" w:eastAsia="Arial" w:hAnsi="Arial"/>
                <w:sz w:val="14"/>
                <w:szCs w:val="14"/>
                <w:color w:val="00558C"/>
              </w:rPr>
              <w:t>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-1211580</wp:posOffset>
            </wp:positionV>
            <wp:extent cx="6810375" cy="6859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10375" cy="6859905"/>
                    </a:xfrm>
                    <a:prstGeom prst="rect">
                      <a:avLst/>
                    </a:prstGeom>
                    <a:noFill/>
                  </pic:spPr>
                </pic:pic>
              </a:graphicData>
            </a:graphic>
          </wp:anchor>
        </w:drawing>
      </w:r>
    </w:p>
    <w:p>
      <w:pPr>
        <w:spacing w:after="0" w:line="136" w:lineRule="exact"/>
        <w:rPr>
          <w:sz w:val="20"/>
          <w:szCs w:val="20"/>
          <w:color w:val="auto"/>
        </w:rPr>
      </w:pPr>
    </w:p>
    <w:tbl>
      <w:tblPr>
        <w:tblLayout w:type="fixed"/>
        <w:tblInd w:w="140" w:type="dxa"/>
        <w:tblCellMar>
          <w:top w:w="0" w:type="dxa"/>
          <w:left w:w="0" w:type="dxa"/>
          <w:bottom w:w="0" w:type="dxa"/>
          <w:right w:w="0" w:type="dxa"/>
        </w:tblCellMar>
      </w:tblPr>
      <w:tr>
        <w:trPr>
          <w:trHeight w:val="324"/>
        </w:trPr>
        <w:tc>
          <w:tcPr>
            <w:tcW w:w="7980" w:type="dxa"/>
            <w:vAlign w:val="bottom"/>
          </w:tcPr>
          <w:p>
            <w:pPr>
              <w:spacing w:after="0"/>
              <w:rPr>
                <w:sz w:val="20"/>
                <w:szCs w:val="20"/>
                <w:color w:val="auto"/>
              </w:rPr>
            </w:pPr>
            <w:r>
              <w:rPr>
                <w:rFonts w:ascii="Arial" w:cs="Arial" w:eastAsia="Arial" w:hAnsi="Arial"/>
                <w:sz w:val="27"/>
                <w:szCs w:val="27"/>
                <w:color w:val="00558C"/>
              </w:rPr>
              <w:t>Proposal Three - Approval of an Amendment to the</w:t>
            </w:r>
          </w:p>
        </w:tc>
        <w:tc>
          <w:tcPr>
            <w:tcW w:w="920" w:type="dxa"/>
            <w:vAlign w:val="bottom"/>
          </w:tcPr>
          <w:p>
            <w:pPr>
              <w:spacing w:after="0"/>
              <w:rPr>
                <w:sz w:val="24"/>
                <w:szCs w:val="24"/>
                <w:color w:val="auto"/>
              </w:rPr>
            </w:pPr>
          </w:p>
        </w:tc>
      </w:tr>
      <w:tr>
        <w:trPr>
          <w:trHeight w:val="350"/>
        </w:trPr>
        <w:tc>
          <w:tcPr>
            <w:tcW w:w="7980" w:type="dxa"/>
            <w:vAlign w:val="bottom"/>
          </w:tcPr>
          <w:p>
            <w:pPr>
              <w:spacing w:after="0"/>
              <w:rPr>
                <w:sz w:val="20"/>
                <w:szCs w:val="20"/>
                <w:color w:val="auto"/>
              </w:rPr>
            </w:pPr>
            <w:r>
              <w:rPr>
                <w:rFonts w:ascii="Arial" w:cs="Arial" w:eastAsia="Arial" w:hAnsi="Arial"/>
                <w:sz w:val="27"/>
                <w:szCs w:val="27"/>
                <w:color w:val="00558C"/>
              </w:rPr>
              <w:t>Company’s Amended and Restated 2012 Omnibus Incentive</w:t>
            </w:r>
          </w:p>
        </w:tc>
        <w:tc>
          <w:tcPr>
            <w:tcW w:w="920" w:type="dxa"/>
            <w:vAlign w:val="bottom"/>
          </w:tcPr>
          <w:p>
            <w:pPr>
              <w:jc w:val="right"/>
              <w:spacing w:after="0"/>
              <w:rPr>
                <w:sz w:val="20"/>
                <w:szCs w:val="20"/>
                <w:color w:val="auto"/>
              </w:rPr>
            </w:pPr>
            <w:r>
              <w:rPr>
                <w:rFonts w:ascii="Arial" w:cs="Arial" w:eastAsia="Arial" w:hAnsi="Arial"/>
                <w:sz w:val="14"/>
                <w:szCs w:val="14"/>
                <w:color w:val="00558C"/>
              </w:rPr>
              <w:t>68</w:t>
            </w:r>
          </w:p>
        </w:tc>
      </w:tr>
    </w:tbl>
    <w:p>
      <w:pPr>
        <w:ind w:left="140"/>
        <w:spacing w:after="0"/>
        <w:rPr>
          <w:sz w:val="20"/>
          <w:szCs w:val="20"/>
          <w:color w:val="auto"/>
        </w:rPr>
      </w:pPr>
      <w:r>
        <w:rPr>
          <w:rFonts w:ascii="Arial" w:cs="Arial" w:eastAsia="Arial" w:hAnsi="Arial"/>
          <w:sz w:val="27"/>
          <w:szCs w:val="27"/>
          <w:color w:val="00558C"/>
        </w:rPr>
        <w:t>Plan</w:t>
      </w:r>
    </w:p>
    <w:p>
      <w:pPr>
        <w:spacing w:after="0" w:line="114" w:lineRule="exact"/>
        <w:rPr>
          <w:sz w:val="20"/>
          <w:szCs w:val="20"/>
          <w:color w:val="auto"/>
        </w:rPr>
      </w:pPr>
    </w:p>
    <w:p>
      <w:pPr>
        <w:ind w:left="140"/>
        <w:spacing w:after="0"/>
        <w:rPr>
          <w:sz w:val="20"/>
          <w:szCs w:val="20"/>
          <w:color w:val="auto"/>
        </w:rPr>
      </w:pPr>
      <w:r>
        <w:rPr>
          <w:rFonts w:ascii="Arial" w:cs="Arial" w:eastAsia="Arial" w:hAnsi="Arial"/>
          <w:sz w:val="27"/>
          <w:szCs w:val="27"/>
          <w:color w:val="00558C"/>
        </w:rPr>
        <w:t>Proposal Four - Approval of an Amendment to the Company’s</w:t>
      </w:r>
    </w:p>
    <w:p>
      <w:pPr>
        <w:ind w:left="8880"/>
        <w:spacing w:after="0" w:line="193" w:lineRule="auto"/>
        <w:rPr>
          <w:sz w:val="20"/>
          <w:szCs w:val="20"/>
          <w:color w:val="auto"/>
        </w:rPr>
      </w:pPr>
      <w:r>
        <w:rPr>
          <w:rFonts w:ascii="Arial" w:cs="Arial" w:eastAsia="Arial" w:hAnsi="Arial"/>
          <w:sz w:val="11"/>
          <w:szCs w:val="11"/>
          <w:color w:val="00558C"/>
        </w:rPr>
        <w:t>77</w:t>
      </w:r>
    </w:p>
    <w:p>
      <w:pPr>
        <w:ind w:left="140"/>
        <w:spacing w:after="0"/>
        <w:rPr>
          <w:sz w:val="20"/>
          <w:szCs w:val="20"/>
          <w:color w:val="auto"/>
        </w:rPr>
      </w:pPr>
      <w:r>
        <w:rPr>
          <w:rFonts w:ascii="Arial" w:cs="Arial" w:eastAsia="Arial" w:hAnsi="Arial"/>
          <w:sz w:val="27"/>
          <w:szCs w:val="27"/>
          <w:color w:val="00558C"/>
        </w:rPr>
        <w:t>Stock Ownership Participation Program</w:t>
      </w:r>
    </w:p>
    <w:p>
      <w:pPr>
        <w:sectPr>
          <w:pgSz w:w="11900" w:h="16838" w:orient="portrait"/>
          <w:cols w:equalWidth="0" w:num="1">
            <w:col w:w="9080"/>
          </w:cols>
          <w:pgMar w:left="1400" w:top="118" w:right="1419" w:bottom="230" w:gutter="0" w:footer="0" w:header="0"/>
        </w:sectPr>
      </w:pPr>
    </w:p>
    <w:p>
      <w:pPr>
        <w:spacing w:after="0" w:line="150" w:lineRule="exact"/>
        <w:rPr>
          <w:sz w:val="20"/>
          <w:szCs w:val="20"/>
          <w:color w:val="auto"/>
        </w:rPr>
      </w:pPr>
    </w:p>
    <w:p>
      <w:pPr>
        <w:ind w:left="140" w:right="960"/>
        <w:spacing w:after="0" w:line="285" w:lineRule="auto"/>
        <w:rPr>
          <w:sz w:val="20"/>
          <w:szCs w:val="20"/>
          <w:color w:val="auto"/>
        </w:rPr>
      </w:pPr>
      <w:r>
        <w:rPr>
          <w:rFonts w:ascii="Arial" w:cs="Arial" w:eastAsia="Arial" w:hAnsi="Arial"/>
          <w:sz w:val="27"/>
          <w:szCs w:val="27"/>
          <w:color w:val="00558C"/>
        </w:rPr>
        <w:t>Proposal Five - Ratification of Appointment of Independent Registered Public Accounting Firm</w:t>
      </w:r>
    </w:p>
    <w:p>
      <w:pPr>
        <w:spacing w:after="0" w:line="72"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00558C"/>
        </w:rPr>
        <w:t>Audit and Non-Audit Fees</w:t>
      </w:r>
    </w:p>
    <w:p>
      <w:pPr>
        <w:spacing w:after="0" w:line="208" w:lineRule="exact"/>
        <w:rPr>
          <w:sz w:val="20"/>
          <w:szCs w:val="20"/>
          <w:color w:val="auto"/>
        </w:rPr>
      </w:pPr>
    </w:p>
    <w:p>
      <w:pPr>
        <w:ind w:left="140" w:right="2380"/>
        <w:spacing w:after="0" w:line="332" w:lineRule="auto"/>
        <w:rPr>
          <w:sz w:val="20"/>
          <w:szCs w:val="20"/>
          <w:color w:val="auto"/>
        </w:rPr>
      </w:pPr>
      <w:r>
        <w:rPr>
          <w:rFonts w:ascii="Arial" w:cs="Arial" w:eastAsia="Arial" w:hAnsi="Arial"/>
          <w:sz w:val="16"/>
          <w:szCs w:val="16"/>
          <w:b w:val="1"/>
          <w:bCs w:val="1"/>
          <w:color w:val="00558C"/>
        </w:rPr>
        <w:t>Policy on Audit Committee Preapproval of Audit and Non-Audit Services of Independent Registered Public Accounting Firm</w:t>
      </w:r>
    </w:p>
    <w:p>
      <w:pPr>
        <w:spacing w:after="0" w:line="98"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00558C"/>
        </w:rPr>
        <w:t>Report of the Audit Committee</w:t>
      </w:r>
    </w:p>
    <w:p>
      <w:pPr>
        <w:spacing w:after="0" w:line="181" w:lineRule="exact"/>
        <w:rPr>
          <w:sz w:val="20"/>
          <w:szCs w:val="20"/>
          <w:color w:val="auto"/>
        </w:rPr>
      </w:pPr>
    </w:p>
    <w:p>
      <w:pPr>
        <w:ind w:left="140" w:right="3480"/>
        <w:spacing w:after="0" w:line="375" w:lineRule="auto"/>
        <w:rPr>
          <w:sz w:val="20"/>
          <w:szCs w:val="20"/>
          <w:color w:val="auto"/>
        </w:rPr>
      </w:pPr>
      <w:r>
        <w:rPr>
          <w:rFonts w:ascii="Arial" w:cs="Arial" w:eastAsia="Arial" w:hAnsi="Arial"/>
          <w:sz w:val="27"/>
          <w:szCs w:val="27"/>
          <w:color w:val="00558C"/>
        </w:rPr>
        <w:t>Submission of Stockholder Proposals Other Matters</w:t>
      </w:r>
    </w:p>
    <w:p>
      <w:pPr>
        <w:spacing w:after="0" w:line="2" w:lineRule="exact"/>
        <w:rPr>
          <w:sz w:val="20"/>
          <w:szCs w:val="20"/>
          <w:color w:val="auto"/>
        </w:rPr>
      </w:pPr>
    </w:p>
    <w:p>
      <w:pPr>
        <w:ind w:left="140" w:right="440"/>
        <w:spacing w:after="0" w:line="285" w:lineRule="auto"/>
        <w:rPr>
          <w:sz w:val="20"/>
          <w:szCs w:val="20"/>
          <w:color w:val="auto"/>
        </w:rPr>
      </w:pPr>
      <w:r>
        <w:rPr>
          <w:rFonts w:ascii="Arial" w:cs="Arial" w:eastAsia="Arial" w:hAnsi="Arial"/>
          <w:sz w:val="27"/>
          <w:szCs w:val="27"/>
          <w:color w:val="00558C"/>
        </w:rPr>
        <w:t>Appendix A - Amendment to the Huron Consulting Group Inc. Amended and Restated 2012 Omnibus Incentive Plan</w:t>
      </w:r>
    </w:p>
    <w:p>
      <w:pPr>
        <w:spacing w:after="0" w:line="73" w:lineRule="exact"/>
        <w:rPr>
          <w:sz w:val="20"/>
          <w:szCs w:val="20"/>
          <w:color w:val="auto"/>
        </w:rPr>
      </w:pPr>
    </w:p>
    <w:p>
      <w:pPr>
        <w:ind w:left="140" w:right="420"/>
        <w:spacing w:after="0" w:line="285" w:lineRule="auto"/>
        <w:rPr>
          <w:sz w:val="20"/>
          <w:szCs w:val="20"/>
          <w:color w:val="auto"/>
        </w:rPr>
      </w:pPr>
      <w:r>
        <w:rPr>
          <w:rFonts w:ascii="Arial" w:cs="Arial" w:eastAsia="Arial" w:hAnsi="Arial"/>
          <w:sz w:val="27"/>
          <w:szCs w:val="27"/>
          <w:color w:val="00558C"/>
        </w:rPr>
        <w:t>Appendix B - Amendment to the Huron Consulting Group Inc. Stock Ownership Participation Program</w:t>
      </w:r>
    </w:p>
    <w:p>
      <w:pPr>
        <w:spacing w:after="0" w:line="73" w:lineRule="exact"/>
        <w:rPr>
          <w:sz w:val="20"/>
          <w:szCs w:val="20"/>
          <w:color w:val="auto"/>
        </w:rPr>
      </w:pPr>
    </w:p>
    <w:p>
      <w:pPr>
        <w:ind w:left="140"/>
        <w:spacing w:after="0"/>
        <w:tabs>
          <w:tab w:leader="none" w:pos="1760" w:val="left"/>
        </w:tabs>
        <w:rPr>
          <w:sz w:val="20"/>
          <w:szCs w:val="20"/>
          <w:color w:val="auto"/>
        </w:rPr>
      </w:pPr>
      <w:r>
        <w:rPr>
          <w:rFonts w:ascii="Arial" w:cs="Arial" w:eastAsia="Arial" w:hAnsi="Arial"/>
          <w:sz w:val="27"/>
          <w:szCs w:val="27"/>
          <w:color w:val="00558C"/>
        </w:rPr>
        <w:t>Appendix C</w:t>
        <w:tab/>
        <w:t>-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1155700</wp:posOffset>
            </wp:positionV>
            <wp:extent cx="6810375" cy="35737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10375" cy="35737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4"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00558C"/>
        </w:rPr>
        <w:t>82</w:t>
      </w:r>
    </w:p>
    <w:p>
      <w:pPr>
        <w:spacing w:after="0" w:line="200" w:lineRule="exact"/>
        <w:rPr>
          <w:sz w:val="20"/>
          <w:szCs w:val="20"/>
          <w:color w:val="auto"/>
        </w:rPr>
      </w:pPr>
    </w:p>
    <w:p>
      <w:pPr>
        <w:spacing w:after="0" w:line="233"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00558C"/>
        </w:rPr>
        <w:t>83</w:t>
      </w:r>
    </w:p>
    <w:p>
      <w:pPr>
        <w:spacing w:after="0" w:line="339"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00558C"/>
        </w:rPr>
        <w:t>84</w:t>
      </w:r>
    </w:p>
    <w:p>
      <w:pPr>
        <w:spacing w:after="0" w:line="339"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00558C"/>
        </w:rPr>
        <w:t>84</w:t>
      </w:r>
    </w:p>
    <w:p>
      <w:pPr>
        <w:spacing w:after="0" w:line="25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00558C"/>
        </w:rPr>
        <w:t>85</w:t>
      </w:r>
    </w:p>
    <w:p>
      <w:pPr>
        <w:spacing w:after="0" w:line="325"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00558C"/>
        </w:rPr>
        <w:t>86</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color w:val="00558C"/>
        </w:rPr>
        <w:t>A-1</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color w:val="00558C"/>
        </w:rPr>
        <w:t>B-1</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color w:val="00558C"/>
        </w:rPr>
        <w:t>C-1</w:t>
      </w:r>
    </w:p>
    <w:p>
      <w:pPr>
        <w:spacing w:after="0" w:line="277" w:lineRule="exact"/>
        <w:rPr>
          <w:sz w:val="20"/>
          <w:szCs w:val="20"/>
          <w:color w:val="auto"/>
        </w:rPr>
      </w:pPr>
    </w:p>
    <w:p>
      <w:pPr>
        <w:sectPr>
          <w:pgSz w:w="11900" w:h="16838" w:orient="portrait"/>
          <w:cols w:equalWidth="0" w:num="2">
            <w:col w:w="8080" w:space="720"/>
            <w:col w:w="280"/>
          </w:cols>
          <w:pgMar w:left="1400" w:top="118" w:right="1419" w:bottom="23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540" w:val="left"/>
          <w:tab w:leader="none" w:pos="7360" w:val="left"/>
          <w:tab w:leader="none" w:pos="8400" w:val="left"/>
        </w:tabs>
        <w:rPr>
          <w:sz w:val="20"/>
          <w:szCs w:val="20"/>
          <w:color w:val="auto"/>
        </w:rPr>
      </w:pPr>
      <w:r>
        <w:rPr>
          <w:rFonts w:ascii="Arial" w:cs="Arial" w:eastAsia="Arial" w:hAnsi="Arial"/>
          <w:sz w:val="13"/>
          <w:szCs w:val="13"/>
          <w:b w:val="1"/>
          <w:bCs w:val="1"/>
          <w:color w:val="B2B3B6"/>
        </w:rPr>
        <w:t>General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Corporate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Executive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Stockholder</w:t>
      </w:r>
      <w:r>
        <w:rPr>
          <w:sz w:val="20"/>
          <w:szCs w:val="20"/>
          <w:color w:val="auto"/>
        </w:rPr>
        <w:tab/>
      </w:r>
      <w:r>
        <w:rPr>
          <w:rFonts w:ascii="Arial" w:cs="Arial" w:eastAsia="Arial" w:hAnsi="Arial"/>
          <w:sz w:val="12"/>
          <w:szCs w:val="12"/>
          <w:b w:val="1"/>
          <w:bCs w:val="1"/>
          <w:color w:val="B2B3B6"/>
        </w:rPr>
        <w:t>Other</w:t>
      </w:r>
    </w:p>
    <w:p>
      <w:pPr>
        <w:spacing w:after="0" w:line="11"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540" w:val="left"/>
          <w:tab w:leader="none" w:pos="7360" w:val="left"/>
          <w:tab w:leader="none" w:pos="8400" w:val="left"/>
        </w:tabs>
        <w:rPr>
          <w:sz w:val="20"/>
          <w:szCs w:val="20"/>
          <w:color w:val="auto"/>
        </w:rPr>
      </w:pPr>
      <w:r>
        <w:rPr>
          <w:rFonts w:ascii="Arial" w:cs="Arial" w:eastAsia="Arial" w:hAnsi="Arial"/>
          <w:sz w:val="13"/>
          <w:szCs w:val="13"/>
          <w:b w:val="1"/>
          <w:bCs w:val="1"/>
          <w:color w:val="B2B3B6"/>
        </w:rPr>
        <w:t>Information</w:t>
      </w:r>
      <w:r>
        <w:rPr>
          <w:sz w:val="20"/>
          <w:szCs w:val="20"/>
          <w:color w:val="auto"/>
        </w:rPr>
        <w:tab/>
      </w:r>
      <w:r>
        <w:rPr>
          <w:rFonts w:ascii="Arial" w:cs="Arial" w:eastAsia="Arial" w:hAnsi="Arial"/>
          <w:sz w:val="13"/>
          <w:szCs w:val="13"/>
          <w:b w:val="1"/>
          <w:bCs w:val="1"/>
          <w:color w:val="B2B3B6"/>
        </w:rPr>
        <w:t>One</w:t>
      </w:r>
      <w:r>
        <w:rPr>
          <w:sz w:val="20"/>
          <w:szCs w:val="20"/>
          <w:color w:val="auto"/>
        </w:rPr>
        <w:tab/>
      </w:r>
      <w:r>
        <w:rPr>
          <w:rFonts w:ascii="Arial" w:cs="Arial" w:eastAsia="Arial" w:hAnsi="Arial"/>
          <w:sz w:val="13"/>
          <w:szCs w:val="13"/>
          <w:b w:val="1"/>
          <w:bCs w:val="1"/>
          <w:color w:val="B2B3B6"/>
        </w:rPr>
        <w:t>Governance</w:t>
      </w:r>
      <w:r>
        <w:rPr>
          <w:sz w:val="20"/>
          <w:szCs w:val="20"/>
          <w:color w:val="auto"/>
        </w:rPr>
        <w:tab/>
      </w:r>
      <w:r>
        <w:rPr>
          <w:rFonts w:ascii="Arial" w:cs="Arial" w:eastAsia="Arial" w:hAnsi="Arial"/>
          <w:sz w:val="13"/>
          <w:szCs w:val="13"/>
          <w:b w:val="1"/>
          <w:bCs w:val="1"/>
          <w:color w:val="B2B3B6"/>
        </w:rPr>
        <w:t>Two</w:t>
      </w:r>
      <w:r>
        <w:rPr>
          <w:sz w:val="20"/>
          <w:szCs w:val="20"/>
          <w:color w:val="auto"/>
        </w:rPr>
        <w:tab/>
      </w:r>
      <w:r>
        <w:rPr>
          <w:rFonts w:ascii="Arial" w:cs="Arial" w:eastAsia="Arial" w:hAnsi="Arial"/>
          <w:sz w:val="13"/>
          <w:szCs w:val="13"/>
          <w:b w:val="1"/>
          <w:bCs w:val="1"/>
          <w:color w:val="B2B3B6"/>
        </w:rPr>
        <w:t>Compensation</w:t>
      </w:r>
      <w:r>
        <w:rPr>
          <w:sz w:val="20"/>
          <w:szCs w:val="20"/>
          <w:color w:val="auto"/>
        </w:rPr>
        <w:tab/>
      </w:r>
      <w:r>
        <w:rPr>
          <w:rFonts w:ascii="Arial" w:cs="Arial" w:eastAsia="Arial" w:hAnsi="Arial"/>
          <w:sz w:val="13"/>
          <w:szCs w:val="13"/>
          <w:b w:val="1"/>
          <w:bCs w:val="1"/>
          <w:color w:val="B2B3B6"/>
        </w:rPr>
        <w:t>Three</w:t>
      </w:r>
      <w:r>
        <w:rPr>
          <w:sz w:val="20"/>
          <w:szCs w:val="20"/>
          <w:color w:val="auto"/>
        </w:rPr>
        <w:tab/>
      </w:r>
      <w:r>
        <w:rPr>
          <w:rFonts w:ascii="Arial" w:cs="Arial" w:eastAsia="Arial" w:hAnsi="Arial"/>
          <w:sz w:val="13"/>
          <w:szCs w:val="13"/>
          <w:b w:val="1"/>
          <w:bCs w:val="1"/>
          <w:color w:val="B2B3B6"/>
        </w:rPr>
        <w:t>Four</w:t>
      </w:r>
      <w:r>
        <w:rPr>
          <w:sz w:val="20"/>
          <w:szCs w:val="20"/>
          <w:color w:val="auto"/>
        </w:rPr>
        <w:tab/>
      </w:r>
      <w:r>
        <w:rPr>
          <w:rFonts w:ascii="Arial" w:cs="Arial" w:eastAsia="Arial" w:hAnsi="Arial"/>
          <w:sz w:val="13"/>
          <w:szCs w:val="13"/>
          <w:b w:val="1"/>
          <w:bCs w:val="1"/>
          <w:color w:val="B2B3B6"/>
        </w:rPr>
        <w:t>Five</w:t>
      </w:r>
      <w:r>
        <w:rPr>
          <w:sz w:val="20"/>
          <w:szCs w:val="20"/>
          <w:color w:val="auto"/>
        </w:rPr>
        <w:tab/>
      </w:r>
      <w:r>
        <w:rPr>
          <w:rFonts w:ascii="Arial" w:cs="Arial" w:eastAsia="Arial" w:hAnsi="Arial"/>
          <w:sz w:val="13"/>
          <w:szCs w:val="13"/>
          <w:b w:val="1"/>
          <w:bCs w:val="1"/>
          <w:color w:val="B2B3B6"/>
        </w:rPr>
        <w:t>Proposals</w:t>
      </w:r>
      <w:r>
        <w:rPr>
          <w:sz w:val="20"/>
          <w:szCs w:val="20"/>
          <w:color w:val="auto"/>
        </w:rPr>
        <w:tab/>
      </w:r>
      <w:r>
        <w:rPr>
          <w:rFonts w:ascii="Arial" w:cs="Arial" w:eastAsia="Arial" w:hAnsi="Arial"/>
          <w:sz w:val="12"/>
          <w:szCs w:val="12"/>
          <w:b w:val="1"/>
          <w:bCs w:val="1"/>
          <w:color w:val="B2B3B6"/>
        </w:rPr>
        <w:t>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54"/>
          <w:szCs w:val="54"/>
          <w:color w:val="00558C"/>
        </w:rPr>
        <w:t>Company Overview</w:t>
      </w:r>
    </w:p>
    <w:p>
      <w:pPr>
        <w:spacing w:after="0" w:line="352" w:lineRule="exact"/>
        <w:rPr>
          <w:sz w:val="20"/>
          <w:szCs w:val="20"/>
          <w:color w:val="auto"/>
        </w:rPr>
      </w:pPr>
    </w:p>
    <w:p>
      <w:pPr>
        <w:spacing w:after="0"/>
        <w:rPr>
          <w:sz w:val="20"/>
          <w:szCs w:val="20"/>
          <w:color w:val="auto"/>
        </w:rPr>
      </w:pPr>
      <w:r>
        <w:rPr>
          <w:rFonts w:ascii="Arial" w:cs="Arial" w:eastAsia="Arial" w:hAnsi="Arial"/>
          <w:sz w:val="22"/>
          <w:szCs w:val="22"/>
          <w:b w:val="1"/>
          <w:bCs w:val="1"/>
          <w:color w:val="00558C"/>
        </w:rPr>
        <w:t>About Huron</w:t>
      </w:r>
    </w:p>
    <w:p>
      <w:pPr>
        <w:spacing w:after="0" w:line="112" w:lineRule="exact"/>
        <w:rPr>
          <w:sz w:val="20"/>
          <w:szCs w:val="20"/>
          <w:color w:val="auto"/>
        </w:rPr>
      </w:pPr>
    </w:p>
    <w:p>
      <w:pPr>
        <w:ind w:right="60"/>
        <w:spacing w:after="0" w:line="300" w:lineRule="auto"/>
        <w:rPr>
          <w:sz w:val="20"/>
          <w:szCs w:val="20"/>
          <w:color w:val="auto"/>
        </w:rPr>
      </w:pPr>
      <w:r>
        <w:rPr>
          <w:rFonts w:ascii="Arial" w:cs="Arial" w:eastAsia="Arial" w:hAnsi="Arial"/>
          <w:sz w:val="16"/>
          <w:szCs w:val="16"/>
          <w:color w:val="auto"/>
        </w:rPr>
        <w:t>Huron is a global professional services firm that partners with clients to put possible into practice by creating sound strategies, optimizing operations, accelerating digital transformation, and empowering businesses to own their future. By embracing diverse perspectives, encouraging new ideas and challenging the status quo, we create sustainable results for the organizations we serve.</w:t>
      </w:r>
    </w:p>
    <w:p>
      <w:pPr>
        <w:sectPr>
          <w:pgSz w:w="11900" w:h="16838" w:orient="portrait"/>
          <w:cols w:equalWidth="0" w:num="1">
            <w:col w:w="9080"/>
          </w:cols>
          <w:pgMar w:left="1400" w:top="118" w:right="1419" w:bottom="230" w:gutter="0" w:footer="0" w:header="0"/>
          <w:type w:val="continuous"/>
        </w:sectPr>
      </w:pP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Values</w:t>
      </w:r>
    </w:p>
    <w:p>
      <w:pPr>
        <w:sectPr>
          <w:pgSz w:w="11900" w:h="16838" w:orient="portrait"/>
          <w:cols w:equalWidth="0" w:num="1">
            <w:col w:w="9080"/>
          </w:cols>
          <w:pgMar w:left="1400" w:top="118" w:right="1419" w:bottom="230" w:gutter="0" w:footer="0" w:header="0"/>
          <w:type w:val="continuous"/>
        </w:sectPr>
      </w:pPr>
    </w:p>
    <w:bookmarkStart w:id="8" w:name="page9"/>
    <w:bookmarkEnd w:id="8"/>
    <w:tbl>
      <w:tblPr>
        <w:tblLayout w:type="fixed"/>
        <w:tblInd w:w="820" w:type="dxa"/>
        <w:tblCellMar>
          <w:top w:w="0" w:type="dxa"/>
          <w:left w:w="0" w:type="dxa"/>
          <w:bottom w:w="0" w:type="dxa"/>
          <w:right w:w="0" w:type="dxa"/>
        </w:tblCellMar>
      </w:tblPr>
      <w:tr>
        <w:trPr>
          <w:trHeight w:val="175"/>
        </w:trPr>
        <w:tc>
          <w:tcPr>
            <w:tcW w:w="100" w:type="dxa"/>
            <w:vAlign w:val="bottom"/>
            <w:shd w:val="clear" w:color="auto" w:fill="F2F3F2"/>
          </w:tcPr>
          <w:p>
            <w:pPr>
              <w:spacing w:after="0"/>
              <w:rPr>
                <w:sz w:val="15"/>
                <w:szCs w:val="15"/>
                <w:color w:val="auto"/>
              </w:rPr>
            </w:pPr>
          </w:p>
        </w:tc>
        <w:tc>
          <w:tcPr>
            <w:tcW w:w="2060" w:type="dxa"/>
            <w:vAlign w:val="bottom"/>
            <w:vMerge w:val="restart"/>
            <w:shd w:val="clear" w:color="auto" w:fill="F2F3F2"/>
          </w:tcPr>
          <w:p>
            <w:pPr>
              <w:ind w:left="40"/>
              <w:spacing w:after="0"/>
              <w:rPr>
                <w:sz w:val="20"/>
                <w:szCs w:val="20"/>
                <w:color w:val="auto"/>
              </w:rPr>
            </w:pPr>
            <w:r>
              <w:rPr>
                <w:rFonts w:ascii="Arial" w:cs="Arial" w:eastAsia="Arial" w:hAnsi="Arial"/>
                <w:sz w:val="18"/>
                <w:szCs w:val="18"/>
                <w:b w:val="1"/>
                <w:bCs w:val="1"/>
                <w:color w:val="auto"/>
              </w:rPr>
              <w:t>Integrity</w:t>
            </w:r>
          </w:p>
        </w:tc>
        <w:tc>
          <w:tcPr>
            <w:tcW w:w="120" w:type="dxa"/>
            <w:vAlign w:val="bottom"/>
            <w:tcBorders>
              <w:right w:val="single" w:sz="8" w:color="F2F3F2"/>
            </w:tcBorders>
            <w:shd w:val="clear" w:color="auto" w:fill="F2F3F2"/>
          </w:tcPr>
          <w:p>
            <w:pPr>
              <w:spacing w:after="0"/>
              <w:rPr>
                <w:sz w:val="15"/>
                <w:szCs w:val="15"/>
                <w:color w:val="auto"/>
              </w:rPr>
            </w:pPr>
          </w:p>
        </w:tc>
        <w:tc>
          <w:tcPr>
            <w:tcW w:w="80" w:type="dxa"/>
            <w:vAlign w:val="bottom"/>
            <w:shd w:val="clear" w:color="auto" w:fill="F2F3F2"/>
          </w:tcPr>
          <w:p>
            <w:pPr>
              <w:spacing w:after="0"/>
              <w:rPr>
                <w:sz w:val="15"/>
                <w:szCs w:val="15"/>
                <w:color w:val="auto"/>
              </w:rPr>
            </w:pPr>
          </w:p>
        </w:tc>
        <w:tc>
          <w:tcPr>
            <w:tcW w:w="2060" w:type="dxa"/>
            <w:vAlign w:val="bottom"/>
            <w:vMerge w:val="restart"/>
            <w:shd w:val="clear" w:color="auto" w:fill="F2F3F2"/>
          </w:tcPr>
          <w:p>
            <w:pPr>
              <w:ind w:left="40"/>
              <w:spacing w:after="0"/>
              <w:rPr>
                <w:sz w:val="20"/>
                <w:szCs w:val="20"/>
                <w:color w:val="auto"/>
              </w:rPr>
            </w:pPr>
            <w:r>
              <w:rPr>
                <w:rFonts w:ascii="Arial" w:cs="Arial" w:eastAsia="Arial" w:hAnsi="Arial"/>
                <w:sz w:val="18"/>
                <w:szCs w:val="18"/>
                <w:b w:val="1"/>
                <w:bCs w:val="1"/>
                <w:color w:val="auto"/>
              </w:rPr>
              <w:t>Collaboration</w:t>
            </w:r>
          </w:p>
        </w:tc>
        <w:tc>
          <w:tcPr>
            <w:tcW w:w="120" w:type="dxa"/>
            <w:vAlign w:val="bottom"/>
            <w:tcBorders>
              <w:right w:val="single" w:sz="8" w:color="F2F3F2"/>
            </w:tcBorders>
            <w:shd w:val="clear" w:color="auto" w:fill="F2F3F2"/>
          </w:tcPr>
          <w:p>
            <w:pPr>
              <w:spacing w:after="0"/>
              <w:rPr>
                <w:sz w:val="15"/>
                <w:szCs w:val="15"/>
                <w:color w:val="auto"/>
              </w:rPr>
            </w:pPr>
          </w:p>
        </w:tc>
        <w:tc>
          <w:tcPr>
            <w:tcW w:w="2240" w:type="dxa"/>
            <w:vAlign w:val="bottom"/>
            <w:vMerge w:val="restart"/>
            <w:shd w:val="clear" w:color="auto" w:fill="F2F3F2"/>
          </w:tcPr>
          <w:p>
            <w:pPr>
              <w:ind w:left="120"/>
              <w:spacing w:after="0"/>
              <w:rPr>
                <w:sz w:val="20"/>
                <w:szCs w:val="20"/>
                <w:color w:val="auto"/>
              </w:rPr>
            </w:pPr>
            <w:r>
              <w:rPr>
                <w:rFonts w:ascii="Arial" w:cs="Arial" w:eastAsia="Arial" w:hAnsi="Arial"/>
                <w:sz w:val="18"/>
                <w:szCs w:val="18"/>
                <w:b w:val="1"/>
                <w:bCs w:val="1"/>
                <w:color w:val="auto"/>
              </w:rPr>
              <w:t>Impact</w:t>
            </w:r>
          </w:p>
        </w:tc>
        <w:tc>
          <w:tcPr>
            <w:tcW w:w="20" w:type="dxa"/>
            <w:vAlign w:val="bottom"/>
            <w:shd w:val="clear" w:color="auto" w:fill="F2F3F2"/>
          </w:tcPr>
          <w:p>
            <w:pPr>
              <w:spacing w:after="0"/>
              <w:rPr>
                <w:sz w:val="15"/>
                <w:szCs w:val="15"/>
                <w:color w:val="auto"/>
              </w:rPr>
            </w:pPr>
          </w:p>
        </w:tc>
        <w:tc>
          <w:tcPr>
            <w:tcW w:w="2280" w:type="dxa"/>
            <w:vAlign w:val="bottom"/>
            <w:vMerge w:val="restart"/>
            <w:shd w:val="clear" w:color="auto" w:fill="F2F3F2"/>
          </w:tcPr>
          <w:p>
            <w:pPr>
              <w:ind w:left="120"/>
              <w:spacing w:after="0"/>
              <w:rPr>
                <w:sz w:val="20"/>
                <w:szCs w:val="20"/>
                <w:color w:val="auto"/>
              </w:rPr>
            </w:pPr>
            <w:r>
              <w:rPr>
                <w:rFonts w:ascii="Arial" w:cs="Arial" w:eastAsia="Arial" w:hAnsi="Arial"/>
                <w:sz w:val="18"/>
                <w:szCs w:val="18"/>
                <w:b w:val="1"/>
                <w:bCs w:val="1"/>
                <w:color w:val="auto"/>
              </w:rPr>
              <w:t>Intellectual Curiosity</w:t>
            </w:r>
          </w:p>
        </w:tc>
        <w:tc>
          <w:tcPr>
            <w:tcW w:w="0" w:type="dxa"/>
            <w:vAlign w:val="bottom"/>
          </w:tcPr>
          <w:p>
            <w:pPr>
              <w:spacing w:after="0"/>
              <w:rPr>
                <w:sz w:val="1"/>
                <w:szCs w:val="1"/>
                <w:color w:val="auto"/>
              </w:rPr>
            </w:pPr>
          </w:p>
        </w:tc>
      </w:tr>
      <w:tr>
        <w:trPr>
          <w:trHeight w:val="714"/>
        </w:trPr>
        <w:tc>
          <w:tcPr>
            <w:tcW w:w="100" w:type="dxa"/>
            <w:vAlign w:val="bottom"/>
          </w:tcPr>
          <w:p>
            <w:pPr>
              <w:spacing w:after="0"/>
              <w:rPr>
                <w:sz w:val="24"/>
                <w:szCs w:val="24"/>
                <w:color w:val="auto"/>
              </w:rPr>
            </w:pPr>
          </w:p>
        </w:tc>
        <w:tc>
          <w:tcPr>
            <w:tcW w:w="2060" w:type="dxa"/>
            <w:vAlign w:val="bottom"/>
            <w:vMerge w:val="continue"/>
            <w:shd w:val="clear" w:color="auto" w:fill="F2F3F2"/>
          </w:tcPr>
          <w:p>
            <w:pPr>
              <w:spacing w:after="0"/>
              <w:rPr>
                <w:sz w:val="24"/>
                <w:szCs w:val="24"/>
                <w:color w:val="auto"/>
              </w:rPr>
            </w:pPr>
          </w:p>
        </w:tc>
        <w:tc>
          <w:tcPr>
            <w:tcW w:w="120" w:type="dxa"/>
            <w:vAlign w:val="bottom"/>
            <w:tcBorders>
              <w:right w:val="single" w:sz="8" w:color="B2B3B6"/>
            </w:tcBorders>
            <w:shd w:val="clear" w:color="auto" w:fill="F2F3F2"/>
          </w:tcPr>
          <w:p>
            <w:pPr>
              <w:spacing w:after="0"/>
              <w:rPr>
                <w:sz w:val="24"/>
                <w:szCs w:val="24"/>
                <w:color w:val="auto"/>
              </w:rPr>
            </w:pPr>
          </w:p>
        </w:tc>
        <w:tc>
          <w:tcPr>
            <w:tcW w:w="80" w:type="dxa"/>
            <w:vAlign w:val="bottom"/>
            <w:shd w:val="clear" w:color="auto" w:fill="F2F3F2"/>
          </w:tcPr>
          <w:p>
            <w:pPr>
              <w:spacing w:after="0"/>
              <w:rPr>
                <w:sz w:val="24"/>
                <w:szCs w:val="24"/>
                <w:color w:val="auto"/>
              </w:rPr>
            </w:pPr>
          </w:p>
        </w:tc>
        <w:tc>
          <w:tcPr>
            <w:tcW w:w="2060" w:type="dxa"/>
            <w:vAlign w:val="bottom"/>
            <w:vMerge w:val="continue"/>
            <w:shd w:val="clear" w:color="auto" w:fill="F2F3F2"/>
          </w:tcPr>
          <w:p>
            <w:pPr>
              <w:spacing w:after="0"/>
              <w:rPr>
                <w:sz w:val="24"/>
                <w:szCs w:val="24"/>
                <w:color w:val="auto"/>
              </w:rPr>
            </w:pPr>
          </w:p>
        </w:tc>
        <w:tc>
          <w:tcPr>
            <w:tcW w:w="120" w:type="dxa"/>
            <w:vAlign w:val="bottom"/>
            <w:tcBorders>
              <w:right w:val="single" w:sz="8" w:color="B2B3B6"/>
            </w:tcBorders>
            <w:shd w:val="clear" w:color="auto" w:fill="F2F3F2"/>
          </w:tcPr>
          <w:p>
            <w:pPr>
              <w:spacing w:after="0"/>
              <w:rPr>
                <w:sz w:val="24"/>
                <w:szCs w:val="24"/>
                <w:color w:val="auto"/>
              </w:rPr>
            </w:pPr>
          </w:p>
        </w:tc>
        <w:tc>
          <w:tcPr>
            <w:tcW w:w="2240" w:type="dxa"/>
            <w:vAlign w:val="bottom"/>
            <w:vMerge w:val="continue"/>
            <w:shd w:val="clear" w:color="auto" w:fill="F2F3F2"/>
          </w:tcPr>
          <w:p>
            <w:pPr>
              <w:spacing w:after="0"/>
              <w:rPr>
                <w:sz w:val="24"/>
                <w:szCs w:val="24"/>
                <w:color w:val="auto"/>
              </w:rPr>
            </w:pPr>
          </w:p>
        </w:tc>
        <w:tc>
          <w:tcPr>
            <w:tcW w:w="20" w:type="dxa"/>
            <w:vAlign w:val="bottom"/>
            <w:shd w:val="clear" w:color="auto" w:fill="B2B3B6"/>
          </w:tcPr>
          <w:p>
            <w:pPr>
              <w:spacing w:after="0"/>
              <w:rPr>
                <w:sz w:val="24"/>
                <w:szCs w:val="24"/>
                <w:color w:val="auto"/>
              </w:rPr>
            </w:pPr>
          </w:p>
        </w:tc>
        <w:tc>
          <w:tcPr>
            <w:tcW w:w="2280" w:type="dxa"/>
            <w:vAlign w:val="bottom"/>
            <w:vMerge w:val="continue"/>
            <w:shd w:val="clear" w:color="auto" w:fill="F2F3F2"/>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00" w:type="dxa"/>
            <w:vAlign w:val="bottom"/>
          </w:tcPr>
          <w:p>
            <w:pPr>
              <w:spacing w:after="0"/>
              <w:rPr>
                <w:sz w:val="8"/>
                <w:szCs w:val="8"/>
                <w:color w:val="auto"/>
              </w:rPr>
            </w:pPr>
          </w:p>
        </w:tc>
        <w:tc>
          <w:tcPr>
            <w:tcW w:w="2060" w:type="dxa"/>
            <w:vAlign w:val="bottom"/>
            <w:shd w:val="clear" w:color="auto" w:fill="F2F3F2"/>
          </w:tcPr>
          <w:p>
            <w:pPr>
              <w:spacing w:after="0"/>
              <w:rPr>
                <w:sz w:val="8"/>
                <w:szCs w:val="8"/>
                <w:color w:val="auto"/>
              </w:rPr>
            </w:pPr>
          </w:p>
        </w:tc>
        <w:tc>
          <w:tcPr>
            <w:tcW w:w="120" w:type="dxa"/>
            <w:vAlign w:val="bottom"/>
            <w:tcBorders>
              <w:right w:val="single" w:sz="8" w:color="B2B3B6"/>
            </w:tcBorders>
            <w:shd w:val="clear" w:color="auto" w:fill="F2F3F2"/>
          </w:tcPr>
          <w:p>
            <w:pPr>
              <w:spacing w:after="0"/>
              <w:rPr>
                <w:sz w:val="8"/>
                <w:szCs w:val="8"/>
                <w:color w:val="auto"/>
              </w:rPr>
            </w:pPr>
          </w:p>
        </w:tc>
        <w:tc>
          <w:tcPr>
            <w:tcW w:w="80" w:type="dxa"/>
            <w:vAlign w:val="bottom"/>
            <w:shd w:val="clear" w:color="auto" w:fill="F2F3F2"/>
          </w:tcPr>
          <w:p>
            <w:pPr>
              <w:spacing w:after="0"/>
              <w:rPr>
                <w:sz w:val="8"/>
                <w:szCs w:val="8"/>
                <w:color w:val="auto"/>
              </w:rPr>
            </w:pPr>
          </w:p>
        </w:tc>
        <w:tc>
          <w:tcPr>
            <w:tcW w:w="2060" w:type="dxa"/>
            <w:vAlign w:val="bottom"/>
            <w:vMerge w:val="restart"/>
            <w:shd w:val="clear" w:color="auto" w:fill="F2F3F2"/>
          </w:tcPr>
          <w:p>
            <w:pPr>
              <w:ind w:left="40"/>
              <w:spacing w:after="0"/>
              <w:rPr>
                <w:sz w:val="20"/>
                <w:szCs w:val="20"/>
                <w:color w:val="auto"/>
              </w:rPr>
            </w:pPr>
            <w:r>
              <w:rPr>
                <w:rFonts w:ascii="Arial" w:cs="Arial" w:eastAsia="Arial" w:hAnsi="Arial"/>
                <w:sz w:val="14"/>
                <w:szCs w:val="14"/>
                <w:color w:val="auto"/>
              </w:rPr>
              <w:t>We commit to working with</w:t>
            </w:r>
          </w:p>
        </w:tc>
        <w:tc>
          <w:tcPr>
            <w:tcW w:w="120" w:type="dxa"/>
            <w:vAlign w:val="bottom"/>
            <w:tcBorders>
              <w:right w:val="single" w:sz="8" w:color="B2B3B6"/>
            </w:tcBorders>
            <w:shd w:val="clear" w:color="auto" w:fill="F2F3F2"/>
          </w:tcPr>
          <w:p>
            <w:pPr>
              <w:spacing w:after="0"/>
              <w:rPr>
                <w:sz w:val="8"/>
                <w:szCs w:val="8"/>
                <w:color w:val="auto"/>
              </w:rPr>
            </w:pPr>
          </w:p>
        </w:tc>
        <w:tc>
          <w:tcPr>
            <w:tcW w:w="2240" w:type="dxa"/>
            <w:vAlign w:val="bottom"/>
            <w:vMerge w:val="restart"/>
            <w:shd w:val="clear" w:color="auto" w:fill="F2F3F2"/>
          </w:tcPr>
          <w:p>
            <w:pPr>
              <w:ind w:left="120"/>
              <w:spacing w:after="0"/>
              <w:rPr>
                <w:sz w:val="20"/>
                <w:szCs w:val="20"/>
                <w:color w:val="auto"/>
              </w:rPr>
            </w:pPr>
            <w:r>
              <w:rPr>
                <w:rFonts w:ascii="Arial" w:cs="Arial" w:eastAsia="Arial" w:hAnsi="Arial"/>
                <w:sz w:val="14"/>
                <w:szCs w:val="14"/>
                <w:color w:val="auto"/>
              </w:rPr>
              <w:t>We are passionate about</w:t>
            </w:r>
          </w:p>
        </w:tc>
        <w:tc>
          <w:tcPr>
            <w:tcW w:w="20" w:type="dxa"/>
            <w:vAlign w:val="bottom"/>
            <w:shd w:val="clear" w:color="auto" w:fill="B2B3B6"/>
          </w:tcPr>
          <w:p>
            <w:pPr>
              <w:spacing w:after="0"/>
              <w:rPr>
                <w:sz w:val="8"/>
                <w:szCs w:val="8"/>
                <w:color w:val="auto"/>
              </w:rPr>
            </w:pPr>
          </w:p>
        </w:tc>
        <w:tc>
          <w:tcPr>
            <w:tcW w:w="2280" w:type="dxa"/>
            <w:vAlign w:val="bottom"/>
            <w:vMerge w:val="restart"/>
            <w:shd w:val="clear" w:color="auto" w:fill="F2F3F2"/>
          </w:tcPr>
          <w:p>
            <w:pPr>
              <w:ind w:left="120"/>
              <w:spacing w:after="0"/>
              <w:rPr>
                <w:sz w:val="20"/>
                <w:szCs w:val="20"/>
                <w:color w:val="auto"/>
              </w:rPr>
            </w:pPr>
            <w:r>
              <w:rPr>
                <w:rFonts w:ascii="Arial" w:cs="Arial" w:eastAsia="Arial" w:hAnsi="Arial"/>
                <w:sz w:val="14"/>
                <w:szCs w:val="14"/>
                <w:color w:val="auto"/>
              </w:rPr>
              <w:t>As lifelong learners, we explore</w:t>
            </w:r>
          </w:p>
        </w:tc>
        <w:tc>
          <w:tcPr>
            <w:tcW w:w="0" w:type="dxa"/>
            <w:vAlign w:val="bottom"/>
          </w:tcPr>
          <w:p>
            <w:pPr>
              <w:spacing w:after="0"/>
              <w:rPr>
                <w:sz w:val="1"/>
                <w:szCs w:val="1"/>
                <w:color w:val="auto"/>
              </w:rPr>
            </w:pPr>
          </w:p>
        </w:tc>
      </w:tr>
      <w:tr>
        <w:trPr>
          <w:trHeight w:val="94"/>
        </w:trPr>
        <w:tc>
          <w:tcPr>
            <w:tcW w:w="100" w:type="dxa"/>
            <w:vAlign w:val="bottom"/>
          </w:tcPr>
          <w:p>
            <w:pPr>
              <w:spacing w:after="0"/>
              <w:rPr>
                <w:sz w:val="8"/>
                <w:szCs w:val="8"/>
                <w:color w:val="auto"/>
              </w:rPr>
            </w:pPr>
          </w:p>
        </w:tc>
        <w:tc>
          <w:tcPr>
            <w:tcW w:w="2060" w:type="dxa"/>
            <w:vAlign w:val="bottom"/>
          </w:tcPr>
          <w:p>
            <w:pPr>
              <w:ind w:left="40"/>
              <w:spacing w:after="0" w:line="75" w:lineRule="exact"/>
              <w:rPr>
                <w:sz w:val="20"/>
                <w:szCs w:val="20"/>
                <w:color w:val="auto"/>
              </w:rPr>
            </w:pPr>
            <w:r>
              <w:rPr>
                <w:rFonts w:ascii="Arial" w:cs="Arial" w:eastAsia="Arial" w:hAnsi="Arial"/>
                <w:sz w:val="8"/>
                <w:szCs w:val="8"/>
                <w:color w:val="auto"/>
              </w:rPr>
              <w:t>We value authenticity and</w:t>
            </w:r>
          </w:p>
        </w:tc>
        <w:tc>
          <w:tcPr>
            <w:tcW w:w="120" w:type="dxa"/>
            <w:vAlign w:val="bottom"/>
            <w:tcBorders>
              <w:right w:val="single" w:sz="8" w:color="B2B3B6"/>
            </w:tcBorders>
            <w:shd w:val="clear" w:color="auto" w:fill="F2F3F2"/>
          </w:tcPr>
          <w:p>
            <w:pPr>
              <w:spacing w:after="0"/>
              <w:rPr>
                <w:sz w:val="8"/>
                <w:szCs w:val="8"/>
                <w:color w:val="auto"/>
              </w:rPr>
            </w:pPr>
          </w:p>
        </w:tc>
        <w:tc>
          <w:tcPr>
            <w:tcW w:w="80" w:type="dxa"/>
            <w:vAlign w:val="bottom"/>
            <w:shd w:val="clear" w:color="auto" w:fill="F2F3F2"/>
          </w:tcPr>
          <w:p>
            <w:pPr>
              <w:spacing w:after="0"/>
              <w:rPr>
                <w:sz w:val="8"/>
                <w:szCs w:val="8"/>
                <w:color w:val="auto"/>
              </w:rPr>
            </w:pPr>
          </w:p>
        </w:tc>
        <w:tc>
          <w:tcPr>
            <w:tcW w:w="2060" w:type="dxa"/>
            <w:vAlign w:val="bottom"/>
            <w:vMerge w:val="continue"/>
            <w:shd w:val="clear" w:color="auto" w:fill="F2F3F2"/>
          </w:tcPr>
          <w:p>
            <w:pPr>
              <w:spacing w:after="0"/>
              <w:rPr>
                <w:sz w:val="8"/>
                <w:szCs w:val="8"/>
                <w:color w:val="auto"/>
              </w:rPr>
            </w:pPr>
          </w:p>
        </w:tc>
        <w:tc>
          <w:tcPr>
            <w:tcW w:w="120" w:type="dxa"/>
            <w:vAlign w:val="bottom"/>
            <w:tcBorders>
              <w:right w:val="single" w:sz="8" w:color="B2B3B6"/>
            </w:tcBorders>
            <w:shd w:val="clear" w:color="auto" w:fill="F2F3F2"/>
          </w:tcPr>
          <w:p>
            <w:pPr>
              <w:spacing w:after="0"/>
              <w:rPr>
                <w:sz w:val="8"/>
                <w:szCs w:val="8"/>
                <w:color w:val="auto"/>
              </w:rPr>
            </w:pPr>
          </w:p>
        </w:tc>
        <w:tc>
          <w:tcPr>
            <w:tcW w:w="2240" w:type="dxa"/>
            <w:vAlign w:val="bottom"/>
            <w:vMerge w:val="continue"/>
            <w:shd w:val="clear" w:color="auto" w:fill="F2F3F2"/>
          </w:tcPr>
          <w:p>
            <w:pPr>
              <w:spacing w:after="0"/>
              <w:rPr>
                <w:sz w:val="8"/>
                <w:szCs w:val="8"/>
                <w:color w:val="auto"/>
              </w:rPr>
            </w:pPr>
          </w:p>
        </w:tc>
        <w:tc>
          <w:tcPr>
            <w:tcW w:w="20" w:type="dxa"/>
            <w:vAlign w:val="bottom"/>
            <w:shd w:val="clear" w:color="auto" w:fill="B2B3B6"/>
          </w:tcPr>
          <w:p>
            <w:pPr>
              <w:spacing w:after="0"/>
              <w:rPr>
                <w:sz w:val="8"/>
                <w:szCs w:val="8"/>
                <w:color w:val="auto"/>
              </w:rPr>
            </w:pPr>
          </w:p>
        </w:tc>
        <w:tc>
          <w:tcPr>
            <w:tcW w:w="2280" w:type="dxa"/>
            <w:vAlign w:val="bottom"/>
            <w:vMerge w:val="continue"/>
            <w:shd w:val="clear" w:color="auto" w:fill="F2F3F2"/>
          </w:tcPr>
          <w:p>
            <w:pPr>
              <w:spacing w:after="0"/>
              <w:rPr>
                <w:sz w:val="8"/>
                <w:szCs w:val="8"/>
                <w:color w:val="auto"/>
              </w:rPr>
            </w:pPr>
          </w:p>
        </w:tc>
        <w:tc>
          <w:tcPr>
            <w:tcW w:w="0" w:type="dxa"/>
            <w:vAlign w:val="bottom"/>
          </w:tcPr>
          <w:p>
            <w:pPr>
              <w:spacing w:after="0"/>
              <w:rPr>
                <w:sz w:val="1"/>
                <w:szCs w:val="1"/>
                <w:color w:val="auto"/>
              </w:rPr>
            </w:pPr>
          </w:p>
        </w:tc>
      </w:tr>
      <w:tr>
        <w:trPr>
          <w:trHeight w:val="207"/>
        </w:trPr>
        <w:tc>
          <w:tcPr>
            <w:tcW w:w="100" w:type="dxa"/>
            <w:vAlign w:val="bottom"/>
          </w:tcPr>
          <w:p>
            <w:pPr>
              <w:spacing w:after="0"/>
              <w:rPr>
                <w:sz w:val="17"/>
                <w:szCs w:val="17"/>
                <w:color w:val="auto"/>
              </w:rPr>
            </w:pPr>
          </w:p>
        </w:tc>
        <w:tc>
          <w:tcPr>
            <w:tcW w:w="2060" w:type="dxa"/>
            <w:vAlign w:val="bottom"/>
          </w:tcPr>
          <w:p>
            <w:pPr>
              <w:ind w:left="40"/>
              <w:spacing w:after="0"/>
              <w:rPr>
                <w:sz w:val="20"/>
                <w:szCs w:val="20"/>
                <w:color w:val="auto"/>
              </w:rPr>
            </w:pPr>
            <w:r>
              <w:rPr>
                <w:rFonts w:ascii="Arial" w:cs="Arial" w:eastAsia="Arial" w:hAnsi="Arial"/>
                <w:sz w:val="14"/>
                <w:szCs w:val="14"/>
                <w:color w:val="auto"/>
              </w:rPr>
              <w:t>honesty. We do the right thing</w:t>
            </w:r>
          </w:p>
        </w:tc>
        <w:tc>
          <w:tcPr>
            <w:tcW w:w="120" w:type="dxa"/>
            <w:vAlign w:val="bottom"/>
            <w:tcBorders>
              <w:right w:val="single" w:sz="8" w:color="B2B3B6"/>
            </w:tcBorders>
          </w:tcPr>
          <w:p>
            <w:pPr>
              <w:spacing w:after="0"/>
              <w:rPr>
                <w:sz w:val="17"/>
                <w:szCs w:val="17"/>
                <w:color w:val="auto"/>
              </w:rPr>
            </w:pPr>
          </w:p>
        </w:tc>
        <w:tc>
          <w:tcPr>
            <w:tcW w:w="80" w:type="dxa"/>
            <w:vAlign w:val="bottom"/>
            <w:shd w:val="clear" w:color="auto" w:fill="F2F3F2"/>
          </w:tcPr>
          <w:p>
            <w:pPr>
              <w:spacing w:after="0"/>
              <w:rPr>
                <w:sz w:val="17"/>
                <w:szCs w:val="17"/>
                <w:color w:val="auto"/>
              </w:rPr>
            </w:pPr>
          </w:p>
        </w:tc>
        <w:tc>
          <w:tcPr>
            <w:tcW w:w="2060" w:type="dxa"/>
            <w:vAlign w:val="bottom"/>
            <w:shd w:val="clear" w:color="auto" w:fill="F2F3F2"/>
          </w:tcPr>
          <w:p>
            <w:pPr>
              <w:ind w:left="40"/>
              <w:spacing w:after="0"/>
              <w:rPr>
                <w:sz w:val="20"/>
                <w:szCs w:val="20"/>
                <w:color w:val="auto"/>
              </w:rPr>
            </w:pPr>
            <w:r>
              <w:rPr>
                <w:rFonts w:ascii="Arial" w:cs="Arial" w:eastAsia="Arial" w:hAnsi="Arial"/>
                <w:sz w:val="14"/>
                <w:szCs w:val="14"/>
                <w:color w:val="auto"/>
              </w:rPr>
              <w:t>respect and transparency and</w:t>
            </w:r>
          </w:p>
        </w:tc>
        <w:tc>
          <w:tcPr>
            <w:tcW w:w="120" w:type="dxa"/>
            <w:vAlign w:val="bottom"/>
            <w:tcBorders>
              <w:right w:val="single" w:sz="8" w:color="B2B3B6"/>
            </w:tcBorders>
            <w:shd w:val="clear" w:color="auto" w:fill="F2F3F2"/>
          </w:tcPr>
          <w:p>
            <w:pPr>
              <w:spacing w:after="0"/>
              <w:rPr>
                <w:sz w:val="17"/>
                <w:szCs w:val="17"/>
                <w:color w:val="auto"/>
              </w:rPr>
            </w:pPr>
          </w:p>
        </w:tc>
        <w:tc>
          <w:tcPr>
            <w:tcW w:w="2240" w:type="dxa"/>
            <w:vAlign w:val="bottom"/>
            <w:shd w:val="clear" w:color="auto" w:fill="F2F3F2"/>
          </w:tcPr>
          <w:p>
            <w:pPr>
              <w:ind w:left="120"/>
              <w:spacing w:after="0"/>
              <w:rPr>
                <w:sz w:val="20"/>
                <w:szCs w:val="20"/>
                <w:color w:val="auto"/>
              </w:rPr>
            </w:pPr>
            <w:r>
              <w:rPr>
                <w:rFonts w:ascii="Arial" w:cs="Arial" w:eastAsia="Arial" w:hAnsi="Arial"/>
                <w:sz w:val="14"/>
                <w:szCs w:val="14"/>
                <w:color w:val="auto"/>
              </w:rPr>
              <w:t>making a difference and take</w:t>
            </w:r>
          </w:p>
        </w:tc>
        <w:tc>
          <w:tcPr>
            <w:tcW w:w="20" w:type="dxa"/>
            <w:vAlign w:val="bottom"/>
            <w:shd w:val="clear" w:color="auto" w:fill="B2B3B6"/>
          </w:tcPr>
          <w:p>
            <w:pPr>
              <w:spacing w:after="0"/>
              <w:rPr>
                <w:sz w:val="17"/>
                <w:szCs w:val="17"/>
                <w:color w:val="auto"/>
              </w:rPr>
            </w:pPr>
          </w:p>
        </w:tc>
        <w:tc>
          <w:tcPr>
            <w:tcW w:w="2280" w:type="dxa"/>
            <w:vAlign w:val="bottom"/>
            <w:shd w:val="clear" w:color="auto" w:fill="F2F3F2"/>
          </w:tcPr>
          <w:p>
            <w:pPr>
              <w:ind w:left="120"/>
              <w:spacing w:after="0"/>
              <w:rPr>
                <w:sz w:val="20"/>
                <w:szCs w:val="20"/>
                <w:color w:val="auto"/>
              </w:rPr>
            </w:pPr>
            <w:r>
              <w:rPr>
                <w:rFonts w:ascii="Arial" w:cs="Arial" w:eastAsia="Arial" w:hAnsi="Arial"/>
                <w:sz w:val="14"/>
                <w:szCs w:val="14"/>
                <w:color w:val="auto"/>
              </w:rPr>
              <w:t>and encourage new ideas, and</w:t>
            </w: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2060" w:type="dxa"/>
            <w:vAlign w:val="bottom"/>
          </w:tcPr>
          <w:p>
            <w:pPr>
              <w:ind w:left="40"/>
              <w:spacing w:after="0"/>
              <w:rPr>
                <w:sz w:val="20"/>
                <w:szCs w:val="20"/>
                <w:color w:val="auto"/>
              </w:rPr>
            </w:pPr>
            <w:r>
              <w:rPr>
                <w:rFonts w:ascii="Arial" w:cs="Arial" w:eastAsia="Arial" w:hAnsi="Arial"/>
                <w:sz w:val="14"/>
                <w:szCs w:val="14"/>
                <w:color w:val="auto"/>
              </w:rPr>
              <w:t>regardless of the</w:t>
            </w:r>
          </w:p>
        </w:tc>
        <w:tc>
          <w:tcPr>
            <w:tcW w:w="120" w:type="dxa"/>
            <w:vAlign w:val="bottom"/>
            <w:tcBorders>
              <w:right w:val="single" w:sz="8" w:color="B2B3B6"/>
            </w:tcBorders>
          </w:tcPr>
          <w:p>
            <w:pPr>
              <w:spacing w:after="0"/>
              <w:rPr>
                <w:sz w:val="14"/>
                <w:szCs w:val="14"/>
                <w:color w:val="auto"/>
              </w:rPr>
            </w:pPr>
          </w:p>
        </w:tc>
        <w:tc>
          <w:tcPr>
            <w:tcW w:w="80" w:type="dxa"/>
            <w:vAlign w:val="bottom"/>
            <w:shd w:val="clear" w:color="auto" w:fill="F2F3F2"/>
          </w:tcPr>
          <w:p>
            <w:pPr>
              <w:spacing w:after="0"/>
              <w:rPr>
                <w:sz w:val="14"/>
                <w:szCs w:val="14"/>
                <w:color w:val="auto"/>
              </w:rPr>
            </w:pPr>
          </w:p>
        </w:tc>
        <w:tc>
          <w:tcPr>
            <w:tcW w:w="2060" w:type="dxa"/>
            <w:vAlign w:val="bottom"/>
            <w:shd w:val="clear" w:color="auto" w:fill="F2F3F2"/>
          </w:tcPr>
          <w:p>
            <w:pPr>
              <w:ind w:left="40"/>
              <w:spacing w:after="0"/>
              <w:rPr>
                <w:sz w:val="20"/>
                <w:szCs w:val="20"/>
                <w:color w:val="auto"/>
              </w:rPr>
            </w:pPr>
            <w:r>
              <w:rPr>
                <w:rFonts w:ascii="Arial" w:cs="Arial" w:eastAsia="Arial" w:hAnsi="Arial"/>
                <w:sz w:val="14"/>
                <w:szCs w:val="14"/>
                <w:color w:val="auto"/>
              </w:rPr>
              <w:t>recognize we are better</w:t>
            </w:r>
          </w:p>
        </w:tc>
        <w:tc>
          <w:tcPr>
            <w:tcW w:w="120" w:type="dxa"/>
            <w:vAlign w:val="bottom"/>
            <w:tcBorders>
              <w:right w:val="single" w:sz="8" w:color="B2B3B6"/>
            </w:tcBorders>
            <w:shd w:val="clear" w:color="auto" w:fill="F2F3F2"/>
          </w:tcPr>
          <w:p>
            <w:pPr>
              <w:spacing w:after="0"/>
              <w:rPr>
                <w:sz w:val="14"/>
                <w:szCs w:val="14"/>
                <w:color w:val="auto"/>
              </w:rPr>
            </w:pPr>
          </w:p>
        </w:tc>
        <w:tc>
          <w:tcPr>
            <w:tcW w:w="2240" w:type="dxa"/>
            <w:vAlign w:val="bottom"/>
            <w:shd w:val="clear" w:color="auto" w:fill="F2F3F2"/>
          </w:tcPr>
          <w:p>
            <w:pPr>
              <w:ind w:left="120"/>
              <w:spacing w:after="0"/>
              <w:rPr>
                <w:sz w:val="20"/>
                <w:szCs w:val="20"/>
                <w:color w:val="auto"/>
              </w:rPr>
            </w:pPr>
            <w:r>
              <w:rPr>
                <w:rFonts w:ascii="Arial" w:cs="Arial" w:eastAsia="Arial" w:hAnsi="Arial"/>
                <w:sz w:val="14"/>
                <w:szCs w:val="14"/>
                <w:color w:val="auto"/>
              </w:rPr>
              <w:t>initiative to have a lasting</w:t>
            </w:r>
          </w:p>
        </w:tc>
        <w:tc>
          <w:tcPr>
            <w:tcW w:w="20" w:type="dxa"/>
            <w:vAlign w:val="bottom"/>
            <w:shd w:val="clear" w:color="auto" w:fill="B2B3B6"/>
          </w:tcPr>
          <w:p>
            <w:pPr>
              <w:spacing w:after="0"/>
              <w:rPr>
                <w:sz w:val="14"/>
                <w:szCs w:val="14"/>
                <w:color w:val="auto"/>
              </w:rPr>
            </w:pPr>
          </w:p>
        </w:tc>
        <w:tc>
          <w:tcPr>
            <w:tcW w:w="2280" w:type="dxa"/>
            <w:vAlign w:val="bottom"/>
            <w:shd w:val="clear" w:color="auto" w:fill="F2F3F2"/>
          </w:tcPr>
          <w:p>
            <w:pPr>
              <w:ind w:left="120"/>
              <w:spacing w:after="0"/>
              <w:rPr>
                <w:sz w:val="20"/>
                <w:szCs w:val="20"/>
                <w:color w:val="auto"/>
              </w:rPr>
            </w:pPr>
            <w:r>
              <w:rPr>
                <w:rFonts w:ascii="Arial" w:cs="Arial" w:eastAsia="Arial" w:hAnsi="Arial"/>
                <w:sz w:val="14"/>
                <w:szCs w:val="14"/>
                <w:color w:val="auto"/>
              </w:rPr>
              <w:t>challenge the status quo.</w:t>
            </w: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2060" w:type="dxa"/>
            <w:vAlign w:val="bottom"/>
          </w:tcPr>
          <w:p>
            <w:pPr>
              <w:ind w:left="40"/>
              <w:spacing w:after="0"/>
              <w:rPr>
                <w:sz w:val="20"/>
                <w:szCs w:val="20"/>
                <w:color w:val="auto"/>
              </w:rPr>
            </w:pPr>
            <w:r>
              <w:rPr>
                <w:rFonts w:ascii="Arial" w:cs="Arial" w:eastAsia="Arial" w:hAnsi="Arial"/>
                <w:sz w:val="14"/>
                <w:szCs w:val="14"/>
                <w:color w:val="auto"/>
              </w:rPr>
              <w:t>consequences.</w:t>
            </w:r>
          </w:p>
        </w:tc>
        <w:tc>
          <w:tcPr>
            <w:tcW w:w="120" w:type="dxa"/>
            <w:vAlign w:val="bottom"/>
            <w:tcBorders>
              <w:right w:val="single" w:sz="8" w:color="B2B3B6"/>
            </w:tcBorders>
          </w:tcPr>
          <w:p>
            <w:pPr>
              <w:spacing w:after="0"/>
              <w:rPr>
                <w:sz w:val="15"/>
                <w:szCs w:val="15"/>
                <w:color w:val="auto"/>
              </w:rPr>
            </w:pPr>
          </w:p>
        </w:tc>
        <w:tc>
          <w:tcPr>
            <w:tcW w:w="80" w:type="dxa"/>
            <w:vAlign w:val="bottom"/>
            <w:shd w:val="clear" w:color="auto" w:fill="F2F3F2"/>
          </w:tcPr>
          <w:p>
            <w:pPr>
              <w:spacing w:after="0"/>
              <w:rPr>
                <w:sz w:val="15"/>
                <w:szCs w:val="15"/>
                <w:color w:val="auto"/>
              </w:rPr>
            </w:pPr>
          </w:p>
        </w:tc>
        <w:tc>
          <w:tcPr>
            <w:tcW w:w="2060" w:type="dxa"/>
            <w:vAlign w:val="bottom"/>
            <w:shd w:val="clear" w:color="auto" w:fill="F2F3F2"/>
          </w:tcPr>
          <w:p>
            <w:pPr>
              <w:ind w:left="40"/>
              <w:spacing w:after="0"/>
              <w:rPr>
                <w:sz w:val="20"/>
                <w:szCs w:val="20"/>
                <w:color w:val="auto"/>
              </w:rPr>
            </w:pPr>
            <w:r>
              <w:rPr>
                <w:rFonts w:ascii="Arial" w:cs="Arial" w:eastAsia="Arial" w:hAnsi="Arial"/>
                <w:sz w:val="14"/>
                <w:szCs w:val="14"/>
                <w:color w:val="auto"/>
              </w:rPr>
              <w:t>together than apart.</w:t>
            </w:r>
          </w:p>
        </w:tc>
        <w:tc>
          <w:tcPr>
            <w:tcW w:w="120" w:type="dxa"/>
            <w:vAlign w:val="bottom"/>
            <w:tcBorders>
              <w:right w:val="single" w:sz="8" w:color="B2B3B6"/>
            </w:tcBorders>
            <w:shd w:val="clear" w:color="auto" w:fill="F2F3F2"/>
          </w:tcPr>
          <w:p>
            <w:pPr>
              <w:spacing w:after="0"/>
              <w:rPr>
                <w:sz w:val="15"/>
                <w:szCs w:val="15"/>
                <w:color w:val="auto"/>
              </w:rPr>
            </w:pPr>
          </w:p>
        </w:tc>
        <w:tc>
          <w:tcPr>
            <w:tcW w:w="2240" w:type="dxa"/>
            <w:vAlign w:val="bottom"/>
            <w:shd w:val="clear" w:color="auto" w:fill="F2F3F2"/>
          </w:tcPr>
          <w:p>
            <w:pPr>
              <w:ind w:left="120"/>
              <w:spacing w:after="0"/>
              <w:rPr>
                <w:sz w:val="20"/>
                <w:szCs w:val="20"/>
                <w:color w:val="auto"/>
              </w:rPr>
            </w:pPr>
            <w:r>
              <w:rPr>
                <w:rFonts w:ascii="Arial" w:cs="Arial" w:eastAsia="Arial" w:hAnsi="Arial"/>
                <w:sz w:val="14"/>
                <w:szCs w:val="14"/>
                <w:color w:val="auto"/>
              </w:rPr>
              <w:t>impact on the organizations</w:t>
            </w:r>
          </w:p>
        </w:tc>
        <w:tc>
          <w:tcPr>
            <w:tcW w:w="20" w:type="dxa"/>
            <w:vAlign w:val="bottom"/>
            <w:shd w:val="clear" w:color="auto" w:fill="B2B3B6"/>
          </w:tcPr>
          <w:p>
            <w:pPr>
              <w:spacing w:after="0"/>
              <w:rPr>
                <w:sz w:val="15"/>
                <w:szCs w:val="15"/>
                <w:color w:val="auto"/>
              </w:rPr>
            </w:pPr>
          </w:p>
        </w:tc>
        <w:tc>
          <w:tcPr>
            <w:tcW w:w="2280" w:type="dxa"/>
            <w:vAlign w:val="bottom"/>
            <w:shd w:val="clear" w:color="auto" w:fill="F2F3F2"/>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20" w:type="dxa"/>
            <w:vAlign w:val="bottom"/>
            <w:tcBorders>
              <w:right w:val="single" w:sz="8" w:color="B2B3B6"/>
            </w:tcBorders>
          </w:tcPr>
          <w:p>
            <w:pPr>
              <w:spacing w:after="0"/>
              <w:rPr>
                <w:sz w:val="16"/>
                <w:szCs w:val="16"/>
                <w:color w:val="auto"/>
              </w:rPr>
            </w:pPr>
          </w:p>
        </w:tc>
        <w:tc>
          <w:tcPr>
            <w:tcW w:w="80" w:type="dxa"/>
            <w:vAlign w:val="bottom"/>
            <w:shd w:val="clear" w:color="auto" w:fill="F2F3F2"/>
          </w:tcPr>
          <w:p>
            <w:pPr>
              <w:spacing w:after="0"/>
              <w:rPr>
                <w:sz w:val="16"/>
                <w:szCs w:val="16"/>
                <w:color w:val="auto"/>
              </w:rPr>
            </w:pPr>
          </w:p>
        </w:tc>
        <w:tc>
          <w:tcPr>
            <w:tcW w:w="2060" w:type="dxa"/>
            <w:vAlign w:val="bottom"/>
            <w:shd w:val="clear" w:color="auto" w:fill="F2F3F2"/>
          </w:tcPr>
          <w:p>
            <w:pPr>
              <w:spacing w:after="0"/>
              <w:rPr>
                <w:sz w:val="16"/>
                <w:szCs w:val="16"/>
                <w:color w:val="auto"/>
              </w:rPr>
            </w:pPr>
          </w:p>
        </w:tc>
        <w:tc>
          <w:tcPr>
            <w:tcW w:w="120" w:type="dxa"/>
            <w:vAlign w:val="bottom"/>
            <w:tcBorders>
              <w:right w:val="single" w:sz="8" w:color="B2B3B6"/>
            </w:tcBorders>
            <w:shd w:val="clear" w:color="auto" w:fill="F2F3F2"/>
          </w:tcPr>
          <w:p>
            <w:pPr>
              <w:spacing w:after="0"/>
              <w:rPr>
                <w:sz w:val="16"/>
                <w:szCs w:val="16"/>
                <w:color w:val="auto"/>
              </w:rPr>
            </w:pPr>
          </w:p>
        </w:tc>
        <w:tc>
          <w:tcPr>
            <w:tcW w:w="2240" w:type="dxa"/>
            <w:vAlign w:val="bottom"/>
            <w:shd w:val="clear" w:color="auto" w:fill="F2F3F2"/>
          </w:tcPr>
          <w:p>
            <w:pPr>
              <w:ind w:left="120"/>
              <w:spacing w:after="0"/>
              <w:rPr>
                <w:sz w:val="20"/>
                <w:szCs w:val="20"/>
                <w:color w:val="auto"/>
              </w:rPr>
            </w:pPr>
            <w:r>
              <w:rPr>
                <w:rFonts w:ascii="Arial" w:cs="Arial" w:eastAsia="Arial" w:hAnsi="Arial"/>
                <w:sz w:val="14"/>
                <w:szCs w:val="14"/>
                <w:color w:val="auto"/>
              </w:rPr>
              <w:t>and communities we serve.</w:t>
            </w:r>
          </w:p>
        </w:tc>
        <w:tc>
          <w:tcPr>
            <w:tcW w:w="20" w:type="dxa"/>
            <w:vAlign w:val="bottom"/>
            <w:shd w:val="clear" w:color="auto" w:fill="B2B3B6"/>
          </w:tcPr>
          <w:p>
            <w:pPr>
              <w:spacing w:after="0"/>
              <w:rPr>
                <w:sz w:val="16"/>
                <w:szCs w:val="16"/>
                <w:color w:val="auto"/>
              </w:rPr>
            </w:pPr>
          </w:p>
        </w:tc>
        <w:tc>
          <w:tcPr>
            <w:tcW w:w="2280" w:type="dxa"/>
            <w:vAlign w:val="bottom"/>
            <w:shd w:val="clear" w:color="auto" w:fill="F2F3F2"/>
          </w:tcPr>
          <w:p>
            <w:pPr>
              <w:spacing w:after="0"/>
              <w:rPr>
                <w:sz w:val="16"/>
                <w:szCs w:val="16"/>
                <w:color w:val="auto"/>
              </w:rPr>
            </w:pPr>
          </w:p>
        </w:tc>
        <w:tc>
          <w:tcPr>
            <w:tcW w:w="0" w:type="dxa"/>
            <w:vAlign w:val="bottom"/>
          </w:tcPr>
          <w:p>
            <w:pPr>
              <w:spacing w:after="0"/>
              <w:rPr>
                <w:sz w:val="1"/>
                <w:szCs w:val="1"/>
                <w:color w:val="auto"/>
              </w:rPr>
            </w:pPr>
          </w:p>
        </w:tc>
      </w:tr>
      <w:tr>
        <w:trPr>
          <w:trHeight w:val="494"/>
        </w:trPr>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20" w:type="dxa"/>
            <w:vAlign w:val="bottom"/>
            <w:tcBorders>
              <w:right w:val="single" w:sz="8" w:color="B2B3B6"/>
            </w:tcBorders>
          </w:tcPr>
          <w:p>
            <w:pPr>
              <w:spacing w:after="0"/>
              <w:rPr>
                <w:sz w:val="24"/>
                <w:szCs w:val="24"/>
                <w:color w:val="auto"/>
              </w:rPr>
            </w:pPr>
          </w:p>
        </w:tc>
        <w:tc>
          <w:tcPr>
            <w:tcW w:w="80" w:type="dxa"/>
            <w:vAlign w:val="bottom"/>
            <w:shd w:val="clear" w:color="auto" w:fill="F2F3F2"/>
          </w:tcPr>
          <w:p>
            <w:pPr>
              <w:spacing w:after="0"/>
              <w:rPr>
                <w:sz w:val="24"/>
                <w:szCs w:val="24"/>
                <w:color w:val="auto"/>
              </w:rPr>
            </w:pPr>
          </w:p>
        </w:tc>
        <w:tc>
          <w:tcPr>
            <w:tcW w:w="2060" w:type="dxa"/>
            <w:vAlign w:val="bottom"/>
            <w:shd w:val="clear" w:color="auto" w:fill="F2F3F2"/>
          </w:tcPr>
          <w:p>
            <w:pPr>
              <w:spacing w:after="0"/>
              <w:rPr>
                <w:sz w:val="24"/>
                <w:szCs w:val="24"/>
                <w:color w:val="auto"/>
              </w:rPr>
            </w:pPr>
          </w:p>
        </w:tc>
        <w:tc>
          <w:tcPr>
            <w:tcW w:w="120" w:type="dxa"/>
            <w:vAlign w:val="bottom"/>
            <w:tcBorders>
              <w:right w:val="single" w:sz="8" w:color="B2B3B6"/>
            </w:tcBorders>
            <w:shd w:val="clear" w:color="auto" w:fill="F2F3F2"/>
          </w:tcPr>
          <w:p>
            <w:pPr>
              <w:spacing w:after="0"/>
              <w:rPr>
                <w:sz w:val="24"/>
                <w:szCs w:val="24"/>
                <w:color w:val="auto"/>
              </w:rPr>
            </w:pPr>
          </w:p>
        </w:tc>
        <w:tc>
          <w:tcPr>
            <w:tcW w:w="2240" w:type="dxa"/>
            <w:vAlign w:val="bottom"/>
            <w:shd w:val="clear" w:color="auto" w:fill="F2F3F2"/>
          </w:tcPr>
          <w:p>
            <w:pPr>
              <w:spacing w:after="0"/>
              <w:rPr>
                <w:sz w:val="24"/>
                <w:szCs w:val="24"/>
                <w:color w:val="auto"/>
              </w:rPr>
            </w:pPr>
          </w:p>
        </w:tc>
        <w:tc>
          <w:tcPr>
            <w:tcW w:w="20" w:type="dxa"/>
            <w:vAlign w:val="bottom"/>
            <w:shd w:val="clear" w:color="auto" w:fill="B2B3B6"/>
          </w:tcPr>
          <w:p>
            <w:pPr>
              <w:spacing w:after="0"/>
              <w:rPr>
                <w:sz w:val="24"/>
                <w:szCs w:val="24"/>
                <w:color w:val="auto"/>
              </w:rPr>
            </w:pPr>
          </w:p>
        </w:tc>
        <w:tc>
          <w:tcPr>
            <w:tcW w:w="2280" w:type="dxa"/>
            <w:vAlign w:val="bottom"/>
            <w:shd w:val="clear" w:color="auto" w:fill="F2F3F2"/>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60" w:type="dxa"/>
            <w:vAlign w:val="bottom"/>
            <w:shd w:val="clear" w:color="auto" w:fill="F2F3F2"/>
          </w:tcPr>
          <w:p>
            <w:pPr>
              <w:spacing w:after="0"/>
              <w:rPr>
                <w:sz w:val="12"/>
                <w:szCs w:val="12"/>
                <w:color w:val="auto"/>
              </w:rPr>
            </w:pPr>
          </w:p>
        </w:tc>
        <w:tc>
          <w:tcPr>
            <w:tcW w:w="120" w:type="dxa"/>
            <w:vAlign w:val="bottom"/>
            <w:tcBorders>
              <w:right w:val="single" w:sz="8" w:color="F2F3F2"/>
            </w:tcBorders>
            <w:shd w:val="clear" w:color="auto" w:fill="F2F3F2"/>
          </w:tcPr>
          <w:p>
            <w:pPr>
              <w:spacing w:after="0"/>
              <w:rPr>
                <w:sz w:val="12"/>
                <w:szCs w:val="12"/>
                <w:color w:val="auto"/>
              </w:rPr>
            </w:pPr>
          </w:p>
        </w:tc>
        <w:tc>
          <w:tcPr>
            <w:tcW w:w="2240" w:type="dxa"/>
            <w:vAlign w:val="bottom"/>
            <w:shd w:val="clear" w:color="auto" w:fill="F2F3F2"/>
          </w:tcPr>
          <w:p>
            <w:pPr>
              <w:spacing w:after="0"/>
              <w:rPr>
                <w:sz w:val="12"/>
                <w:szCs w:val="12"/>
                <w:color w:val="auto"/>
              </w:rPr>
            </w:pPr>
          </w:p>
        </w:tc>
        <w:tc>
          <w:tcPr>
            <w:tcW w:w="20" w:type="dxa"/>
            <w:vAlign w:val="bottom"/>
            <w:shd w:val="clear" w:color="auto" w:fill="F2F3F2"/>
          </w:tcPr>
          <w:p>
            <w:pPr>
              <w:spacing w:after="0"/>
              <w:rPr>
                <w:sz w:val="12"/>
                <w:szCs w:val="12"/>
                <w:color w:val="auto"/>
              </w:rPr>
            </w:pPr>
          </w:p>
        </w:tc>
        <w:tc>
          <w:tcPr>
            <w:tcW w:w="2280" w:type="dxa"/>
            <w:vAlign w:val="bottom"/>
            <w:shd w:val="clear" w:color="auto" w:fill="F2F3F2"/>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Borders>
              <w:right w:val="single" w:sz="8" w:color="F2F3F2"/>
            </w:tcBorders>
            <w:shd w:val="clear" w:color="auto" w:fill="F2F3F2"/>
          </w:tcPr>
          <w:p>
            <w:pPr>
              <w:spacing w:after="0"/>
              <w:rPr>
                <w:sz w:val="12"/>
                <w:szCs w:val="12"/>
                <w:color w:val="auto"/>
              </w:rPr>
            </w:pPr>
          </w:p>
        </w:tc>
        <w:tc>
          <w:tcPr>
            <w:tcW w:w="2240" w:type="dxa"/>
            <w:vAlign w:val="bottom"/>
            <w:shd w:val="clear" w:color="auto" w:fill="F2F3F2"/>
          </w:tcPr>
          <w:p>
            <w:pPr>
              <w:spacing w:after="0"/>
              <w:rPr>
                <w:sz w:val="12"/>
                <w:szCs w:val="12"/>
                <w:color w:val="auto"/>
              </w:rPr>
            </w:pPr>
          </w:p>
        </w:tc>
        <w:tc>
          <w:tcPr>
            <w:tcW w:w="20" w:type="dxa"/>
            <w:vAlign w:val="bottom"/>
            <w:shd w:val="clear" w:color="auto" w:fill="F2F3F2"/>
          </w:tcPr>
          <w:p>
            <w:pPr>
              <w:spacing w:after="0"/>
              <w:rPr>
                <w:sz w:val="12"/>
                <w:szCs w:val="12"/>
                <w:color w:val="auto"/>
              </w:rPr>
            </w:pPr>
          </w:p>
        </w:tc>
        <w:tc>
          <w:tcPr>
            <w:tcW w:w="2280" w:type="dxa"/>
            <w:vAlign w:val="bottom"/>
            <w:shd w:val="clear" w:color="auto" w:fill="F2F3F2"/>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52825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10375" cy="528256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694"/>
        </w:trPr>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ind w:left="40"/>
              <w:spacing w:after="0"/>
              <w:rPr>
                <w:sz w:val="20"/>
                <w:szCs w:val="20"/>
                <w:color w:val="auto"/>
              </w:rPr>
            </w:pPr>
            <w:r>
              <w:rPr>
                <w:rFonts w:ascii="Arial" w:cs="Arial" w:eastAsia="Arial" w:hAnsi="Arial"/>
                <w:sz w:val="18"/>
                <w:szCs w:val="18"/>
                <w:b w:val="1"/>
                <w:bCs w:val="1"/>
                <w:color w:val="auto"/>
              </w:rPr>
              <w:t>Inclusion</w:t>
            </w: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Borders>
              <w:right w:val="single" w:sz="8" w:color="B2B3B6"/>
            </w:tcBorders>
          </w:tcPr>
          <w:p>
            <w:pPr>
              <w:spacing w:after="0"/>
              <w:rPr>
                <w:sz w:val="24"/>
                <w:szCs w:val="24"/>
                <w:color w:val="auto"/>
              </w:rPr>
            </w:pPr>
          </w:p>
        </w:tc>
        <w:tc>
          <w:tcPr>
            <w:tcW w:w="1400" w:type="dxa"/>
            <w:vAlign w:val="bottom"/>
            <w:gridSpan w:val="2"/>
          </w:tcPr>
          <w:p>
            <w:pPr>
              <w:ind w:left="120"/>
              <w:spacing w:after="0"/>
              <w:rPr>
                <w:sz w:val="20"/>
                <w:szCs w:val="20"/>
                <w:color w:val="auto"/>
              </w:rPr>
            </w:pPr>
            <w:r>
              <w:rPr>
                <w:rFonts w:ascii="Arial" w:cs="Arial" w:eastAsia="Arial" w:hAnsi="Arial"/>
                <w:sz w:val="18"/>
                <w:szCs w:val="18"/>
                <w:b w:val="1"/>
                <w:bCs w:val="1"/>
                <w:color w:val="auto"/>
              </w:rPr>
              <w:t>Excellence</w:t>
            </w:r>
          </w:p>
        </w:tc>
        <w:tc>
          <w:tcPr>
            <w:tcW w:w="840" w:type="dxa"/>
            <w:vAlign w:val="bottom"/>
          </w:tcPr>
          <w:p>
            <w:pPr>
              <w:spacing w:after="0"/>
              <w:rPr>
                <w:sz w:val="24"/>
                <w:szCs w:val="24"/>
                <w:color w:val="auto"/>
              </w:rPr>
            </w:pPr>
          </w:p>
        </w:tc>
        <w:tc>
          <w:tcPr>
            <w:tcW w:w="100" w:type="dxa"/>
            <w:vAlign w:val="bottom"/>
            <w:tcBorders>
              <w:left w:val="single" w:sz="8" w:color="B2B3B6"/>
            </w:tcBorders>
            <w:shd w:val="clear" w:color="auto" w:fill="F2F3F2"/>
          </w:tcPr>
          <w:p>
            <w:pPr>
              <w:spacing w:after="0"/>
              <w:rPr>
                <w:sz w:val="24"/>
                <w:szCs w:val="24"/>
                <w:color w:val="auto"/>
              </w:rPr>
            </w:pPr>
          </w:p>
        </w:tc>
        <w:tc>
          <w:tcPr>
            <w:tcW w:w="840" w:type="dxa"/>
            <w:vAlign w:val="bottom"/>
            <w:shd w:val="clear" w:color="auto" w:fill="F2F3F2"/>
          </w:tcPr>
          <w:p>
            <w:pPr>
              <w:ind w:left="40"/>
              <w:spacing w:after="0"/>
              <w:rPr>
                <w:sz w:val="20"/>
                <w:szCs w:val="20"/>
                <w:color w:val="auto"/>
              </w:rPr>
            </w:pPr>
            <w:r>
              <w:rPr>
                <w:rFonts w:ascii="Arial" w:cs="Arial" w:eastAsia="Arial" w:hAnsi="Arial"/>
                <w:sz w:val="18"/>
                <w:szCs w:val="18"/>
                <w:b w:val="1"/>
                <w:bCs w:val="1"/>
                <w:color w:val="auto"/>
              </w:rPr>
              <w:t>Humility</w:t>
            </w:r>
          </w:p>
        </w:tc>
        <w:tc>
          <w:tcPr>
            <w:tcW w:w="1080" w:type="dxa"/>
            <w:vAlign w:val="bottom"/>
            <w:shd w:val="clear" w:color="auto" w:fill="F2F3F2"/>
          </w:tcPr>
          <w:p>
            <w:pPr>
              <w:spacing w:after="0"/>
              <w:rPr>
                <w:sz w:val="24"/>
                <w:szCs w:val="24"/>
                <w:color w:val="auto"/>
              </w:rPr>
            </w:pPr>
          </w:p>
        </w:tc>
        <w:tc>
          <w:tcPr>
            <w:tcW w:w="260" w:type="dxa"/>
            <w:vAlign w:val="bottom"/>
            <w:tcBorders>
              <w:right w:val="single" w:sz="8" w:color="B2B3B6"/>
            </w:tcBorders>
            <w:shd w:val="clear" w:color="auto" w:fill="F2F3F2"/>
          </w:tcPr>
          <w:p>
            <w:pPr>
              <w:spacing w:after="0"/>
              <w:rPr>
                <w:sz w:val="24"/>
                <w:szCs w:val="24"/>
                <w:color w:val="auto"/>
              </w:rPr>
            </w:pPr>
          </w:p>
        </w:tc>
        <w:tc>
          <w:tcPr>
            <w:tcW w:w="420" w:type="dxa"/>
            <w:vAlign w:val="bottom"/>
            <w:shd w:val="clear" w:color="auto" w:fill="F2F3F2"/>
          </w:tcPr>
          <w:p>
            <w:pPr>
              <w:spacing w:after="0"/>
              <w:rPr>
                <w:sz w:val="24"/>
                <w:szCs w:val="24"/>
                <w:color w:val="auto"/>
              </w:rPr>
            </w:pPr>
          </w:p>
        </w:tc>
        <w:tc>
          <w:tcPr>
            <w:tcW w:w="1040" w:type="dxa"/>
            <w:vAlign w:val="bottom"/>
            <w:shd w:val="clear" w:color="auto" w:fill="F2F3F2"/>
          </w:tcPr>
          <w:p>
            <w:pPr>
              <w:spacing w:after="0"/>
              <w:rPr>
                <w:sz w:val="24"/>
                <w:szCs w:val="24"/>
                <w:color w:val="auto"/>
              </w:rPr>
            </w:pPr>
          </w:p>
        </w:tc>
        <w:tc>
          <w:tcPr>
            <w:tcW w:w="820" w:type="dxa"/>
            <w:vAlign w:val="bottom"/>
            <w:shd w:val="clear" w:color="auto" w:fill="F2F3F2"/>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gridSpan w:val="2"/>
          </w:tcPr>
          <w:p>
            <w:pPr>
              <w:ind w:left="40"/>
              <w:spacing w:after="0"/>
              <w:rPr>
                <w:sz w:val="20"/>
                <w:szCs w:val="20"/>
                <w:color w:val="auto"/>
              </w:rPr>
            </w:pPr>
            <w:r>
              <w:rPr>
                <w:rFonts w:ascii="Arial" w:cs="Arial" w:eastAsia="Arial" w:hAnsi="Arial"/>
                <w:sz w:val="14"/>
                <w:szCs w:val="14"/>
                <w:color w:val="auto"/>
              </w:rPr>
              <w:t>We embrace different</w:t>
            </w:r>
          </w:p>
        </w:tc>
        <w:tc>
          <w:tcPr>
            <w:tcW w:w="360" w:type="dxa"/>
            <w:vAlign w:val="bottom"/>
          </w:tcPr>
          <w:p>
            <w:pPr>
              <w:spacing w:after="0"/>
              <w:rPr>
                <w:sz w:val="19"/>
                <w:szCs w:val="19"/>
                <w:color w:val="auto"/>
              </w:rPr>
            </w:pPr>
          </w:p>
        </w:tc>
        <w:tc>
          <w:tcPr>
            <w:tcW w:w="120" w:type="dxa"/>
            <w:vAlign w:val="bottom"/>
            <w:tcBorders>
              <w:right w:val="single" w:sz="8" w:color="B2B3B6"/>
            </w:tcBorders>
          </w:tcPr>
          <w:p>
            <w:pPr>
              <w:spacing w:after="0"/>
              <w:rPr>
                <w:sz w:val="19"/>
                <w:szCs w:val="19"/>
                <w:color w:val="auto"/>
              </w:rPr>
            </w:pPr>
          </w:p>
        </w:tc>
        <w:tc>
          <w:tcPr>
            <w:tcW w:w="2240" w:type="dxa"/>
            <w:vAlign w:val="bottom"/>
            <w:gridSpan w:val="3"/>
          </w:tcPr>
          <w:p>
            <w:pPr>
              <w:ind w:left="120"/>
              <w:spacing w:after="0"/>
              <w:rPr>
                <w:sz w:val="20"/>
                <w:szCs w:val="20"/>
                <w:color w:val="auto"/>
              </w:rPr>
            </w:pPr>
            <w:r>
              <w:rPr>
                <w:rFonts w:ascii="Arial" w:cs="Arial" w:eastAsia="Arial" w:hAnsi="Arial"/>
                <w:sz w:val="14"/>
                <w:szCs w:val="14"/>
                <w:color w:val="auto"/>
              </w:rPr>
              <w:t>We strive to excel and</w:t>
            </w:r>
          </w:p>
        </w:tc>
        <w:tc>
          <w:tcPr>
            <w:tcW w:w="100" w:type="dxa"/>
            <w:vAlign w:val="bottom"/>
            <w:tcBorders>
              <w:left w:val="single" w:sz="8" w:color="B2B3B6"/>
            </w:tcBorders>
            <w:shd w:val="clear" w:color="auto" w:fill="F2F3F2"/>
          </w:tcPr>
          <w:p>
            <w:pPr>
              <w:spacing w:after="0"/>
              <w:rPr>
                <w:sz w:val="19"/>
                <w:szCs w:val="19"/>
                <w:color w:val="auto"/>
              </w:rPr>
            </w:pPr>
          </w:p>
        </w:tc>
        <w:tc>
          <w:tcPr>
            <w:tcW w:w="2180" w:type="dxa"/>
            <w:vAlign w:val="bottom"/>
            <w:tcBorders>
              <w:right w:val="single" w:sz="8" w:color="B2B3B6"/>
            </w:tcBorders>
            <w:gridSpan w:val="3"/>
            <w:shd w:val="clear" w:color="auto" w:fill="F2F3F2"/>
          </w:tcPr>
          <w:p>
            <w:pPr>
              <w:ind w:left="40"/>
              <w:spacing w:after="0"/>
              <w:rPr>
                <w:sz w:val="20"/>
                <w:szCs w:val="20"/>
                <w:color w:val="auto"/>
              </w:rPr>
            </w:pPr>
            <w:r>
              <w:rPr>
                <w:rFonts w:ascii="Arial" w:cs="Arial" w:eastAsia="Arial" w:hAnsi="Arial"/>
                <w:sz w:val="14"/>
                <w:szCs w:val="14"/>
                <w:color w:val="auto"/>
              </w:rPr>
              <w:t>While confident in our abilities,</w:t>
            </w:r>
          </w:p>
        </w:tc>
        <w:tc>
          <w:tcPr>
            <w:tcW w:w="420" w:type="dxa"/>
            <w:vAlign w:val="bottom"/>
            <w:shd w:val="clear" w:color="auto" w:fill="F2F3F2"/>
          </w:tcPr>
          <w:p>
            <w:pPr>
              <w:spacing w:after="0"/>
              <w:rPr>
                <w:sz w:val="19"/>
                <w:szCs w:val="19"/>
                <w:color w:val="auto"/>
              </w:rPr>
            </w:pPr>
          </w:p>
        </w:tc>
        <w:tc>
          <w:tcPr>
            <w:tcW w:w="1040" w:type="dxa"/>
            <w:vAlign w:val="bottom"/>
            <w:shd w:val="clear" w:color="auto" w:fill="F2F3F2"/>
          </w:tcPr>
          <w:p>
            <w:pPr>
              <w:spacing w:after="0"/>
              <w:rPr>
                <w:sz w:val="19"/>
                <w:szCs w:val="19"/>
                <w:color w:val="auto"/>
              </w:rPr>
            </w:pPr>
          </w:p>
        </w:tc>
        <w:tc>
          <w:tcPr>
            <w:tcW w:w="820" w:type="dxa"/>
            <w:vAlign w:val="bottom"/>
            <w:shd w:val="clear" w:color="auto" w:fill="F2F3F2"/>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80" w:type="dxa"/>
            <w:vAlign w:val="bottom"/>
            <w:tcBorders>
              <w:right w:val="single" w:sz="8" w:color="B2B3B6"/>
            </w:tcBorders>
            <w:gridSpan w:val="4"/>
          </w:tcPr>
          <w:p>
            <w:pPr>
              <w:ind w:left="40"/>
              <w:spacing w:after="0"/>
              <w:rPr>
                <w:sz w:val="20"/>
                <w:szCs w:val="20"/>
                <w:color w:val="auto"/>
              </w:rPr>
            </w:pPr>
            <w:r>
              <w:rPr>
                <w:rFonts w:ascii="Arial" w:cs="Arial" w:eastAsia="Arial" w:hAnsi="Arial"/>
                <w:sz w:val="14"/>
                <w:szCs w:val="14"/>
                <w:color w:val="auto"/>
              </w:rPr>
              <w:t>perspectives and draw on the</w:t>
            </w:r>
          </w:p>
        </w:tc>
        <w:tc>
          <w:tcPr>
            <w:tcW w:w="2240" w:type="dxa"/>
            <w:vAlign w:val="bottom"/>
            <w:gridSpan w:val="3"/>
          </w:tcPr>
          <w:p>
            <w:pPr>
              <w:ind w:left="120"/>
              <w:spacing w:after="0"/>
              <w:rPr>
                <w:sz w:val="20"/>
                <w:szCs w:val="20"/>
                <w:color w:val="auto"/>
              </w:rPr>
            </w:pPr>
            <w:r>
              <w:rPr>
                <w:rFonts w:ascii="Arial" w:cs="Arial" w:eastAsia="Arial" w:hAnsi="Arial"/>
                <w:sz w:val="14"/>
                <w:szCs w:val="14"/>
                <w:color w:val="auto"/>
              </w:rPr>
              <w:t>continually exceed the</w:t>
            </w:r>
          </w:p>
        </w:tc>
        <w:tc>
          <w:tcPr>
            <w:tcW w:w="100" w:type="dxa"/>
            <w:vAlign w:val="bottom"/>
            <w:tcBorders>
              <w:left w:val="single" w:sz="8" w:color="B2B3B6"/>
            </w:tcBorders>
            <w:shd w:val="clear" w:color="auto" w:fill="F2F3F2"/>
          </w:tcPr>
          <w:p>
            <w:pPr>
              <w:spacing w:after="0"/>
              <w:rPr>
                <w:sz w:val="15"/>
                <w:szCs w:val="15"/>
                <w:color w:val="auto"/>
              </w:rPr>
            </w:pPr>
          </w:p>
        </w:tc>
        <w:tc>
          <w:tcPr>
            <w:tcW w:w="1920" w:type="dxa"/>
            <w:vAlign w:val="bottom"/>
            <w:gridSpan w:val="2"/>
            <w:shd w:val="clear" w:color="auto" w:fill="F2F3F2"/>
          </w:tcPr>
          <w:p>
            <w:pPr>
              <w:ind w:left="40"/>
              <w:spacing w:after="0"/>
              <w:rPr>
                <w:sz w:val="20"/>
                <w:szCs w:val="20"/>
                <w:color w:val="auto"/>
              </w:rPr>
            </w:pPr>
            <w:r>
              <w:rPr>
                <w:rFonts w:ascii="Arial" w:cs="Arial" w:eastAsia="Arial" w:hAnsi="Arial"/>
                <w:sz w:val="14"/>
                <w:szCs w:val="14"/>
                <w:color w:val="auto"/>
              </w:rPr>
              <w:t>we realize that our current</w:t>
            </w:r>
          </w:p>
        </w:tc>
        <w:tc>
          <w:tcPr>
            <w:tcW w:w="260" w:type="dxa"/>
            <w:vAlign w:val="bottom"/>
            <w:tcBorders>
              <w:right w:val="single" w:sz="8" w:color="B2B3B6"/>
            </w:tcBorders>
            <w:shd w:val="clear" w:color="auto" w:fill="F2F3F2"/>
          </w:tcPr>
          <w:p>
            <w:pPr>
              <w:spacing w:after="0"/>
              <w:rPr>
                <w:sz w:val="15"/>
                <w:szCs w:val="15"/>
                <w:color w:val="auto"/>
              </w:rPr>
            </w:pPr>
          </w:p>
        </w:tc>
        <w:tc>
          <w:tcPr>
            <w:tcW w:w="420" w:type="dxa"/>
            <w:vAlign w:val="bottom"/>
            <w:shd w:val="clear" w:color="auto" w:fill="F2F3F2"/>
          </w:tcPr>
          <w:p>
            <w:pPr>
              <w:spacing w:after="0"/>
              <w:rPr>
                <w:sz w:val="15"/>
                <w:szCs w:val="15"/>
                <w:color w:val="auto"/>
              </w:rPr>
            </w:pPr>
          </w:p>
        </w:tc>
        <w:tc>
          <w:tcPr>
            <w:tcW w:w="1040" w:type="dxa"/>
            <w:vAlign w:val="bottom"/>
            <w:shd w:val="clear" w:color="auto" w:fill="F2F3F2"/>
          </w:tcPr>
          <w:p>
            <w:pPr>
              <w:spacing w:after="0"/>
              <w:rPr>
                <w:sz w:val="15"/>
                <w:szCs w:val="15"/>
                <w:color w:val="auto"/>
              </w:rPr>
            </w:pPr>
          </w:p>
        </w:tc>
        <w:tc>
          <w:tcPr>
            <w:tcW w:w="820" w:type="dxa"/>
            <w:vAlign w:val="bottom"/>
            <w:shd w:val="clear" w:color="auto" w:fill="F2F3F2"/>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2"/>
          </w:tcPr>
          <w:p>
            <w:pPr>
              <w:ind w:left="40"/>
              <w:spacing w:after="0"/>
              <w:rPr>
                <w:sz w:val="20"/>
                <w:szCs w:val="20"/>
                <w:color w:val="auto"/>
              </w:rPr>
            </w:pPr>
            <w:r>
              <w:rPr>
                <w:rFonts w:ascii="Arial" w:cs="Arial" w:eastAsia="Arial" w:hAnsi="Arial"/>
                <w:sz w:val="14"/>
                <w:szCs w:val="14"/>
                <w:color w:val="auto"/>
              </w:rPr>
              <w:t>strength of our diversity.</w:t>
            </w:r>
          </w:p>
        </w:tc>
        <w:tc>
          <w:tcPr>
            <w:tcW w:w="360" w:type="dxa"/>
            <w:vAlign w:val="bottom"/>
          </w:tcPr>
          <w:p>
            <w:pPr>
              <w:spacing w:after="0"/>
              <w:rPr>
                <w:sz w:val="14"/>
                <w:szCs w:val="14"/>
                <w:color w:val="auto"/>
              </w:rPr>
            </w:pPr>
          </w:p>
        </w:tc>
        <w:tc>
          <w:tcPr>
            <w:tcW w:w="120" w:type="dxa"/>
            <w:vAlign w:val="bottom"/>
            <w:tcBorders>
              <w:right w:val="single" w:sz="8" w:color="B2B3B6"/>
            </w:tcBorders>
          </w:tcPr>
          <w:p>
            <w:pPr>
              <w:spacing w:after="0"/>
              <w:rPr>
                <w:sz w:val="14"/>
                <w:szCs w:val="14"/>
                <w:color w:val="auto"/>
              </w:rPr>
            </w:pPr>
          </w:p>
        </w:tc>
        <w:tc>
          <w:tcPr>
            <w:tcW w:w="2240" w:type="dxa"/>
            <w:vAlign w:val="bottom"/>
            <w:gridSpan w:val="3"/>
          </w:tcPr>
          <w:p>
            <w:pPr>
              <w:ind w:left="120"/>
              <w:spacing w:after="0"/>
              <w:rPr>
                <w:sz w:val="20"/>
                <w:szCs w:val="20"/>
                <w:color w:val="auto"/>
              </w:rPr>
            </w:pPr>
            <w:r>
              <w:rPr>
                <w:rFonts w:ascii="Arial" w:cs="Arial" w:eastAsia="Arial" w:hAnsi="Arial"/>
                <w:sz w:val="14"/>
                <w:szCs w:val="14"/>
                <w:color w:val="auto"/>
              </w:rPr>
              <w:t>expectations of our clients and</w:t>
            </w:r>
          </w:p>
        </w:tc>
        <w:tc>
          <w:tcPr>
            <w:tcW w:w="100" w:type="dxa"/>
            <w:vAlign w:val="bottom"/>
            <w:tcBorders>
              <w:left w:val="single" w:sz="8" w:color="B2B3B6"/>
            </w:tcBorders>
            <w:shd w:val="clear" w:color="auto" w:fill="F2F3F2"/>
          </w:tcPr>
          <w:p>
            <w:pPr>
              <w:spacing w:after="0"/>
              <w:rPr>
                <w:sz w:val="14"/>
                <w:szCs w:val="14"/>
                <w:color w:val="auto"/>
              </w:rPr>
            </w:pPr>
          </w:p>
        </w:tc>
        <w:tc>
          <w:tcPr>
            <w:tcW w:w="1920" w:type="dxa"/>
            <w:vAlign w:val="bottom"/>
            <w:gridSpan w:val="2"/>
            <w:shd w:val="clear" w:color="auto" w:fill="F2F3F2"/>
          </w:tcPr>
          <w:p>
            <w:pPr>
              <w:ind w:left="40"/>
              <w:spacing w:after="0"/>
              <w:rPr>
                <w:sz w:val="20"/>
                <w:szCs w:val="20"/>
                <w:color w:val="auto"/>
              </w:rPr>
            </w:pPr>
            <w:r>
              <w:rPr>
                <w:rFonts w:ascii="Arial" w:cs="Arial" w:eastAsia="Arial" w:hAnsi="Arial"/>
                <w:sz w:val="14"/>
                <w:szCs w:val="14"/>
                <w:color w:val="auto"/>
              </w:rPr>
              <w:t>knowledge is but a fraction of</w:t>
            </w:r>
          </w:p>
        </w:tc>
        <w:tc>
          <w:tcPr>
            <w:tcW w:w="260" w:type="dxa"/>
            <w:vAlign w:val="bottom"/>
            <w:tcBorders>
              <w:right w:val="single" w:sz="8" w:color="B2B3B6"/>
            </w:tcBorders>
            <w:shd w:val="clear" w:color="auto" w:fill="F2F3F2"/>
          </w:tcPr>
          <w:p>
            <w:pPr>
              <w:spacing w:after="0"/>
              <w:rPr>
                <w:sz w:val="14"/>
                <w:szCs w:val="14"/>
                <w:color w:val="auto"/>
              </w:rPr>
            </w:pPr>
          </w:p>
        </w:tc>
        <w:tc>
          <w:tcPr>
            <w:tcW w:w="420" w:type="dxa"/>
            <w:vAlign w:val="bottom"/>
            <w:shd w:val="clear" w:color="auto" w:fill="F2F3F2"/>
          </w:tcPr>
          <w:p>
            <w:pPr>
              <w:spacing w:after="0"/>
              <w:rPr>
                <w:sz w:val="14"/>
                <w:szCs w:val="14"/>
                <w:color w:val="auto"/>
              </w:rPr>
            </w:pPr>
          </w:p>
        </w:tc>
        <w:tc>
          <w:tcPr>
            <w:tcW w:w="1040" w:type="dxa"/>
            <w:vAlign w:val="bottom"/>
            <w:shd w:val="clear" w:color="auto" w:fill="F2F3F2"/>
          </w:tcPr>
          <w:p>
            <w:pPr>
              <w:spacing w:after="0"/>
              <w:rPr>
                <w:sz w:val="14"/>
                <w:szCs w:val="14"/>
                <w:color w:val="auto"/>
              </w:rPr>
            </w:pPr>
          </w:p>
        </w:tc>
        <w:tc>
          <w:tcPr>
            <w:tcW w:w="820" w:type="dxa"/>
            <w:vAlign w:val="bottom"/>
            <w:shd w:val="clear" w:color="auto" w:fill="F2F3F2"/>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Borders>
              <w:right w:val="single" w:sz="8" w:color="B2B3B6"/>
            </w:tcBorders>
          </w:tcPr>
          <w:p>
            <w:pPr>
              <w:spacing w:after="0"/>
              <w:rPr>
                <w:sz w:val="15"/>
                <w:szCs w:val="15"/>
                <w:color w:val="auto"/>
              </w:rPr>
            </w:pPr>
          </w:p>
        </w:tc>
        <w:tc>
          <w:tcPr>
            <w:tcW w:w="2240" w:type="dxa"/>
            <w:vAlign w:val="bottom"/>
            <w:gridSpan w:val="3"/>
          </w:tcPr>
          <w:p>
            <w:pPr>
              <w:ind w:left="120"/>
              <w:spacing w:after="0"/>
              <w:rPr>
                <w:sz w:val="20"/>
                <w:szCs w:val="20"/>
                <w:color w:val="auto"/>
              </w:rPr>
            </w:pPr>
            <w:r>
              <w:rPr>
                <w:rFonts w:ascii="Arial" w:cs="Arial" w:eastAsia="Arial" w:hAnsi="Arial"/>
                <w:sz w:val="14"/>
                <w:szCs w:val="14"/>
                <w:color w:val="auto"/>
              </w:rPr>
              <w:t>our people, holding each other</w:t>
            </w:r>
          </w:p>
        </w:tc>
        <w:tc>
          <w:tcPr>
            <w:tcW w:w="100" w:type="dxa"/>
            <w:vAlign w:val="bottom"/>
            <w:tcBorders>
              <w:left w:val="single" w:sz="8" w:color="B2B3B6"/>
            </w:tcBorders>
            <w:shd w:val="clear" w:color="auto" w:fill="F2F3F2"/>
          </w:tcPr>
          <w:p>
            <w:pPr>
              <w:spacing w:after="0"/>
              <w:rPr>
                <w:sz w:val="15"/>
                <w:szCs w:val="15"/>
                <w:color w:val="auto"/>
              </w:rPr>
            </w:pPr>
          </w:p>
        </w:tc>
        <w:tc>
          <w:tcPr>
            <w:tcW w:w="1920" w:type="dxa"/>
            <w:vAlign w:val="bottom"/>
            <w:gridSpan w:val="2"/>
            <w:shd w:val="clear" w:color="auto" w:fill="F2F3F2"/>
          </w:tcPr>
          <w:p>
            <w:pPr>
              <w:ind w:left="40"/>
              <w:spacing w:after="0"/>
              <w:rPr>
                <w:sz w:val="20"/>
                <w:szCs w:val="20"/>
                <w:color w:val="auto"/>
              </w:rPr>
            </w:pPr>
            <w:r>
              <w:rPr>
                <w:rFonts w:ascii="Arial" w:cs="Arial" w:eastAsia="Arial" w:hAnsi="Arial"/>
                <w:sz w:val="14"/>
                <w:szCs w:val="14"/>
                <w:color w:val="auto"/>
              </w:rPr>
              <w:t>what we have yet to learn,</w:t>
            </w:r>
          </w:p>
        </w:tc>
        <w:tc>
          <w:tcPr>
            <w:tcW w:w="260" w:type="dxa"/>
            <w:vAlign w:val="bottom"/>
            <w:tcBorders>
              <w:right w:val="single" w:sz="8" w:color="B2B3B6"/>
            </w:tcBorders>
            <w:shd w:val="clear" w:color="auto" w:fill="F2F3F2"/>
          </w:tcPr>
          <w:p>
            <w:pPr>
              <w:spacing w:after="0"/>
              <w:rPr>
                <w:sz w:val="15"/>
                <w:szCs w:val="15"/>
                <w:color w:val="auto"/>
              </w:rPr>
            </w:pPr>
          </w:p>
        </w:tc>
        <w:tc>
          <w:tcPr>
            <w:tcW w:w="420" w:type="dxa"/>
            <w:vAlign w:val="bottom"/>
            <w:shd w:val="clear" w:color="auto" w:fill="F2F3F2"/>
          </w:tcPr>
          <w:p>
            <w:pPr>
              <w:spacing w:after="0"/>
              <w:rPr>
                <w:sz w:val="15"/>
                <w:szCs w:val="15"/>
                <w:color w:val="auto"/>
              </w:rPr>
            </w:pPr>
          </w:p>
        </w:tc>
        <w:tc>
          <w:tcPr>
            <w:tcW w:w="1040" w:type="dxa"/>
            <w:vAlign w:val="bottom"/>
            <w:shd w:val="clear" w:color="auto" w:fill="F2F3F2"/>
          </w:tcPr>
          <w:p>
            <w:pPr>
              <w:spacing w:after="0"/>
              <w:rPr>
                <w:sz w:val="15"/>
                <w:szCs w:val="15"/>
                <w:color w:val="auto"/>
              </w:rPr>
            </w:pPr>
          </w:p>
        </w:tc>
        <w:tc>
          <w:tcPr>
            <w:tcW w:w="820" w:type="dxa"/>
            <w:vAlign w:val="bottom"/>
            <w:shd w:val="clear" w:color="auto" w:fill="F2F3F2"/>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Borders>
              <w:right w:val="single" w:sz="8" w:color="B2B3B6"/>
            </w:tcBorders>
          </w:tcPr>
          <w:p>
            <w:pPr>
              <w:spacing w:after="0"/>
              <w:rPr>
                <w:sz w:val="15"/>
                <w:szCs w:val="15"/>
                <w:color w:val="auto"/>
              </w:rPr>
            </w:pPr>
          </w:p>
        </w:tc>
        <w:tc>
          <w:tcPr>
            <w:tcW w:w="2240" w:type="dxa"/>
            <w:vAlign w:val="bottom"/>
            <w:gridSpan w:val="3"/>
          </w:tcPr>
          <w:p>
            <w:pPr>
              <w:ind w:left="120"/>
              <w:spacing w:after="0"/>
              <w:rPr>
                <w:sz w:val="20"/>
                <w:szCs w:val="20"/>
                <w:color w:val="auto"/>
              </w:rPr>
            </w:pPr>
            <w:r>
              <w:rPr>
                <w:rFonts w:ascii="Arial" w:cs="Arial" w:eastAsia="Arial" w:hAnsi="Arial"/>
                <w:sz w:val="14"/>
                <w:szCs w:val="14"/>
                <w:color w:val="auto"/>
              </w:rPr>
              <w:t>accountable for our actions</w:t>
            </w:r>
          </w:p>
        </w:tc>
        <w:tc>
          <w:tcPr>
            <w:tcW w:w="100" w:type="dxa"/>
            <w:vAlign w:val="bottom"/>
            <w:tcBorders>
              <w:left w:val="single" w:sz="8" w:color="B2B3B6"/>
            </w:tcBorders>
            <w:shd w:val="clear" w:color="auto" w:fill="F2F3F2"/>
          </w:tcPr>
          <w:p>
            <w:pPr>
              <w:spacing w:after="0"/>
              <w:rPr>
                <w:sz w:val="15"/>
                <w:szCs w:val="15"/>
                <w:color w:val="auto"/>
              </w:rPr>
            </w:pPr>
          </w:p>
        </w:tc>
        <w:tc>
          <w:tcPr>
            <w:tcW w:w="1920" w:type="dxa"/>
            <w:vAlign w:val="bottom"/>
            <w:gridSpan w:val="2"/>
            <w:shd w:val="clear" w:color="auto" w:fill="F2F3F2"/>
          </w:tcPr>
          <w:p>
            <w:pPr>
              <w:ind w:left="40"/>
              <w:spacing w:after="0"/>
              <w:rPr>
                <w:sz w:val="20"/>
                <w:szCs w:val="20"/>
                <w:color w:val="auto"/>
              </w:rPr>
            </w:pPr>
            <w:r>
              <w:rPr>
                <w:rFonts w:ascii="Arial" w:cs="Arial" w:eastAsia="Arial" w:hAnsi="Arial"/>
                <w:sz w:val="14"/>
                <w:szCs w:val="14"/>
                <w:color w:val="auto"/>
              </w:rPr>
              <w:t>discover and create.</w:t>
            </w:r>
          </w:p>
        </w:tc>
        <w:tc>
          <w:tcPr>
            <w:tcW w:w="260" w:type="dxa"/>
            <w:vAlign w:val="bottom"/>
            <w:tcBorders>
              <w:right w:val="single" w:sz="8" w:color="B2B3B6"/>
            </w:tcBorders>
            <w:shd w:val="clear" w:color="auto" w:fill="F2F3F2"/>
          </w:tcPr>
          <w:p>
            <w:pPr>
              <w:spacing w:after="0"/>
              <w:rPr>
                <w:sz w:val="15"/>
                <w:szCs w:val="15"/>
                <w:color w:val="auto"/>
              </w:rPr>
            </w:pPr>
          </w:p>
        </w:tc>
        <w:tc>
          <w:tcPr>
            <w:tcW w:w="420" w:type="dxa"/>
            <w:vAlign w:val="bottom"/>
            <w:shd w:val="clear" w:color="auto" w:fill="F2F3F2"/>
          </w:tcPr>
          <w:p>
            <w:pPr>
              <w:spacing w:after="0"/>
              <w:rPr>
                <w:sz w:val="15"/>
                <w:szCs w:val="15"/>
                <w:color w:val="auto"/>
              </w:rPr>
            </w:pPr>
          </w:p>
        </w:tc>
        <w:tc>
          <w:tcPr>
            <w:tcW w:w="1040" w:type="dxa"/>
            <w:vAlign w:val="bottom"/>
            <w:shd w:val="clear" w:color="auto" w:fill="F2F3F2"/>
          </w:tcPr>
          <w:p>
            <w:pPr>
              <w:spacing w:after="0"/>
              <w:rPr>
                <w:sz w:val="15"/>
                <w:szCs w:val="15"/>
                <w:color w:val="auto"/>
              </w:rPr>
            </w:pPr>
          </w:p>
        </w:tc>
        <w:tc>
          <w:tcPr>
            <w:tcW w:w="820" w:type="dxa"/>
            <w:vAlign w:val="bottom"/>
            <w:shd w:val="clear" w:color="auto" w:fill="F2F3F2"/>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Borders>
              <w:right w:val="single" w:sz="8" w:color="B2B3B6"/>
            </w:tcBorders>
          </w:tcPr>
          <w:p>
            <w:pPr>
              <w:spacing w:after="0"/>
              <w:rPr>
                <w:sz w:val="16"/>
                <w:szCs w:val="16"/>
                <w:color w:val="auto"/>
              </w:rPr>
            </w:pPr>
          </w:p>
        </w:tc>
        <w:tc>
          <w:tcPr>
            <w:tcW w:w="1400" w:type="dxa"/>
            <w:vAlign w:val="bottom"/>
            <w:gridSpan w:val="2"/>
          </w:tcPr>
          <w:p>
            <w:pPr>
              <w:ind w:left="120"/>
              <w:spacing w:after="0"/>
              <w:rPr>
                <w:sz w:val="20"/>
                <w:szCs w:val="20"/>
                <w:color w:val="auto"/>
              </w:rPr>
            </w:pPr>
            <w:r>
              <w:rPr>
                <w:rFonts w:ascii="Arial" w:cs="Arial" w:eastAsia="Arial" w:hAnsi="Arial"/>
                <w:sz w:val="14"/>
                <w:szCs w:val="14"/>
                <w:color w:val="auto"/>
              </w:rPr>
              <w:t>and outcomes.</w:t>
            </w:r>
          </w:p>
        </w:tc>
        <w:tc>
          <w:tcPr>
            <w:tcW w:w="840" w:type="dxa"/>
            <w:vAlign w:val="bottom"/>
          </w:tcPr>
          <w:p>
            <w:pPr>
              <w:spacing w:after="0"/>
              <w:rPr>
                <w:sz w:val="16"/>
                <w:szCs w:val="16"/>
                <w:color w:val="auto"/>
              </w:rPr>
            </w:pPr>
          </w:p>
        </w:tc>
        <w:tc>
          <w:tcPr>
            <w:tcW w:w="100" w:type="dxa"/>
            <w:vAlign w:val="bottom"/>
            <w:tcBorders>
              <w:left w:val="single" w:sz="8" w:color="B2B3B6"/>
            </w:tcBorders>
            <w:shd w:val="clear" w:color="auto" w:fill="F2F3F2"/>
          </w:tcPr>
          <w:p>
            <w:pPr>
              <w:spacing w:after="0"/>
              <w:rPr>
                <w:sz w:val="16"/>
                <w:szCs w:val="16"/>
                <w:color w:val="auto"/>
              </w:rPr>
            </w:pPr>
          </w:p>
        </w:tc>
        <w:tc>
          <w:tcPr>
            <w:tcW w:w="840" w:type="dxa"/>
            <w:vAlign w:val="bottom"/>
            <w:shd w:val="clear" w:color="auto" w:fill="F2F3F2"/>
          </w:tcPr>
          <w:p>
            <w:pPr>
              <w:spacing w:after="0"/>
              <w:rPr>
                <w:sz w:val="16"/>
                <w:szCs w:val="16"/>
                <w:color w:val="auto"/>
              </w:rPr>
            </w:pPr>
          </w:p>
        </w:tc>
        <w:tc>
          <w:tcPr>
            <w:tcW w:w="1080" w:type="dxa"/>
            <w:vAlign w:val="bottom"/>
            <w:shd w:val="clear" w:color="auto" w:fill="F2F3F2"/>
          </w:tcPr>
          <w:p>
            <w:pPr>
              <w:spacing w:after="0"/>
              <w:rPr>
                <w:sz w:val="16"/>
                <w:szCs w:val="16"/>
                <w:color w:val="auto"/>
              </w:rPr>
            </w:pPr>
          </w:p>
        </w:tc>
        <w:tc>
          <w:tcPr>
            <w:tcW w:w="260" w:type="dxa"/>
            <w:vAlign w:val="bottom"/>
            <w:tcBorders>
              <w:right w:val="single" w:sz="8" w:color="B2B3B6"/>
            </w:tcBorders>
            <w:shd w:val="clear" w:color="auto" w:fill="F2F3F2"/>
          </w:tcPr>
          <w:p>
            <w:pPr>
              <w:spacing w:after="0"/>
              <w:rPr>
                <w:sz w:val="16"/>
                <w:szCs w:val="16"/>
                <w:color w:val="auto"/>
              </w:rPr>
            </w:pPr>
          </w:p>
        </w:tc>
        <w:tc>
          <w:tcPr>
            <w:tcW w:w="420" w:type="dxa"/>
            <w:vAlign w:val="bottom"/>
            <w:shd w:val="clear" w:color="auto" w:fill="F2F3F2"/>
          </w:tcPr>
          <w:p>
            <w:pPr>
              <w:spacing w:after="0"/>
              <w:rPr>
                <w:sz w:val="16"/>
                <w:szCs w:val="16"/>
                <w:color w:val="auto"/>
              </w:rPr>
            </w:pPr>
          </w:p>
        </w:tc>
        <w:tc>
          <w:tcPr>
            <w:tcW w:w="1040" w:type="dxa"/>
            <w:vAlign w:val="bottom"/>
            <w:shd w:val="clear" w:color="auto" w:fill="F2F3F2"/>
          </w:tcPr>
          <w:p>
            <w:pPr>
              <w:spacing w:after="0"/>
              <w:rPr>
                <w:sz w:val="16"/>
                <w:szCs w:val="16"/>
                <w:color w:val="auto"/>
              </w:rPr>
            </w:pPr>
          </w:p>
        </w:tc>
        <w:tc>
          <w:tcPr>
            <w:tcW w:w="820" w:type="dxa"/>
            <w:vAlign w:val="bottom"/>
            <w:shd w:val="clear" w:color="auto" w:fill="F2F3F2"/>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3"/>
        </w:trPr>
        <w:tc>
          <w:tcPr>
            <w:tcW w:w="820" w:type="dxa"/>
            <w:vAlign w:val="bottom"/>
          </w:tcPr>
          <w:p>
            <w:pPr>
              <w:spacing w:after="0"/>
              <w:rPr>
                <w:sz w:val="24"/>
                <w:szCs w:val="24"/>
                <w:color w:val="auto"/>
              </w:rPr>
            </w:pPr>
          </w:p>
        </w:tc>
        <w:tc>
          <w:tcPr>
            <w:tcW w:w="18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Our Business</w:t>
            </w:r>
          </w:p>
        </w:tc>
        <w:tc>
          <w:tcPr>
            <w:tcW w:w="360" w:type="dxa"/>
            <w:vAlign w:val="bottom"/>
          </w:tcPr>
          <w:p>
            <w:pPr>
              <w:spacing w:after="0"/>
              <w:rPr>
                <w:sz w:val="24"/>
                <w:szCs w:val="24"/>
                <w:color w:val="auto"/>
              </w:rPr>
            </w:pPr>
          </w:p>
        </w:tc>
        <w:tc>
          <w:tcPr>
            <w:tcW w:w="120" w:type="dxa"/>
            <w:vAlign w:val="bottom"/>
            <w:tcBorders>
              <w:right w:val="single" w:sz="8" w:color="B2B3B6"/>
            </w:tcBorders>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Borders>
              <w:left w:val="single" w:sz="8" w:color="B2B3B6"/>
            </w:tcBorders>
            <w:shd w:val="clear" w:color="auto" w:fill="F2F3F2"/>
          </w:tcPr>
          <w:p>
            <w:pPr>
              <w:spacing w:after="0"/>
              <w:rPr>
                <w:sz w:val="24"/>
                <w:szCs w:val="24"/>
                <w:color w:val="auto"/>
              </w:rPr>
            </w:pPr>
          </w:p>
        </w:tc>
        <w:tc>
          <w:tcPr>
            <w:tcW w:w="840" w:type="dxa"/>
            <w:vAlign w:val="bottom"/>
            <w:shd w:val="clear" w:color="auto" w:fill="F2F3F2"/>
          </w:tcPr>
          <w:p>
            <w:pPr>
              <w:spacing w:after="0"/>
              <w:rPr>
                <w:sz w:val="24"/>
                <w:szCs w:val="24"/>
                <w:color w:val="auto"/>
              </w:rPr>
            </w:pPr>
          </w:p>
        </w:tc>
        <w:tc>
          <w:tcPr>
            <w:tcW w:w="1080" w:type="dxa"/>
            <w:vAlign w:val="bottom"/>
            <w:shd w:val="clear" w:color="auto" w:fill="F2F3F2"/>
          </w:tcPr>
          <w:p>
            <w:pPr>
              <w:spacing w:after="0"/>
              <w:rPr>
                <w:sz w:val="24"/>
                <w:szCs w:val="24"/>
                <w:color w:val="auto"/>
              </w:rPr>
            </w:pPr>
          </w:p>
        </w:tc>
        <w:tc>
          <w:tcPr>
            <w:tcW w:w="260" w:type="dxa"/>
            <w:vAlign w:val="bottom"/>
            <w:tcBorders>
              <w:right w:val="single" w:sz="8" w:color="B2B3B6"/>
            </w:tcBorders>
            <w:shd w:val="clear" w:color="auto" w:fill="F2F3F2"/>
          </w:tcPr>
          <w:p>
            <w:pPr>
              <w:spacing w:after="0"/>
              <w:rPr>
                <w:sz w:val="24"/>
                <w:szCs w:val="24"/>
                <w:color w:val="auto"/>
              </w:rPr>
            </w:pPr>
          </w:p>
        </w:tc>
        <w:tc>
          <w:tcPr>
            <w:tcW w:w="420" w:type="dxa"/>
            <w:vAlign w:val="bottom"/>
            <w:shd w:val="clear" w:color="auto" w:fill="F2F3F2"/>
          </w:tcPr>
          <w:p>
            <w:pPr>
              <w:spacing w:after="0"/>
              <w:rPr>
                <w:sz w:val="24"/>
                <w:szCs w:val="24"/>
                <w:color w:val="auto"/>
              </w:rPr>
            </w:pPr>
          </w:p>
        </w:tc>
        <w:tc>
          <w:tcPr>
            <w:tcW w:w="1040" w:type="dxa"/>
            <w:vAlign w:val="bottom"/>
            <w:shd w:val="clear" w:color="auto" w:fill="F2F3F2"/>
          </w:tcPr>
          <w:p>
            <w:pPr>
              <w:spacing w:after="0"/>
              <w:rPr>
                <w:sz w:val="24"/>
                <w:szCs w:val="24"/>
                <w:color w:val="auto"/>
              </w:rPr>
            </w:pPr>
          </w:p>
        </w:tc>
        <w:tc>
          <w:tcPr>
            <w:tcW w:w="820" w:type="dxa"/>
            <w:vAlign w:val="bottom"/>
            <w:shd w:val="clear" w:color="auto" w:fill="F2F3F2"/>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820" w:type="dxa"/>
            <w:vAlign w:val="bottom"/>
          </w:tcPr>
          <w:p>
            <w:pPr>
              <w:spacing w:after="0"/>
              <w:rPr>
                <w:sz w:val="15"/>
                <w:szCs w:val="15"/>
                <w:color w:val="auto"/>
              </w:rPr>
            </w:pPr>
          </w:p>
        </w:tc>
        <w:tc>
          <w:tcPr>
            <w:tcW w:w="1800" w:type="dxa"/>
            <w:vAlign w:val="bottom"/>
            <w:gridSpan w:val="3"/>
            <w:vMerge w:val="continue"/>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Borders>
              <w:left w:val="single" w:sz="8" w:color="F2F3F2"/>
            </w:tcBorders>
            <w:shd w:val="clear" w:color="auto" w:fill="F2F3F2"/>
          </w:tcPr>
          <w:p>
            <w:pPr>
              <w:spacing w:after="0"/>
              <w:rPr>
                <w:sz w:val="15"/>
                <w:szCs w:val="15"/>
                <w:color w:val="auto"/>
              </w:rPr>
            </w:pPr>
          </w:p>
        </w:tc>
        <w:tc>
          <w:tcPr>
            <w:tcW w:w="840" w:type="dxa"/>
            <w:vAlign w:val="bottom"/>
            <w:shd w:val="clear" w:color="auto" w:fill="F2F3F2"/>
          </w:tcPr>
          <w:p>
            <w:pPr>
              <w:spacing w:after="0"/>
              <w:rPr>
                <w:sz w:val="15"/>
                <w:szCs w:val="15"/>
                <w:color w:val="auto"/>
              </w:rPr>
            </w:pPr>
          </w:p>
        </w:tc>
        <w:tc>
          <w:tcPr>
            <w:tcW w:w="1080" w:type="dxa"/>
            <w:vAlign w:val="bottom"/>
            <w:shd w:val="clear" w:color="auto" w:fill="F2F3F2"/>
          </w:tcPr>
          <w:p>
            <w:pPr>
              <w:spacing w:after="0"/>
              <w:rPr>
                <w:sz w:val="15"/>
                <w:szCs w:val="15"/>
                <w:color w:val="auto"/>
              </w:rPr>
            </w:pPr>
          </w:p>
        </w:tc>
        <w:tc>
          <w:tcPr>
            <w:tcW w:w="260" w:type="dxa"/>
            <w:vAlign w:val="bottom"/>
            <w:tcBorders>
              <w:right w:val="single" w:sz="8" w:color="F2F3F2"/>
            </w:tcBorders>
            <w:shd w:val="clear" w:color="auto" w:fill="F2F3F2"/>
          </w:tcPr>
          <w:p>
            <w:pPr>
              <w:spacing w:after="0"/>
              <w:rPr>
                <w:sz w:val="15"/>
                <w:szCs w:val="15"/>
                <w:color w:val="auto"/>
              </w:rPr>
            </w:pPr>
          </w:p>
        </w:tc>
        <w:tc>
          <w:tcPr>
            <w:tcW w:w="420" w:type="dxa"/>
            <w:vAlign w:val="bottom"/>
            <w:shd w:val="clear" w:color="auto" w:fill="F2F3F2"/>
          </w:tcPr>
          <w:p>
            <w:pPr>
              <w:spacing w:after="0"/>
              <w:rPr>
                <w:sz w:val="15"/>
                <w:szCs w:val="15"/>
                <w:color w:val="auto"/>
              </w:rPr>
            </w:pPr>
          </w:p>
        </w:tc>
        <w:tc>
          <w:tcPr>
            <w:tcW w:w="1040" w:type="dxa"/>
            <w:vAlign w:val="bottom"/>
            <w:shd w:val="clear" w:color="auto" w:fill="F2F3F2"/>
          </w:tcPr>
          <w:p>
            <w:pPr>
              <w:spacing w:after="0"/>
              <w:rPr>
                <w:sz w:val="15"/>
                <w:szCs w:val="15"/>
                <w:color w:val="auto"/>
              </w:rPr>
            </w:pPr>
          </w:p>
        </w:tc>
        <w:tc>
          <w:tcPr>
            <w:tcW w:w="820" w:type="dxa"/>
            <w:vAlign w:val="bottom"/>
            <w:shd w:val="clear" w:color="auto" w:fill="F2F3F2"/>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820" w:type="dxa"/>
            <w:vAlign w:val="bottom"/>
          </w:tcPr>
          <w:p>
            <w:pPr>
              <w:spacing w:after="0"/>
              <w:rPr>
                <w:sz w:val="18"/>
                <w:szCs w:val="18"/>
                <w:color w:val="auto"/>
              </w:rPr>
            </w:pPr>
          </w:p>
        </w:tc>
        <w:tc>
          <w:tcPr>
            <w:tcW w:w="1800" w:type="dxa"/>
            <w:vAlign w:val="bottom"/>
            <w:gridSpan w:val="3"/>
            <w:vMerge w:val="continue"/>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9"/>
        </w:trPr>
        <w:tc>
          <w:tcPr>
            <w:tcW w:w="920" w:type="dxa"/>
            <w:vAlign w:val="bottom"/>
            <w:gridSpan w:val="2"/>
          </w:tcPr>
          <w:p>
            <w:pPr>
              <w:spacing w:after="0"/>
              <w:rPr>
                <w:sz w:val="6"/>
                <w:szCs w:val="6"/>
                <w:color w:val="auto"/>
              </w:rPr>
            </w:pPr>
          </w:p>
        </w:tc>
        <w:tc>
          <w:tcPr>
            <w:tcW w:w="1700" w:type="dxa"/>
            <w:vAlign w:val="bottom"/>
            <w:gridSpan w:val="2"/>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780" w:type="dxa"/>
            <w:vAlign w:val="bottom"/>
            <w:gridSpan w:val="2"/>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60" w:type="dxa"/>
            <w:vAlign w:val="bottom"/>
            <w:gridSpan w:val="2"/>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820" w:type="dxa"/>
            <w:vAlign w:val="bottom"/>
          </w:tcPr>
          <w:p>
            <w:pPr>
              <w:spacing w:after="0"/>
              <w:rPr>
                <w:sz w:val="15"/>
                <w:szCs w:val="15"/>
                <w:color w:val="auto"/>
              </w:rPr>
            </w:pPr>
          </w:p>
        </w:tc>
        <w:tc>
          <w:tcPr>
            <w:tcW w:w="100" w:type="dxa"/>
            <w:vAlign w:val="bottom"/>
            <w:shd w:val="clear" w:color="auto" w:fill="F2F3F2"/>
          </w:tcPr>
          <w:p>
            <w:pPr>
              <w:spacing w:after="0"/>
              <w:rPr>
                <w:sz w:val="15"/>
                <w:szCs w:val="15"/>
                <w:color w:val="auto"/>
              </w:rPr>
            </w:pPr>
          </w:p>
        </w:tc>
        <w:tc>
          <w:tcPr>
            <w:tcW w:w="1700" w:type="dxa"/>
            <w:vAlign w:val="bottom"/>
            <w:gridSpan w:val="2"/>
            <w:vMerge w:val="restart"/>
            <w:shd w:val="clear" w:color="auto" w:fill="F2F3F2"/>
          </w:tcPr>
          <w:p>
            <w:pPr>
              <w:ind w:left="540"/>
              <w:spacing w:after="0"/>
              <w:rPr>
                <w:sz w:val="20"/>
                <w:szCs w:val="20"/>
                <w:color w:val="auto"/>
              </w:rPr>
            </w:pPr>
            <w:r>
              <w:rPr>
                <w:rFonts w:ascii="Arial" w:cs="Arial" w:eastAsia="Arial" w:hAnsi="Arial"/>
                <w:sz w:val="32"/>
                <w:szCs w:val="32"/>
                <w:color w:val="6AAA37"/>
              </w:rPr>
              <w:t>2,100+</w:t>
            </w:r>
          </w:p>
        </w:tc>
        <w:tc>
          <w:tcPr>
            <w:tcW w:w="360" w:type="dxa"/>
            <w:vAlign w:val="bottom"/>
            <w:shd w:val="clear" w:color="auto" w:fill="F2F3F2"/>
          </w:tcPr>
          <w:p>
            <w:pPr>
              <w:spacing w:after="0"/>
              <w:rPr>
                <w:sz w:val="15"/>
                <w:szCs w:val="15"/>
                <w:color w:val="auto"/>
              </w:rPr>
            </w:pPr>
          </w:p>
        </w:tc>
        <w:tc>
          <w:tcPr>
            <w:tcW w:w="120" w:type="dxa"/>
            <w:vAlign w:val="bottom"/>
            <w:tcBorders>
              <w:right w:val="single" w:sz="8" w:color="F2F3F2"/>
            </w:tcBorders>
            <w:shd w:val="clear" w:color="auto" w:fill="F2F3F2"/>
          </w:tcPr>
          <w:p>
            <w:pPr>
              <w:spacing w:after="0"/>
              <w:rPr>
                <w:sz w:val="15"/>
                <w:szCs w:val="15"/>
                <w:color w:val="auto"/>
              </w:rPr>
            </w:pPr>
          </w:p>
        </w:tc>
        <w:tc>
          <w:tcPr>
            <w:tcW w:w="460" w:type="dxa"/>
            <w:vAlign w:val="bottom"/>
            <w:shd w:val="clear" w:color="auto" w:fill="F2F3F2"/>
          </w:tcPr>
          <w:p>
            <w:pPr>
              <w:spacing w:after="0"/>
              <w:rPr>
                <w:sz w:val="15"/>
                <w:szCs w:val="15"/>
                <w:color w:val="auto"/>
              </w:rPr>
            </w:pPr>
          </w:p>
        </w:tc>
        <w:tc>
          <w:tcPr>
            <w:tcW w:w="1780" w:type="dxa"/>
            <w:vAlign w:val="bottom"/>
            <w:gridSpan w:val="2"/>
            <w:vMerge w:val="restart"/>
            <w:shd w:val="clear" w:color="auto" w:fill="F2F3F2"/>
          </w:tcPr>
          <w:p>
            <w:pPr>
              <w:ind w:left="140"/>
              <w:spacing w:after="0"/>
              <w:rPr>
                <w:sz w:val="20"/>
                <w:szCs w:val="20"/>
                <w:color w:val="auto"/>
              </w:rPr>
            </w:pPr>
            <w:r>
              <w:rPr>
                <w:rFonts w:ascii="Arial" w:cs="Arial" w:eastAsia="Arial" w:hAnsi="Arial"/>
                <w:sz w:val="32"/>
                <w:szCs w:val="32"/>
                <w:color w:val="6AAA37"/>
              </w:rPr>
              <w:t>7,200+</w:t>
            </w:r>
          </w:p>
        </w:tc>
        <w:tc>
          <w:tcPr>
            <w:tcW w:w="100" w:type="dxa"/>
            <w:vAlign w:val="bottom"/>
            <w:tcBorders>
              <w:left w:val="single" w:sz="8" w:color="F2F3F2"/>
            </w:tcBorders>
            <w:shd w:val="clear" w:color="auto" w:fill="F2F3F2"/>
          </w:tcPr>
          <w:p>
            <w:pPr>
              <w:spacing w:after="0"/>
              <w:rPr>
                <w:sz w:val="15"/>
                <w:szCs w:val="15"/>
                <w:color w:val="auto"/>
              </w:rPr>
            </w:pPr>
          </w:p>
        </w:tc>
        <w:tc>
          <w:tcPr>
            <w:tcW w:w="840" w:type="dxa"/>
            <w:vAlign w:val="bottom"/>
            <w:shd w:val="clear" w:color="auto" w:fill="F2F3F2"/>
          </w:tcPr>
          <w:p>
            <w:pPr>
              <w:spacing w:after="0"/>
              <w:rPr>
                <w:sz w:val="15"/>
                <w:szCs w:val="15"/>
                <w:color w:val="auto"/>
              </w:rPr>
            </w:pPr>
          </w:p>
        </w:tc>
        <w:tc>
          <w:tcPr>
            <w:tcW w:w="1080" w:type="dxa"/>
            <w:vAlign w:val="bottom"/>
            <w:vMerge w:val="restart"/>
            <w:shd w:val="clear" w:color="auto" w:fill="F2F3F2"/>
          </w:tcPr>
          <w:p>
            <w:pPr>
              <w:jc w:val="right"/>
              <w:ind w:right="624"/>
              <w:spacing w:after="0"/>
              <w:rPr>
                <w:sz w:val="20"/>
                <w:szCs w:val="20"/>
                <w:color w:val="auto"/>
              </w:rPr>
            </w:pPr>
            <w:r>
              <w:rPr>
                <w:rFonts w:ascii="Arial" w:cs="Arial" w:eastAsia="Arial" w:hAnsi="Arial"/>
                <w:sz w:val="32"/>
                <w:szCs w:val="32"/>
                <w:color w:val="6AAA37"/>
                <w:w w:val="95"/>
              </w:rPr>
              <w:t>82</w:t>
            </w:r>
          </w:p>
        </w:tc>
        <w:tc>
          <w:tcPr>
            <w:tcW w:w="260" w:type="dxa"/>
            <w:vAlign w:val="bottom"/>
            <w:tcBorders>
              <w:right w:val="single" w:sz="8" w:color="F2F3F2"/>
            </w:tcBorders>
            <w:shd w:val="clear" w:color="auto" w:fill="F2F3F2"/>
          </w:tcPr>
          <w:p>
            <w:pPr>
              <w:spacing w:after="0"/>
              <w:rPr>
                <w:sz w:val="15"/>
                <w:szCs w:val="15"/>
                <w:color w:val="auto"/>
              </w:rPr>
            </w:pPr>
          </w:p>
        </w:tc>
        <w:tc>
          <w:tcPr>
            <w:tcW w:w="420" w:type="dxa"/>
            <w:vAlign w:val="bottom"/>
            <w:shd w:val="clear" w:color="auto" w:fill="F2F3F2"/>
          </w:tcPr>
          <w:p>
            <w:pPr>
              <w:spacing w:after="0"/>
              <w:rPr>
                <w:sz w:val="15"/>
                <w:szCs w:val="15"/>
                <w:color w:val="auto"/>
              </w:rPr>
            </w:pPr>
          </w:p>
        </w:tc>
        <w:tc>
          <w:tcPr>
            <w:tcW w:w="1860" w:type="dxa"/>
            <w:vAlign w:val="bottom"/>
            <w:gridSpan w:val="2"/>
            <w:vMerge w:val="restart"/>
            <w:shd w:val="clear" w:color="auto" w:fill="F2F3F2"/>
          </w:tcPr>
          <w:p>
            <w:pPr>
              <w:jc w:val="right"/>
              <w:ind w:right="517"/>
              <w:spacing w:after="0"/>
              <w:rPr>
                <w:sz w:val="20"/>
                <w:szCs w:val="20"/>
                <w:color w:val="auto"/>
              </w:rPr>
            </w:pPr>
            <w:r>
              <w:rPr>
                <w:rFonts w:ascii="Arial" w:cs="Arial" w:eastAsia="Arial" w:hAnsi="Arial"/>
                <w:sz w:val="32"/>
                <w:szCs w:val="32"/>
                <w:color w:val="6AAA37"/>
              </w:rPr>
              <w:t>13,000+</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9"/>
        </w:trPr>
        <w:tc>
          <w:tcPr>
            <w:tcW w:w="820" w:type="dxa"/>
            <w:vAlign w:val="bottom"/>
          </w:tcPr>
          <w:p>
            <w:pPr>
              <w:spacing w:after="0"/>
              <w:rPr>
                <w:sz w:val="24"/>
                <w:szCs w:val="24"/>
                <w:color w:val="auto"/>
              </w:rPr>
            </w:pPr>
          </w:p>
        </w:tc>
        <w:tc>
          <w:tcPr>
            <w:tcW w:w="100" w:type="dxa"/>
            <w:vAlign w:val="bottom"/>
            <w:shd w:val="clear" w:color="auto" w:fill="F2F3F2"/>
          </w:tcPr>
          <w:p>
            <w:pPr>
              <w:spacing w:after="0"/>
              <w:rPr>
                <w:sz w:val="24"/>
                <w:szCs w:val="24"/>
                <w:color w:val="auto"/>
              </w:rPr>
            </w:pPr>
          </w:p>
        </w:tc>
        <w:tc>
          <w:tcPr>
            <w:tcW w:w="1700" w:type="dxa"/>
            <w:vAlign w:val="bottom"/>
            <w:gridSpan w:val="2"/>
            <w:vMerge w:val="continue"/>
            <w:shd w:val="clear" w:color="auto" w:fill="F2F3F2"/>
          </w:tcPr>
          <w:p>
            <w:pPr>
              <w:spacing w:after="0"/>
              <w:rPr>
                <w:sz w:val="24"/>
                <w:szCs w:val="24"/>
                <w:color w:val="auto"/>
              </w:rPr>
            </w:pPr>
          </w:p>
        </w:tc>
        <w:tc>
          <w:tcPr>
            <w:tcW w:w="360" w:type="dxa"/>
            <w:vAlign w:val="bottom"/>
            <w:shd w:val="clear" w:color="auto" w:fill="F2F3F2"/>
          </w:tcPr>
          <w:p>
            <w:pPr>
              <w:spacing w:after="0"/>
              <w:rPr>
                <w:sz w:val="24"/>
                <w:szCs w:val="24"/>
                <w:color w:val="auto"/>
              </w:rPr>
            </w:pPr>
          </w:p>
        </w:tc>
        <w:tc>
          <w:tcPr>
            <w:tcW w:w="120" w:type="dxa"/>
            <w:vAlign w:val="bottom"/>
            <w:tcBorders>
              <w:right w:val="single" w:sz="8" w:color="B2B3B6"/>
            </w:tcBorders>
            <w:shd w:val="clear" w:color="auto" w:fill="F2F3F2"/>
          </w:tcPr>
          <w:p>
            <w:pPr>
              <w:spacing w:after="0"/>
              <w:rPr>
                <w:sz w:val="24"/>
                <w:szCs w:val="24"/>
                <w:color w:val="auto"/>
              </w:rPr>
            </w:pPr>
          </w:p>
        </w:tc>
        <w:tc>
          <w:tcPr>
            <w:tcW w:w="460" w:type="dxa"/>
            <w:vAlign w:val="bottom"/>
            <w:shd w:val="clear" w:color="auto" w:fill="F2F3F2"/>
          </w:tcPr>
          <w:p>
            <w:pPr>
              <w:spacing w:after="0"/>
              <w:rPr>
                <w:sz w:val="24"/>
                <w:szCs w:val="24"/>
                <w:color w:val="auto"/>
              </w:rPr>
            </w:pPr>
          </w:p>
        </w:tc>
        <w:tc>
          <w:tcPr>
            <w:tcW w:w="1780" w:type="dxa"/>
            <w:vAlign w:val="bottom"/>
            <w:gridSpan w:val="2"/>
            <w:vMerge w:val="continue"/>
            <w:shd w:val="clear" w:color="auto" w:fill="F2F3F2"/>
          </w:tcPr>
          <w:p>
            <w:pPr>
              <w:spacing w:after="0"/>
              <w:rPr>
                <w:sz w:val="24"/>
                <w:szCs w:val="24"/>
                <w:color w:val="auto"/>
              </w:rPr>
            </w:pPr>
          </w:p>
        </w:tc>
        <w:tc>
          <w:tcPr>
            <w:tcW w:w="100" w:type="dxa"/>
            <w:vAlign w:val="bottom"/>
            <w:tcBorders>
              <w:left w:val="single" w:sz="8" w:color="B2B3B6"/>
            </w:tcBorders>
            <w:shd w:val="clear" w:color="auto" w:fill="F2F3F2"/>
          </w:tcPr>
          <w:p>
            <w:pPr>
              <w:spacing w:after="0"/>
              <w:rPr>
                <w:sz w:val="24"/>
                <w:szCs w:val="24"/>
                <w:color w:val="auto"/>
              </w:rPr>
            </w:pPr>
          </w:p>
        </w:tc>
        <w:tc>
          <w:tcPr>
            <w:tcW w:w="840" w:type="dxa"/>
            <w:vAlign w:val="bottom"/>
            <w:shd w:val="clear" w:color="auto" w:fill="F2F3F2"/>
          </w:tcPr>
          <w:p>
            <w:pPr>
              <w:spacing w:after="0"/>
              <w:rPr>
                <w:sz w:val="24"/>
                <w:szCs w:val="24"/>
                <w:color w:val="auto"/>
              </w:rPr>
            </w:pPr>
          </w:p>
        </w:tc>
        <w:tc>
          <w:tcPr>
            <w:tcW w:w="1080" w:type="dxa"/>
            <w:vAlign w:val="bottom"/>
            <w:vMerge w:val="continue"/>
            <w:shd w:val="clear" w:color="auto" w:fill="F2F3F2"/>
          </w:tcPr>
          <w:p>
            <w:pPr>
              <w:spacing w:after="0"/>
              <w:rPr>
                <w:sz w:val="24"/>
                <w:szCs w:val="24"/>
                <w:color w:val="auto"/>
              </w:rPr>
            </w:pPr>
          </w:p>
        </w:tc>
        <w:tc>
          <w:tcPr>
            <w:tcW w:w="260" w:type="dxa"/>
            <w:vAlign w:val="bottom"/>
            <w:tcBorders>
              <w:right w:val="single" w:sz="8" w:color="B2B3B6"/>
            </w:tcBorders>
            <w:shd w:val="clear" w:color="auto" w:fill="F2F3F2"/>
          </w:tcPr>
          <w:p>
            <w:pPr>
              <w:spacing w:after="0"/>
              <w:rPr>
                <w:sz w:val="24"/>
                <w:szCs w:val="24"/>
                <w:color w:val="auto"/>
              </w:rPr>
            </w:pPr>
          </w:p>
        </w:tc>
        <w:tc>
          <w:tcPr>
            <w:tcW w:w="420" w:type="dxa"/>
            <w:vAlign w:val="bottom"/>
            <w:shd w:val="clear" w:color="auto" w:fill="F2F3F2"/>
          </w:tcPr>
          <w:p>
            <w:pPr>
              <w:spacing w:after="0"/>
              <w:rPr>
                <w:sz w:val="24"/>
                <w:szCs w:val="24"/>
                <w:color w:val="auto"/>
              </w:rPr>
            </w:pPr>
          </w:p>
        </w:tc>
        <w:tc>
          <w:tcPr>
            <w:tcW w:w="1860" w:type="dxa"/>
            <w:vAlign w:val="bottom"/>
            <w:gridSpan w:val="2"/>
            <w:vMerge w:val="continue"/>
            <w:shd w:val="clear" w:color="auto" w:fill="F2F3F2"/>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820" w:type="dxa"/>
            <w:vAlign w:val="bottom"/>
          </w:tcPr>
          <w:p>
            <w:pPr>
              <w:spacing w:after="0"/>
              <w:rPr>
                <w:sz w:val="24"/>
                <w:szCs w:val="24"/>
                <w:color w:val="auto"/>
              </w:rPr>
            </w:pPr>
          </w:p>
        </w:tc>
        <w:tc>
          <w:tcPr>
            <w:tcW w:w="100" w:type="dxa"/>
            <w:vAlign w:val="bottom"/>
            <w:shd w:val="clear" w:color="auto" w:fill="F2F3F2"/>
          </w:tcPr>
          <w:p>
            <w:pPr>
              <w:spacing w:after="0"/>
              <w:rPr>
                <w:sz w:val="24"/>
                <w:szCs w:val="24"/>
                <w:color w:val="auto"/>
              </w:rPr>
            </w:pPr>
          </w:p>
        </w:tc>
        <w:tc>
          <w:tcPr>
            <w:tcW w:w="1700" w:type="dxa"/>
            <w:vAlign w:val="bottom"/>
            <w:gridSpan w:val="2"/>
            <w:shd w:val="clear" w:color="auto" w:fill="F2F3F2"/>
          </w:tcPr>
          <w:p>
            <w:pPr>
              <w:ind w:left="360"/>
              <w:spacing w:after="0"/>
              <w:rPr>
                <w:sz w:val="20"/>
                <w:szCs w:val="20"/>
                <w:color w:val="auto"/>
              </w:rPr>
            </w:pPr>
            <w:r>
              <w:rPr>
                <w:rFonts w:ascii="Arial" w:cs="Arial" w:eastAsia="Arial" w:hAnsi="Arial"/>
                <w:sz w:val="18"/>
                <w:szCs w:val="18"/>
                <w:b w:val="1"/>
                <w:bCs w:val="1"/>
                <w:color w:val="auto"/>
              </w:rPr>
              <w:t>Clients Served</w:t>
            </w:r>
          </w:p>
        </w:tc>
        <w:tc>
          <w:tcPr>
            <w:tcW w:w="360" w:type="dxa"/>
            <w:vAlign w:val="bottom"/>
            <w:shd w:val="clear" w:color="auto" w:fill="F2F3F2"/>
          </w:tcPr>
          <w:p>
            <w:pPr>
              <w:spacing w:after="0"/>
              <w:rPr>
                <w:sz w:val="24"/>
                <w:szCs w:val="24"/>
                <w:color w:val="auto"/>
              </w:rPr>
            </w:pPr>
          </w:p>
        </w:tc>
        <w:tc>
          <w:tcPr>
            <w:tcW w:w="120" w:type="dxa"/>
            <w:vAlign w:val="bottom"/>
            <w:tcBorders>
              <w:right w:val="single" w:sz="8" w:color="B2B3B6"/>
            </w:tcBorders>
            <w:shd w:val="clear" w:color="auto" w:fill="F2F3F2"/>
          </w:tcPr>
          <w:p>
            <w:pPr>
              <w:spacing w:after="0"/>
              <w:rPr>
                <w:sz w:val="24"/>
                <w:szCs w:val="24"/>
                <w:color w:val="auto"/>
              </w:rPr>
            </w:pPr>
          </w:p>
        </w:tc>
        <w:tc>
          <w:tcPr>
            <w:tcW w:w="460" w:type="dxa"/>
            <w:vAlign w:val="bottom"/>
            <w:shd w:val="clear" w:color="auto" w:fill="F2F3F2"/>
          </w:tcPr>
          <w:p>
            <w:pPr>
              <w:spacing w:after="0"/>
              <w:rPr>
                <w:sz w:val="24"/>
                <w:szCs w:val="24"/>
                <w:color w:val="auto"/>
              </w:rPr>
            </w:pPr>
          </w:p>
        </w:tc>
        <w:tc>
          <w:tcPr>
            <w:tcW w:w="1780" w:type="dxa"/>
            <w:vAlign w:val="bottom"/>
            <w:gridSpan w:val="2"/>
            <w:shd w:val="clear" w:color="auto" w:fill="F2F3F2"/>
          </w:tcPr>
          <w:p>
            <w:pPr>
              <w:ind w:left="200"/>
              <w:spacing w:after="0"/>
              <w:rPr>
                <w:sz w:val="20"/>
                <w:szCs w:val="20"/>
                <w:color w:val="auto"/>
              </w:rPr>
            </w:pPr>
            <w:r>
              <w:rPr>
                <w:rFonts w:ascii="Arial" w:cs="Arial" w:eastAsia="Arial" w:hAnsi="Arial"/>
                <w:sz w:val="18"/>
                <w:szCs w:val="18"/>
                <w:b w:val="1"/>
                <w:bCs w:val="1"/>
                <w:color w:val="auto"/>
              </w:rPr>
              <w:t>Full-Time</w:t>
            </w:r>
          </w:p>
        </w:tc>
        <w:tc>
          <w:tcPr>
            <w:tcW w:w="100" w:type="dxa"/>
            <w:vAlign w:val="bottom"/>
            <w:tcBorders>
              <w:left w:val="single" w:sz="8" w:color="B2B3B6"/>
            </w:tcBorders>
            <w:shd w:val="clear" w:color="auto" w:fill="F2F3F2"/>
          </w:tcPr>
          <w:p>
            <w:pPr>
              <w:spacing w:after="0"/>
              <w:rPr>
                <w:sz w:val="24"/>
                <w:szCs w:val="24"/>
                <w:color w:val="auto"/>
              </w:rPr>
            </w:pPr>
          </w:p>
        </w:tc>
        <w:tc>
          <w:tcPr>
            <w:tcW w:w="1920" w:type="dxa"/>
            <w:vAlign w:val="bottom"/>
            <w:gridSpan w:val="2"/>
            <w:shd w:val="clear" w:color="auto" w:fill="F2F3F2"/>
          </w:tcPr>
          <w:p>
            <w:pPr>
              <w:jc w:val="right"/>
              <w:ind w:right="424"/>
              <w:spacing w:after="0"/>
              <w:rPr>
                <w:sz w:val="20"/>
                <w:szCs w:val="20"/>
                <w:color w:val="auto"/>
              </w:rPr>
            </w:pPr>
            <w:r>
              <w:rPr>
                <w:rFonts w:ascii="Arial" w:cs="Arial" w:eastAsia="Arial" w:hAnsi="Arial"/>
                <w:sz w:val="18"/>
                <w:szCs w:val="18"/>
                <w:b w:val="1"/>
                <w:bCs w:val="1"/>
                <w:color w:val="auto"/>
              </w:rPr>
              <w:t>Employee</w:t>
            </w:r>
          </w:p>
        </w:tc>
        <w:tc>
          <w:tcPr>
            <w:tcW w:w="260" w:type="dxa"/>
            <w:vAlign w:val="bottom"/>
            <w:tcBorders>
              <w:right w:val="single" w:sz="8" w:color="B2B3B6"/>
            </w:tcBorders>
            <w:shd w:val="clear" w:color="auto" w:fill="F2F3F2"/>
          </w:tcPr>
          <w:p>
            <w:pPr>
              <w:spacing w:after="0"/>
              <w:rPr>
                <w:sz w:val="24"/>
                <w:szCs w:val="24"/>
                <w:color w:val="auto"/>
              </w:rPr>
            </w:pPr>
          </w:p>
        </w:tc>
        <w:tc>
          <w:tcPr>
            <w:tcW w:w="2280" w:type="dxa"/>
            <w:vAlign w:val="bottom"/>
            <w:gridSpan w:val="3"/>
            <w:shd w:val="clear" w:color="auto" w:fill="F2F3F2"/>
          </w:tcPr>
          <w:p>
            <w:pPr>
              <w:jc w:val="center"/>
              <w:ind w:right="177"/>
              <w:spacing w:after="0"/>
              <w:rPr>
                <w:sz w:val="20"/>
                <w:szCs w:val="20"/>
                <w:color w:val="auto"/>
              </w:rPr>
            </w:pPr>
            <w:r>
              <w:rPr>
                <w:rFonts w:ascii="Arial" w:cs="Arial" w:eastAsia="Arial" w:hAnsi="Arial"/>
                <w:sz w:val="18"/>
                <w:szCs w:val="18"/>
                <w:b w:val="1"/>
                <w:bCs w:val="1"/>
                <w:color w:val="auto"/>
                <w:w w:val="98"/>
              </w:rPr>
              <w:t>Hours Volunteered in</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820" w:type="dxa"/>
            <w:vAlign w:val="bottom"/>
          </w:tcPr>
          <w:p>
            <w:pPr>
              <w:spacing w:after="0"/>
              <w:rPr>
                <w:sz w:val="21"/>
                <w:szCs w:val="21"/>
                <w:color w:val="auto"/>
              </w:rPr>
            </w:pPr>
          </w:p>
        </w:tc>
        <w:tc>
          <w:tcPr>
            <w:tcW w:w="100" w:type="dxa"/>
            <w:vAlign w:val="bottom"/>
            <w:shd w:val="clear" w:color="auto" w:fill="F2F3F2"/>
          </w:tcPr>
          <w:p>
            <w:pPr>
              <w:spacing w:after="0"/>
              <w:rPr>
                <w:sz w:val="21"/>
                <w:szCs w:val="21"/>
                <w:color w:val="auto"/>
              </w:rPr>
            </w:pPr>
          </w:p>
        </w:tc>
        <w:tc>
          <w:tcPr>
            <w:tcW w:w="900" w:type="dxa"/>
            <w:vAlign w:val="bottom"/>
            <w:shd w:val="clear" w:color="auto" w:fill="F2F3F2"/>
          </w:tcPr>
          <w:p>
            <w:pPr>
              <w:spacing w:after="0"/>
              <w:rPr>
                <w:sz w:val="21"/>
                <w:szCs w:val="21"/>
                <w:color w:val="auto"/>
              </w:rPr>
            </w:pPr>
          </w:p>
        </w:tc>
        <w:tc>
          <w:tcPr>
            <w:tcW w:w="800" w:type="dxa"/>
            <w:vAlign w:val="bottom"/>
            <w:shd w:val="clear" w:color="auto" w:fill="F2F3F2"/>
          </w:tcPr>
          <w:p>
            <w:pPr>
              <w:spacing w:after="0"/>
              <w:rPr>
                <w:sz w:val="21"/>
                <w:szCs w:val="21"/>
                <w:color w:val="auto"/>
              </w:rPr>
            </w:pPr>
          </w:p>
        </w:tc>
        <w:tc>
          <w:tcPr>
            <w:tcW w:w="360" w:type="dxa"/>
            <w:vAlign w:val="bottom"/>
            <w:shd w:val="clear" w:color="auto" w:fill="F2F3F2"/>
          </w:tcPr>
          <w:p>
            <w:pPr>
              <w:spacing w:after="0"/>
              <w:rPr>
                <w:sz w:val="21"/>
                <w:szCs w:val="21"/>
                <w:color w:val="auto"/>
              </w:rPr>
            </w:pPr>
          </w:p>
        </w:tc>
        <w:tc>
          <w:tcPr>
            <w:tcW w:w="120" w:type="dxa"/>
            <w:vAlign w:val="bottom"/>
            <w:tcBorders>
              <w:right w:val="single" w:sz="8" w:color="B2B3B6"/>
            </w:tcBorders>
            <w:shd w:val="clear" w:color="auto" w:fill="F2F3F2"/>
          </w:tcPr>
          <w:p>
            <w:pPr>
              <w:spacing w:after="0"/>
              <w:rPr>
                <w:sz w:val="21"/>
                <w:szCs w:val="21"/>
                <w:color w:val="auto"/>
              </w:rPr>
            </w:pPr>
          </w:p>
        </w:tc>
        <w:tc>
          <w:tcPr>
            <w:tcW w:w="460" w:type="dxa"/>
            <w:vAlign w:val="bottom"/>
            <w:shd w:val="clear" w:color="auto" w:fill="F2F3F2"/>
          </w:tcPr>
          <w:p>
            <w:pPr>
              <w:spacing w:after="0"/>
              <w:rPr>
                <w:sz w:val="21"/>
                <w:szCs w:val="21"/>
                <w:color w:val="auto"/>
              </w:rPr>
            </w:pPr>
          </w:p>
        </w:tc>
        <w:tc>
          <w:tcPr>
            <w:tcW w:w="1780" w:type="dxa"/>
            <w:vAlign w:val="bottom"/>
            <w:gridSpan w:val="2"/>
            <w:shd w:val="clear" w:color="auto" w:fill="F2F3F2"/>
          </w:tcPr>
          <w:p>
            <w:pPr>
              <w:ind w:left="140"/>
              <w:spacing w:after="0"/>
              <w:rPr>
                <w:sz w:val="20"/>
                <w:szCs w:val="20"/>
                <w:color w:val="auto"/>
              </w:rPr>
            </w:pPr>
            <w:r>
              <w:rPr>
                <w:rFonts w:ascii="Arial" w:cs="Arial" w:eastAsia="Arial" w:hAnsi="Arial"/>
                <w:sz w:val="18"/>
                <w:szCs w:val="18"/>
                <w:b w:val="1"/>
                <w:bCs w:val="1"/>
                <w:color w:val="auto"/>
              </w:rPr>
              <w:t>Employees</w:t>
            </w:r>
          </w:p>
        </w:tc>
        <w:tc>
          <w:tcPr>
            <w:tcW w:w="100" w:type="dxa"/>
            <w:vAlign w:val="bottom"/>
            <w:tcBorders>
              <w:left w:val="single" w:sz="8" w:color="B2B3B6"/>
            </w:tcBorders>
            <w:shd w:val="clear" w:color="auto" w:fill="F2F3F2"/>
          </w:tcPr>
          <w:p>
            <w:pPr>
              <w:spacing w:after="0"/>
              <w:rPr>
                <w:sz w:val="21"/>
                <w:szCs w:val="21"/>
                <w:color w:val="auto"/>
              </w:rPr>
            </w:pPr>
          </w:p>
        </w:tc>
        <w:tc>
          <w:tcPr>
            <w:tcW w:w="1920" w:type="dxa"/>
            <w:vAlign w:val="bottom"/>
            <w:gridSpan w:val="2"/>
            <w:shd w:val="clear" w:color="auto" w:fill="F2F3F2"/>
          </w:tcPr>
          <w:p>
            <w:pPr>
              <w:ind w:left="120"/>
              <w:spacing w:after="0"/>
              <w:rPr>
                <w:sz w:val="20"/>
                <w:szCs w:val="20"/>
                <w:color w:val="auto"/>
              </w:rPr>
            </w:pPr>
            <w:r>
              <w:rPr>
                <w:rFonts w:ascii="Arial" w:cs="Arial" w:eastAsia="Arial" w:hAnsi="Arial"/>
                <w:sz w:val="18"/>
                <w:szCs w:val="18"/>
                <w:b w:val="1"/>
                <w:bCs w:val="1"/>
                <w:color w:val="auto"/>
              </w:rPr>
              <w:t>Engagement Score</w:t>
            </w:r>
          </w:p>
        </w:tc>
        <w:tc>
          <w:tcPr>
            <w:tcW w:w="260" w:type="dxa"/>
            <w:vAlign w:val="bottom"/>
            <w:tcBorders>
              <w:right w:val="single" w:sz="8" w:color="B2B3B6"/>
            </w:tcBorders>
            <w:shd w:val="clear" w:color="auto" w:fill="F2F3F2"/>
          </w:tcPr>
          <w:p>
            <w:pPr>
              <w:spacing w:after="0"/>
              <w:rPr>
                <w:sz w:val="21"/>
                <w:szCs w:val="21"/>
                <w:color w:val="auto"/>
              </w:rPr>
            </w:pPr>
          </w:p>
        </w:tc>
        <w:tc>
          <w:tcPr>
            <w:tcW w:w="2280" w:type="dxa"/>
            <w:vAlign w:val="bottom"/>
            <w:gridSpan w:val="3"/>
            <w:shd w:val="clear" w:color="auto" w:fill="F2F3F2"/>
          </w:tcPr>
          <w:p>
            <w:pPr>
              <w:jc w:val="center"/>
              <w:ind w:right="137"/>
              <w:spacing w:after="0"/>
              <w:rPr>
                <w:sz w:val="20"/>
                <w:szCs w:val="20"/>
                <w:color w:val="auto"/>
              </w:rPr>
            </w:pPr>
            <w:r>
              <w:rPr>
                <w:rFonts w:ascii="Arial" w:cs="Arial" w:eastAsia="Arial" w:hAnsi="Arial"/>
                <w:sz w:val="18"/>
                <w:szCs w:val="18"/>
                <w:b w:val="1"/>
                <w:bCs w:val="1"/>
                <w:color w:val="auto"/>
              </w:rPr>
              <w:t>Our Communities</w:t>
            </w: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820" w:type="dxa"/>
            <w:vAlign w:val="bottom"/>
          </w:tcPr>
          <w:p>
            <w:pPr>
              <w:spacing w:after="0"/>
              <w:rPr>
                <w:sz w:val="24"/>
                <w:szCs w:val="24"/>
                <w:color w:val="auto"/>
              </w:rPr>
            </w:pPr>
          </w:p>
        </w:tc>
        <w:tc>
          <w:tcPr>
            <w:tcW w:w="100" w:type="dxa"/>
            <w:vAlign w:val="bottom"/>
            <w:shd w:val="clear" w:color="auto" w:fill="F2F3F2"/>
          </w:tcPr>
          <w:p>
            <w:pPr>
              <w:spacing w:after="0"/>
              <w:rPr>
                <w:sz w:val="24"/>
                <w:szCs w:val="24"/>
                <w:color w:val="auto"/>
              </w:rPr>
            </w:pPr>
          </w:p>
        </w:tc>
        <w:tc>
          <w:tcPr>
            <w:tcW w:w="2060" w:type="dxa"/>
            <w:vAlign w:val="bottom"/>
            <w:gridSpan w:val="3"/>
            <w:vMerge w:val="restart"/>
            <w:shd w:val="clear" w:color="auto" w:fill="F2F3F2"/>
          </w:tcPr>
          <w:p>
            <w:pPr>
              <w:ind w:left="40"/>
              <w:spacing w:after="0"/>
              <w:rPr>
                <w:sz w:val="20"/>
                <w:szCs w:val="20"/>
                <w:color w:val="auto"/>
              </w:rPr>
            </w:pPr>
            <w:r>
              <w:rPr>
                <w:rFonts w:ascii="Arial" w:cs="Arial" w:eastAsia="Arial" w:hAnsi="Arial"/>
                <w:sz w:val="13"/>
                <w:szCs w:val="13"/>
                <w:i w:val="1"/>
                <w:iCs w:val="1"/>
                <w:color w:val="auto"/>
                <w:w w:val="95"/>
              </w:rPr>
              <w:t>Note: Numbers presented above are</w:t>
            </w:r>
          </w:p>
        </w:tc>
        <w:tc>
          <w:tcPr>
            <w:tcW w:w="120" w:type="dxa"/>
            <w:vAlign w:val="bottom"/>
            <w:tcBorders>
              <w:right w:val="single" w:sz="8" w:color="B2B3B6"/>
            </w:tcBorders>
            <w:shd w:val="clear" w:color="auto" w:fill="F2F3F2"/>
          </w:tcPr>
          <w:p>
            <w:pPr>
              <w:spacing w:after="0"/>
              <w:rPr>
                <w:sz w:val="24"/>
                <w:szCs w:val="24"/>
                <w:color w:val="auto"/>
              </w:rPr>
            </w:pPr>
          </w:p>
        </w:tc>
        <w:tc>
          <w:tcPr>
            <w:tcW w:w="460" w:type="dxa"/>
            <w:vAlign w:val="bottom"/>
            <w:shd w:val="clear" w:color="auto" w:fill="F2F3F2"/>
          </w:tcPr>
          <w:p>
            <w:pPr>
              <w:spacing w:after="0"/>
              <w:rPr>
                <w:sz w:val="24"/>
                <w:szCs w:val="24"/>
                <w:color w:val="auto"/>
              </w:rPr>
            </w:pPr>
          </w:p>
        </w:tc>
        <w:tc>
          <w:tcPr>
            <w:tcW w:w="940" w:type="dxa"/>
            <w:vAlign w:val="bottom"/>
            <w:shd w:val="clear" w:color="auto" w:fill="F2F3F2"/>
          </w:tcPr>
          <w:p>
            <w:pPr>
              <w:spacing w:after="0"/>
              <w:rPr>
                <w:sz w:val="24"/>
                <w:szCs w:val="24"/>
                <w:color w:val="auto"/>
              </w:rPr>
            </w:pPr>
          </w:p>
        </w:tc>
        <w:tc>
          <w:tcPr>
            <w:tcW w:w="840" w:type="dxa"/>
            <w:vAlign w:val="bottom"/>
            <w:shd w:val="clear" w:color="auto" w:fill="F2F3F2"/>
          </w:tcPr>
          <w:p>
            <w:pPr>
              <w:spacing w:after="0"/>
              <w:rPr>
                <w:sz w:val="24"/>
                <w:szCs w:val="24"/>
                <w:color w:val="auto"/>
              </w:rPr>
            </w:pPr>
          </w:p>
        </w:tc>
        <w:tc>
          <w:tcPr>
            <w:tcW w:w="100" w:type="dxa"/>
            <w:vAlign w:val="bottom"/>
            <w:tcBorders>
              <w:left w:val="single" w:sz="8" w:color="B2B3B6"/>
            </w:tcBorders>
            <w:shd w:val="clear" w:color="auto" w:fill="F2F3F2"/>
          </w:tcPr>
          <w:p>
            <w:pPr>
              <w:spacing w:after="0"/>
              <w:rPr>
                <w:sz w:val="24"/>
                <w:szCs w:val="24"/>
                <w:color w:val="auto"/>
              </w:rPr>
            </w:pPr>
          </w:p>
        </w:tc>
        <w:tc>
          <w:tcPr>
            <w:tcW w:w="1920" w:type="dxa"/>
            <w:vAlign w:val="bottom"/>
            <w:gridSpan w:val="2"/>
            <w:shd w:val="clear" w:color="auto" w:fill="F2F3F2"/>
          </w:tcPr>
          <w:p>
            <w:pPr>
              <w:ind w:left="180"/>
              <w:spacing w:after="0"/>
              <w:rPr>
                <w:sz w:val="20"/>
                <w:szCs w:val="20"/>
                <w:color w:val="auto"/>
              </w:rPr>
            </w:pPr>
            <w:r>
              <w:rPr>
                <w:rFonts w:ascii="Arial" w:cs="Arial" w:eastAsia="Arial" w:hAnsi="Arial"/>
                <w:sz w:val="14"/>
                <w:szCs w:val="14"/>
                <w:color w:val="auto"/>
              </w:rPr>
              <w:t>(Global benchmark: 74)</w:t>
            </w:r>
          </w:p>
        </w:tc>
        <w:tc>
          <w:tcPr>
            <w:tcW w:w="260" w:type="dxa"/>
            <w:vAlign w:val="bottom"/>
            <w:tcBorders>
              <w:right w:val="single" w:sz="8" w:color="B2B3B6"/>
            </w:tcBorders>
            <w:shd w:val="clear" w:color="auto" w:fill="F2F3F2"/>
          </w:tcPr>
          <w:p>
            <w:pPr>
              <w:spacing w:after="0"/>
              <w:rPr>
                <w:sz w:val="24"/>
                <w:szCs w:val="24"/>
                <w:color w:val="auto"/>
              </w:rPr>
            </w:pPr>
          </w:p>
        </w:tc>
        <w:tc>
          <w:tcPr>
            <w:tcW w:w="420" w:type="dxa"/>
            <w:vAlign w:val="bottom"/>
            <w:shd w:val="clear" w:color="auto" w:fill="F2F3F2"/>
          </w:tcPr>
          <w:p>
            <w:pPr>
              <w:spacing w:after="0"/>
              <w:rPr>
                <w:sz w:val="24"/>
                <w:szCs w:val="24"/>
                <w:color w:val="auto"/>
              </w:rPr>
            </w:pPr>
          </w:p>
        </w:tc>
        <w:tc>
          <w:tcPr>
            <w:tcW w:w="1040" w:type="dxa"/>
            <w:vAlign w:val="bottom"/>
            <w:shd w:val="clear" w:color="auto" w:fill="F2F3F2"/>
          </w:tcPr>
          <w:p>
            <w:pPr>
              <w:spacing w:after="0"/>
              <w:rPr>
                <w:sz w:val="24"/>
                <w:szCs w:val="24"/>
                <w:color w:val="auto"/>
              </w:rPr>
            </w:pPr>
          </w:p>
        </w:tc>
        <w:tc>
          <w:tcPr>
            <w:tcW w:w="820" w:type="dxa"/>
            <w:vAlign w:val="bottom"/>
            <w:shd w:val="clear" w:color="auto" w:fill="F2F3F2"/>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820" w:type="dxa"/>
            <w:vAlign w:val="bottom"/>
          </w:tcPr>
          <w:p>
            <w:pPr>
              <w:spacing w:after="0"/>
              <w:rPr>
                <w:sz w:val="14"/>
                <w:szCs w:val="14"/>
                <w:color w:val="auto"/>
              </w:rPr>
            </w:pPr>
          </w:p>
        </w:tc>
        <w:tc>
          <w:tcPr>
            <w:tcW w:w="100" w:type="dxa"/>
            <w:vAlign w:val="bottom"/>
            <w:shd w:val="clear" w:color="auto" w:fill="F2F3F2"/>
          </w:tcPr>
          <w:p>
            <w:pPr>
              <w:spacing w:after="0"/>
              <w:rPr>
                <w:sz w:val="14"/>
                <w:szCs w:val="14"/>
                <w:color w:val="auto"/>
              </w:rPr>
            </w:pPr>
          </w:p>
        </w:tc>
        <w:tc>
          <w:tcPr>
            <w:tcW w:w="2060" w:type="dxa"/>
            <w:vAlign w:val="bottom"/>
            <w:gridSpan w:val="3"/>
            <w:vMerge w:val="continue"/>
            <w:shd w:val="clear" w:color="auto" w:fill="F2F3F2"/>
          </w:tcPr>
          <w:p>
            <w:pPr>
              <w:spacing w:after="0"/>
              <w:rPr>
                <w:sz w:val="14"/>
                <w:szCs w:val="14"/>
                <w:color w:val="auto"/>
              </w:rPr>
            </w:pPr>
          </w:p>
        </w:tc>
        <w:tc>
          <w:tcPr>
            <w:tcW w:w="1520" w:type="dxa"/>
            <w:vAlign w:val="bottom"/>
            <w:gridSpan w:val="3"/>
            <w:shd w:val="clear" w:color="auto" w:fill="F2F3F2"/>
          </w:tcPr>
          <w:p>
            <w:pPr>
              <w:ind w:left="60"/>
              <w:spacing w:after="0"/>
              <w:rPr>
                <w:sz w:val="20"/>
                <w:szCs w:val="20"/>
                <w:color w:val="auto"/>
              </w:rPr>
            </w:pPr>
            <w:r>
              <w:rPr>
                <w:rFonts w:ascii="Arial" w:cs="Arial" w:eastAsia="Arial" w:hAnsi="Arial"/>
                <w:sz w:val="13"/>
                <w:szCs w:val="13"/>
                <w:i w:val="1"/>
                <w:iCs w:val="1"/>
                <w:color w:val="auto"/>
                <w:w w:val="98"/>
              </w:rPr>
              <w:t>as of December 31, 2024</w:t>
            </w:r>
          </w:p>
        </w:tc>
        <w:tc>
          <w:tcPr>
            <w:tcW w:w="840" w:type="dxa"/>
            <w:vAlign w:val="bottom"/>
            <w:shd w:val="clear" w:color="auto" w:fill="F2F3F2"/>
          </w:tcPr>
          <w:p>
            <w:pPr>
              <w:spacing w:after="0"/>
              <w:rPr>
                <w:sz w:val="14"/>
                <w:szCs w:val="14"/>
                <w:color w:val="auto"/>
              </w:rPr>
            </w:pPr>
          </w:p>
        </w:tc>
        <w:tc>
          <w:tcPr>
            <w:tcW w:w="100" w:type="dxa"/>
            <w:vAlign w:val="bottom"/>
            <w:tcBorders>
              <w:left w:val="single" w:sz="8" w:color="F2F3F2"/>
            </w:tcBorders>
            <w:shd w:val="clear" w:color="auto" w:fill="F2F3F2"/>
          </w:tcPr>
          <w:p>
            <w:pPr>
              <w:spacing w:after="0"/>
              <w:rPr>
                <w:sz w:val="14"/>
                <w:szCs w:val="14"/>
                <w:color w:val="auto"/>
              </w:rPr>
            </w:pPr>
          </w:p>
        </w:tc>
        <w:tc>
          <w:tcPr>
            <w:tcW w:w="840" w:type="dxa"/>
            <w:vAlign w:val="bottom"/>
            <w:shd w:val="clear" w:color="auto" w:fill="F2F3F2"/>
          </w:tcPr>
          <w:p>
            <w:pPr>
              <w:spacing w:after="0"/>
              <w:rPr>
                <w:sz w:val="14"/>
                <w:szCs w:val="14"/>
                <w:color w:val="auto"/>
              </w:rPr>
            </w:pPr>
          </w:p>
        </w:tc>
        <w:tc>
          <w:tcPr>
            <w:tcW w:w="1080" w:type="dxa"/>
            <w:vAlign w:val="bottom"/>
            <w:shd w:val="clear" w:color="auto" w:fill="F2F3F2"/>
          </w:tcPr>
          <w:p>
            <w:pPr>
              <w:spacing w:after="0"/>
              <w:rPr>
                <w:sz w:val="14"/>
                <w:szCs w:val="14"/>
                <w:color w:val="auto"/>
              </w:rPr>
            </w:pPr>
          </w:p>
        </w:tc>
        <w:tc>
          <w:tcPr>
            <w:tcW w:w="260" w:type="dxa"/>
            <w:vAlign w:val="bottom"/>
            <w:tcBorders>
              <w:right w:val="single" w:sz="8" w:color="F2F3F2"/>
            </w:tcBorders>
            <w:shd w:val="clear" w:color="auto" w:fill="F2F3F2"/>
          </w:tcPr>
          <w:p>
            <w:pPr>
              <w:spacing w:after="0"/>
              <w:rPr>
                <w:sz w:val="14"/>
                <w:szCs w:val="14"/>
                <w:color w:val="auto"/>
              </w:rPr>
            </w:pPr>
          </w:p>
        </w:tc>
        <w:tc>
          <w:tcPr>
            <w:tcW w:w="420" w:type="dxa"/>
            <w:vAlign w:val="bottom"/>
            <w:shd w:val="clear" w:color="auto" w:fill="F2F3F2"/>
          </w:tcPr>
          <w:p>
            <w:pPr>
              <w:spacing w:after="0"/>
              <w:rPr>
                <w:sz w:val="14"/>
                <w:szCs w:val="14"/>
                <w:color w:val="auto"/>
              </w:rPr>
            </w:pPr>
          </w:p>
        </w:tc>
        <w:tc>
          <w:tcPr>
            <w:tcW w:w="1040" w:type="dxa"/>
            <w:vAlign w:val="bottom"/>
            <w:shd w:val="clear" w:color="auto" w:fill="F2F3F2"/>
          </w:tcPr>
          <w:p>
            <w:pPr>
              <w:spacing w:after="0"/>
              <w:rPr>
                <w:sz w:val="14"/>
                <w:szCs w:val="14"/>
                <w:color w:val="auto"/>
              </w:rPr>
            </w:pPr>
          </w:p>
        </w:tc>
        <w:tc>
          <w:tcPr>
            <w:tcW w:w="820" w:type="dxa"/>
            <w:vAlign w:val="bottom"/>
            <w:shd w:val="clear" w:color="auto" w:fill="F2F3F2"/>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820" w:type="dxa"/>
            <w:vAlign w:val="bottom"/>
          </w:tcPr>
          <w:p>
            <w:pPr>
              <w:spacing w:after="0"/>
              <w:rPr>
                <w:sz w:val="15"/>
                <w:szCs w:val="15"/>
                <w:color w:val="auto"/>
              </w:rPr>
            </w:pPr>
          </w:p>
        </w:tc>
        <w:tc>
          <w:tcPr>
            <w:tcW w:w="100" w:type="dxa"/>
            <w:vAlign w:val="bottom"/>
            <w:shd w:val="clear" w:color="auto" w:fill="F2F3F2"/>
          </w:tcPr>
          <w:p>
            <w:pPr>
              <w:spacing w:after="0"/>
              <w:rPr>
                <w:sz w:val="15"/>
                <w:szCs w:val="15"/>
                <w:color w:val="auto"/>
              </w:rPr>
            </w:pPr>
          </w:p>
        </w:tc>
        <w:tc>
          <w:tcPr>
            <w:tcW w:w="1700" w:type="dxa"/>
            <w:vAlign w:val="bottom"/>
            <w:gridSpan w:val="2"/>
            <w:shd w:val="clear" w:color="auto" w:fill="F2F3F2"/>
          </w:tcPr>
          <w:p>
            <w:pPr>
              <w:spacing w:after="0"/>
              <w:rPr>
                <w:sz w:val="15"/>
                <w:szCs w:val="15"/>
                <w:color w:val="auto"/>
              </w:rPr>
            </w:pPr>
          </w:p>
        </w:tc>
        <w:tc>
          <w:tcPr>
            <w:tcW w:w="360" w:type="dxa"/>
            <w:vAlign w:val="bottom"/>
            <w:shd w:val="clear" w:color="auto" w:fill="F2F3F2"/>
          </w:tcPr>
          <w:p>
            <w:pPr>
              <w:spacing w:after="0"/>
              <w:rPr>
                <w:sz w:val="15"/>
                <w:szCs w:val="15"/>
                <w:color w:val="auto"/>
              </w:rPr>
            </w:pPr>
          </w:p>
        </w:tc>
        <w:tc>
          <w:tcPr>
            <w:tcW w:w="120" w:type="dxa"/>
            <w:vAlign w:val="bottom"/>
            <w:tcBorders>
              <w:right w:val="single" w:sz="8" w:color="F2F3F2"/>
            </w:tcBorders>
            <w:shd w:val="clear" w:color="auto" w:fill="F2F3F2"/>
          </w:tcPr>
          <w:p>
            <w:pPr>
              <w:spacing w:after="0"/>
              <w:rPr>
                <w:sz w:val="15"/>
                <w:szCs w:val="15"/>
                <w:color w:val="auto"/>
              </w:rPr>
            </w:pPr>
          </w:p>
        </w:tc>
        <w:tc>
          <w:tcPr>
            <w:tcW w:w="460" w:type="dxa"/>
            <w:vAlign w:val="bottom"/>
            <w:shd w:val="clear" w:color="auto" w:fill="F2F3F2"/>
          </w:tcPr>
          <w:p>
            <w:pPr>
              <w:spacing w:after="0"/>
              <w:rPr>
                <w:sz w:val="15"/>
                <w:szCs w:val="15"/>
                <w:color w:val="auto"/>
              </w:rPr>
            </w:pPr>
          </w:p>
        </w:tc>
        <w:tc>
          <w:tcPr>
            <w:tcW w:w="940" w:type="dxa"/>
            <w:vAlign w:val="bottom"/>
            <w:shd w:val="clear" w:color="auto" w:fill="F2F3F2"/>
          </w:tcPr>
          <w:p>
            <w:pPr>
              <w:spacing w:after="0"/>
              <w:rPr>
                <w:sz w:val="15"/>
                <w:szCs w:val="15"/>
                <w:color w:val="auto"/>
              </w:rPr>
            </w:pPr>
          </w:p>
        </w:tc>
        <w:tc>
          <w:tcPr>
            <w:tcW w:w="840" w:type="dxa"/>
            <w:vAlign w:val="bottom"/>
            <w:shd w:val="clear" w:color="auto" w:fill="F2F3F2"/>
          </w:tcPr>
          <w:p>
            <w:pPr>
              <w:spacing w:after="0"/>
              <w:rPr>
                <w:sz w:val="15"/>
                <w:szCs w:val="15"/>
                <w:color w:val="auto"/>
              </w:rPr>
            </w:pPr>
          </w:p>
        </w:tc>
        <w:tc>
          <w:tcPr>
            <w:tcW w:w="100" w:type="dxa"/>
            <w:vAlign w:val="bottom"/>
            <w:tcBorders>
              <w:left w:val="single" w:sz="8" w:color="F2F3F2"/>
            </w:tcBorders>
            <w:shd w:val="clear" w:color="auto" w:fill="F2F3F2"/>
          </w:tcPr>
          <w:p>
            <w:pPr>
              <w:spacing w:after="0"/>
              <w:rPr>
                <w:sz w:val="15"/>
                <w:szCs w:val="15"/>
                <w:color w:val="auto"/>
              </w:rPr>
            </w:pPr>
          </w:p>
        </w:tc>
        <w:tc>
          <w:tcPr>
            <w:tcW w:w="840" w:type="dxa"/>
            <w:vAlign w:val="bottom"/>
            <w:shd w:val="clear" w:color="auto" w:fill="F2F3F2"/>
          </w:tcPr>
          <w:p>
            <w:pPr>
              <w:spacing w:after="0"/>
              <w:rPr>
                <w:sz w:val="15"/>
                <w:szCs w:val="15"/>
                <w:color w:val="auto"/>
              </w:rPr>
            </w:pPr>
          </w:p>
        </w:tc>
        <w:tc>
          <w:tcPr>
            <w:tcW w:w="1080" w:type="dxa"/>
            <w:vAlign w:val="bottom"/>
            <w:shd w:val="clear" w:color="auto" w:fill="F2F3F2"/>
          </w:tcPr>
          <w:p>
            <w:pPr>
              <w:spacing w:after="0"/>
              <w:rPr>
                <w:sz w:val="15"/>
                <w:szCs w:val="15"/>
                <w:color w:val="auto"/>
              </w:rPr>
            </w:pPr>
          </w:p>
        </w:tc>
        <w:tc>
          <w:tcPr>
            <w:tcW w:w="260" w:type="dxa"/>
            <w:vAlign w:val="bottom"/>
            <w:tcBorders>
              <w:right w:val="single" w:sz="8" w:color="F2F3F2"/>
            </w:tcBorders>
            <w:shd w:val="clear" w:color="auto" w:fill="F2F3F2"/>
          </w:tcPr>
          <w:p>
            <w:pPr>
              <w:spacing w:after="0"/>
              <w:rPr>
                <w:sz w:val="15"/>
                <w:szCs w:val="15"/>
                <w:color w:val="auto"/>
              </w:rPr>
            </w:pPr>
          </w:p>
        </w:tc>
        <w:tc>
          <w:tcPr>
            <w:tcW w:w="420" w:type="dxa"/>
            <w:vAlign w:val="bottom"/>
            <w:shd w:val="clear" w:color="auto" w:fill="F2F3F2"/>
          </w:tcPr>
          <w:p>
            <w:pPr>
              <w:spacing w:after="0"/>
              <w:rPr>
                <w:sz w:val="15"/>
                <w:szCs w:val="15"/>
                <w:color w:val="auto"/>
              </w:rPr>
            </w:pPr>
          </w:p>
        </w:tc>
        <w:tc>
          <w:tcPr>
            <w:tcW w:w="1860" w:type="dxa"/>
            <w:vAlign w:val="bottom"/>
            <w:gridSpan w:val="2"/>
            <w:shd w:val="clear" w:color="auto" w:fill="F2F3F2"/>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6"/>
        </w:trPr>
        <w:tc>
          <w:tcPr>
            <w:tcW w:w="820" w:type="dxa"/>
            <w:vAlign w:val="bottom"/>
          </w:tcPr>
          <w:p>
            <w:pPr>
              <w:spacing w:after="0"/>
              <w:rPr>
                <w:sz w:val="24"/>
                <w:szCs w:val="24"/>
                <w:color w:val="auto"/>
              </w:rPr>
            </w:pPr>
          </w:p>
        </w:tc>
        <w:tc>
          <w:tcPr>
            <w:tcW w:w="100" w:type="dxa"/>
            <w:vAlign w:val="bottom"/>
            <w:tcBorders>
              <w:bottom w:val="single" w:sz="8" w:color="B2B3B6"/>
            </w:tcBorders>
          </w:tcPr>
          <w:p>
            <w:pPr>
              <w:spacing w:after="0"/>
              <w:rPr>
                <w:sz w:val="24"/>
                <w:szCs w:val="24"/>
                <w:color w:val="auto"/>
              </w:rPr>
            </w:pPr>
          </w:p>
        </w:tc>
        <w:tc>
          <w:tcPr>
            <w:tcW w:w="900" w:type="dxa"/>
            <w:vAlign w:val="bottom"/>
            <w:tcBorders>
              <w:bottom w:val="single" w:sz="8" w:color="B2B3B6"/>
            </w:tcBorders>
          </w:tcPr>
          <w:p>
            <w:pPr>
              <w:spacing w:after="0"/>
              <w:rPr>
                <w:sz w:val="24"/>
                <w:szCs w:val="24"/>
                <w:color w:val="auto"/>
              </w:rPr>
            </w:pPr>
          </w:p>
        </w:tc>
        <w:tc>
          <w:tcPr>
            <w:tcW w:w="800" w:type="dxa"/>
            <w:vAlign w:val="bottom"/>
            <w:tcBorders>
              <w:bottom w:val="single" w:sz="8" w:color="B2B3B6"/>
            </w:tcBorders>
          </w:tcPr>
          <w:p>
            <w:pPr>
              <w:spacing w:after="0"/>
              <w:rPr>
                <w:sz w:val="24"/>
                <w:szCs w:val="24"/>
                <w:color w:val="auto"/>
              </w:rPr>
            </w:pPr>
          </w:p>
        </w:tc>
        <w:tc>
          <w:tcPr>
            <w:tcW w:w="360" w:type="dxa"/>
            <w:vAlign w:val="bottom"/>
            <w:tcBorders>
              <w:bottom w:val="single" w:sz="8" w:color="B2B3B6"/>
            </w:tcBorders>
          </w:tcPr>
          <w:p>
            <w:pPr>
              <w:spacing w:after="0"/>
              <w:rPr>
                <w:sz w:val="24"/>
                <w:szCs w:val="24"/>
                <w:color w:val="auto"/>
              </w:rPr>
            </w:pPr>
          </w:p>
        </w:tc>
        <w:tc>
          <w:tcPr>
            <w:tcW w:w="120" w:type="dxa"/>
            <w:vAlign w:val="bottom"/>
            <w:tcBorders>
              <w:bottom w:val="single" w:sz="8" w:color="B2B3B6"/>
            </w:tcBorders>
          </w:tcPr>
          <w:p>
            <w:pPr>
              <w:spacing w:after="0"/>
              <w:rPr>
                <w:sz w:val="24"/>
                <w:szCs w:val="24"/>
                <w:color w:val="auto"/>
              </w:rPr>
            </w:pPr>
          </w:p>
        </w:tc>
        <w:tc>
          <w:tcPr>
            <w:tcW w:w="460" w:type="dxa"/>
            <w:vAlign w:val="bottom"/>
            <w:tcBorders>
              <w:bottom w:val="single" w:sz="8" w:color="B2B3B6"/>
            </w:tcBorders>
          </w:tcPr>
          <w:p>
            <w:pPr>
              <w:spacing w:after="0"/>
              <w:rPr>
                <w:sz w:val="24"/>
                <w:szCs w:val="24"/>
                <w:color w:val="auto"/>
              </w:rPr>
            </w:pPr>
          </w:p>
        </w:tc>
        <w:tc>
          <w:tcPr>
            <w:tcW w:w="940" w:type="dxa"/>
            <w:vAlign w:val="bottom"/>
            <w:tcBorders>
              <w:bottom w:val="single" w:sz="8" w:color="B2B3B6"/>
            </w:tcBorders>
          </w:tcPr>
          <w:p>
            <w:pPr>
              <w:spacing w:after="0"/>
              <w:rPr>
                <w:sz w:val="24"/>
                <w:szCs w:val="24"/>
                <w:color w:val="auto"/>
              </w:rPr>
            </w:pPr>
          </w:p>
        </w:tc>
        <w:tc>
          <w:tcPr>
            <w:tcW w:w="840" w:type="dxa"/>
            <w:vAlign w:val="bottom"/>
            <w:tcBorders>
              <w:bottom w:val="single" w:sz="8" w:color="B2B3B6"/>
            </w:tcBorders>
          </w:tcPr>
          <w:p>
            <w:pPr>
              <w:spacing w:after="0"/>
              <w:rPr>
                <w:sz w:val="24"/>
                <w:szCs w:val="24"/>
                <w:color w:val="auto"/>
              </w:rPr>
            </w:pPr>
          </w:p>
        </w:tc>
        <w:tc>
          <w:tcPr>
            <w:tcW w:w="100" w:type="dxa"/>
            <w:vAlign w:val="bottom"/>
            <w:tcBorders>
              <w:bottom w:val="single" w:sz="8" w:color="B2B3B6"/>
            </w:tcBorders>
          </w:tcPr>
          <w:p>
            <w:pPr>
              <w:spacing w:after="0"/>
              <w:rPr>
                <w:sz w:val="24"/>
                <w:szCs w:val="24"/>
                <w:color w:val="auto"/>
              </w:rPr>
            </w:pPr>
          </w:p>
        </w:tc>
        <w:tc>
          <w:tcPr>
            <w:tcW w:w="840" w:type="dxa"/>
            <w:vAlign w:val="bottom"/>
            <w:tcBorders>
              <w:bottom w:val="single" w:sz="8" w:color="B2B3B6"/>
            </w:tcBorders>
          </w:tcPr>
          <w:p>
            <w:pPr>
              <w:spacing w:after="0"/>
              <w:rPr>
                <w:sz w:val="24"/>
                <w:szCs w:val="24"/>
                <w:color w:val="auto"/>
              </w:rPr>
            </w:pPr>
          </w:p>
        </w:tc>
        <w:tc>
          <w:tcPr>
            <w:tcW w:w="1080" w:type="dxa"/>
            <w:vAlign w:val="bottom"/>
            <w:tcBorders>
              <w:bottom w:val="single" w:sz="8" w:color="B2B3B6"/>
            </w:tcBorders>
          </w:tcPr>
          <w:p>
            <w:pPr>
              <w:spacing w:after="0"/>
              <w:rPr>
                <w:sz w:val="24"/>
                <w:szCs w:val="24"/>
                <w:color w:val="auto"/>
              </w:rPr>
            </w:pPr>
          </w:p>
        </w:tc>
        <w:tc>
          <w:tcPr>
            <w:tcW w:w="260" w:type="dxa"/>
            <w:vAlign w:val="bottom"/>
            <w:tcBorders>
              <w:bottom w:val="single" w:sz="8" w:color="B2B3B6"/>
            </w:tcBorders>
          </w:tcPr>
          <w:p>
            <w:pPr>
              <w:spacing w:after="0"/>
              <w:rPr>
                <w:sz w:val="24"/>
                <w:szCs w:val="24"/>
                <w:color w:val="auto"/>
              </w:rPr>
            </w:pPr>
          </w:p>
        </w:tc>
        <w:tc>
          <w:tcPr>
            <w:tcW w:w="420" w:type="dxa"/>
            <w:vAlign w:val="bottom"/>
            <w:tcBorders>
              <w:bottom w:val="single" w:sz="8" w:color="B2B3B6"/>
            </w:tcBorders>
          </w:tcPr>
          <w:p>
            <w:pPr>
              <w:spacing w:after="0"/>
              <w:rPr>
                <w:sz w:val="24"/>
                <w:szCs w:val="24"/>
                <w:color w:val="auto"/>
              </w:rPr>
            </w:pPr>
          </w:p>
        </w:tc>
        <w:tc>
          <w:tcPr>
            <w:tcW w:w="1040" w:type="dxa"/>
            <w:vAlign w:val="bottom"/>
            <w:tcBorders>
              <w:bottom w:val="single" w:sz="8" w:color="B2B3B6"/>
            </w:tcBorders>
          </w:tcPr>
          <w:p>
            <w:pPr>
              <w:spacing w:after="0"/>
              <w:rPr>
                <w:sz w:val="24"/>
                <w:szCs w:val="24"/>
                <w:color w:val="auto"/>
              </w:rPr>
            </w:pPr>
          </w:p>
        </w:tc>
        <w:tc>
          <w:tcPr>
            <w:tcW w:w="820" w:type="dxa"/>
            <w:vAlign w:val="bottom"/>
            <w:tcBorders>
              <w:bottom w:val="single" w:sz="8" w:color="B2B3B6"/>
            </w:tcBorders>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820" w:type="dxa"/>
            <w:vAlign w:val="bottom"/>
          </w:tcPr>
          <w:p>
            <w:pPr>
              <w:spacing w:after="0"/>
              <w:rPr>
                <w:sz w:val="19"/>
                <w:szCs w:val="19"/>
                <w:color w:val="auto"/>
              </w:rPr>
            </w:pPr>
          </w:p>
        </w:tc>
        <w:tc>
          <w:tcPr>
            <w:tcW w:w="1800" w:type="dxa"/>
            <w:vAlign w:val="bottom"/>
            <w:gridSpan w:val="3"/>
          </w:tcPr>
          <w:p>
            <w:pPr>
              <w:ind w:left="60"/>
              <w:spacing w:after="0"/>
              <w:rPr>
                <w:sz w:val="20"/>
                <w:szCs w:val="20"/>
                <w:color w:val="auto"/>
              </w:rPr>
            </w:pPr>
            <w:r>
              <w:rPr>
                <w:rFonts w:ascii="Arial" w:cs="Arial" w:eastAsia="Arial" w:hAnsi="Arial"/>
                <w:sz w:val="13"/>
                <w:szCs w:val="13"/>
                <w:color w:val="auto"/>
              </w:rPr>
              <w:t>Huron Consulting Group Inc.</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3"/>
                <w:szCs w:val="13"/>
                <w:b w:val="1"/>
                <w:bCs w:val="1"/>
                <w:color w:val="00558C"/>
              </w:rPr>
              <w:t>i</w:t>
            </w:r>
          </w:p>
        </w:tc>
        <w:tc>
          <w:tcPr>
            <w:tcW w:w="8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80" w:type="dxa"/>
            <w:vAlign w:val="bottom"/>
            <w:gridSpan w:val="3"/>
          </w:tcPr>
          <w:p>
            <w:pPr>
              <w:ind w:left="560"/>
              <w:spacing w:after="0"/>
              <w:rPr>
                <w:sz w:val="20"/>
                <w:szCs w:val="20"/>
                <w:color w:val="auto"/>
              </w:rPr>
            </w:pPr>
            <w:r>
              <w:rPr>
                <w:rFonts w:ascii="Arial" w:cs="Arial" w:eastAsia="Arial" w:hAnsi="Arial"/>
                <w:sz w:val="13"/>
                <w:szCs w:val="13"/>
                <w:color w:val="auto"/>
              </w:rPr>
              <w:t>2025 Proxy Statement</w:t>
            </w:r>
          </w:p>
        </w:tc>
        <w:tc>
          <w:tcPr>
            <w:tcW w:w="0" w:type="dxa"/>
            <w:vAlign w:val="bottom"/>
          </w:tcPr>
          <w:p>
            <w:pPr>
              <w:spacing w:after="0"/>
              <w:rPr>
                <w:sz w:val="1"/>
                <w:szCs w:val="1"/>
                <w:color w:val="auto"/>
              </w:rPr>
            </w:pPr>
          </w:p>
        </w:tc>
      </w:tr>
      <w:tr>
        <w:trPr>
          <w:trHeight w:val="369"/>
        </w:trPr>
        <w:tc>
          <w:tcPr>
            <w:tcW w:w="820" w:type="dxa"/>
            <w:vAlign w:val="bottom"/>
            <w:tcBorders>
              <w:bottom w:val="single" w:sz="8" w:color="CCCCCC"/>
            </w:tcBorders>
          </w:tcPr>
          <w:p>
            <w:pPr>
              <w:spacing w:after="0"/>
              <w:rPr>
                <w:sz w:val="24"/>
                <w:szCs w:val="24"/>
                <w:color w:val="auto"/>
              </w:rPr>
            </w:pPr>
          </w:p>
        </w:tc>
        <w:tc>
          <w:tcPr>
            <w:tcW w:w="100" w:type="dxa"/>
            <w:vAlign w:val="bottom"/>
            <w:tcBorders>
              <w:bottom w:val="single" w:sz="8" w:color="CCCCCC"/>
            </w:tcBorders>
          </w:tcPr>
          <w:p>
            <w:pPr>
              <w:spacing w:after="0"/>
              <w:rPr>
                <w:sz w:val="24"/>
                <w:szCs w:val="24"/>
                <w:color w:val="auto"/>
              </w:rPr>
            </w:pPr>
          </w:p>
        </w:tc>
        <w:tc>
          <w:tcPr>
            <w:tcW w:w="900" w:type="dxa"/>
            <w:vAlign w:val="bottom"/>
            <w:tcBorders>
              <w:bottom w:val="single" w:sz="8" w:color="CCCCCC"/>
            </w:tcBorders>
          </w:tcPr>
          <w:p>
            <w:pPr>
              <w:spacing w:after="0"/>
              <w:rPr>
                <w:sz w:val="24"/>
                <w:szCs w:val="24"/>
                <w:color w:val="auto"/>
              </w:rPr>
            </w:pPr>
          </w:p>
        </w:tc>
        <w:tc>
          <w:tcPr>
            <w:tcW w:w="800" w:type="dxa"/>
            <w:vAlign w:val="bottom"/>
            <w:tcBorders>
              <w:bottom w:val="single" w:sz="8" w:color="CCCCCC"/>
            </w:tcBorders>
          </w:tcPr>
          <w:p>
            <w:pPr>
              <w:spacing w:after="0"/>
              <w:rPr>
                <w:sz w:val="24"/>
                <w:szCs w:val="24"/>
                <w:color w:val="auto"/>
              </w:rPr>
            </w:pPr>
          </w:p>
        </w:tc>
        <w:tc>
          <w:tcPr>
            <w:tcW w:w="360" w:type="dxa"/>
            <w:vAlign w:val="bottom"/>
            <w:tcBorders>
              <w:bottom w:val="single" w:sz="8" w:color="CCCCCC"/>
            </w:tcBorders>
          </w:tcPr>
          <w:p>
            <w:pPr>
              <w:spacing w:after="0"/>
              <w:rPr>
                <w:sz w:val="24"/>
                <w:szCs w:val="24"/>
                <w:color w:val="auto"/>
              </w:rPr>
            </w:pPr>
          </w:p>
        </w:tc>
        <w:tc>
          <w:tcPr>
            <w:tcW w:w="120" w:type="dxa"/>
            <w:vAlign w:val="bottom"/>
            <w:tcBorders>
              <w:bottom w:val="single" w:sz="8" w:color="CCCCCC"/>
            </w:tcBorders>
          </w:tcPr>
          <w:p>
            <w:pPr>
              <w:spacing w:after="0"/>
              <w:rPr>
                <w:sz w:val="24"/>
                <w:szCs w:val="24"/>
                <w:color w:val="auto"/>
              </w:rPr>
            </w:pPr>
          </w:p>
        </w:tc>
        <w:tc>
          <w:tcPr>
            <w:tcW w:w="460" w:type="dxa"/>
            <w:vAlign w:val="bottom"/>
            <w:tcBorders>
              <w:bottom w:val="single" w:sz="8" w:color="CCCCCC"/>
            </w:tcBorders>
          </w:tcPr>
          <w:p>
            <w:pPr>
              <w:spacing w:after="0"/>
              <w:rPr>
                <w:sz w:val="24"/>
                <w:szCs w:val="24"/>
                <w:color w:val="auto"/>
              </w:rPr>
            </w:pPr>
          </w:p>
        </w:tc>
        <w:tc>
          <w:tcPr>
            <w:tcW w:w="940" w:type="dxa"/>
            <w:vAlign w:val="bottom"/>
            <w:tcBorders>
              <w:bottom w:val="single" w:sz="8" w:color="CCCCCC"/>
            </w:tcBorders>
          </w:tcPr>
          <w:p>
            <w:pPr>
              <w:spacing w:after="0"/>
              <w:rPr>
                <w:sz w:val="24"/>
                <w:szCs w:val="24"/>
                <w:color w:val="auto"/>
              </w:rPr>
            </w:pPr>
          </w:p>
        </w:tc>
        <w:tc>
          <w:tcPr>
            <w:tcW w:w="840" w:type="dxa"/>
            <w:vAlign w:val="bottom"/>
            <w:tcBorders>
              <w:bottom w:val="single" w:sz="8" w:color="CCCCCC"/>
            </w:tcBorders>
          </w:tcPr>
          <w:p>
            <w:pPr>
              <w:spacing w:after="0"/>
              <w:rPr>
                <w:sz w:val="24"/>
                <w:szCs w:val="24"/>
                <w:color w:val="auto"/>
              </w:rPr>
            </w:pPr>
          </w:p>
        </w:tc>
        <w:tc>
          <w:tcPr>
            <w:tcW w:w="100" w:type="dxa"/>
            <w:vAlign w:val="bottom"/>
            <w:tcBorders>
              <w:bottom w:val="single" w:sz="8" w:color="CCCCCC"/>
            </w:tcBorders>
          </w:tcPr>
          <w:p>
            <w:pPr>
              <w:spacing w:after="0"/>
              <w:rPr>
                <w:sz w:val="24"/>
                <w:szCs w:val="24"/>
                <w:color w:val="auto"/>
              </w:rPr>
            </w:pPr>
          </w:p>
        </w:tc>
        <w:tc>
          <w:tcPr>
            <w:tcW w:w="840" w:type="dxa"/>
            <w:vAlign w:val="bottom"/>
            <w:tcBorders>
              <w:bottom w:val="single" w:sz="8" w:color="CCCCCC"/>
            </w:tcBorders>
          </w:tcPr>
          <w:p>
            <w:pPr>
              <w:spacing w:after="0"/>
              <w:rPr>
                <w:sz w:val="24"/>
                <w:szCs w:val="24"/>
                <w:color w:val="auto"/>
              </w:rPr>
            </w:pPr>
          </w:p>
        </w:tc>
        <w:tc>
          <w:tcPr>
            <w:tcW w:w="1080" w:type="dxa"/>
            <w:vAlign w:val="bottom"/>
            <w:tcBorders>
              <w:bottom w:val="single" w:sz="8" w:color="CCCCCC"/>
            </w:tcBorders>
          </w:tcPr>
          <w:p>
            <w:pPr>
              <w:spacing w:after="0"/>
              <w:rPr>
                <w:sz w:val="24"/>
                <w:szCs w:val="24"/>
                <w:color w:val="auto"/>
              </w:rPr>
            </w:pPr>
          </w:p>
        </w:tc>
        <w:tc>
          <w:tcPr>
            <w:tcW w:w="260" w:type="dxa"/>
            <w:vAlign w:val="bottom"/>
            <w:tcBorders>
              <w:bottom w:val="single" w:sz="8" w:color="CCCCCC"/>
            </w:tcBorders>
          </w:tcPr>
          <w:p>
            <w:pPr>
              <w:spacing w:after="0"/>
              <w:rPr>
                <w:sz w:val="24"/>
                <w:szCs w:val="24"/>
                <w:color w:val="auto"/>
              </w:rPr>
            </w:pPr>
          </w:p>
        </w:tc>
        <w:tc>
          <w:tcPr>
            <w:tcW w:w="420" w:type="dxa"/>
            <w:vAlign w:val="bottom"/>
            <w:tcBorders>
              <w:bottom w:val="single" w:sz="8" w:color="CCCCCC"/>
            </w:tcBorders>
          </w:tcPr>
          <w:p>
            <w:pPr>
              <w:spacing w:after="0"/>
              <w:rPr>
                <w:sz w:val="24"/>
                <w:szCs w:val="24"/>
                <w:color w:val="auto"/>
              </w:rPr>
            </w:pPr>
          </w:p>
        </w:tc>
        <w:tc>
          <w:tcPr>
            <w:tcW w:w="1040" w:type="dxa"/>
            <w:vAlign w:val="bottom"/>
            <w:tcBorders>
              <w:bottom w:val="single" w:sz="8" w:color="CCCCCC"/>
            </w:tcBorders>
          </w:tcPr>
          <w:p>
            <w:pPr>
              <w:spacing w:after="0"/>
              <w:rPr>
                <w:sz w:val="24"/>
                <w:szCs w:val="24"/>
                <w:color w:val="auto"/>
              </w:rPr>
            </w:pPr>
          </w:p>
        </w:tc>
        <w:tc>
          <w:tcPr>
            <w:tcW w:w="820" w:type="dxa"/>
            <w:vAlign w:val="bottom"/>
            <w:tcBorders>
              <w:bottom w:val="single" w:sz="8" w:color="CCCCCC"/>
            </w:tcBorders>
          </w:tcPr>
          <w:p>
            <w:pPr>
              <w:spacing w:after="0"/>
              <w:rPr>
                <w:sz w:val="24"/>
                <w:szCs w:val="24"/>
                <w:color w:val="auto"/>
              </w:rPr>
            </w:pPr>
          </w:p>
        </w:tc>
        <w:tc>
          <w:tcPr>
            <w:tcW w:w="820" w:type="dxa"/>
            <w:vAlign w:val="bottom"/>
            <w:tcBorders>
              <w:bottom w:val="single" w:sz="8" w:color="CCCCCC"/>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820" w:type="dxa"/>
            <w:vAlign w:val="bottom"/>
            <w:tcBorders>
              <w:bottom w:val="single" w:sz="8" w:color="CCCCCC"/>
            </w:tcBorders>
          </w:tcPr>
          <w:p>
            <w:pPr>
              <w:spacing w:after="0"/>
              <w:rPr>
                <w:sz w:val="11"/>
                <w:szCs w:val="11"/>
                <w:color w:val="auto"/>
              </w:rPr>
            </w:pPr>
          </w:p>
        </w:tc>
        <w:tc>
          <w:tcPr>
            <w:tcW w:w="1000" w:type="dxa"/>
            <w:vAlign w:val="bottom"/>
            <w:tcBorders>
              <w:bottom w:val="single" w:sz="8" w:color="CCCCCC"/>
            </w:tcBorders>
            <w:gridSpan w:val="2"/>
          </w:tcPr>
          <w:p>
            <w:pPr>
              <w:spacing w:after="0"/>
              <w:rPr>
                <w:sz w:val="11"/>
                <w:szCs w:val="11"/>
                <w:color w:val="auto"/>
              </w:rPr>
            </w:pPr>
          </w:p>
        </w:tc>
        <w:tc>
          <w:tcPr>
            <w:tcW w:w="800" w:type="dxa"/>
            <w:vAlign w:val="bottom"/>
            <w:tcBorders>
              <w:bottom w:val="single" w:sz="8" w:color="CCCCCC"/>
            </w:tcBorders>
          </w:tcPr>
          <w:p>
            <w:pPr>
              <w:spacing w:after="0"/>
              <w:rPr>
                <w:sz w:val="11"/>
                <w:szCs w:val="11"/>
                <w:color w:val="auto"/>
              </w:rPr>
            </w:pPr>
          </w:p>
        </w:tc>
        <w:tc>
          <w:tcPr>
            <w:tcW w:w="940" w:type="dxa"/>
            <w:vAlign w:val="bottom"/>
            <w:tcBorders>
              <w:bottom w:val="single" w:sz="8" w:color="CCCCCC"/>
            </w:tcBorders>
            <w:gridSpan w:val="3"/>
          </w:tcPr>
          <w:p>
            <w:pPr>
              <w:spacing w:after="0"/>
              <w:rPr>
                <w:sz w:val="11"/>
                <w:szCs w:val="11"/>
                <w:color w:val="auto"/>
              </w:rPr>
            </w:pPr>
          </w:p>
        </w:tc>
        <w:tc>
          <w:tcPr>
            <w:tcW w:w="940" w:type="dxa"/>
            <w:vAlign w:val="bottom"/>
            <w:tcBorders>
              <w:bottom w:val="single" w:sz="8" w:color="CCCCCC"/>
            </w:tcBorders>
          </w:tcPr>
          <w:p>
            <w:pPr>
              <w:spacing w:after="0"/>
              <w:rPr>
                <w:sz w:val="11"/>
                <w:szCs w:val="11"/>
                <w:color w:val="auto"/>
              </w:rPr>
            </w:pPr>
          </w:p>
        </w:tc>
        <w:tc>
          <w:tcPr>
            <w:tcW w:w="940" w:type="dxa"/>
            <w:vAlign w:val="bottom"/>
            <w:tcBorders>
              <w:bottom w:val="single" w:sz="8" w:color="CCCCCC"/>
            </w:tcBorders>
            <w:gridSpan w:val="2"/>
          </w:tcPr>
          <w:p>
            <w:pPr>
              <w:spacing w:after="0"/>
              <w:rPr>
                <w:sz w:val="11"/>
                <w:szCs w:val="11"/>
                <w:color w:val="auto"/>
              </w:rPr>
            </w:pPr>
          </w:p>
        </w:tc>
        <w:tc>
          <w:tcPr>
            <w:tcW w:w="840" w:type="dxa"/>
            <w:vAlign w:val="bottom"/>
            <w:tcBorders>
              <w:bottom w:val="single" w:sz="8" w:color="CCCCCC"/>
            </w:tcBorders>
          </w:tcPr>
          <w:p>
            <w:pPr>
              <w:spacing w:after="0"/>
              <w:rPr>
                <w:sz w:val="11"/>
                <w:szCs w:val="11"/>
                <w:color w:val="auto"/>
              </w:rPr>
            </w:pPr>
          </w:p>
        </w:tc>
        <w:tc>
          <w:tcPr>
            <w:tcW w:w="1080" w:type="dxa"/>
            <w:vAlign w:val="bottom"/>
            <w:tcBorders>
              <w:bottom w:val="single" w:sz="8" w:color="CCCCCC"/>
            </w:tcBorders>
          </w:tcPr>
          <w:p>
            <w:pPr>
              <w:spacing w:after="0"/>
              <w:rPr>
                <w:sz w:val="11"/>
                <w:szCs w:val="11"/>
                <w:color w:val="auto"/>
              </w:rPr>
            </w:pPr>
          </w:p>
        </w:tc>
        <w:tc>
          <w:tcPr>
            <w:tcW w:w="680" w:type="dxa"/>
            <w:vAlign w:val="bottom"/>
            <w:tcBorders>
              <w:bottom w:val="single" w:sz="8" w:color="CCCCCC"/>
            </w:tcBorders>
            <w:gridSpan w:val="2"/>
          </w:tcPr>
          <w:p>
            <w:pPr>
              <w:spacing w:after="0"/>
              <w:rPr>
                <w:sz w:val="11"/>
                <w:szCs w:val="11"/>
                <w:color w:val="auto"/>
              </w:rPr>
            </w:pPr>
          </w:p>
        </w:tc>
        <w:tc>
          <w:tcPr>
            <w:tcW w:w="1040" w:type="dxa"/>
            <w:vAlign w:val="bottom"/>
            <w:tcBorders>
              <w:bottom w:val="single" w:sz="8" w:color="CCCCCC"/>
            </w:tcBorders>
          </w:tcPr>
          <w:p>
            <w:pPr>
              <w:spacing w:after="0"/>
              <w:rPr>
                <w:sz w:val="11"/>
                <w:szCs w:val="11"/>
                <w:color w:val="auto"/>
              </w:rPr>
            </w:pPr>
          </w:p>
        </w:tc>
        <w:tc>
          <w:tcPr>
            <w:tcW w:w="1640" w:type="dxa"/>
            <w:vAlign w:val="bottom"/>
            <w:tcBorders>
              <w:bottom w:val="single" w:sz="8" w:color="CCCCCC"/>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532"/>
        </w:trPr>
        <w:tc>
          <w:tcPr>
            <w:tcW w:w="820" w:type="dxa"/>
            <w:vAlign w:val="bottom"/>
          </w:tcPr>
          <w:p>
            <w:pPr>
              <w:spacing w:after="0"/>
              <w:rPr>
                <w:sz w:val="24"/>
                <w:szCs w:val="24"/>
                <w:color w:val="auto"/>
              </w:rPr>
            </w:pPr>
          </w:p>
        </w:tc>
        <w:tc>
          <w:tcPr>
            <w:tcW w:w="1000" w:type="dxa"/>
            <w:vAlign w:val="bottom"/>
            <w:gridSpan w:val="2"/>
          </w:tcPr>
          <w:p>
            <w:pPr>
              <w:ind w:left="60"/>
              <w:spacing w:after="0"/>
              <w:rPr>
                <w:sz w:val="20"/>
                <w:szCs w:val="20"/>
                <w:color w:val="auto"/>
              </w:rPr>
            </w:pPr>
            <w:r>
              <w:rPr>
                <w:rFonts w:ascii="Arial" w:cs="Arial" w:eastAsia="Arial" w:hAnsi="Arial"/>
                <w:sz w:val="13"/>
                <w:szCs w:val="13"/>
                <w:b w:val="1"/>
                <w:bCs w:val="1"/>
                <w:color w:val="B2B3B6"/>
              </w:rPr>
              <w:t>General</w:t>
            </w:r>
          </w:p>
        </w:tc>
        <w:tc>
          <w:tcPr>
            <w:tcW w:w="800" w:type="dxa"/>
            <w:vAlign w:val="bottom"/>
          </w:tcPr>
          <w:p>
            <w:pPr>
              <w:ind w:left="60"/>
              <w:spacing w:after="0"/>
              <w:rPr>
                <w:sz w:val="20"/>
                <w:szCs w:val="20"/>
                <w:color w:val="auto"/>
              </w:rPr>
            </w:pPr>
            <w:r>
              <w:rPr>
                <w:rFonts w:ascii="Arial" w:cs="Arial" w:eastAsia="Arial" w:hAnsi="Arial"/>
                <w:sz w:val="13"/>
                <w:szCs w:val="13"/>
                <w:b w:val="1"/>
                <w:bCs w:val="1"/>
                <w:color w:val="B2B3B6"/>
              </w:rPr>
              <w:t>Proposal</w:t>
            </w:r>
          </w:p>
        </w:tc>
        <w:tc>
          <w:tcPr>
            <w:tcW w:w="940" w:type="dxa"/>
            <w:vAlign w:val="bottom"/>
            <w:gridSpan w:val="3"/>
          </w:tcPr>
          <w:p>
            <w:pPr>
              <w:ind w:left="100"/>
              <w:spacing w:after="0"/>
              <w:rPr>
                <w:sz w:val="20"/>
                <w:szCs w:val="20"/>
                <w:color w:val="auto"/>
              </w:rPr>
            </w:pPr>
            <w:r>
              <w:rPr>
                <w:rFonts w:ascii="Arial" w:cs="Arial" w:eastAsia="Arial" w:hAnsi="Arial"/>
                <w:sz w:val="13"/>
                <w:szCs w:val="13"/>
                <w:b w:val="1"/>
                <w:bCs w:val="1"/>
                <w:color w:val="B2B3B6"/>
              </w:rPr>
              <w:t>Corporate</w:t>
            </w:r>
          </w:p>
        </w:tc>
        <w:tc>
          <w:tcPr>
            <w:tcW w:w="940" w:type="dxa"/>
            <w:vAlign w:val="bottom"/>
          </w:tcPr>
          <w:p>
            <w:pPr>
              <w:ind w:left="160"/>
              <w:spacing w:after="0"/>
              <w:rPr>
                <w:sz w:val="20"/>
                <w:szCs w:val="20"/>
                <w:color w:val="auto"/>
              </w:rPr>
            </w:pPr>
            <w:r>
              <w:rPr>
                <w:rFonts w:ascii="Arial" w:cs="Arial" w:eastAsia="Arial" w:hAnsi="Arial"/>
                <w:sz w:val="13"/>
                <w:szCs w:val="13"/>
                <w:b w:val="1"/>
                <w:bCs w:val="1"/>
                <w:color w:val="B2B3B6"/>
              </w:rPr>
              <w:t>Proposal</w:t>
            </w:r>
          </w:p>
        </w:tc>
        <w:tc>
          <w:tcPr>
            <w:tcW w:w="940" w:type="dxa"/>
            <w:vAlign w:val="bottom"/>
            <w:gridSpan w:val="2"/>
          </w:tcPr>
          <w:p>
            <w:pPr>
              <w:ind w:left="40"/>
              <w:spacing w:after="0"/>
              <w:rPr>
                <w:sz w:val="20"/>
                <w:szCs w:val="20"/>
                <w:color w:val="auto"/>
              </w:rPr>
            </w:pPr>
            <w:r>
              <w:rPr>
                <w:rFonts w:ascii="Arial" w:cs="Arial" w:eastAsia="Arial" w:hAnsi="Arial"/>
                <w:sz w:val="13"/>
                <w:szCs w:val="13"/>
                <w:b w:val="1"/>
                <w:bCs w:val="1"/>
                <w:color w:val="B2B3B6"/>
              </w:rPr>
              <w:t>Executive</w:t>
            </w:r>
          </w:p>
        </w:tc>
        <w:tc>
          <w:tcPr>
            <w:tcW w:w="840" w:type="dxa"/>
            <w:vAlign w:val="bottom"/>
          </w:tcPr>
          <w:p>
            <w:pPr>
              <w:ind w:left="300"/>
              <w:spacing w:after="0"/>
              <w:rPr>
                <w:sz w:val="20"/>
                <w:szCs w:val="20"/>
                <w:color w:val="auto"/>
              </w:rPr>
            </w:pPr>
            <w:r>
              <w:rPr>
                <w:rFonts w:ascii="Arial" w:cs="Arial" w:eastAsia="Arial" w:hAnsi="Arial"/>
                <w:sz w:val="13"/>
                <w:szCs w:val="13"/>
                <w:b w:val="1"/>
                <w:bCs w:val="1"/>
                <w:color w:val="B2B3B6"/>
                <w:w w:val="93"/>
              </w:rPr>
              <w:t>Proposal</w:t>
            </w:r>
          </w:p>
        </w:tc>
        <w:tc>
          <w:tcPr>
            <w:tcW w:w="1080" w:type="dxa"/>
            <w:vAlign w:val="bottom"/>
          </w:tcPr>
          <w:p>
            <w:pPr>
              <w:jc w:val="right"/>
              <w:ind w:right="164"/>
              <w:spacing w:after="0"/>
              <w:rPr>
                <w:sz w:val="20"/>
                <w:szCs w:val="20"/>
                <w:color w:val="auto"/>
              </w:rPr>
            </w:pPr>
            <w:r>
              <w:rPr>
                <w:rFonts w:ascii="Arial" w:cs="Arial" w:eastAsia="Arial" w:hAnsi="Arial"/>
                <w:sz w:val="13"/>
                <w:szCs w:val="13"/>
                <w:b w:val="1"/>
                <w:bCs w:val="1"/>
                <w:color w:val="B2B3B6"/>
              </w:rPr>
              <w:t>Proposal</w:t>
            </w:r>
          </w:p>
        </w:tc>
        <w:tc>
          <w:tcPr>
            <w:tcW w:w="680" w:type="dxa"/>
            <w:vAlign w:val="bottom"/>
            <w:gridSpan w:val="2"/>
          </w:tcPr>
          <w:p>
            <w:pPr>
              <w:ind w:left="20"/>
              <w:spacing w:after="0"/>
              <w:rPr>
                <w:sz w:val="20"/>
                <w:szCs w:val="20"/>
                <w:color w:val="auto"/>
              </w:rPr>
            </w:pPr>
            <w:r>
              <w:rPr>
                <w:rFonts w:ascii="Arial" w:cs="Arial" w:eastAsia="Arial" w:hAnsi="Arial"/>
                <w:sz w:val="13"/>
                <w:szCs w:val="13"/>
                <w:b w:val="1"/>
                <w:bCs w:val="1"/>
                <w:color w:val="B2B3B6"/>
              </w:rPr>
              <w:t>Proposal</w:t>
            </w:r>
          </w:p>
        </w:tc>
        <w:tc>
          <w:tcPr>
            <w:tcW w:w="1040" w:type="dxa"/>
            <w:vAlign w:val="bottom"/>
          </w:tcPr>
          <w:p>
            <w:pPr>
              <w:ind w:left="160"/>
              <w:spacing w:after="0"/>
              <w:rPr>
                <w:sz w:val="20"/>
                <w:szCs w:val="20"/>
                <w:color w:val="auto"/>
              </w:rPr>
            </w:pPr>
            <w:r>
              <w:rPr>
                <w:rFonts w:ascii="Arial" w:cs="Arial" w:eastAsia="Arial" w:hAnsi="Arial"/>
                <w:sz w:val="13"/>
                <w:szCs w:val="13"/>
                <w:b w:val="1"/>
                <w:bCs w:val="1"/>
                <w:color w:val="B2B3B6"/>
              </w:rPr>
              <w:t>Stockholder</w:t>
            </w:r>
          </w:p>
        </w:tc>
        <w:tc>
          <w:tcPr>
            <w:tcW w:w="1640" w:type="dxa"/>
            <w:vAlign w:val="bottom"/>
            <w:gridSpan w:val="2"/>
          </w:tcPr>
          <w:p>
            <w:pPr>
              <w:ind w:left="160"/>
              <w:spacing w:after="0"/>
              <w:rPr>
                <w:sz w:val="20"/>
                <w:szCs w:val="20"/>
                <w:color w:val="auto"/>
              </w:rPr>
            </w:pPr>
            <w:r>
              <w:rPr>
                <w:rFonts w:ascii="Arial" w:cs="Arial" w:eastAsia="Arial" w:hAnsi="Arial"/>
                <w:sz w:val="13"/>
                <w:szCs w:val="13"/>
                <w:b w:val="1"/>
                <w:bCs w:val="1"/>
                <w:color w:val="B2B3B6"/>
              </w:rPr>
              <w:t>Other</w:t>
            </w:r>
          </w:p>
        </w:tc>
        <w:tc>
          <w:tcPr>
            <w:tcW w:w="0" w:type="dxa"/>
            <w:vAlign w:val="bottom"/>
          </w:tcPr>
          <w:p>
            <w:pPr>
              <w:spacing w:after="0"/>
              <w:rPr>
                <w:sz w:val="1"/>
                <w:szCs w:val="1"/>
                <w:color w:val="auto"/>
              </w:rPr>
            </w:pPr>
          </w:p>
        </w:tc>
      </w:tr>
      <w:tr>
        <w:trPr>
          <w:trHeight w:val="172"/>
        </w:trPr>
        <w:tc>
          <w:tcPr>
            <w:tcW w:w="820" w:type="dxa"/>
            <w:vAlign w:val="bottom"/>
          </w:tcPr>
          <w:p>
            <w:pPr>
              <w:spacing w:after="0"/>
              <w:rPr>
                <w:sz w:val="14"/>
                <w:szCs w:val="14"/>
                <w:color w:val="auto"/>
              </w:rPr>
            </w:pPr>
          </w:p>
        </w:tc>
        <w:tc>
          <w:tcPr>
            <w:tcW w:w="1000" w:type="dxa"/>
            <w:vAlign w:val="bottom"/>
            <w:gridSpan w:val="2"/>
          </w:tcPr>
          <w:p>
            <w:pPr>
              <w:ind w:left="60"/>
              <w:spacing w:after="0"/>
              <w:rPr>
                <w:sz w:val="20"/>
                <w:szCs w:val="20"/>
                <w:color w:val="auto"/>
              </w:rPr>
            </w:pPr>
            <w:r>
              <w:rPr>
                <w:rFonts w:ascii="Arial" w:cs="Arial" w:eastAsia="Arial" w:hAnsi="Arial"/>
                <w:sz w:val="13"/>
                <w:szCs w:val="13"/>
                <w:b w:val="1"/>
                <w:bCs w:val="1"/>
                <w:color w:val="B2B3B6"/>
              </w:rPr>
              <w:t>Information</w:t>
            </w:r>
          </w:p>
        </w:tc>
        <w:tc>
          <w:tcPr>
            <w:tcW w:w="800" w:type="dxa"/>
            <w:vAlign w:val="bottom"/>
          </w:tcPr>
          <w:p>
            <w:pPr>
              <w:ind w:left="60"/>
              <w:spacing w:after="0"/>
              <w:rPr>
                <w:sz w:val="20"/>
                <w:szCs w:val="20"/>
                <w:color w:val="auto"/>
              </w:rPr>
            </w:pPr>
            <w:r>
              <w:rPr>
                <w:rFonts w:ascii="Arial" w:cs="Arial" w:eastAsia="Arial" w:hAnsi="Arial"/>
                <w:sz w:val="13"/>
                <w:szCs w:val="13"/>
                <w:b w:val="1"/>
                <w:bCs w:val="1"/>
                <w:color w:val="B2B3B6"/>
              </w:rPr>
              <w:t>One</w:t>
            </w:r>
          </w:p>
        </w:tc>
        <w:tc>
          <w:tcPr>
            <w:tcW w:w="940" w:type="dxa"/>
            <w:vAlign w:val="bottom"/>
            <w:gridSpan w:val="3"/>
          </w:tcPr>
          <w:p>
            <w:pPr>
              <w:ind w:left="100"/>
              <w:spacing w:after="0"/>
              <w:rPr>
                <w:sz w:val="20"/>
                <w:szCs w:val="20"/>
                <w:color w:val="auto"/>
              </w:rPr>
            </w:pPr>
            <w:r>
              <w:rPr>
                <w:rFonts w:ascii="Arial" w:cs="Arial" w:eastAsia="Arial" w:hAnsi="Arial"/>
                <w:sz w:val="13"/>
                <w:szCs w:val="13"/>
                <w:b w:val="1"/>
                <w:bCs w:val="1"/>
                <w:color w:val="B2B3B6"/>
              </w:rPr>
              <w:t>Governance</w:t>
            </w:r>
          </w:p>
        </w:tc>
        <w:tc>
          <w:tcPr>
            <w:tcW w:w="940" w:type="dxa"/>
            <w:vAlign w:val="bottom"/>
          </w:tcPr>
          <w:p>
            <w:pPr>
              <w:ind w:left="160"/>
              <w:spacing w:after="0"/>
              <w:rPr>
                <w:sz w:val="20"/>
                <w:szCs w:val="20"/>
                <w:color w:val="auto"/>
              </w:rPr>
            </w:pPr>
            <w:r>
              <w:rPr>
                <w:rFonts w:ascii="Arial" w:cs="Arial" w:eastAsia="Arial" w:hAnsi="Arial"/>
                <w:sz w:val="13"/>
                <w:szCs w:val="13"/>
                <w:b w:val="1"/>
                <w:bCs w:val="1"/>
                <w:color w:val="B2B3B6"/>
              </w:rPr>
              <w:t>Two</w:t>
            </w:r>
          </w:p>
        </w:tc>
        <w:tc>
          <w:tcPr>
            <w:tcW w:w="940" w:type="dxa"/>
            <w:vAlign w:val="bottom"/>
            <w:gridSpan w:val="2"/>
          </w:tcPr>
          <w:p>
            <w:pPr>
              <w:ind w:left="40"/>
              <w:spacing w:after="0"/>
              <w:rPr>
                <w:sz w:val="20"/>
                <w:szCs w:val="20"/>
                <w:color w:val="auto"/>
              </w:rPr>
            </w:pPr>
            <w:r>
              <w:rPr>
                <w:rFonts w:ascii="Arial" w:cs="Arial" w:eastAsia="Arial" w:hAnsi="Arial"/>
                <w:sz w:val="13"/>
                <w:szCs w:val="13"/>
                <w:b w:val="1"/>
                <w:bCs w:val="1"/>
                <w:color w:val="B2B3B6"/>
                <w:w w:val="97"/>
              </w:rPr>
              <w:t>Compensation</w:t>
            </w:r>
          </w:p>
        </w:tc>
        <w:tc>
          <w:tcPr>
            <w:tcW w:w="840" w:type="dxa"/>
            <w:vAlign w:val="bottom"/>
          </w:tcPr>
          <w:p>
            <w:pPr>
              <w:ind w:left="300"/>
              <w:spacing w:after="0"/>
              <w:rPr>
                <w:sz w:val="20"/>
                <w:szCs w:val="20"/>
                <w:color w:val="auto"/>
              </w:rPr>
            </w:pPr>
            <w:r>
              <w:rPr>
                <w:rFonts w:ascii="Arial" w:cs="Arial" w:eastAsia="Arial" w:hAnsi="Arial"/>
                <w:sz w:val="13"/>
                <w:szCs w:val="13"/>
                <w:b w:val="1"/>
                <w:bCs w:val="1"/>
                <w:color w:val="B2B3B6"/>
              </w:rPr>
              <w:t>Three</w:t>
            </w:r>
          </w:p>
        </w:tc>
        <w:tc>
          <w:tcPr>
            <w:tcW w:w="1080" w:type="dxa"/>
            <w:vAlign w:val="bottom"/>
          </w:tcPr>
          <w:p>
            <w:pPr>
              <w:jc w:val="right"/>
              <w:ind w:right="424"/>
              <w:spacing w:after="0"/>
              <w:rPr>
                <w:sz w:val="20"/>
                <w:szCs w:val="20"/>
                <w:color w:val="auto"/>
              </w:rPr>
            </w:pPr>
            <w:r>
              <w:rPr>
                <w:rFonts w:ascii="Arial" w:cs="Arial" w:eastAsia="Arial" w:hAnsi="Arial"/>
                <w:sz w:val="13"/>
                <w:szCs w:val="13"/>
                <w:b w:val="1"/>
                <w:bCs w:val="1"/>
                <w:color w:val="B2B3B6"/>
              </w:rPr>
              <w:t>Four</w:t>
            </w:r>
          </w:p>
        </w:tc>
        <w:tc>
          <w:tcPr>
            <w:tcW w:w="680" w:type="dxa"/>
            <w:vAlign w:val="bottom"/>
            <w:gridSpan w:val="2"/>
          </w:tcPr>
          <w:p>
            <w:pPr>
              <w:ind w:left="20"/>
              <w:spacing w:after="0"/>
              <w:rPr>
                <w:sz w:val="20"/>
                <w:szCs w:val="20"/>
                <w:color w:val="auto"/>
              </w:rPr>
            </w:pPr>
            <w:r>
              <w:rPr>
                <w:rFonts w:ascii="Arial" w:cs="Arial" w:eastAsia="Arial" w:hAnsi="Arial"/>
                <w:sz w:val="13"/>
                <w:szCs w:val="13"/>
                <w:b w:val="1"/>
                <w:bCs w:val="1"/>
                <w:color w:val="B2B3B6"/>
              </w:rPr>
              <w:t>Five</w:t>
            </w:r>
          </w:p>
        </w:tc>
        <w:tc>
          <w:tcPr>
            <w:tcW w:w="1040" w:type="dxa"/>
            <w:vAlign w:val="bottom"/>
          </w:tcPr>
          <w:p>
            <w:pPr>
              <w:ind w:left="160"/>
              <w:spacing w:after="0"/>
              <w:rPr>
                <w:sz w:val="20"/>
                <w:szCs w:val="20"/>
                <w:color w:val="auto"/>
              </w:rPr>
            </w:pPr>
            <w:r>
              <w:rPr>
                <w:rFonts w:ascii="Arial" w:cs="Arial" w:eastAsia="Arial" w:hAnsi="Arial"/>
                <w:sz w:val="13"/>
                <w:szCs w:val="13"/>
                <w:b w:val="1"/>
                <w:bCs w:val="1"/>
                <w:color w:val="B2B3B6"/>
              </w:rPr>
              <w:t>Proposals</w:t>
            </w:r>
          </w:p>
        </w:tc>
        <w:tc>
          <w:tcPr>
            <w:tcW w:w="1640" w:type="dxa"/>
            <w:vAlign w:val="bottom"/>
            <w:gridSpan w:val="2"/>
          </w:tcPr>
          <w:p>
            <w:pPr>
              <w:ind w:left="160"/>
              <w:spacing w:after="0"/>
              <w:rPr>
                <w:sz w:val="20"/>
                <w:szCs w:val="20"/>
                <w:color w:val="auto"/>
              </w:rPr>
            </w:pPr>
            <w:r>
              <w:rPr>
                <w:rFonts w:ascii="Arial" w:cs="Arial" w:eastAsia="Arial" w:hAnsi="Arial"/>
                <w:sz w:val="13"/>
                <w:szCs w:val="13"/>
                <w:b w:val="1"/>
                <w:bCs w:val="1"/>
                <w:color w:val="B2B3B6"/>
              </w:rPr>
              <w:t>Matters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6798945</wp:posOffset>
            </wp:positionH>
            <wp:positionV relativeFrom="paragraph">
              <wp:posOffset>-459105</wp:posOffset>
            </wp:positionV>
            <wp:extent cx="12700" cy="51511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515112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-459105</wp:posOffset>
            </wp:positionV>
            <wp:extent cx="12700" cy="51511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5151120"/>
                    </a:xfrm>
                    <a:prstGeom prst="rect">
                      <a:avLst/>
                    </a:prstGeom>
                    <a:noFill/>
                  </pic:spPr>
                </pic:pic>
              </a:graphicData>
            </a:graphic>
          </wp:anchor>
        </w:drawing>
      </w:r>
    </w:p>
    <w:p>
      <w:pPr>
        <w:spacing w:after="0" w:line="365"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00558C"/>
        </w:rPr>
        <w:t>Our strategy for driving increased stockholder value</w:t>
      </w:r>
    </w:p>
    <w:p>
      <w:pPr>
        <w:spacing w:after="0" w:line="112" w:lineRule="exact"/>
        <w:rPr>
          <w:sz w:val="20"/>
          <w:szCs w:val="20"/>
          <w:color w:val="auto"/>
        </w:rPr>
      </w:pPr>
    </w:p>
    <w:p>
      <w:pPr>
        <w:ind w:left="820" w:right="920"/>
        <w:spacing w:after="0" w:line="300" w:lineRule="auto"/>
        <w:rPr>
          <w:sz w:val="20"/>
          <w:szCs w:val="20"/>
          <w:color w:val="auto"/>
        </w:rPr>
      </w:pPr>
      <w:r>
        <w:rPr>
          <w:rFonts w:ascii="Arial" w:cs="Arial" w:eastAsia="Arial" w:hAnsi="Arial"/>
          <w:sz w:val="16"/>
          <w:szCs w:val="16"/>
          <w:color w:val="auto"/>
        </w:rPr>
        <w:t>At our 2022 investor day, we outlined our strategy to achieve accelerated growth and improved profitability. We believed there was significant value creation potential for our stockholders driven by meaningful growth opportunities across all three operating segments and anticipated margin expansion.That belief has borne fruit and we have achieved total shareholder return of 149% over the last three years.</w:t>
      </w:r>
    </w:p>
    <w:p>
      <w:pPr>
        <w:spacing w:after="0" w:line="134" w:lineRule="exact"/>
        <w:rPr>
          <w:sz w:val="20"/>
          <w:szCs w:val="20"/>
          <w:color w:val="auto"/>
        </w:rPr>
      </w:pPr>
    </w:p>
    <w:tbl>
      <w:tblPr>
        <w:tblLayout w:type="fixed"/>
        <w:tblInd w:w="830" w:type="dxa"/>
        <w:tblCellMar>
          <w:top w:w="0" w:type="dxa"/>
          <w:left w:w="0" w:type="dxa"/>
          <w:bottom w:w="0" w:type="dxa"/>
          <w:right w:w="0" w:type="dxa"/>
        </w:tblCellMar>
      </w:tblPr>
      <w:tr>
        <w:trPr>
          <w:trHeight w:val="175"/>
        </w:trPr>
        <w:tc>
          <w:tcPr>
            <w:tcW w:w="920" w:type="dxa"/>
            <w:vAlign w:val="bottom"/>
            <w:tcBorders>
              <w:left w:val="single" w:sz="8" w:color="B2B3B6"/>
            </w:tcBorders>
            <w:vMerge w:val="restart"/>
            <w:shd w:val="clear" w:color="auto" w:fill="00558C"/>
          </w:tcPr>
          <w:p>
            <w:pPr>
              <w:jc w:val="right"/>
              <w:ind w:right="34"/>
              <w:spacing w:after="0"/>
              <w:rPr>
                <w:sz w:val="20"/>
                <w:szCs w:val="20"/>
                <w:color w:val="auto"/>
              </w:rPr>
            </w:pPr>
            <w:r>
              <w:rPr>
                <w:rFonts w:ascii="Arial" w:cs="Arial" w:eastAsia="Arial" w:hAnsi="Arial"/>
                <w:sz w:val="50"/>
                <w:szCs w:val="50"/>
                <w:color w:val="FFFFFF"/>
              </w:rPr>
              <w:t>1</w:t>
            </w:r>
          </w:p>
        </w:tc>
        <w:tc>
          <w:tcPr>
            <w:tcW w:w="260" w:type="dxa"/>
            <w:vAlign w:val="bottom"/>
            <w:shd w:val="clear" w:color="auto" w:fill="F2F3F2"/>
          </w:tcPr>
          <w:p>
            <w:pPr>
              <w:spacing w:after="0"/>
              <w:rPr>
                <w:sz w:val="15"/>
                <w:szCs w:val="15"/>
                <w:color w:val="auto"/>
              </w:rPr>
            </w:pPr>
          </w:p>
        </w:tc>
        <w:tc>
          <w:tcPr>
            <w:tcW w:w="5380" w:type="dxa"/>
            <w:vAlign w:val="bottom"/>
            <w:shd w:val="clear" w:color="auto" w:fill="F2F3F2"/>
          </w:tcPr>
          <w:p>
            <w:pPr>
              <w:spacing w:after="0"/>
              <w:rPr>
                <w:sz w:val="15"/>
                <w:szCs w:val="15"/>
                <w:color w:val="auto"/>
              </w:rPr>
            </w:pPr>
          </w:p>
        </w:tc>
        <w:tc>
          <w:tcPr>
            <w:tcW w:w="180" w:type="dxa"/>
            <w:vAlign w:val="bottom"/>
            <w:shd w:val="clear" w:color="auto" w:fill="F2F3F2"/>
          </w:tcPr>
          <w:p>
            <w:pPr>
              <w:spacing w:after="0"/>
              <w:rPr>
                <w:sz w:val="15"/>
                <w:szCs w:val="15"/>
                <w:color w:val="auto"/>
              </w:rPr>
            </w:pPr>
          </w:p>
        </w:tc>
        <w:tc>
          <w:tcPr>
            <w:tcW w:w="440" w:type="dxa"/>
            <w:vAlign w:val="bottom"/>
            <w:tcBorders>
              <w:right w:val="single" w:sz="8" w:color="B2B3B6"/>
            </w:tcBorders>
          </w:tcPr>
          <w:p>
            <w:pPr>
              <w:spacing w:after="0"/>
              <w:rPr>
                <w:sz w:val="15"/>
                <w:szCs w:val="15"/>
                <w:color w:val="auto"/>
              </w:rPr>
            </w:pPr>
          </w:p>
        </w:tc>
        <w:tc>
          <w:tcPr>
            <w:tcW w:w="140" w:type="dxa"/>
            <w:vAlign w:val="bottom"/>
            <w:shd w:val="clear" w:color="auto" w:fill="00558C"/>
          </w:tcPr>
          <w:p>
            <w:pPr>
              <w:spacing w:after="0"/>
              <w:rPr>
                <w:sz w:val="15"/>
                <w:szCs w:val="15"/>
                <w:color w:val="auto"/>
              </w:rPr>
            </w:pPr>
          </w:p>
        </w:tc>
        <w:tc>
          <w:tcPr>
            <w:tcW w:w="160" w:type="dxa"/>
            <w:vAlign w:val="bottom"/>
            <w:shd w:val="clear" w:color="auto" w:fill="00558C"/>
          </w:tcPr>
          <w:p>
            <w:pPr>
              <w:spacing w:after="0"/>
              <w:rPr>
                <w:sz w:val="15"/>
                <w:szCs w:val="15"/>
                <w:color w:val="auto"/>
              </w:rPr>
            </w:pPr>
          </w:p>
        </w:tc>
        <w:tc>
          <w:tcPr>
            <w:tcW w:w="1460" w:type="dxa"/>
            <w:vAlign w:val="bottom"/>
            <w:shd w:val="clear" w:color="auto" w:fill="00558C"/>
          </w:tcPr>
          <w:p>
            <w:pPr>
              <w:spacing w:after="0"/>
              <w:rPr>
                <w:sz w:val="15"/>
                <w:szCs w:val="15"/>
                <w:color w:val="auto"/>
              </w:rPr>
            </w:pPr>
          </w:p>
        </w:tc>
        <w:tc>
          <w:tcPr>
            <w:tcW w:w="140" w:type="dxa"/>
            <w:vAlign w:val="bottom"/>
            <w:shd w:val="clear" w:color="auto" w:fill="00558C"/>
          </w:tcPr>
          <w:p>
            <w:pPr>
              <w:spacing w:after="0"/>
              <w:rPr>
                <w:sz w:val="15"/>
                <w:szCs w:val="15"/>
                <w:color w:val="auto"/>
              </w:rPr>
            </w:pPr>
          </w:p>
        </w:tc>
        <w:tc>
          <w:tcPr>
            <w:tcW w:w="20" w:type="dxa"/>
            <w:vAlign w:val="bottom"/>
            <w:shd w:val="clear" w:color="auto" w:fill="B2B3B6"/>
          </w:tcPr>
          <w:p>
            <w:pPr>
              <w:spacing w:after="0"/>
              <w:rPr>
                <w:sz w:val="15"/>
                <w:szCs w:val="15"/>
                <w:color w:val="auto"/>
              </w:rPr>
            </w:pPr>
          </w:p>
        </w:tc>
        <w:tc>
          <w:tcPr>
            <w:tcW w:w="0" w:type="dxa"/>
            <w:vAlign w:val="bottom"/>
          </w:tcPr>
          <w:p>
            <w:pPr>
              <w:spacing w:after="0"/>
              <w:rPr>
                <w:sz w:val="1"/>
                <w:szCs w:val="1"/>
                <w:color w:val="auto"/>
              </w:rPr>
            </w:pPr>
          </w:p>
        </w:tc>
      </w:tr>
      <w:tr>
        <w:trPr>
          <w:trHeight w:val="369"/>
        </w:trPr>
        <w:tc>
          <w:tcPr>
            <w:tcW w:w="920" w:type="dxa"/>
            <w:vAlign w:val="bottom"/>
            <w:tcBorders>
              <w:left w:val="single" w:sz="8" w:color="B2B3B6"/>
            </w:tcBorders>
            <w:vMerge w:val="continue"/>
            <w:shd w:val="clear" w:color="auto" w:fill="00558C"/>
          </w:tcPr>
          <w:p>
            <w:pPr>
              <w:spacing w:after="0"/>
              <w:rPr>
                <w:sz w:val="24"/>
                <w:szCs w:val="24"/>
                <w:color w:val="auto"/>
              </w:rPr>
            </w:pPr>
          </w:p>
        </w:tc>
        <w:tc>
          <w:tcPr>
            <w:tcW w:w="260" w:type="dxa"/>
            <w:vAlign w:val="bottom"/>
            <w:shd w:val="clear" w:color="auto" w:fill="F2F3F2"/>
          </w:tcPr>
          <w:p>
            <w:pPr>
              <w:spacing w:after="0"/>
              <w:rPr>
                <w:sz w:val="24"/>
                <w:szCs w:val="24"/>
                <w:color w:val="auto"/>
              </w:rPr>
            </w:pPr>
          </w:p>
        </w:tc>
        <w:tc>
          <w:tcPr>
            <w:tcW w:w="5380" w:type="dxa"/>
            <w:vAlign w:val="bottom"/>
          </w:tcPr>
          <w:p>
            <w:pPr>
              <w:ind w:left="140"/>
              <w:spacing w:after="0"/>
              <w:rPr>
                <w:sz w:val="20"/>
                <w:szCs w:val="20"/>
                <w:color w:val="auto"/>
              </w:rPr>
            </w:pPr>
            <w:r>
              <w:rPr>
                <w:rFonts w:ascii="Arial" w:cs="Arial" w:eastAsia="Arial" w:hAnsi="Arial"/>
                <w:sz w:val="16"/>
                <w:szCs w:val="16"/>
                <w:b w:val="1"/>
                <w:bCs w:val="1"/>
                <w:color w:val="auto"/>
              </w:rPr>
              <w:t>Leading Market Positions In Two Critical Industries</w:t>
            </w:r>
          </w:p>
        </w:tc>
        <w:tc>
          <w:tcPr>
            <w:tcW w:w="180" w:type="dxa"/>
            <w:vAlign w:val="bottom"/>
            <w:shd w:val="clear" w:color="auto" w:fill="F2F3F2"/>
          </w:tcPr>
          <w:p>
            <w:pPr>
              <w:spacing w:after="0"/>
              <w:rPr>
                <w:sz w:val="24"/>
                <w:szCs w:val="24"/>
                <w:color w:val="auto"/>
              </w:rPr>
            </w:pPr>
          </w:p>
        </w:tc>
        <w:tc>
          <w:tcPr>
            <w:tcW w:w="440" w:type="dxa"/>
            <w:vAlign w:val="bottom"/>
            <w:tcBorders>
              <w:right w:val="single" w:sz="8" w:color="B2B3B6"/>
            </w:tcBorders>
          </w:tcPr>
          <w:p>
            <w:pPr>
              <w:spacing w:after="0"/>
              <w:rPr>
                <w:sz w:val="24"/>
                <w:szCs w:val="24"/>
                <w:color w:val="auto"/>
              </w:rPr>
            </w:pPr>
          </w:p>
        </w:tc>
        <w:tc>
          <w:tcPr>
            <w:tcW w:w="140" w:type="dxa"/>
            <w:vAlign w:val="bottom"/>
            <w:shd w:val="clear" w:color="auto" w:fill="00558C"/>
          </w:tcPr>
          <w:p>
            <w:pPr>
              <w:spacing w:after="0"/>
              <w:rPr>
                <w:sz w:val="24"/>
                <w:szCs w:val="24"/>
                <w:color w:val="auto"/>
              </w:rPr>
            </w:pPr>
          </w:p>
        </w:tc>
        <w:tc>
          <w:tcPr>
            <w:tcW w:w="160" w:type="dxa"/>
            <w:vAlign w:val="bottom"/>
            <w:shd w:val="clear" w:color="auto" w:fill="00558C"/>
          </w:tcPr>
          <w:p>
            <w:pPr>
              <w:spacing w:after="0"/>
              <w:rPr>
                <w:sz w:val="24"/>
                <w:szCs w:val="24"/>
                <w:color w:val="auto"/>
              </w:rPr>
            </w:pPr>
          </w:p>
        </w:tc>
        <w:tc>
          <w:tcPr>
            <w:tcW w:w="1460" w:type="dxa"/>
            <w:vAlign w:val="bottom"/>
            <w:vMerge w:val="restart"/>
            <w:shd w:val="clear" w:color="auto" w:fill="00558C"/>
          </w:tcPr>
          <w:p>
            <w:pPr>
              <w:ind w:left="60"/>
              <w:spacing w:after="0"/>
              <w:rPr>
                <w:sz w:val="20"/>
                <w:szCs w:val="20"/>
                <w:color w:val="auto"/>
              </w:rPr>
            </w:pPr>
            <w:r>
              <w:rPr>
                <w:rFonts w:ascii="Arial" w:cs="Arial" w:eastAsia="Arial" w:hAnsi="Arial"/>
                <w:sz w:val="16"/>
                <w:szCs w:val="16"/>
                <w:b w:val="1"/>
                <w:bCs w:val="1"/>
                <w:color w:val="FFFFFF"/>
              </w:rPr>
              <w:t>Medium Term</w:t>
            </w:r>
          </w:p>
        </w:tc>
        <w:tc>
          <w:tcPr>
            <w:tcW w:w="140" w:type="dxa"/>
            <w:vAlign w:val="bottom"/>
            <w:shd w:val="clear" w:color="auto" w:fill="00558C"/>
          </w:tcPr>
          <w:p>
            <w:pPr>
              <w:spacing w:after="0"/>
              <w:rPr>
                <w:sz w:val="24"/>
                <w:szCs w:val="24"/>
                <w:color w:val="auto"/>
              </w:rPr>
            </w:pPr>
          </w:p>
        </w:tc>
        <w:tc>
          <w:tcPr>
            <w:tcW w:w="20" w:type="dxa"/>
            <w:vAlign w:val="bottom"/>
            <w:shd w:val="clear" w:color="auto" w:fill="B2B3B6"/>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920" w:type="dxa"/>
            <w:vAlign w:val="bottom"/>
            <w:tcBorders>
              <w:left w:val="single" w:sz="8" w:color="B2B3B6"/>
            </w:tcBorders>
            <w:vMerge w:val="continue"/>
            <w:shd w:val="clear" w:color="auto" w:fill="00558C"/>
          </w:tcPr>
          <w:p>
            <w:pPr>
              <w:spacing w:after="0"/>
              <w:rPr>
                <w:sz w:val="13"/>
                <w:szCs w:val="13"/>
                <w:color w:val="auto"/>
              </w:rPr>
            </w:pPr>
          </w:p>
        </w:tc>
        <w:tc>
          <w:tcPr>
            <w:tcW w:w="260" w:type="dxa"/>
            <w:vAlign w:val="bottom"/>
            <w:shd w:val="clear" w:color="auto" w:fill="F2F3F2"/>
          </w:tcPr>
          <w:p>
            <w:pPr>
              <w:spacing w:after="0"/>
              <w:rPr>
                <w:sz w:val="13"/>
                <w:szCs w:val="13"/>
                <w:color w:val="auto"/>
              </w:rPr>
            </w:pPr>
          </w:p>
        </w:tc>
        <w:tc>
          <w:tcPr>
            <w:tcW w:w="5380" w:type="dxa"/>
            <w:vAlign w:val="bottom"/>
          </w:tcPr>
          <w:p>
            <w:pPr>
              <w:ind w:left="140"/>
              <w:spacing w:after="0" w:line="157" w:lineRule="exact"/>
              <w:rPr>
                <w:sz w:val="20"/>
                <w:szCs w:val="20"/>
                <w:color w:val="auto"/>
              </w:rPr>
            </w:pPr>
            <w:r>
              <w:rPr>
                <w:rFonts w:ascii="Arial" w:cs="Arial" w:eastAsia="Arial" w:hAnsi="Arial"/>
                <w:sz w:val="14"/>
                <w:szCs w:val="14"/>
                <w:color w:val="auto"/>
              </w:rPr>
              <w:t>Focus: Accelerating growth in Healthcare and Education</w:t>
            </w:r>
          </w:p>
        </w:tc>
        <w:tc>
          <w:tcPr>
            <w:tcW w:w="180" w:type="dxa"/>
            <w:vAlign w:val="bottom"/>
            <w:shd w:val="clear" w:color="auto" w:fill="F2F3F2"/>
          </w:tcPr>
          <w:p>
            <w:pPr>
              <w:spacing w:after="0"/>
              <w:rPr>
                <w:sz w:val="13"/>
                <w:szCs w:val="13"/>
                <w:color w:val="auto"/>
              </w:rPr>
            </w:pPr>
          </w:p>
        </w:tc>
        <w:tc>
          <w:tcPr>
            <w:tcW w:w="440" w:type="dxa"/>
            <w:vAlign w:val="bottom"/>
            <w:tcBorders>
              <w:right w:val="single" w:sz="8" w:color="B2B3B6"/>
            </w:tcBorders>
          </w:tcPr>
          <w:p>
            <w:pPr>
              <w:spacing w:after="0"/>
              <w:rPr>
                <w:sz w:val="13"/>
                <w:szCs w:val="13"/>
                <w:color w:val="auto"/>
              </w:rPr>
            </w:pPr>
          </w:p>
        </w:tc>
        <w:tc>
          <w:tcPr>
            <w:tcW w:w="140" w:type="dxa"/>
            <w:vAlign w:val="bottom"/>
            <w:shd w:val="clear" w:color="auto" w:fill="00558C"/>
          </w:tcPr>
          <w:p>
            <w:pPr>
              <w:spacing w:after="0"/>
              <w:rPr>
                <w:sz w:val="13"/>
                <w:szCs w:val="13"/>
                <w:color w:val="auto"/>
              </w:rPr>
            </w:pPr>
          </w:p>
        </w:tc>
        <w:tc>
          <w:tcPr>
            <w:tcW w:w="160" w:type="dxa"/>
            <w:vAlign w:val="bottom"/>
            <w:shd w:val="clear" w:color="auto" w:fill="00558C"/>
          </w:tcPr>
          <w:p>
            <w:pPr>
              <w:spacing w:after="0"/>
              <w:rPr>
                <w:sz w:val="13"/>
                <w:szCs w:val="13"/>
                <w:color w:val="auto"/>
              </w:rPr>
            </w:pPr>
          </w:p>
        </w:tc>
        <w:tc>
          <w:tcPr>
            <w:tcW w:w="1460" w:type="dxa"/>
            <w:vAlign w:val="bottom"/>
            <w:vMerge w:val="continue"/>
            <w:shd w:val="clear" w:color="auto" w:fill="00558C"/>
          </w:tcPr>
          <w:p>
            <w:pPr>
              <w:spacing w:after="0"/>
              <w:rPr>
                <w:sz w:val="13"/>
                <w:szCs w:val="13"/>
                <w:color w:val="auto"/>
              </w:rPr>
            </w:pPr>
          </w:p>
        </w:tc>
        <w:tc>
          <w:tcPr>
            <w:tcW w:w="140" w:type="dxa"/>
            <w:vAlign w:val="bottom"/>
            <w:shd w:val="clear" w:color="auto" w:fill="00558C"/>
          </w:tcPr>
          <w:p>
            <w:pPr>
              <w:spacing w:after="0"/>
              <w:rPr>
                <w:sz w:val="13"/>
                <w:szCs w:val="13"/>
                <w:color w:val="auto"/>
              </w:rPr>
            </w:pPr>
          </w:p>
        </w:tc>
        <w:tc>
          <w:tcPr>
            <w:tcW w:w="20" w:type="dxa"/>
            <w:vAlign w:val="bottom"/>
            <w:shd w:val="clear" w:color="auto" w:fill="B2B3B6"/>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920" w:type="dxa"/>
            <w:vAlign w:val="bottom"/>
            <w:tcBorders>
              <w:left w:val="single" w:sz="8" w:color="B2B3B6"/>
            </w:tcBorders>
            <w:shd w:val="clear" w:color="auto" w:fill="00558C"/>
          </w:tcPr>
          <w:p>
            <w:pPr>
              <w:spacing w:after="0"/>
              <w:rPr>
                <w:sz w:val="14"/>
                <w:szCs w:val="14"/>
                <w:color w:val="auto"/>
              </w:rPr>
            </w:pPr>
          </w:p>
        </w:tc>
        <w:tc>
          <w:tcPr>
            <w:tcW w:w="260" w:type="dxa"/>
            <w:vAlign w:val="bottom"/>
            <w:shd w:val="clear" w:color="auto" w:fill="F2F3F2"/>
          </w:tcPr>
          <w:p>
            <w:pPr>
              <w:spacing w:after="0"/>
              <w:rPr>
                <w:sz w:val="14"/>
                <w:szCs w:val="14"/>
                <w:color w:val="auto"/>
              </w:rPr>
            </w:pPr>
          </w:p>
        </w:tc>
        <w:tc>
          <w:tcPr>
            <w:tcW w:w="5380" w:type="dxa"/>
            <w:vAlign w:val="bottom"/>
          </w:tcPr>
          <w:p>
            <w:pPr>
              <w:spacing w:after="0"/>
              <w:rPr>
                <w:sz w:val="14"/>
                <w:szCs w:val="14"/>
                <w:color w:val="auto"/>
              </w:rPr>
            </w:pPr>
          </w:p>
        </w:tc>
        <w:tc>
          <w:tcPr>
            <w:tcW w:w="180" w:type="dxa"/>
            <w:vAlign w:val="bottom"/>
            <w:shd w:val="clear" w:color="auto" w:fill="F2F3F2"/>
          </w:tcPr>
          <w:p>
            <w:pPr>
              <w:spacing w:after="0"/>
              <w:rPr>
                <w:sz w:val="14"/>
                <w:szCs w:val="14"/>
                <w:color w:val="auto"/>
              </w:rPr>
            </w:pPr>
          </w:p>
        </w:tc>
        <w:tc>
          <w:tcPr>
            <w:tcW w:w="440" w:type="dxa"/>
            <w:vAlign w:val="bottom"/>
            <w:tcBorders>
              <w:right w:val="single" w:sz="8" w:color="B2B3B6"/>
            </w:tcBorders>
          </w:tcPr>
          <w:p>
            <w:pPr>
              <w:spacing w:after="0"/>
              <w:rPr>
                <w:sz w:val="14"/>
                <w:szCs w:val="14"/>
                <w:color w:val="auto"/>
              </w:rPr>
            </w:pPr>
          </w:p>
        </w:tc>
        <w:tc>
          <w:tcPr>
            <w:tcW w:w="140" w:type="dxa"/>
            <w:vAlign w:val="bottom"/>
            <w:shd w:val="clear" w:color="auto" w:fill="00558C"/>
          </w:tcPr>
          <w:p>
            <w:pPr>
              <w:spacing w:after="0"/>
              <w:rPr>
                <w:sz w:val="14"/>
                <w:szCs w:val="14"/>
                <w:color w:val="auto"/>
              </w:rPr>
            </w:pPr>
          </w:p>
        </w:tc>
        <w:tc>
          <w:tcPr>
            <w:tcW w:w="1620" w:type="dxa"/>
            <w:vAlign w:val="bottom"/>
            <w:gridSpan w:val="2"/>
            <w:shd w:val="clear" w:color="auto" w:fill="00558C"/>
          </w:tcPr>
          <w:p>
            <w:pPr>
              <w:ind w:left="80"/>
              <w:spacing w:after="0" w:line="143" w:lineRule="exact"/>
              <w:rPr>
                <w:sz w:val="20"/>
                <w:szCs w:val="20"/>
                <w:color w:val="auto"/>
              </w:rPr>
            </w:pPr>
            <w:r>
              <w:rPr>
                <w:rFonts w:ascii="Arial" w:cs="Arial" w:eastAsia="Arial" w:hAnsi="Arial"/>
                <w:sz w:val="16"/>
                <w:szCs w:val="16"/>
                <w:b w:val="1"/>
                <w:bCs w:val="1"/>
                <w:color w:val="FFFFFF"/>
              </w:rPr>
              <w:t>Financial Targets</w:t>
            </w:r>
          </w:p>
        </w:tc>
        <w:tc>
          <w:tcPr>
            <w:tcW w:w="140" w:type="dxa"/>
            <w:vAlign w:val="bottom"/>
            <w:shd w:val="clear" w:color="auto" w:fill="00558C"/>
          </w:tcPr>
          <w:p>
            <w:pPr>
              <w:spacing w:after="0"/>
              <w:rPr>
                <w:sz w:val="14"/>
                <w:szCs w:val="14"/>
                <w:color w:val="auto"/>
              </w:rPr>
            </w:pPr>
          </w:p>
        </w:tc>
        <w:tc>
          <w:tcPr>
            <w:tcW w:w="20" w:type="dxa"/>
            <w:vAlign w:val="bottom"/>
            <w:shd w:val="clear" w:color="auto" w:fill="B2B3B6"/>
          </w:tcPr>
          <w:p>
            <w:pPr>
              <w:spacing w:after="0"/>
              <w:rPr>
                <w:sz w:val="14"/>
                <w:szCs w:val="14"/>
                <w:color w:val="auto"/>
              </w:rPr>
            </w:pPr>
          </w:p>
        </w:tc>
        <w:tc>
          <w:tcPr>
            <w:tcW w:w="0" w:type="dxa"/>
            <w:vAlign w:val="bottom"/>
          </w:tcPr>
          <w:p>
            <w:pPr>
              <w:spacing w:after="0"/>
              <w:rPr>
                <w:sz w:val="1"/>
                <w:szCs w:val="1"/>
                <w:color w:val="auto"/>
              </w:rPr>
            </w:pPr>
          </w:p>
        </w:tc>
      </w:tr>
      <w:tr>
        <w:trPr>
          <w:trHeight w:val="74"/>
        </w:trPr>
        <w:tc>
          <w:tcPr>
            <w:tcW w:w="920" w:type="dxa"/>
            <w:vAlign w:val="bottom"/>
            <w:tcBorders>
              <w:left w:val="single" w:sz="8" w:color="B2B3B6"/>
            </w:tcBorders>
            <w:shd w:val="clear" w:color="auto" w:fill="00558C"/>
          </w:tcPr>
          <w:p>
            <w:pPr>
              <w:spacing w:after="0"/>
              <w:rPr>
                <w:sz w:val="6"/>
                <w:szCs w:val="6"/>
                <w:color w:val="auto"/>
              </w:rPr>
            </w:pPr>
          </w:p>
        </w:tc>
        <w:tc>
          <w:tcPr>
            <w:tcW w:w="260" w:type="dxa"/>
            <w:vAlign w:val="bottom"/>
            <w:shd w:val="clear" w:color="auto" w:fill="F2F3F2"/>
          </w:tcPr>
          <w:p>
            <w:pPr>
              <w:spacing w:after="0"/>
              <w:rPr>
                <w:sz w:val="6"/>
                <w:szCs w:val="6"/>
                <w:color w:val="auto"/>
              </w:rPr>
            </w:pPr>
          </w:p>
        </w:tc>
        <w:tc>
          <w:tcPr>
            <w:tcW w:w="5380" w:type="dxa"/>
            <w:vAlign w:val="bottom"/>
            <w:shd w:val="clear" w:color="auto" w:fill="F2F3F2"/>
          </w:tcPr>
          <w:p>
            <w:pPr>
              <w:spacing w:after="0"/>
              <w:rPr>
                <w:sz w:val="6"/>
                <w:szCs w:val="6"/>
                <w:color w:val="auto"/>
              </w:rPr>
            </w:pPr>
          </w:p>
        </w:tc>
        <w:tc>
          <w:tcPr>
            <w:tcW w:w="180" w:type="dxa"/>
            <w:vAlign w:val="bottom"/>
            <w:shd w:val="clear" w:color="auto" w:fill="F2F3F2"/>
          </w:tcPr>
          <w:p>
            <w:pPr>
              <w:spacing w:after="0"/>
              <w:rPr>
                <w:sz w:val="6"/>
                <w:szCs w:val="6"/>
                <w:color w:val="auto"/>
              </w:rPr>
            </w:pPr>
          </w:p>
        </w:tc>
        <w:tc>
          <w:tcPr>
            <w:tcW w:w="440" w:type="dxa"/>
            <w:vAlign w:val="bottom"/>
            <w:tcBorders>
              <w:right w:val="single" w:sz="8" w:color="B2B3B6"/>
            </w:tcBorders>
            <w:vMerge w:val="restart"/>
          </w:tcPr>
          <w:p>
            <w:pPr>
              <w:spacing w:after="0"/>
              <w:rPr>
                <w:sz w:val="6"/>
                <w:szCs w:val="6"/>
                <w:color w:val="auto"/>
              </w:rPr>
            </w:pPr>
          </w:p>
        </w:tc>
        <w:tc>
          <w:tcPr>
            <w:tcW w:w="140" w:type="dxa"/>
            <w:vAlign w:val="bottom"/>
            <w:vMerge w:val="restart"/>
            <w:shd w:val="clear" w:color="auto" w:fill="00558C"/>
          </w:tcPr>
          <w:p>
            <w:pPr>
              <w:spacing w:after="0"/>
              <w:rPr>
                <w:sz w:val="6"/>
                <w:szCs w:val="6"/>
                <w:color w:val="auto"/>
              </w:rPr>
            </w:pPr>
          </w:p>
        </w:tc>
        <w:tc>
          <w:tcPr>
            <w:tcW w:w="1620" w:type="dxa"/>
            <w:vAlign w:val="bottom"/>
            <w:gridSpan w:val="2"/>
            <w:vMerge w:val="restart"/>
            <w:shd w:val="clear" w:color="auto" w:fill="00558C"/>
          </w:tcPr>
          <w:p>
            <w:pPr>
              <w:ind w:left="80"/>
              <w:spacing w:after="0"/>
              <w:rPr>
                <w:sz w:val="20"/>
                <w:szCs w:val="20"/>
                <w:color w:val="auto"/>
              </w:rPr>
            </w:pPr>
            <w:r>
              <w:rPr>
                <w:rFonts w:ascii="Arial" w:cs="Arial" w:eastAsia="Arial" w:hAnsi="Arial"/>
                <w:sz w:val="14"/>
                <w:szCs w:val="14"/>
                <w:b w:val="1"/>
                <w:bCs w:val="1"/>
                <w:color w:val="FFFFFF"/>
              </w:rPr>
              <w:t>(2022 Investor Day)</w:t>
            </w:r>
          </w:p>
        </w:tc>
        <w:tc>
          <w:tcPr>
            <w:tcW w:w="140" w:type="dxa"/>
            <w:vAlign w:val="bottom"/>
            <w:vMerge w:val="restart"/>
            <w:shd w:val="clear" w:color="auto" w:fill="00558C"/>
          </w:tcPr>
          <w:p>
            <w:pPr>
              <w:spacing w:after="0"/>
              <w:rPr>
                <w:sz w:val="6"/>
                <w:szCs w:val="6"/>
                <w:color w:val="auto"/>
              </w:rPr>
            </w:pPr>
          </w:p>
        </w:tc>
        <w:tc>
          <w:tcPr>
            <w:tcW w:w="20" w:type="dxa"/>
            <w:vAlign w:val="bottom"/>
            <w:shd w:val="clear" w:color="auto" w:fill="B2B3B6"/>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920" w:type="dxa"/>
            <w:vAlign w:val="bottom"/>
            <w:tcBorders>
              <w:left w:val="single" w:sz="8" w:color="B2B3B6"/>
            </w:tcBorders>
            <w:vMerge w:val="restart"/>
            <w:shd w:val="clear" w:color="auto" w:fill="00558C"/>
          </w:tcPr>
          <w:p>
            <w:pPr>
              <w:jc w:val="right"/>
              <w:ind w:right="74"/>
              <w:spacing w:after="0" w:line="384" w:lineRule="exact"/>
              <w:rPr>
                <w:sz w:val="20"/>
                <w:szCs w:val="20"/>
                <w:color w:val="auto"/>
              </w:rPr>
            </w:pPr>
            <w:r>
              <w:rPr>
                <w:rFonts w:ascii="Arial" w:cs="Arial" w:eastAsia="Arial" w:hAnsi="Arial"/>
                <w:sz w:val="44"/>
                <w:szCs w:val="44"/>
                <w:color w:val="FFFFFF"/>
              </w:rPr>
              <w:t>2</w:t>
            </w:r>
          </w:p>
        </w:tc>
        <w:tc>
          <w:tcPr>
            <w:tcW w:w="260" w:type="dxa"/>
            <w:vAlign w:val="bottom"/>
            <w:shd w:val="clear" w:color="auto" w:fill="F2F3F2"/>
          </w:tcPr>
          <w:p>
            <w:pPr>
              <w:spacing w:after="0"/>
              <w:rPr>
                <w:sz w:val="5"/>
                <w:szCs w:val="5"/>
                <w:color w:val="auto"/>
              </w:rPr>
            </w:pPr>
          </w:p>
        </w:tc>
        <w:tc>
          <w:tcPr>
            <w:tcW w:w="5380" w:type="dxa"/>
            <w:vAlign w:val="bottom"/>
            <w:shd w:val="clear" w:color="auto" w:fill="F2F3F2"/>
          </w:tcPr>
          <w:p>
            <w:pPr>
              <w:spacing w:after="0"/>
              <w:rPr>
                <w:sz w:val="5"/>
                <w:szCs w:val="5"/>
                <w:color w:val="auto"/>
              </w:rPr>
            </w:pPr>
          </w:p>
        </w:tc>
        <w:tc>
          <w:tcPr>
            <w:tcW w:w="180" w:type="dxa"/>
            <w:vAlign w:val="bottom"/>
            <w:vMerge w:val="restart"/>
            <w:shd w:val="clear" w:color="auto" w:fill="F2F3F2"/>
          </w:tcPr>
          <w:p>
            <w:pPr>
              <w:spacing w:after="0"/>
              <w:rPr>
                <w:sz w:val="5"/>
                <w:szCs w:val="5"/>
                <w:color w:val="auto"/>
              </w:rPr>
            </w:pPr>
          </w:p>
        </w:tc>
        <w:tc>
          <w:tcPr>
            <w:tcW w:w="440" w:type="dxa"/>
            <w:vAlign w:val="bottom"/>
            <w:tcBorders>
              <w:right w:val="single" w:sz="8" w:color="B2B3B6"/>
            </w:tcBorders>
            <w:vMerge w:val="continue"/>
          </w:tcPr>
          <w:p>
            <w:pPr>
              <w:spacing w:after="0"/>
              <w:rPr>
                <w:sz w:val="5"/>
                <w:szCs w:val="5"/>
                <w:color w:val="auto"/>
              </w:rPr>
            </w:pPr>
          </w:p>
        </w:tc>
        <w:tc>
          <w:tcPr>
            <w:tcW w:w="140" w:type="dxa"/>
            <w:vAlign w:val="bottom"/>
            <w:vMerge w:val="continue"/>
            <w:shd w:val="clear" w:color="auto" w:fill="00558C"/>
          </w:tcPr>
          <w:p>
            <w:pPr>
              <w:spacing w:after="0"/>
              <w:rPr>
                <w:sz w:val="5"/>
                <w:szCs w:val="5"/>
                <w:color w:val="auto"/>
              </w:rPr>
            </w:pPr>
          </w:p>
        </w:tc>
        <w:tc>
          <w:tcPr>
            <w:tcW w:w="1620" w:type="dxa"/>
            <w:vAlign w:val="bottom"/>
            <w:gridSpan w:val="2"/>
            <w:vMerge w:val="continue"/>
            <w:shd w:val="clear" w:color="auto" w:fill="00558C"/>
          </w:tcPr>
          <w:p>
            <w:pPr>
              <w:spacing w:after="0"/>
              <w:rPr>
                <w:sz w:val="5"/>
                <w:szCs w:val="5"/>
                <w:color w:val="auto"/>
              </w:rPr>
            </w:pPr>
          </w:p>
        </w:tc>
        <w:tc>
          <w:tcPr>
            <w:tcW w:w="140" w:type="dxa"/>
            <w:vAlign w:val="bottom"/>
            <w:vMerge w:val="continue"/>
            <w:shd w:val="clear" w:color="auto" w:fill="00558C"/>
          </w:tcPr>
          <w:p>
            <w:pPr>
              <w:spacing w:after="0"/>
              <w:rPr>
                <w:sz w:val="5"/>
                <w:szCs w:val="5"/>
                <w:color w:val="auto"/>
              </w:rPr>
            </w:pPr>
          </w:p>
        </w:tc>
        <w:tc>
          <w:tcPr>
            <w:tcW w:w="20" w:type="dxa"/>
            <w:vAlign w:val="bottom"/>
            <w:shd w:val="clear" w:color="auto" w:fill="B2B3B6"/>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920" w:type="dxa"/>
            <w:vAlign w:val="bottom"/>
            <w:tcBorders>
              <w:left w:val="single" w:sz="8" w:color="B2B3B6"/>
            </w:tcBorders>
            <w:vMerge w:val="continue"/>
            <w:shd w:val="clear" w:color="auto" w:fill="00558C"/>
          </w:tcPr>
          <w:p>
            <w:pPr>
              <w:spacing w:after="0"/>
              <w:rPr>
                <w:sz w:val="9"/>
                <w:szCs w:val="9"/>
                <w:color w:val="auto"/>
              </w:rPr>
            </w:pPr>
          </w:p>
        </w:tc>
        <w:tc>
          <w:tcPr>
            <w:tcW w:w="260" w:type="dxa"/>
            <w:vAlign w:val="bottom"/>
            <w:shd w:val="clear" w:color="auto" w:fill="F2F3F2"/>
          </w:tcPr>
          <w:p>
            <w:pPr>
              <w:spacing w:after="0"/>
              <w:rPr>
                <w:sz w:val="9"/>
                <w:szCs w:val="9"/>
                <w:color w:val="auto"/>
              </w:rPr>
            </w:pPr>
          </w:p>
        </w:tc>
        <w:tc>
          <w:tcPr>
            <w:tcW w:w="538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Growing Presence in Commercial Industries</w:t>
            </w:r>
          </w:p>
        </w:tc>
        <w:tc>
          <w:tcPr>
            <w:tcW w:w="180" w:type="dxa"/>
            <w:vAlign w:val="bottom"/>
            <w:vMerge w:val="continue"/>
            <w:shd w:val="clear" w:color="auto" w:fill="F2F3F2"/>
          </w:tcPr>
          <w:p>
            <w:pPr>
              <w:spacing w:after="0"/>
              <w:rPr>
                <w:sz w:val="9"/>
                <w:szCs w:val="9"/>
                <w:color w:val="auto"/>
              </w:rPr>
            </w:pPr>
          </w:p>
        </w:tc>
        <w:tc>
          <w:tcPr>
            <w:tcW w:w="440" w:type="dxa"/>
            <w:vAlign w:val="bottom"/>
            <w:tcBorders>
              <w:right w:val="single" w:sz="8" w:color="B2B3B6"/>
            </w:tcBorders>
            <w:vMerge w:val="continue"/>
          </w:tcPr>
          <w:p>
            <w:pPr>
              <w:spacing w:after="0"/>
              <w:rPr>
                <w:sz w:val="9"/>
                <w:szCs w:val="9"/>
                <w:color w:val="auto"/>
              </w:rPr>
            </w:pPr>
          </w:p>
        </w:tc>
        <w:tc>
          <w:tcPr>
            <w:tcW w:w="140" w:type="dxa"/>
            <w:vAlign w:val="bottom"/>
            <w:vMerge w:val="continue"/>
            <w:shd w:val="clear" w:color="auto" w:fill="00558C"/>
          </w:tcPr>
          <w:p>
            <w:pPr>
              <w:spacing w:after="0"/>
              <w:rPr>
                <w:sz w:val="9"/>
                <w:szCs w:val="9"/>
                <w:color w:val="auto"/>
              </w:rPr>
            </w:pPr>
          </w:p>
        </w:tc>
        <w:tc>
          <w:tcPr>
            <w:tcW w:w="1620" w:type="dxa"/>
            <w:vAlign w:val="bottom"/>
            <w:gridSpan w:val="2"/>
            <w:vMerge w:val="continue"/>
            <w:shd w:val="clear" w:color="auto" w:fill="00558C"/>
          </w:tcPr>
          <w:p>
            <w:pPr>
              <w:spacing w:after="0"/>
              <w:rPr>
                <w:sz w:val="9"/>
                <w:szCs w:val="9"/>
                <w:color w:val="auto"/>
              </w:rPr>
            </w:pPr>
          </w:p>
        </w:tc>
        <w:tc>
          <w:tcPr>
            <w:tcW w:w="140" w:type="dxa"/>
            <w:vAlign w:val="bottom"/>
            <w:vMerge w:val="continue"/>
            <w:shd w:val="clear" w:color="auto" w:fill="00558C"/>
          </w:tcPr>
          <w:p>
            <w:pPr>
              <w:spacing w:after="0"/>
              <w:rPr>
                <w:sz w:val="9"/>
                <w:szCs w:val="9"/>
                <w:color w:val="auto"/>
              </w:rPr>
            </w:pPr>
          </w:p>
        </w:tc>
        <w:tc>
          <w:tcPr>
            <w:tcW w:w="20" w:type="dxa"/>
            <w:vAlign w:val="bottom"/>
            <w:shd w:val="clear" w:color="auto" w:fill="B2B3B6"/>
          </w:tcPr>
          <w:p>
            <w:pPr>
              <w:spacing w:after="0"/>
              <w:rPr>
                <w:sz w:val="9"/>
                <w:szCs w:val="9"/>
                <w:color w:val="auto"/>
              </w:rPr>
            </w:pPr>
          </w:p>
        </w:tc>
        <w:tc>
          <w:tcPr>
            <w:tcW w:w="0" w:type="dxa"/>
            <w:vAlign w:val="bottom"/>
          </w:tcPr>
          <w:p>
            <w:pPr>
              <w:spacing w:after="0"/>
              <w:rPr>
                <w:sz w:val="1"/>
                <w:szCs w:val="1"/>
                <w:color w:val="auto"/>
              </w:rPr>
            </w:pPr>
          </w:p>
        </w:tc>
      </w:tr>
      <w:tr>
        <w:trPr>
          <w:trHeight w:val="218"/>
        </w:trPr>
        <w:tc>
          <w:tcPr>
            <w:tcW w:w="920" w:type="dxa"/>
            <w:vAlign w:val="bottom"/>
            <w:tcBorders>
              <w:left w:val="single" w:sz="8" w:color="B2B3B6"/>
            </w:tcBorders>
            <w:vMerge w:val="continue"/>
            <w:shd w:val="clear" w:color="auto" w:fill="00558C"/>
          </w:tcPr>
          <w:p>
            <w:pPr>
              <w:spacing w:after="0"/>
              <w:rPr>
                <w:sz w:val="18"/>
                <w:szCs w:val="18"/>
                <w:color w:val="auto"/>
              </w:rPr>
            </w:pPr>
          </w:p>
        </w:tc>
        <w:tc>
          <w:tcPr>
            <w:tcW w:w="260" w:type="dxa"/>
            <w:vAlign w:val="bottom"/>
            <w:shd w:val="clear" w:color="auto" w:fill="F2F3F2"/>
          </w:tcPr>
          <w:p>
            <w:pPr>
              <w:spacing w:after="0"/>
              <w:rPr>
                <w:sz w:val="18"/>
                <w:szCs w:val="18"/>
                <w:color w:val="auto"/>
              </w:rPr>
            </w:pPr>
          </w:p>
        </w:tc>
        <w:tc>
          <w:tcPr>
            <w:tcW w:w="5380" w:type="dxa"/>
            <w:vAlign w:val="bottom"/>
            <w:vMerge w:val="continue"/>
          </w:tcPr>
          <w:p>
            <w:pPr>
              <w:spacing w:after="0"/>
              <w:rPr>
                <w:sz w:val="18"/>
                <w:szCs w:val="18"/>
                <w:color w:val="auto"/>
              </w:rPr>
            </w:pPr>
          </w:p>
        </w:tc>
        <w:tc>
          <w:tcPr>
            <w:tcW w:w="180" w:type="dxa"/>
            <w:vAlign w:val="bottom"/>
            <w:shd w:val="clear" w:color="auto" w:fill="F2F3F2"/>
          </w:tcPr>
          <w:p>
            <w:pPr>
              <w:spacing w:after="0"/>
              <w:rPr>
                <w:sz w:val="18"/>
                <w:szCs w:val="18"/>
                <w:color w:val="auto"/>
              </w:rPr>
            </w:pPr>
          </w:p>
        </w:tc>
        <w:tc>
          <w:tcPr>
            <w:tcW w:w="440" w:type="dxa"/>
            <w:vAlign w:val="bottom"/>
            <w:tcBorders>
              <w:right w:val="single" w:sz="8" w:color="B2B3B6"/>
            </w:tcBorders>
          </w:tcPr>
          <w:p>
            <w:pPr>
              <w:spacing w:after="0"/>
              <w:rPr>
                <w:sz w:val="18"/>
                <w:szCs w:val="18"/>
                <w:color w:val="auto"/>
              </w:rPr>
            </w:pPr>
          </w:p>
        </w:tc>
        <w:tc>
          <w:tcPr>
            <w:tcW w:w="140" w:type="dxa"/>
            <w:vAlign w:val="bottom"/>
            <w:shd w:val="clear" w:color="auto" w:fill="00558C"/>
          </w:tcPr>
          <w:p>
            <w:pPr>
              <w:spacing w:after="0"/>
              <w:rPr>
                <w:sz w:val="18"/>
                <w:szCs w:val="18"/>
                <w:color w:val="auto"/>
              </w:rPr>
            </w:pPr>
          </w:p>
        </w:tc>
        <w:tc>
          <w:tcPr>
            <w:tcW w:w="160" w:type="dxa"/>
            <w:vAlign w:val="bottom"/>
            <w:shd w:val="clear" w:color="auto" w:fill="00558C"/>
          </w:tcPr>
          <w:p>
            <w:pPr>
              <w:spacing w:after="0"/>
              <w:rPr>
                <w:sz w:val="18"/>
                <w:szCs w:val="18"/>
                <w:color w:val="auto"/>
              </w:rPr>
            </w:pPr>
          </w:p>
        </w:tc>
        <w:tc>
          <w:tcPr>
            <w:tcW w:w="1460" w:type="dxa"/>
            <w:vAlign w:val="bottom"/>
            <w:shd w:val="clear" w:color="auto" w:fill="00558C"/>
          </w:tcPr>
          <w:p>
            <w:pPr>
              <w:spacing w:after="0"/>
              <w:rPr>
                <w:sz w:val="18"/>
                <w:szCs w:val="18"/>
                <w:color w:val="auto"/>
              </w:rPr>
            </w:pPr>
          </w:p>
        </w:tc>
        <w:tc>
          <w:tcPr>
            <w:tcW w:w="140" w:type="dxa"/>
            <w:vAlign w:val="bottom"/>
            <w:shd w:val="clear" w:color="auto" w:fill="00558C"/>
          </w:tcPr>
          <w:p>
            <w:pPr>
              <w:spacing w:after="0"/>
              <w:rPr>
                <w:sz w:val="18"/>
                <w:szCs w:val="18"/>
                <w:color w:val="auto"/>
              </w:rPr>
            </w:pPr>
          </w:p>
        </w:tc>
        <w:tc>
          <w:tcPr>
            <w:tcW w:w="20" w:type="dxa"/>
            <w:vAlign w:val="bottom"/>
            <w:shd w:val="clear" w:color="auto" w:fill="B2B3B6"/>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920" w:type="dxa"/>
            <w:vAlign w:val="bottom"/>
            <w:tcBorders>
              <w:left w:val="single" w:sz="8" w:color="B2B3B6"/>
            </w:tcBorders>
            <w:shd w:val="clear" w:color="auto" w:fill="00558C"/>
          </w:tcPr>
          <w:p>
            <w:pPr>
              <w:spacing w:after="0"/>
              <w:rPr>
                <w:sz w:val="3"/>
                <w:szCs w:val="3"/>
                <w:color w:val="auto"/>
              </w:rPr>
            </w:pPr>
          </w:p>
        </w:tc>
        <w:tc>
          <w:tcPr>
            <w:tcW w:w="260" w:type="dxa"/>
            <w:vAlign w:val="bottom"/>
            <w:shd w:val="clear" w:color="auto" w:fill="F2F3F2"/>
          </w:tcPr>
          <w:p>
            <w:pPr>
              <w:spacing w:after="0"/>
              <w:rPr>
                <w:sz w:val="3"/>
                <w:szCs w:val="3"/>
                <w:color w:val="auto"/>
              </w:rPr>
            </w:pPr>
          </w:p>
        </w:tc>
        <w:tc>
          <w:tcPr>
            <w:tcW w:w="5380" w:type="dxa"/>
            <w:vAlign w:val="bottom"/>
            <w:vMerge w:val="continue"/>
          </w:tcPr>
          <w:p>
            <w:pPr>
              <w:spacing w:after="0"/>
              <w:rPr>
                <w:sz w:val="3"/>
                <w:szCs w:val="3"/>
                <w:color w:val="auto"/>
              </w:rPr>
            </w:pPr>
          </w:p>
        </w:tc>
        <w:tc>
          <w:tcPr>
            <w:tcW w:w="180" w:type="dxa"/>
            <w:vAlign w:val="bottom"/>
            <w:shd w:val="clear" w:color="auto" w:fill="F2F3F2"/>
          </w:tcPr>
          <w:p>
            <w:pPr>
              <w:spacing w:after="0"/>
              <w:rPr>
                <w:sz w:val="3"/>
                <w:szCs w:val="3"/>
                <w:color w:val="auto"/>
              </w:rPr>
            </w:pPr>
          </w:p>
        </w:tc>
        <w:tc>
          <w:tcPr>
            <w:tcW w:w="440" w:type="dxa"/>
            <w:vAlign w:val="bottom"/>
            <w:tcBorders>
              <w:right w:val="single" w:sz="8" w:color="B2B3B6"/>
            </w:tcBorders>
          </w:tcPr>
          <w:p>
            <w:pPr>
              <w:spacing w:after="0"/>
              <w:rPr>
                <w:sz w:val="3"/>
                <w:szCs w:val="3"/>
                <w:color w:val="auto"/>
              </w:rPr>
            </w:pPr>
          </w:p>
        </w:tc>
        <w:tc>
          <w:tcPr>
            <w:tcW w:w="140" w:type="dxa"/>
            <w:vAlign w:val="bottom"/>
            <w:shd w:val="clear" w:color="auto" w:fill="00558C"/>
          </w:tcPr>
          <w:p>
            <w:pPr>
              <w:spacing w:after="0"/>
              <w:rPr>
                <w:sz w:val="3"/>
                <w:szCs w:val="3"/>
                <w:color w:val="auto"/>
              </w:rPr>
            </w:pPr>
          </w:p>
        </w:tc>
        <w:tc>
          <w:tcPr>
            <w:tcW w:w="160" w:type="dxa"/>
            <w:vAlign w:val="bottom"/>
            <w:shd w:val="clear" w:color="auto" w:fill="00558C"/>
          </w:tcPr>
          <w:p>
            <w:pPr>
              <w:spacing w:after="0"/>
              <w:rPr>
                <w:sz w:val="3"/>
                <w:szCs w:val="3"/>
                <w:color w:val="auto"/>
              </w:rPr>
            </w:pPr>
          </w:p>
        </w:tc>
        <w:tc>
          <w:tcPr>
            <w:tcW w:w="1460" w:type="dxa"/>
            <w:vAlign w:val="bottom"/>
            <w:shd w:val="clear" w:color="auto" w:fill="00558C"/>
          </w:tcPr>
          <w:p>
            <w:pPr>
              <w:spacing w:after="0"/>
              <w:rPr>
                <w:sz w:val="3"/>
                <w:szCs w:val="3"/>
                <w:color w:val="auto"/>
              </w:rPr>
            </w:pPr>
          </w:p>
        </w:tc>
        <w:tc>
          <w:tcPr>
            <w:tcW w:w="140" w:type="dxa"/>
            <w:vAlign w:val="bottom"/>
            <w:shd w:val="clear" w:color="auto" w:fill="00558C"/>
          </w:tcPr>
          <w:p>
            <w:pPr>
              <w:spacing w:after="0"/>
              <w:rPr>
                <w:sz w:val="3"/>
                <w:szCs w:val="3"/>
                <w:color w:val="auto"/>
              </w:rPr>
            </w:pPr>
          </w:p>
        </w:tc>
        <w:tc>
          <w:tcPr>
            <w:tcW w:w="20" w:type="dxa"/>
            <w:vAlign w:val="bottom"/>
            <w:shd w:val="clear" w:color="auto" w:fill="B2B3B6"/>
          </w:tcPr>
          <w:p>
            <w:pPr>
              <w:spacing w:after="0"/>
              <w:rPr>
                <w:sz w:val="3"/>
                <w:szCs w:val="3"/>
                <w:color w:val="auto"/>
              </w:rPr>
            </w:pPr>
          </w:p>
        </w:tc>
        <w:tc>
          <w:tcPr>
            <w:tcW w:w="0" w:type="dxa"/>
            <w:vAlign w:val="bottom"/>
          </w:tcPr>
          <w:p>
            <w:pPr>
              <w:spacing w:after="0"/>
              <w:rPr>
                <w:sz w:val="1"/>
                <w:szCs w:val="1"/>
                <w:color w:val="auto"/>
              </w:rPr>
            </w:pPr>
          </w:p>
        </w:tc>
      </w:tr>
      <w:tr>
        <w:trPr>
          <w:trHeight w:val="219"/>
        </w:trPr>
        <w:tc>
          <w:tcPr>
            <w:tcW w:w="920" w:type="dxa"/>
            <w:vAlign w:val="bottom"/>
            <w:tcBorders>
              <w:left w:val="single" w:sz="8" w:color="B2B3B6"/>
              <w:bottom w:val="single" w:sz="8" w:color="00558C"/>
            </w:tcBorders>
            <w:shd w:val="clear" w:color="auto" w:fill="00558C"/>
          </w:tcPr>
          <w:p>
            <w:pPr>
              <w:spacing w:after="0"/>
              <w:rPr>
                <w:sz w:val="19"/>
                <w:szCs w:val="19"/>
                <w:color w:val="auto"/>
              </w:rPr>
            </w:pPr>
          </w:p>
        </w:tc>
        <w:tc>
          <w:tcPr>
            <w:tcW w:w="260" w:type="dxa"/>
            <w:vAlign w:val="bottom"/>
            <w:tcBorders>
              <w:bottom w:val="single" w:sz="8" w:color="F2F3F2"/>
            </w:tcBorders>
            <w:shd w:val="clear" w:color="auto" w:fill="F2F3F2"/>
          </w:tcPr>
          <w:p>
            <w:pPr>
              <w:spacing w:after="0"/>
              <w:rPr>
                <w:sz w:val="19"/>
                <w:szCs w:val="19"/>
                <w:color w:val="auto"/>
              </w:rPr>
            </w:pPr>
          </w:p>
        </w:tc>
        <w:tc>
          <w:tcPr>
            <w:tcW w:w="5380" w:type="dxa"/>
            <w:vAlign w:val="bottom"/>
          </w:tcPr>
          <w:p>
            <w:pPr>
              <w:ind w:left="140"/>
              <w:spacing w:after="0"/>
              <w:rPr>
                <w:sz w:val="20"/>
                <w:szCs w:val="20"/>
                <w:color w:val="auto"/>
              </w:rPr>
            </w:pPr>
            <w:r>
              <w:rPr>
                <w:rFonts w:ascii="Arial" w:cs="Arial" w:eastAsia="Arial" w:hAnsi="Arial"/>
                <w:sz w:val="14"/>
                <w:szCs w:val="14"/>
                <w:color w:val="auto"/>
              </w:rPr>
              <w:t>Focus: Expanding our growing credentials in commercial end markets</w:t>
            </w:r>
          </w:p>
        </w:tc>
        <w:tc>
          <w:tcPr>
            <w:tcW w:w="180" w:type="dxa"/>
            <w:vAlign w:val="bottom"/>
            <w:tcBorders>
              <w:bottom w:val="single" w:sz="8" w:color="F2F3F2"/>
            </w:tcBorders>
            <w:shd w:val="clear" w:color="auto" w:fill="F2F3F2"/>
          </w:tcPr>
          <w:p>
            <w:pPr>
              <w:spacing w:after="0"/>
              <w:rPr>
                <w:sz w:val="19"/>
                <w:szCs w:val="19"/>
                <w:color w:val="auto"/>
              </w:rPr>
            </w:pPr>
          </w:p>
        </w:tc>
        <w:tc>
          <w:tcPr>
            <w:tcW w:w="440" w:type="dxa"/>
            <w:vAlign w:val="bottom"/>
            <w:tcBorders>
              <w:right w:val="single" w:sz="8" w:color="B2B3B6"/>
            </w:tcBorders>
          </w:tcPr>
          <w:p>
            <w:pPr>
              <w:spacing w:after="0"/>
              <w:rPr>
                <w:sz w:val="19"/>
                <w:szCs w:val="19"/>
                <w:color w:val="auto"/>
              </w:rPr>
            </w:pPr>
          </w:p>
        </w:tc>
        <w:tc>
          <w:tcPr>
            <w:tcW w:w="140" w:type="dxa"/>
            <w:vAlign w:val="bottom"/>
            <w:tcBorders>
              <w:bottom w:val="single" w:sz="8" w:color="00558C"/>
            </w:tcBorders>
            <w:shd w:val="clear" w:color="auto" w:fill="00558C"/>
          </w:tcPr>
          <w:p>
            <w:pPr>
              <w:spacing w:after="0"/>
              <w:rPr>
                <w:sz w:val="19"/>
                <w:szCs w:val="19"/>
                <w:color w:val="auto"/>
              </w:rPr>
            </w:pPr>
          </w:p>
        </w:tc>
        <w:tc>
          <w:tcPr>
            <w:tcW w:w="160" w:type="dxa"/>
            <w:vAlign w:val="bottom"/>
            <w:tcBorders>
              <w:bottom w:val="single" w:sz="8" w:color="00558C"/>
            </w:tcBorders>
            <w:shd w:val="clear" w:color="auto" w:fill="00558C"/>
          </w:tcPr>
          <w:p>
            <w:pPr>
              <w:spacing w:after="0"/>
              <w:rPr>
                <w:sz w:val="19"/>
                <w:szCs w:val="19"/>
                <w:color w:val="auto"/>
              </w:rPr>
            </w:pPr>
          </w:p>
        </w:tc>
        <w:tc>
          <w:tcPr>
            <w:tcW w:w="1460" w:type="dxa"/>
            <w:vAlign w:val="bottom"/>
            <w:tcBorders>
              <w:bottom w:val="single" w:sz="8" w:color="00558C"/>
            </w:tcBorders>
            <w:shd w:val="clear" w:color="auto" w:fill="00558C"/>
          </w:tcPr>
          <w:p>
            <w:pPr>
              <w:spacing w:after="0"/>
              <w:rPr>
                <w:sz w:val="19"/>
                <w:szCs w:val="19"/>
                <w:color w:val="auto"/>
              </w:rPr>
            </w:pPr>
          </w:p>
        </w:tc>
        <w:tc>
          <w:tcPr>
            <w:tcW w:w="140" w:type="dxa"/>
            <w:vAlign w:val="bottom"/>
            <w:tcBorders>
              <w:bottom w:val="single" w:sz="8" w:color="00558C"/>
            </w:tcBorders>
            <w:shd w:val="clear" w:color="auto" w:fill="00558C"/>
          </w:tcPr>
          <w:p>
            <w:pPr>
              <w:spacing w:after="0"/>
              <w:rPr>
                <w:sz w:val="19"/>
                <w:szCs w:val="19"/>
                <w:color w:val="auto"/>
              </w:rPr>
            </w:pPr>
          </w:p>
        </w:tc>
        <w:tc>
          <w:tcPr>
            <w:tcW w:w="20" w:type="dxa"/>
            <w:vAlign w:val="bottom"/>
            <w:tcBorders>
              <w:bottom w:val="single" w:sz="8" w:color="B2B3B6"/>
            </w:tcBorders>
            <w:shd w:val="clear" w:color="auto" w:fill="B2B3B6"/>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920" w:type="dxa"/>
            <w:vAlign w:val="bottom"/>
            <w:tcBorders>
              <w:left w:val="single" w:sz="8" w:color="B2B3B6"/>
            </w:tcBorders>
            <w:shd w:val="clear" w:color="auto" w:fill="00558C"/>
          </w:tcPr>
          <w:p>
            <w:pPr>
              <w:spacing w:after="0"/>
              <w:rPr>
                <w:sz w:val="7"/>
                <w:szCs w:val="7"/>
                <w:color w:val="auto"/>
              </w:rPr>
            </w:pPr>
          </w:p>
        </w:tc>
        <w:tc>
          <w:tcPr>
            <w:tcW w:w="260" w:type="dxa"/>
            <w:vAlign w:val="bottom"/>
            <w:shd w:val="clear" w:color="auto" w:fill="F2F3F2"/>
          </w:tcPr>
          <w:p>
            <w:pPr>
              <w:spacing w:after="0"/>
              <w:rPr>
                <w:sz w:val="7"/>
                <w:szCs w:val="7"/>
                <w:color w:val="auto"/>
              </w:rPr>
            </w:pPr>
          </w:p>
        </w:tc>
        <w:tc>
          <w:tcPr>
            <w:tcW w:w="5380" w:type="dxa"/>
            <w:vAlign w:val="bottom"/>
          </w:tcPr>
          <w:p>
            <w:pPr>
              <w:spacing w:after="0"/>
              <w:rPr>
                <w:sz w:val="7"/>
                <w:szCs w:val="7"/>
                <w:color w:val="auto"/>
              </w:rPr>
            </w:pPr>
          </w:p>
        </w:tc>
        <w:tc>
          <w:tcPr>
            <w:tcW w:w="180" w:type="dxa"/>
            <w:vAlign w:val="bottom"/>
            <w:shd w:val="clear" w:color="auto" w:fill="F2F3F2"/>
          </w:tcPr>
          <w:p>
            <w:pPr>
              <w:spacing w:after="0"/>
              <w:rPr>
                <w:sz w:val="7"/>
                <w:szCs w:val="7"/>
                <w:color w:val="auto"/>
              </w:rPr>
            </w:pPr>
          </w:p>
        </w:tc>
        <w:tc>
          <w:tcPr>
            <w:tcW w:w="440" w:type="dxa"/>
            <w:vAlign w:val="bottom"/>
            <w:tcBorders>
              <w:right w:val="single" w:sz="8" w:color="F2F3F2"/>
            </w:tcBorders>
          </w:tcPr>
          <w:p>
            <w:pPr>
              <w:spacing w:after="0"/>
              <w:rPr>
                <w:sz w:val="7"/>
                <w:szCs w:val="7"/>
                <w:color w:val="auto"/>
              </w:rPr>
            </w:pPr>
          </w:p>
        </w:tc>
        <w:tc>
          <w:tcPr>
            <w:tcW w:w="140" w:type="dxa"/>
            <w:vAlign w:val="bottom"/>
            <w:shd w:val="clear" w:color="auto" w:fill="F2F3F2"/>
          </w:tcPr>
          <w:p>
            <w:pPr>
              <w:spacing w:after="0"/>
              <w:rPr>
                <w:sz w:val="7"/>
                <w:szCs w:val="7"/>
                <w:color w:val="auto"/>
              </w:rPr>
            </w:pPr>
          </w:p>
        </w:tc>
        <w:tc>
          <w:tcPr>
            <w:tcW w:w="1620" w:type="dxa"/>
            <w:vAlign w:val="bottom"/>
            <w:gridSpan w:val="2"/>
            <w:vMerge w:val="restart"/>
            <w:shd w:val="clear" w:color="auto" w:fill="F2F3F2"/>
          </w:tcPr>
          <w:p>
            <w:pPr>
              <w:ind w:left="40"/>
              <w:spacing w:after="0"/>
              <w:rPr>
                <w:sz w:val="20"/>
                <w:szCs w:val="20"/>
                <w:color w:val="auto"/>
              </w:rPr>
            </w:pPr>
            <w:r>
              <w:rPr>
                <w:rFonts w:ascii="Arial" w:cs="Arial" w:eastAsia="Arial" w:hAnsi="Arial"/>
                <w:sz w:val="14"/>
                <w:szCs w:val="14"/>
                <w:b w:val="1"/>
                <w:bCs w:val="1"/>
                <w:color w:val="6AAA37"/>
              </w:rPr>
              <w:t xml:space="preserve">•  </w:t>
            </w:r>
            <w:r>
              <w:rPr>
                <w:rFonts w:ascii="Arial" w:cs="Arial" w:eastAsia="Arial" w:hAnsi="Arial"/>
                <w:sz w:val="14"/>
                <w:szCs w:val="14"/>
                <w:color w:val="000000"/>
              </w:rPr>
              <w:t>Low double-digit</w:t>
            </w:r>
          </w:p>
        </w:tc>
        <w:tc>
          <w:tcPr>
            <w:tcW w:w="140" w:type="dxa"/>
            <w:vAlign w:val="bottom"/>
            <w:shd w:val="clear" w:color="auto" w:fill="F2F3F2"/>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920" w:type="dxa"/>
            <w:vAlign w:val="bottom"/>
            <w:tcBorders>
              <w:left w:val="single" w:sz="8" w:color="B2B3B6"/>
            </w:tcBorders>
            <w:shd w:val="clear" w:color="auto" w:fill="00558C"/>
          </w:tcPr>
          <w:p>
            <w:pPr>
              <w:spacing w:after="0"/>
              <w:rPr>
                <w:sz w:val="6"/>
                <w:szCs w:val="6"/>
                <w:color w:val="auto"/>
              </w:rPr>
            </w:pPr>
          </w:p>
        </w:tc>
        <w:tc>
          <w:tcPr>
            <w:tcW w:w="260" w:type="dxa"/>
            <w:vAlign w:val="bottom"/>
            <w:shd w:val="clear" w:color="auto" w:fill="F2F3F2"/>
          </w:tcPr>
          <w:p>
            <w:pPr>
              <w:spacing w:after="0"/>
              <w:rPr>
                <w:sz w:val="6"/>
                <w:szCs w:val="6"/>
                <w:color w:val="auto"/>
              </w:rPr>
            </w:pPr>
          </w:p>
        </w:tc>
        <w:tc>
          <w:tcPr>
            <w:tcW w:w="5380" w:type="dxa"/>
            <w:vAlign w:val="bottom"/>
            <w:shd w:val="clear" w:color="auto" w:fill="F2F3F2"/>
          </w:tcPr>
          <w:p>
            <w:pPr>
              <w:spacing w:after="0"/>
              <w:rPr>
                <w:sz w:val="6"/>
                <w:szCs w:val="6"/>
                <w:color w:val="auto"/>
              </w:rPr>
            </w:pPr>
          </w:p>
        </w:tc>
        <w:tc>
          <w:tcPr>
            <w:tcW w:w="180" w:type="dxa"/>
            <w:vAlign w:val="bottom"/>
            <w:shd w:val="clear" w:color="auto" w:fill="F2F3F2"/>
          </w:tcPr>
          <w:p>
            <w:pPr>
              <w:spacing w:after="0"/>
              <w:rPr>
                <w:sz w:val="6"/>
                <w:szCs w:val="6"/>
                <w:color w:val="auto"/>
              </w:rPr>
            </w:pPr>
          </w:p>
        </w:tc>
        <w:tc>
          <w:tcPr>
            <w:tcW w:w="440" w:type="dxa"/>
            <w:vAlign w:val="bottom"/>
            <w:tcBorders>
              <w:right w:val="single" w:sz="8" w:color="F2F3F2"/>
            </w:tcBorders>
          </w:tcPr>
          <w:p>
            <w:pPr>
              <w:spacing w:after="0"/>
              <w:rPr>
                <w:sz w:val="6"/>
                <w:szCs w:val="6"/>
                <w:color w:val="auto"/>
              </w:rPr>
            </w:pPr>
          </w:p>
        </w:tc>
        <w:tc>
          <w:tcPr>
            <w:tcW w:w="140" w:type="dxa"/>
            <w:vAlign w:val="bottom"/>
            <w:shd w:val="clear" w:color="auto" w:fill="F2F3F2"/>
          </w:tcPr>
          <w:p>
            <w:pPr>
              <w:spacing w:after="0"/>
              <w:rPr>
                <w:sz w:val="6"/>
                <w:szCs w:val="6"/>
                <w:color w:val="auto"/>
              </w:rPr>
            </w:pPr>
          </w:p>
        </w:tc>
        <w:tc>
          <w:tcPr>
            <w:tcW w:w="1620" w:type="dxa"/>
            <w:vAlign w:val="bottom"/>
            <w:gridSpan w:val="2"/>
            <w:vMerge w:val="continue"/>
            <w:shd w:val="clear" w:color="auto" w:fill="F2F3F2"/>
          </w:tcPr>
          <w:p>
            <w:pPr>
              <w:spacing w:after="0"/>
              <w:rPr>
                <w:sz w:val="6"/>
                <w:szCs w:val="6"/>
                <w:color w:val="auto"/>
              </w:rPr>
            </w:pPr>
          </w:p>
        </w:tc>
        <w:tc>
          <w:tcPr>
            <w:tcW w:w="140" w:type="dxa"/>
            <w:vAlign w:val="bottom"/>
            <w:shd w:val="clear" w:color="auto" w:fill="F2F3F2"/>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920" w:type="dxa"/>
            <w:vAlign w:val="bottom"/>
            <w:tcBorders>
              <w:left w:val="single" w:sz="8" w:color="B2B3B6"/>
            </w:tcBorders>
            <w:vMerge w:val="restart"/>
            <w:shd w:val="clear" w:color="auto" w:fill="00558C"/>
          </w:tcPr>
          <w:p>
            <w:pPr>
              <w:jc w:val="right"/>
              <w:ind w:right="74"/>
              <w:spacing w:after="0"/>
              <w:rPr>
                <w:sz w:val="20"/>
                <w:szCs w:val="20"/>
                <w:color w:val="auto"/>
              </w:rPr>
            </w:pPr>
            <w:r>
              <w:rPr>
                <w:rFonts w:ascii="Arial" w:cs="Arial" w:eastAsia="Arial" w:hAnsi="Arial"/>
                <w:sz w:val="50"/>
                <w:szCs w:val="50"/>
                <w:color w:val="FFFFFF"/>
              </w:rPr>
              <w:t>3</w:t>
            </w:r>
          </w:p>
        </w:tc>
        <w:tc>
          <w:tcPr>
            <w:tcW w:w="260" w:type="dxa"/>
            <w:vAlign w:val="bottom"/>
            <w:shd w:val="clear" w:color="auto" w:fill="F2F3F2"/>
          </w:tcPr>
          <w:p>
            <w:pPr>
              <w:spacing w:after="0"/>
              <w:rPr>
                <w:sz w:val="5"/>
                <w:szCs w:val="5"/>
                <w:color w:val="auto"/>
              </w:rPr>
            </w:pPr>
          </w:p>
        </w:tc>
        <w:tc>
          <w:tcPr>
            <w:tcW w:w="5380" w:type="dxa"/>
            <w:vAlign w:val="bottom"/>
            <w:shd w:val="clear" w:color="auto" w:fill="F2F3F2"/>
          </w:tcPr>
          <w:p>
            <w:pPr>
              <w:spacing w:after="0"/>
              <w:rPr>
                <w:sz w:val="5"/>
                <w:szCs w:val="5"/>
                <w:color w:val="auto"/>
              </w:rPr>
            </w:pPr>
          </w:p>
        </w:tc>
        <w:tc>
          <w:tcPr>
            <w:tcW w:w="180" w:type="dxa"/>
            <w:vAlign w:val="bottom"/>
            <w:vMerge w:val="restart"/>
            <w:shd w:val="clear" w:color="auto" w:fill="F2F3F2"/>
          </w:tcPr>
          <w:p>
            <w:pPr>
              <w:spacing w:after="0"/>
              <w:rPr>
                <w:sz w:val="5"/>
                <w:szCs w:val="5"/>
                <w:color w:val="auto"/>
              </w:rPr>
            </w:pPr>
          </w:p>
        </w:tc>
        <w:tc>
          <w:tcPr>
            <w:tcW w:w="440" w:type="dxa"/>
            <w:vAlign w:val="bottom"/>
            <w:tcBorders>
              <w:right w:val="single" w:sz="8" w:color="F2F3F2"/>
            </w:tcBorders>
            <w:vMerge w:val="restart"/>
          </w:tcPr>
          <w:p>
            <w:pPr>
              <w:spacing w:after="0"/>
              <w:rPr>
                <w:sz w:val="5"/>
                <w:szCs w:val="5"/>
                <w:color w:val="auto"/>
              </w:rPr>
            </w:pPr>
          </w:p>
        </w:tc>
        <w:tc>
          <w:tcPr>
            <w:tcW w:w="140" w:type="dxa"/>
            <w:vAlign w:val="bottom"/>
            <w:vMerge w:val="restart"/>
            <w:shd w:val="clear" w:color="auto" w:fill="F2F3F2"/>
          </w:tcPr>
          <w:p>
            <w:pPr>
              <w:spacing w:after="0"/>
              <w:rPr>
                <w:sz w:val="5"/>
                <w:szCs w:val="5"/>
                <w:color w:val="auto"/>
              </w:rPr>
            </w:pPr>
          </w:p>
        </w:tc>
        <w:tc>
          <w:tcPr>
            <w:tcW w:w="1620" w:type="dxa"/>
            <w:vAlign w:val="bottom"/>
            <w:gridSpan w:val="2"/>
            <w:vMerge w:val="continue"/>
            <w:shd w:val="clear" w:color="auto" w:fill="F2F3F2"/>
          </w:tcPr>
          <w:p>
            <w:pPr>
              <w:spacing w:after="0"/>
              <w:rPr>
                <w:sz w:val="5"/>
                <w:szCs w:val="5"/>
                <w:color w:val="auto"/>
              </w:rPr>
            </w:pPr>
          </w:p>
        </w:tc>
        <w:tc>
          <w:tcPr>
            <w:tcW w:w="140" w:type="dxa"/>
            <w:vAlign w:val="bottom"/>
            <w:vMerge w:val="restart"/>
            <w:shd w:val="clear" w:color="auto" w:fill="F2F3F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920" w:type="dxa"/>
            <w:vAlign w:val="bottom"/>
            <w:tcBorders>
              <w:left w:val="single" w:sz="8" w:color="B2B3B6"/>
            </w:tcBorders>
            <w:vMerge w:val="continue"/>
            <w:shd w:val="clear" w:color="auto" w:fill="00558C"/>
          </w:tcPr>
          <w:p>
            <w:pPr>
              <w:spacing w:after="0"/>
              <w:rPr>
                <w:sz w:val="8"/>
                <w:szCs w:val="8"/>
                <w:color w:val="auto"/>
              </w:rPr>
            </w:pPr>
          </w:p>
        </w:tc>
        <w:tc>
          <w:tcPr>
            <w:tcW w:w="260" w:type="dxa"/>
            <w:vAlign w:val="bottom"/>
            <w:shd w:val="clear" w:color="auto" w:fill="F2F3F2"/>
          </w:tcPr>
          <w:p>
            <w:pPr>
              <w:spacing w:after="0"/>
              <w:rPr>
                <w:sz w:val="8"/>
                <w:szCs w:val="8"/>
                <w:color w:val="auto"/>
              </w:rPr>
            </w:pPr>
          </w:p>
        </w:tc>
        <w:tc>
          <w:tcPr>
            <w:tcW w:w="538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Growing Global Digital Capability</w:t>
            </w:r>
          </w:p>
        </w:tc>
        <w:tc>
          <w:tcPr>
            <w:tcW w:w="180" w:type="dxa"/>
            <w:vAlign w:val="bottom"/>
            <w:vMerge w:val="continue"/>
            <w:shd w:val="clear" w:color="auto" w:fill="F2F3F2"/>
          </w:tcPr>
          <w:p>
            <w:pPr>
              <w:spacing w:after="0"/>
              <w:rPr>
                <w:sz w:val="8"/>
                <w:szCs w:val="8"/>
                <w:color w:val="auto"/>
              </w:rPr>
            </w:pPr>
          </w:p>
        </w:tc>
        <w:tc>
          <w:tcPr>
            <w:tcW w:w="440" w:type="dxa"/>
            <w:vAlign w:val="bottom"/>
            <w:tcBorders>
              <w:right w:val="single" w:sz="8" w:color="F2F3F2"/>
            </w:tcBorders>
            <w:vMerge w:val="continue"/>
          </w:tcPr>
          <w:p>
            <w:pPr>
              <w:spacing w:after="0"/>
              <w:rPr>
                <w:sz w:val="8"/>
                <w:szCs w:val="8"/>
                <w:color w:val="auto"/>
              </w:rPr>
            </w:pPr>
          </w:p>
        </w:tc>
        <w:tc>
          <w:tcPr>
            <w:tcW w:w="140" w:type="dxa"/>
            <w:vAlign w:val="bottom"/>
            <w:vMerge w:val="continue"/>
            <w:shd w:val="clear" w:color="auto" w:fill="F2F3F2"/>
          </w:tcPr>
          <w:p>
            <w:pPr>
              <w:spacing w:after="0"/>
              <w:rPr>
                <w:sz w:val="8"/>
                <w:szCs w:val="8"/>
                <w:color w:val="auto"/>
              </w:rPr>
            </w:pPr>
          </w:p>
        </w:tc>
        <w:tc>
          <w:tcPr>
            <w:tcW w:w="1620" w:type="dxa"/>
            <w:vAlign w:val="bottom"/>
            <w:gridSpan w:val="2"/>
            <w:vMerge w:val="continue"/>
            <w:shd w:val="clear" w:color="auto" w:fill="F2F3F2"/>
          </w:tcPr>
          <w:p>
            <w:pPr>
              <w:spacing w:after="0"/>
              <w:rPr>
                <w:sz w:val="8"/>
                <w:szCs w:val="8"/>
                <w:color w:val="auto"/>
              </w:rPr>
            </w:pPr>
          </w:p>
        </w:tc>
        <w:tc>
          <w:tcPr>
            <w:tcW w:w="140" w:type="dxa"/>
            <w:vAlign w:val="bottom"/>
            <w:vMerge w:val="continue"/>
            <w:shd w:val="clear" w:color="auto" w:fill="F2F3F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920" w:type="dxa"/>
            <w:vAlign w:val="bottom"/>
            <w:tcBorders>
              <w:left w:val="single" w:sz="8" w:color="B2B3B6"/>
            </w:tcBorders>
            <w:vMerge w:val="continue"/>
            <w:shd w:val="clear" w:color="auto" w:fill="00558C"/>
          </w:tcPr>
          <w:p>
            <w:pPr>
              <w:spacing w:after="0"/>
              <w:rPr>
                <w:sz w:val="12"/>
                <w:szCs w:val="12"/>
                <w:color w:val="auto"/>
              </w:rPr>
            </w:pPr>
          </w:p>
        </w:tc>
        <w:tc>
          <w:tcPr>
            <w:tcW w:w="260" w:type="dxa"/>
            <w:vAlign w:val="bottom"/>
            <w:shd w:val="clear" w:color="auto" w:fill="F2F3F2"/>
          </w:tcPr>
          <w:p>
            <w:pPr>
              <w:spacing w:after="0"/>
              <w:rPr>
                <w:sz w:val="12"/>
                <w:szCs w:val="12"/>
                <w:color w:val="auto"/>
              </w:rPr>
            </w:pPr>
          </w:p>
        </w:tc>
        <w:tc>
          <w:tcPr>
            <w:tcW w:w="5380" w:type="dxa"/>
            <w:vAlign w:val="bottom"/>
            <w:vMerge w:val="continue"/>
          </w:tcPr>
          <w:p>
            <w:pPr>
              <w:spacing w:after="0"/>
              <w:rPr>
                <w:sz w:val="12"/>
                <w:szCs w:val="12"/>
                <w:color w:val="auto"/>
              </w:rPr>
            </w:pPr>
          </w:p>
        </w:tc>
        <w:tc>
          <w:tcPr>
            <w:tcW w:w="180" w:type="dxa"/>
            <w:vAlign w:val="bottom"/>
            <w:shd w:val="clear" w:color="auto" w:fill="F2F3F2"/>
          </w:tcPr>
          <w:p>
            <w:pPr>
              <w:spacing w:after="0"/>
              <w:rPr>
                <w:sz w:val="12"/>
                <w:szCs w:val="12"/>
                <w:color w:val="auto"/>
              </w:rPr>
            </w:pPr>
          </w:p>
        </w:tc>
        <w:tc>
          <w:tcPr>
            <w:tcW w:w="440" w:type="dxa"/>
            <w:vAlign w:val="bottom"/>
            <w:tcBorders>
              <w:right w:val="single" w:sz="8" w:color="F2F3F2"/>
            </w:tcBorders>
          </w:tcPr>
          <w:p>
            <w:pPr>
              <w:spacing w:after="0"/>
              <w:rPr>
                <w:sz w:val="12"/>
                <w:szCs w:val="12"/>
                <w:color w:val="auto"/>
              </w:rPr>
            </w:pPr>
          </w:p>
        </w:tc>
        <w:tc>
          <w:tcPr>
            <w:tcW w:w="140" w:type="dxa"/>
            <w:vAlign w:val="bottom"/>
            <w:shd w:val="clear" w:color="auto" w:fill="F2F3F2"/>
          </w:tcPr>
          <w:p>
            <w:pPr>
              <w:spacing w:after="0"/>
              <w:rPr>
                <w:sz w:val="12"/>
                <w:szCs w:val="12"/>
                <w:color w:val="auto"/>
              </w:rPr>
            </w:pPr>
          </w:p>
        </w:tc>
        <w:tc>
          <w:tcPr>
            <w:tcW w:w="160" w:type="dxa"/>
            <w:vAlign w:val="bottom"/>
            <w:shd w:val="clear" w:color="auto" w:fill="F2F3F2"/>
          </w:tcPr>
          <w:p>
            <w:pPr>
              <w:spacing w:after="0"/>
              <w:rPr>
                <w:sz w:val="12"/>
                <w:szCs w:val="12"/>
                <w:color w:val="auto"/>
              </w:rPr>
            </w:pPr>
          </w:p>
        </w:tc>
        <w:tc>
          <w:tcPr>
            <w:tcW w:w="1460" w:type="dxa"/>
            <w:vAlign w:val="bottom"/>
            <w:shd w:val="clear" w:color="auto" w:fill="F2F3F2"/>
          </w:tcPr>
          <w:p>
            <w:pPr>
              <w:ind w:left="40"/>
              <w:spacing w:after="0" w:line="145" w:lineRule="exact"/>
              <w:rPr>
                <w:sz w:val="20"/>
                <w:szCs w:val="20"/>
                <w:color w:val="auto"/>
              </w:rPr>
            </w:pPr>
            <w:r>
              <w:rPr>
                <w:rFonts w:ascii="Arial" w:cs="Arial" w:eastAsia="Arial" w:hAnsi="Arial"/>
                <w:sz w:val="14"/>
                <w:szCs w:val="14"/>
                <w:color w:val="auto"/>
              </w:rPr>
              <w:t>annual revenue</w:t>
            </w:r>
          </w:p>
        </w:tc>
        <w:tc>
          <w:tcPr>
            <w:tcW w:w="140" w:type="dxa"/>
            <w:vAlign w:val="bottom"/>
            <w:shd w:val="clear" w:color="auto" w:fill="F2F3F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920" w:type="dxa"/>
            <w:vAlign w:val="bottom"/>
            <w:tcBorders>
              <w:left w:val="single" w:sz="8" w:color="B2B3B6"/>
            </w:tcBorders>
            <w:vMerge w:val="continue"/>
            <w:shd w:val="clear" w:color="auto" w:fill="00558C"/>
          </w:tcPr>
          <w:p>
            <w:pPr>
              <w:spacing w:after="0"/>
              <w:rPr>
                <w:sz w:val="16"/>
                <w:szCs w:val="16"/>
                <w:color w:val="auto"/>
              </w:rPr>
            </w:pPr>
          </w:p>
        </w:tc>
        <w:tc>
          <w:tcPr>
            <w:tcW w:w="260" w:type="dxa"/>
            <w:vAlign w:val="bottom"/>
            <w:shd w:val="clear" w:color="auto" w:fill="F2F3F2"/>
          </w:tcPr>
          <w:p>
            <w:pPr>
              <w:spacing w:after="0"/>
              <w:rPr>
                <w:sz w:val="16"/>
                <w:szCs w:val="16"/>
                <w:color w:val="auto"/>
              </w:rPr>
            </w:pPr>
          </w:p>
        </w:tc>
        <w:tc>
          <w:tcPr>
            <w:tcW w:w="5380" w:type="dxa"/>
            <w:vAlign w:val="bottom"/>
            <w:vMerge w:val="restart"/>
          </w:tcPr>
          <w:p>
            <w:pPr>
              <w:ind w:left="140"/>
              <w:spacing w:after="0"/>
              <w:rPr>
                <w:sz w:val="20"/>
                <w:szCs w:val="20"/>
                <w:color w:val="auto"/>
              </w:rPr>
            </w:pPr>
            <w:r>
              <w:rPr>
                <w:rFonts w:ascii="Arial" w:cs="Arial" w:eastAsia="Arial" w:hAnsi="Arial"/>
                <w:sz w:val="14"/>
                <w:szCs w:val="14"/>
                <w:color w:val="auto"/>
              </w:rPr>
              <w:t>Focus: Advancing our integrated digital platform to support its strong growth</w:t>
            </w:r>
          </w:p>
        </w:tc>
        <w:tc>
          <w:tcPr>
            <w:tcW w:w="180" w:type="dxa"/>
            <w:vAlign w:val="bottom"/>
            <w:shd w:val="clear" w:color="auto" w:fill="F2F3F2"/>
          </w:tcPr>
          <w:p>
            <w:pPr>
              <w:spacing w:after="0"/>
              <w:rPr>
                <w:sz w:val="16"/>
                <w:szCs w:val="16"/>
                <w:color w:val="auto"/>
              </w:rPr>
            </w:pPr>
          </w:p>
        </w:tc>
        <w:tc>
          <w:tcPr>
            <w:tcW w:w="440" w:type="dxa"/>
            <w:vAlign w:val="bottom"/>
            <w:tcBorders>
              <w:right w:val="single" w:sz="8" w:color="F2F3F2"/>
            </w:tcBorders>
          </w:tcPr>
          <w:p>
            <w:pPr>
              <w:spacing w:after="0"/>
              <w:rPr>
                <w:sz w:val="16"/>
                <w:szCs w:val="16"/>
                <w:color w:val="auto"/>
              </w:rPr>
            </w:pPr>
          </w:p>
        </w:tc>
        <w:tc>
          <w:tcPr>
            <w:tcW w:w="140" w:type="dxa"/>
            <w:vAlign w:val="bottom"/>
            <w:shd w:val="clear" w:color="auto" w:fill="F2F3F2"/>
          </w:tcPr>
          <w:p>
            <w:pPr>
              <w:spacing w:after="0"/>
              <w:rPr>
                <w:sz w:val="16"/>
                <w:szCs w:val="16"/>
                <w:color w:val="auto"/>
              </w:rPr>
            </w:pPr>
          </w:p>
        </w:tc>
        <w:tc>
          <w:tcPr>
            <w:tcW w:w="160" w:type="dxa"/>
            <w:vAlign w:val="bottom"/>
            <w:shd w:val="clear" w:color="auto" w:fill="F2F3F2"/>
          </w:tcPr>
          <w:p>
            <w:pPr>
              <w:spacing w:after="0"/>
              <w:rPr>
                <w:sz w:val="16"/>
                <w:szCs w:val="16"/>
                <w:color w:val="auto"/>
              </w:rPr>
            </w:pPr>
          </w:p>
        </w:tc>
        <w:tc>
          <w:tcPr>
            <w:tcW w:w="1460" w:type="dxa"/>
            <w:vAlign w:val="bottom"/>
            <w:shd w:val="clear" w:color="auto" w:fill="F2F3F2"/>
          </w:tcPr>
          <w:p>
            <w:pPr>
              <w:ind w:left="40"/>
              <w:spacing w:after="0"/>
              <w:rPr>
                <w:sz w:val="20"/>
                <w:szCs w:val="20"/>
                <w:color w:val="auto"/>
              </w:rPr>
            </w:pPr>
            <w:r>
              <w:rPr>
                <w:rFonts w:ascii="Arial" w:cs="Arial" w:eastAsia="Arial" w:hAnsi="Arial"/>
                <w:sz w:val="14"/>
                <w:szCs w:val="14"/>
                <w:color w:val="auto"/>
              </w:rPr>
              <w:t>growth</w:t>
            </w:r>
          </w:p>
        </w:tc>
        <w:tc>
          <w:tcPr>
            <w:tcW w:w="140" w:type="dxa"/>
            <w:vAlign w:val="bottom"/>
            <w:shd w:val="clear" w:color="auto" w:fill="F2F3F2"/>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920" w:type="dxa"/>
            <w:vAlign w:val="bottom"/>
            <w:tcBorders>
              <w:left w:val="single" w:sz="8" w:color="B2B3B6"/>
            </w:tcBorders>
            <w:vMerge w:val="continue"/>
            <w:shd w:val="clear" w:color="auto" w:fill="00558C"/>
          </w:tcPr>
          <w:p>
            <w:pPr>
              <w:spacing w:after="0"/>
              <w:rPr>
                <w:sz w:val="2"/>
                <w:szCs w:val="2"/>
                <w:color w:val="auto"/>
              </w:rPr>
            </w:pPr>
          </w:p>
        </w:tc>
        <w:tc>
          <w:tcPr>
            <w:tcW w:w="260" w:type="dxa"/>
            <w:vAlign w:val="bottom"/>
            <w:shd w:val="clear" w:color="auto" w:fill="F2F3F2"/>
          </w:tcPr>
          <w:p>
            <w:pPr>
              <w:spacing w:after="0"/>
              <w:rPr>
                <w:sz w:val="2"/>
                <w:szCs w:val="2"/>
                <w:color w:val="auto"/>
              </w:rPr>
            </w:pPr>
          </w:p>
        </w:tc>
        <w:tc>
          <w:tcPr>
            <w:tcW w:w="5380" w:type="dxa"/>
            <w:vAlign w:val="bottom"/>
            <w:vMerge w:val="continue"/>
          </w:tcPr>
          <w:p>
            <w:pPr>
              <w:spacing w:after="0"/>
              <w:rPr>
                <w:sz w:val="2"/>
                <w:szCs w:val="2"/>
                <w:color w:val="auto"/>
              </w:rPr>
            </w:pPr>
          </w:p>
        </w:tc>
        <w:tc>
          <w:tcPr>
            <w:tcW w:w="180" w:type="dxa"/>
            <w:vAlign w:val="bottom"/>
            <w:shd w:val="clear" w:color="auto" w:fill="F2F3F2"/>
          </w:tcPr>
          <w:p>
            <w:pPr>
              <w:spacing w:after="0"/>
              <w:rPr>
                <w:sz w:val="2"/>
                <w:szCs w:val="2"/>
                <w:color w:val="auto"/>
              </w:rPr>
            </w:pPr>
          </w:p>
        </w:tc>
        <w:tc>
          <w:tcPr>
            <w:tcW w:w="440" w:type="dxa"/>
            <w:vAlign w:val="bottom"/>
            <w:tcBorders>
              <w:right w:val="single" w:sz="8" w:color="F2F3F2"/>
            </w:tcBorders>
          </w:tcPr>
          <w:p>
            <w:pPr>
              <w:spacing w:after="0"/>
              <w:rPr>
                <w:sz w:val="2"/>
                <w:szCs w:val="2"/>
                <w:color w:val="auto"/>
              </w:rPr>
            </w:pPr>
          </w:p>
        </w:tc>
        <w:tc>
          <w:tcPr>
            <w:tcW w:w="140" w:type="dxa"/>
            <w:vAlign w:val="bottom"/>
            <w:shd w:val="clear" w:color="auto" w:fill="F2F3F2"/>
          </w:tcPr>
          <w:p>
            <w:pPr>
              <w:spacing w:after="0"/>
              <w:rPr>
                <w:sz w:val="2"/>
                <w:szCs w:val="2"/>
                <w:color w:val="auto"/>
              </w:rPr>
            </w:pPr>
          </w:p>
        </w:tc>
        <w:tc>
          <w:tcPr>
            <w:tcW w:w="160" w:type="dxa"/>
            <w:vAlign w:val="bottom"/>
            <w:shd w:val="clear" w:color="auto" w:fill="F2F3F2"/>
          </w:tcPr>
          <w:p>
            <w:pPr>
              <w:spacing w:after="0"/>
              <w:rPr>
                <w:sz w:val="2"/>
                <w:szCs w:val="2"/>
                <w:color w:val="auto"/>
              </w:rPr>
            </w:pPr>
          </w:p>
        </w:tc>
        <w:tc>
          <w:tcPr>
            <w:tcW w:w="1460" w:type="dxa"/>
            <w:vAlign w:val="bottom"/>
            <w:shd w:val="clear" w:color="auto" w:fill="F2F3F2"/>
          </w:tcPr>
          <w:p>
            <w:pPr>
              <w:spacing w:after="0"/>
              <w:rPr>
                <w:sz w:val="2"/>
                <w:szCs w:val="2"/>
                <w:color w:val="auto"/>
              </w:rPr>
            </w:pPr>
          </w:p>
        </w:tc>
        <w:tc>
          <w:tcPr>
            <w:tcW w:w="140" w:type="dxa"/>
            <w:vAlign w:val="bottom"/>
            <w:shd w:val="clear" w:color="auto" w:fill="F2F3F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920" w:type="dxa"/>
            <w:vAlign w:val="bottom"/>
            <w:tcBorders>
              <w:left w:val="single" w:sz="8" w:color="B2B3B6"/>
            </w:tcBorders>
            <w:vMerge w:val="continue"/>
            <w:shd w:val="clear" w:color="auto" w:fill="00558C"/>
          </w:tcPr>
          <w:p>
            <w:pPr>
              <w:spacing w:after="0"/>
              <w:rPr>
                <w:sz w:val="19"/>
                <w:szCs w:val="19"/>
                <w:color w:val="auto"/>
              </w:rPr>
            </w:pPr>
          </w:p>
        </w:tc>
        <w:tc>
          <w:tcPr>
            <w:tcW w:w="260" w:type="dxa"/>
            <w:vAlign w:val="bottom"/>
            <w:shd w:val="clear" w:color="auto" w:fill="F2F3F2"/>
          </w:tcPr>
          <w:p>
            <w:pPr>
              <w:spacing w:after="0"/>
              <w:rPr>
                <w:sz w:val="19"/>
                <w:szCs w:val="19"/>
                <w:color w:val="auto"/>
              </w:rPr>
            </w:pPr>
          </w:p>
        </w:tc>
        <w:tc>
          <w:tcPr>
            <w:tcW w:w="5380" w:type="dxa"/>
            <w:vAlign w:val="bottom"/>
          </w:tcPr>
          <w:p>
            <w:pPr>
              <w:ind w:left="140"/>
              <w:spacing w:after="0"/>
              <w:rPr>
                <w:sz w:val="20"/>
                <w:szCs w:val="20"/>
                <w:color w:val="auto"/>
              </w:rPr>
            </w:pPr>
            <w:r>
              <w:rPr>
                <w:rFonts w:ascii="Arial" w:cs="Arial" w:eastAsia="Arial" w:hAnsi="Arial"/>
                <w:sz w:val="14"/>
                <w:szCs w:val="14"/>
                <w:color w:val="auto"/>
              </w:rPr>
              <w:t>trajectory</w:t>
            </w:r>
          </w:p>
        </w:tc>
        <w:tc>
          <w:tcPr>
            <w:tcW w:w="180" w:type="dxa"/>
            <w:vAlign w:val="bottom"/>
            <w:shd w:val="clear" w:color="auto" w:fill="F2F3F2"/>
          </w:tcPr>
          <w:p>
            <w:pPr>
              <w:spacing w:after="0"/>
              <w:rPr>
                <w:sz w:val="19"/>
                <w:szCs w:val="19"/>
                <w:color w:val="auto"/>
              </w:rPr>
            </w:pPr>
          </w:p>
        </w:tc>
        <w:tc>
          <w:tcPr>
            <w:tcW w:w="440" w:type="dxa"/>
            <w:vAlign w:val="bottom"/>
            <w:tcBorders>
              <w:right w:val="single" w:sz="8" w:color="F2F3F2"/>
            </w:tcBorders>
          </w:tcPr>
          <w:p>
            <w:pPr>
              <w:spacing w:after="0"/>
              <w:rPr>
                <w:sz w:val="19"/>
                <w:szCs w:val="19"/>
                <w:color w:val="auto"/>
              </w:rPr>
            </w:pPr>
          </w:p>
        </w:tc>
        <w:tc>
          <w:tcPr>
            <w:tcW w:w="140" w:type="dxa"/>
            <w:vAlign w:val="bottom"/>
            <w:shd w:val="clear" w:color="auto" w:fill="F2F3F2"/>
          </w:tcPr>
          <w:p>
            <w:pPr>
              <w:spacing w:after="0"/>
              <w:rPr>
                <w:sz w:val="19"/>
                <w:szCs w:val="19"/>
                <w:color w:val="auto"/>
              </w:rPr>
            </w:pPr>
          </w:p>
        </w:tc>
        <w:tc>
          <w:tcPr>
            <w:tcW w:w="1620" w:type="dxa"/>
            <w:vAlign w:val="bottom"/>
            <w:gridSpan w:val="2"/>
            <w:shd w:val="clear" w:color="auto" w:fill="F2F3F2"/>
          </w:tcPr>
          <w:p>
            <w:pPr>
              <w:ind w:left="40"/>
              <w:spacing w:after="0"/>
              <w:rPr>
                <w:sz w:val="20"/>
                <w:szCs w:val="20"/>
                <w:color w:val="auto"/>
              </w:rPr>
            </w:pPr>
            <w:r>
              <w:rPr>
                <w:rFonts w:ascii="Arial" w:cs="Arial" w:eastAsia="Arial" w:hAnsi="Arial"/>
                <w:sz w:val="14"/>
                <w:szCs w:val="14"/>
                <w:b w:val="1"/>
                <w:bCs w:val="1"/>
                <w:color w:val="6AAA37"/>
              </w:rPr>
              <w:t xml:space="preserve">•  </w:t>
            </w:r>
            <w:r>
              <w:rPr>
                <w:rFonts w:ascii="Arial" w:cs="Arial" w:eastAsia="Arial" w:hAnsi="Arial"/>
                <w:sz w:val="14"/>
                <w:szCs w:val="14"/>
                <w:color w:val="000000"/>
              </w:rPr>
              <w:t>Mid-teen %</w:t>
            </w:r>
          </w:p>
        </w:tc>
        <w:tc>
          <w:tcPr>
            <w:tcW w:w="140" w:type="dxa"/>
            <w:vAlign w:val="bottom"/>
            <w:shd w:val="clear" w:color="auto" w:fill="F2F3F2"/>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4"/>
        </w:trPr>
        <w:tc>
          <w:tcPr>
            <w:tcW w:w="920" w:type="dxa"/>
            <w:vAlign w:val="bottom"/>
            <w:tcBorders>
              <w:left w:val="single" w:sz="8" w:color="B2B3B6"/>
            </w:tcBorders>
            <w:shd w:val="clear" w:color="auto" w:fill="00558C"/>
          </w:tcPr>
          <w:p>
            <w:pPr>
              <w:spacing w:after="0"/>
              <w:rPr>
                <w:sz w:val="6"/>
                <w:szCs w:val="6"/>
                <w:color w:val="auto"/>
              </w:rPr>
            </w:pPr>
          </w:p>
        </w:tc>
        <w:tc>
          <w:tcPr>
            <w:tcW w:w="260" w:type="dxa"/>
            <w:vAlign w:val="bottom"/>
            <w:shd w:val="clear" w:color="auto" w:fill="F2F3F2"/>
          </w:tcPr>
          <w:p>
            <w:pPr>
              <w:spacing w:after="0"/>
              <w:rPr>
                <w:sz w:val="6"/>
                <w:szCs w:val="6"/>
                <w:color w:val="auto"/>
              </w:rPr>
            </w:pPr>
          </w:p>
        </w:tc>
        <w:tc>
          <w:tcPr>
            <w:tcW w:w="5380" w:type="dxa"/>
            <w:vAlign w:val="bottom"/>
            <w:shd w:val="clear" w:color="auto" w:fill="F2F3F2"/>
          </w:tcPr>
          <w:p>
            <w:pPr>
              <w:spacing w:after="0"/>
              <w:rPr>
                <w:sz w:val="6"/>
                <w:szCs w:val="6"/>
                <w:color w:val="auto"/>
              </w:rPr>
            </w:pPr>
          </w:p>
        </w:tc>
        <w:tc>
          <w:tcPr>
            <w:tcW w:w="180" w:type="dxa"/>
            <w:vAlign w:val="bottom"/>
            <w:shd w:val="clear" w:color="auto" w:fill="F2F3F2"/>
          </w:tcPr>
          <w:p>
            <w:pPr>
              <w:spacing w:after="0"/>
              <w:rPr>
                <w:sz w:val="6"/>
                <w:szCs w:val="6"/>
                <w:color w:val="auto"/>
              </w:rPr>
            </w:pPr>
          </w:p>
        </w:tc>
        <w:tc>
          <w:tcPr>
            <w:tcW w:w="440" w:type="dxa"/>
            <w:vAlign w:val="bottom"/>
            <w:tcBorders>
              <w:right w:val="single" w:sz="8" w:color="F2F3F2"/>
            </w:tcBorders>
          </w:tcPr>
          <w:p>
            <w:pPr>
              <w:spacing w:after="0"/>
              <w:rPr>
                <w:sz w:val="6"/>
                <w:szCs w:val="6"/>
                <w:color w:val="auto"/>
              </w:rPr>
            </w:pPr>
          </w:p>
        </w:tc>
        <w:tc>
          <w:tcPr>
            <w:tcW w:w="140" w:type="dxa"/>
            <w:vAlign w:val="bottom"/>
            <w:shd w:val="clear" w:color="auto" w:fill="F2F3F2"/>
          </w:tcPr>
          <w:p>
            <w:pPr>
              <w:spacing w:after="0"/>
              <w:rPr>
                <w:sz w:val="6"/>
                <w:szCs w:val="6"/>
                <w:color w:val="auto"/>
              </w:rPr>
            </w:pPr>
          </w:p>
        </w:tc>
        <w:tc>
          <w:tcPr>
            <w:tcW w:w="160" w:type="dxa"/>
            <w:vAlign w:val="bottom"/>
            <w:shd w:val="clear" w:color="auto" w:fill="F2F3F2"/>
          </w:tcPr>
          <w:p>
            <w:pPr>
              <w:spacing w:after="0"/>
              <w:rPr>
                <w:sz w:val="6"/>
                <w:szCs w:val="6"/>
                <w:color w:val="auto"/>
              </w:rPr>
            </w:pPr>
          </w:p>
        </w:tc>
        <w:tc>
          <w:tcPr>
            <w:tcW w:w="1460" w:type="dxa"/>
            <w:vAlign w:val="bottom"/>
            <w:vMerge w:val="restart"/>
            <w:shd w:val="clear" w:color="auto" w:fill="F2F3F2"/>
          </w:tcPr>
          <w:p>
            <w:pPr>
              <w:ind w:left="40"/>
              <w:spacing w:after="0" w:line="149" w:lineRule="exact"/>
              <w:rPr>
                <w:sz w:val="20"/>
                <w:szCs w:val="20"/>
                <w:color w:val="auto"/>
              </w:rPr>
            </w:pPr>
            <w:r>
              <w:rPr>
                <w:rFonts w:ascii="Arial" w:cs="Arial" w:eastAsia="Arial" w:hAnsi="Arial"/>
                <w:sz w:val="14"/>
                <w:szCs w:val="14"/>
                <w:color w:val="auto"/>
              </w:rPr>
              <w:t>(14%-16%) adjusted</w:t>
            </w:r>
          </w:p>
        </w:tc>
        <w:tc>
          <w:tcPr>
            <w:tcW w:w="140" w:type="dxa"/>
            <w:vAlign w:val="bottom"/>
            <w:vMerge w:val="restart"/>
            <w:shd w:val="clear" w:color="auto" w:fill="F2F3F2"/>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920" w:type="dxa"/>
            <w:vAlign w:val="bottom"/>
            <w:tcBorders>
              <w:left w:val="single" w:sz="8" w:color="B2B3B6"/>
            </w:tcBorders>
            <w:shd w:val="clear" w:color="auto" w:fill="00558C"/>
          </w:tcPr>
          <w:p>
            <w:pPr>
              <w:spacing w:after="0"/>
              <w:rPr>
                <w:sz w:val="6"/>
                <w:szCs w:val="6"/>
                <w:color w:val="auto"/>
              </w:rPr>
            </w:pPr>
          </w:p>
        </w:tc>
        <w:tc>
          <w:tcPr>
            <w:tcW w:w="260" w:type="dxa"/>
            <w:vAlign w:val="bottom"/>
            <w:shd w:val="clear" w:color="auto" w:fill="F2F3F2"/>
          </w:tcPr>
          <w:p>
            <w:pPr>
              <w:spacing w:after="0"/>
              <w:rPr>
                <w:sz w:val="6"/>
                <w:szCs w:val="6"/>
                <w:color w:val="auto"/>
              </w:rPr>
            </w:pPr>
          </w:p>
        </w:tc>
        <w:tc>
          <w:tcPr>
            <w:tcW w:w="5380" w:type="dxa"/>
            <w:vAlign w:val="bottom"/>
            <w:shd w:val="clear" w:color="auto" w:fill="F2F3F2"/>
          </w:tcPr>
          <w:p>
            <w:pPr>
              <w:spacing w:after="0"/>
              <w:rPr>
                <w:sz w:val="6"/>
                <w:szCs w:val="6"/>
                <w:color w:val="auto"/>
              </w:rPr>
            </w:pPr>
          </w:p>
        </w:tc>
        <w:tc>
          <w:tcPr>
            <w:tcW w:w="180" w:type="dxa"/>
            <w:vAlign w:val="bottom"/>
            <w:shd w:val="clear" w:color="auto" w:fill="F2F3F2"/>
          </w:tcPr>
          <w:p>
            <w:pPr>
              <w:spacing w:after="0"/>
              <w:rPr>
                <w:sz w:val="6"/>
                <w:szCs w:val="6"/>
                <w:color w:val="auto"/>
              </w:rPr>
            </w:pPr>
          </w:p>
        </w:tc>
        <w:tc>
          <w:tcPr>
            <w:tcW w:w="440" w:type="dxa"/>
            <w:vAlign w:val="bottom"/>
            <w:tcBorders>
              <w:right w:val="single" w:sz="8" w:color="F2F3F2"/>
            </w:tcBorders>
          </w:tcPr>
          <w:p>
            <w:pPr>
              <w:spacing w:after="0"/>
              <w:rPr>
                <w:sz w:val="6"/>
                <w:szCs w:val="6"/>
                <w:color w:val="auto"/>
              </w:rPr>
            </w:pPr>
          </w:p>
        </w:tc>
        <w:tc>
          <w:tcPr>
            <w:tcW w:w="140" w:type="dxa"/>
            <w:vAlign w:val="bottom"/>
            <w:shd w:val="clear" w:color="auto" w:fill="F2F3F2"/>
          </w:tcPr>
          <w:p>
            <w:pPr>
              <w:spacing w:after="0"/>
              <w:rPr>
                <w:sz w:val="6"/>
                <w:szCs w:val="6"/>
                <w:color w:val="auto"/>
              </w:rPr>
            </w:pPr>
          </w:p>
        </w:tc>
        <w:tc>
          <w:tcPr>
            <w:tcW w:w="160" w:type="dxa"/>
            <w:vAlign w:val="bottom"/>
            <w:shd w:val="clear" w:color="auto" w:fill="F2F3F2"/>
          </w:tcPr>
          <w:p>
            <w:pPr>
              <w:spacing w:after="0"/>
              <w:rPr>
                <w:sz w:val="6"/>
                <w:szCs w:val="6"/>
                <w:color w:val="auto"/>
              </w:rPr>
            </w:pPr>
          </w:p>
        </w:tc>
        <w:tc>
          <w:tcPr>
            <w:tcW w:w="1460" w:type="dxa"/>
            <w:vAlign w:val="bottom"/>
            <w:vMerge w:val="continue"/>
            <w:shd w:val="clear" w:color="auto" w:fill="F2F3F2"/>
          </w:tcPr>
          <w:p>
            <w:pPr>
              <w:spacing w:after="0"/>
              <w:rPr>
                <w:sz w:val="6"/>
                <w:szCs w:val="6"/>
                <w:color w:val="auto"/>
              </w:rPr>
            </w:pPr>
          </w:p>
        </w:tc>
        <w:tc>
          <w:tcPr>
            <w:tcW w:w="140" w:type="dxa"/>
            <w:vAlign w:val="bottom"/>
            <w:vMerge w:val="continue"/>
            <w:shd w:val="clear" w:color="auto" w:fill="F2F3F2"/>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920" w:type="dxa"/>
            <w:vAlign w:val="bottom"/>
            <w:tcBorders>
              <w:left w:val="single" w:sz="8" w:color="B2B3B6"/>
            </w:tcBorders>
            <w:vMerge w:val="restart"/>
            <w:shd w:val="clear" w:color="auto" w:fill="00558C"/>
          </w:tcPr>
          <w:p>
            <w:pPr>
              <w:jc w:val="right"/>
              <w:ind w:right="94"/>
              <w:spacing w:after="0"/>
              <w:rPr>
                <w:sz w:val="20"/>
                <w:szCs w:val="20"/>
                <w:color w:val="auto"/>
              </w:rPr>
            </w:pPr>
            <w:r>
              <w:rPr>
                <w:rFonts w:ascii="Arial" w:cs="Arial" w:eastAsia="Arial" w:hAnsi="Arial"/>
                <w:sz w:val="50"/>
                <w:szCs w:val="50"/>
                <w:color w:val="FFFFFF"/>
              </w:rPr>
              <w:t>4</w:t>
            </w:r>
          </w:p>
        </w:tc>
        <w:tc>
          <w:tcPr>
            <w:tcW w:w="260" w:type="dxa"/>
            <w:vAlign w:val="bottom"/>
            <w:shd w:val="clear" w:color="auto" w:fill="F2F3F2"/>
          </w:tcPr>
          <w:p>
            <w:pPr>
              <w:spacing w:after="0"/>
              <w:rPr>
                <w:sz w:val="12"/>
                <w:szCs w:val="12"/>
                <w:color w:val="auto"/>
              </w:rPr>
            </w:pPr>
          </w:p>
        </w:tc>
        <w:tc>
          <w:tcPr>
            <w:tcW w:w="538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Solid Foundation for Growth and Margin Expansion</w:t>
            </w:r>
          </w:p>
        </w:tc>
        <w:tc>
          <w:tcPr>
            <w:tcW w:w="180" w:type="dxa"/>
            <w:vAlign w:val="bottom"/>
            <w:shd w:val="clear" w:color="auto" w:fill="F2F3F2"/>
          </w:tcPr>
          <w:p>
            <w:pPr>
              <w:spacing w:after="0"/>
              <w:rPr>
                <w:sz w:val="12"/>
                <w:szCs w:val="12"/>
                <w:color w:val="auto"/>
              </w:rPr>
            </w:pPr>
          </w:p>
        </w:tc>
        <w:tc>
          <w:tcPr>
            <w:tcW w:w="440" w:type="dxa"/>
            <w:vAlign w:val="bottom"/>
            <w:tcBorders>
              <w:right w:val="single" w:sz="8" w:color="F2F3F2"/>
            </w:tcBorders>
          </w:tcPr>
          <w:p>
            <w:pPr>
              <w:spacing w:after="0"/>
              <w:rPr>
                <w:sz w:val="12"/>
                <w:szCs w:val="12"/>
                <w:color w:val="auto"/>
              </w:rPr>
            </w:pPr>
          </w:p>
        </w:tc>
        <w:tc>
          <w:tcPr>
            <w:tcW w:w="140" w:type="dxa"/>
            <w:vAlign w:val="bottom"/>
            <w:shd w:val="clear" w:color="auto" w:fill="F2F3F2"/>
          </w:tcPr>
          <w:p>
            <w:pPr>
              <w:spacing w:after="0"/>
              <w:rPr>
                <w:sz w:val="12"/>
                <w:szCs w:val="12"/>
                <w:color w:val="auto"/>
              </w:rPr>
            </w:pPr>
          </w:p>
        </w:tc>
        <w:tc>
          <w:tcPr>
            <w:tcW w:w="160" w:type="dxa"/>
            <w:vAlign w:val="bottom"/>
            <w:shd w:val="clear" w:color="auto" w:fill="F2F3F2"/>
          </w:tcPr>
          <w:p>
            <w:pPr>
              <w:spacing w:after="0"/>
              <w:rPr>
                <w:sz w:val="12"/>
                <w:szCs w:val="12"/>
                <w:color w:val="auto"/>
              </w:rPr>
            </w:pPr>
          </w:p>
        </w:tc>
        <w:tc>
          <w:tcPr>
            <w:tcW w:w="1460" w:type="dxa"/>
            <w:vAlign w:val="bottom"/>
            <w:shd w:val="clear" w:color="auto" w:fill="F2F3F2"/>
          </w:tcPr>
          <w:p>
            <w:pPr>
              <w:ind w:left="40"/>
              <w:spacing w:after="0" w:line="139" w:lineRule="exact"/>
              <w:rPr>
                <w:sz w:val="20"/>
                <w:szCs w:val="20"/>
                <w:color w:val="auto"/>
              </w:rPr>
            </w:pPr>
            <w:r>
              <w:rPr>
                <w:rFonts w:ascii="Arial" w:cs="Arial" w:eastAsia="Arial" w:hAnsi="Arial"/>
                <w:sz w:val="14"/>
                <w:szCs w:val="14"/>
                <w:color w:val="auto"/>
              </w:rPr>
              <w:t>EBITDA margins by</w:t>
            </w:r>
          </w:p>
        </w:tc>
        <w:tc>
          <w:tcPr>
            <w:tcW w:w="140" w:type="dxa"/>
            <w:vAlign w:val="bottom"/>
            <w:shd w:val="clear" w:color="auto" w:fill="F2F3F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20" w:type="dxa"/>
            <w:vAlign w:val="bottom"/>
            <w:tcBorders>
              <w:left w:val="single" w:sz="8" w:color="B2B3B6"/>
            </w:tcBorders>
            <w:vMerge w:val="continue"/>
            <w:shd w:val="clear" w:color="auto" w:fill="00558C"/>
          </w:tcPr>
          <w:p>
            <w:pPr>
              <w:spacing w:after="0"/>
              <w:rPr>
                <w:sz w:val="12"/>
                <w:szCs w:val="12"/>
                <w:color w:val="auto"/>
              </w:rPr>
            </w:pPr>
          </w:p>
        </w:tc>
        <w:tc>
          <w:tcPr>
            <w:tcW w:w="260" w:type="dxa"/>
            <w:vAlign w:val="bottom"/>
            <w:shd w:val="clear" w:color="auto" w:fill="F2F3F2"/>
          </w:tcPr>
          <w:p>
            <w:pPr>
              <w:spacing w:after="0"/>
              <w:rPr>
                <w:sz w:val="12"/>
                <w:szCs w:val="12"/>
                <w:color w:val="auto"/>
              </w:rPr>
            </w:pPr>
          </w:p>
        </w:tc>
        <w:tc>
          <w:tcPr>
            <w:tcW w:w="5380" w:type="dxa"/>
            <w:vAlign w:val="bottom"/>
            <w:vMerge w:val="continue"/>
          </w:tcPr>
          <w:p>
            <w:pPr>
              <w:spacing w:after="0"/>
              <w:rPr>
                <w:sz w:val="12"/>
                <w:szCs w:val="12"/>
                <w:color w:val="auto"/>
              </w:rPr>
            </w:pPr>
          </w:p>
        </w:tc>
        <w:tc>
          <w:tcPr>
            <w:tcW w:w="180" w:type="dxa"/>
            <w:vAlign w:val="bottom"/>
            <w:shd w:val="clear" w:color="auto" w:fill="F2F3F2"/>
          </w:tcPr>
          <w:p>
            <w:pPr>
              <w:spacing w:after="0"/>
              <w:rPr>
                <w:sz w:val="12"/>
                <w:szCs w:val="12"/>
                <w:color w:val="auto"/>
              </w:rPr>
            </w:pPr>
          </w:p>
        </w:tc>
        <w:tc>
          <w:tcPr>
            <w:tcW w:w="440" w:type="dxa"/>
            <w:vAlign w:val="bottom"/>
            <w:tcBorders>
              <w:right w:val="single" w:sz="8" w:color="F2F3F2"/>
            </w:tcBorders>
          </w:tcPr>
          <w:p>
            <w:pPr>
              <w:spacing w:after="0"/>
              <w:rPr>
                <w:sz w:val="12"/>
                <w:szCs w:val="12"/>
                <w:color w:val="auto"/>
              </w:rPr>
            </w:pPr>
          </w:p>
        </w:tc>
        <w:tc>
          <w:tcPr>
            <w:tcW w:w="140" w:type="dxa"/>
            <w:vAlign w:val="bottom"/>
            <w:shd w:val="clear" w:color="auto" w:fill="F2F3F2"/>
          </w:tcPr>
          <w:p>
            <w:pPr>
              <w:spacing w:after="0"/>
              <w:rPr>
                <w:sz w:val="12"/>
                <w:szCs w:val="12"/>
                <w:color w:val="auto"/>
              </w:rPr>
            </w:pPr>
          </w:p>
        </w:tc>
        <w:tc>
          <w:tcPr>
            <w:tcW w:w="160" w:type="dxa"/>
            <w:vAlign w:val="bottom"/>
            <w:shd w:val="clear" w:color="auto" w:fill="F2F3F2"/>
          </w:tcPr>
          <w:p>
            <w:pPr>
              <w:spacing w:after="0"/>
              <w:rPr>
                <w:sz w:val="12"/>
                <w:szCs w:val="12"/>
                <w:color w:val="auto"/>
              </w:rPr>
            </w:pPr>
          </w:p>
        </w:tc>
        <w:tc>
          <w:tcPr>
            <w:tcW w:w="1460" w:type="dxa"/>
            <w:vAlign w:val="bottom"/>
            <w:shd w:val="clear" w:color="auto" w:fill="F2F3F2"/>
          </w:tcPr>
          <w:p>
            <w:pPr>
              <w:ind w:left="40"/>
              <w:spacing w:after="0" w:line="145" w:lineRule="exact"/>
              <w:rPr>
                <w:sz w:val="20"/>
                <w:szCs w:val="20"/>
                <w:color w:val="auto"/>
              </w:rPr>
            </w:pPr>
            <w:r>
              <w:rPr>
                <w:rFonts w:ascii="Arial" w:cs="Arial" w:eastAsia="Arial" w:hAnsi="Arial"/>
                <w:sz w:val="14"/>
                <w:szCs w:val="14"/>
                <w:color w:val="auto"/>
              </w:rPr>
              <w:t>2025</w:t>
            </w:r>
          </w:p>
        </w:tc>
        <w:tc>
          <w:tcPr>
            <w:tcW w:w="140" w:type="dxa"/>
            <w:vAlign w:val="bottom"/>
            <w:shd w:val="clear" w:color="auto" w:fill="F2F3F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920" w:type="dxa"/>
            <w:vAlign w:val="bottom"/>
            <w:tcBorders>
              <w:left w:val="single" w:sz="8" w:color="B2B3B6"/>
            </w:tcBorders>
            <w:vMerge w:val="continue"/>
            <w:shd w:val="clear" w:color="auto" w:fill="00558C"/>
          </w:tcPr>
          <w:p>
            <w:pPr>
              <w:spacing w:after="0"/>
              <w:rPr>
                <w:sz w:val="14"/>
                <w:szCs w:val="14"/>
                <w:color w:val="auto"/>
              </w:rPr>
            </w:pPr>
          </w:p>
        </w:tc>
        <w:tc>
          <w:tcPr>
            <w:tcW w:w="260" w:type="dxa"/>
            <w:vAlign w:val="bottom"/>
            <w:shd w:val="clear" w:color="auto" w:fill="F2F3F2"/>
          </w:tcPr>
          <w:p>
            <w:pPr>
              <w:spacing w:after="0"/>
              <w:rPr>
                <w:sz w:val="14"/>
                <w:szCs w:val="14"/>
                <w:color w:val="auto"/>
              </w:rPr>
            </w:pPr>
          </w:p>
        </w:tc>
        <w:tc>
          <w:tcPr>
            <w:tcW w:w="5380" w:type="dxa"/>
            <w:vAlign w:val="bottom"/>
          </w:tcPr>
          <w:p>
            <w:pPr>
              <w:ind w:left="140"/>
              <w:spacing w:after="0"/>
              <w:rPr>
                <w:sz w:val="20"/>
                <w:szCs w:val="20"/>
                <w:color w:val="auto"/>
              </w:rPr>
            </w:pPr>
            <w:r>
              <w:rPr>
                <w:rFonts w:ascii="Arial" w:cs="Arial" w:eastAsia="Arial" w:hAnsi="Arial"/>
                <w:sz w:val="14"/>
                <w:szCs w:val="14"/>
                <w:color w:val="auto"/>
              </w:rPr>
              <w:t>Focus: Executing on our primary revenue drivers and margin levers to achieve</w:t>
            </w:r>
          </w:p>
        </w:tc>
        <w:tc>
          <w:tcPr>
            <w:tcW w:w="180" w:type="dxa"/>
            <w:vAlign w:val="bottom"/>
            <w:shd w:val="clear" w:color="auto" w:fill="F2F3F2"/>
          </w:tcPr>
          <w:p>
            <w:pPr>
              <w:spacing w:after="0"/>
              <w:rPr>
                <w:sz w:val="14"/>
                <w:szCs w:val="14"/>
                <w:color w:val="auto"/>
              </w:rPr>
            </w:pPr>
          </w:p>
        </w:tc>
        <w:tc>
          <w:tcPr>
            <w:tcW w:w="440" w:type="dxa"/>
            <w:vAlign w:val="bottom"/>
            <w:tcBorders>
              <w:right w:val="single" w:sz="8" w:color="F2F3F2"/>
            </w:tcBorders>
          </w:tcPr>
          <w:p>
            <w:pPr>
              <w:spacing w:after="0"/>
              <w:rPr>
                <w:sz w:val="14"/>
                <w:szCs w:val="14"/>
                <w:color w:val="auto"/>
              </w:rPr>
            </w:pPr>
          </w:p>
        </w:tc>
        <w:tc>
          <w:tcPr>
            <w:tcW w:w="140" w:type="dxa"/>
            <w:vAlign w:val="bottom"/>
            <w:shd w:val="clear" w:color="auto" w:fill="F2F3F2"/>
          </w:tcPr>
          <w:p>
            <w:pPr>
              <w:spacing w:after="0"/>
              <w:rPr>
                <w:sz w:val="14"/>
                <w:szCs w:val="14"/>
                <w:color w:val="auto"/>
              </w:rPr>
            </w:pPr>
          </w:p>
        </w:tc>
        <w:tc>
          <w:tcPr>
            <w:tcW w:w="160" w:type="dxa"/>
            <w:vAlign w:val="bottom"/>
            <w:shd w:val="clear" w:color="auto" w:fill="F2F3F2"/>
          </w:tcPr>
          <w:p>
            <w:pPr>
              <w:spacing w:after="0"/>
              <w:rPr>
                <w:sz w:val="14"/>
                <w:szCs w:val="14"/>
                <w:color w:val="auto"/>
              </w:rPr>
            </w:pPr>
          </w:p>
        </w:tc>
        <w:tc>
          <w:tcPr>
            <w:tcW w:w="1460" w:type="dxa"/>
            <w:vAlign w:val="bottom"/>
            <w:shd w:val="clear" w:color="auto" w:fill="F2F3F2"/>
          </w:tcPr>
          <w:p>
            <w:pPr>
              <w:spacing w:after="0"/>
              <w:rPr>
                <w:sz w:val="14"/>
                <w:szCs w:val="14"/>
                <w:color w:val="auto"/>
              </w:rPr>
            </w:pPr>
          </w:p>
        </w:tc>
        <w:tc>
          <w:tcPr>
            <w:tcW w:w="140" w:type="dxa"/>
            <w:vAlign w:val="bottom"/>
            <w:shd w:val="clear" w:color="auto" w:fill="F2F3F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920" w:type="dxa"/>
            <w:vAlign w:val="bottom"/>
            <w:tcBorders>
              <w:left w:val="single" w:sz="8" w:color="B2B3B6"/>
            </w:tcBorders>
            <w:vMerge w:val="continue"/>
            <w:shd w:val="clear" w:color="auto" w:fill="00558C"/>
          </w:tcPr>
          <w:p>
            <w:pPr>
              <w:spacing w:after="0"/>
              <w:rPr>
                <w:sz w:val="12"/>
                <w:szCs w:val="12"/>
                <w:color w:val="auto"/>
              </w:rPr>
            </w:pPr>
          </w:p>
        </w:tc>
        <w:tc>
          <w:tcPr>
            <w:tcW w:w="260" w:type="dxa"/>
            <w:vAlign w:val="bottom"/>
            <w:shd w:val="clear" w:color="auto" w:fill="F2F3F2"/>
          </w:tcPr>
          <w:p>
            <w:pPr>
              <w:spacing w:after="0"/>
              <w:rPr>
                <w:sz w:val="12"/>
                <w:szCs w:val="12"/>
                <w:color w:val="auto"/>
              </w:rPr>
            </w:pPr>
          </w:p>
        </w:tc>
        <w:tc>
          <w:tcPr>
            <w:tcW w:w="5380" w:type="dxa"/>
            <w:vAlign w:val="bottom"/>
          </w:tcPr>
          <w:p>
            <w:pPr>
              <w:ind w:left="140"/>
              <w:spacing w:after="0" w:line="145" w:lineRule="exact"/>
              <w:rPr>
                <w:sz w:val="20"/>
                <w:szCs w:val="20"/>
                <w:color w:val="auto"/>
              </w:rPr>
            </w:pPr>
            <w:r>
              <w:rPr>
                <w:rFonts w:ascii="Arial" w:cs="Arial" w:eastAsia="Arial" w:hAnsi="Arial"/>
                <w:sz w:val="14"/>
                <w:szCs w:val="14"/>
                <w:color w:val="auto"/>
              </w:rPr>
              <w:t>consistent growth and enhanced profitability</w:t>
            </w:r>
          </w:p>
        </w:tc>
        <w:tc>
          <w:tcPr>
            <w:tcW w:w="180" w:type="dxa"/>
            <w:vAlign w:val="bottom"/>
            <w:shd w:val="clear" w:color="auto" w:fill="F2F3F2"/>
          </w:tcPr>
          <w:p>
            <w:pPr>
              <w:spacing w:after="0"/>
              <w:rPr>
                <w:sz w:val="12"/>
                <w:szCs w:val="12"/>
                <w:color w:val="auto"/>
              </w:rPr>
            </w:pPr>
          </w:p>
        </w:tc>
        <w:tc>
          <w:tcPr>
            <w:tcW w:w="440" w:type="dxa"/>
            <w:vAlign w:val="bottom"/>
            <w:tcBorders>
              <w:right w:val="single" w:sz="8" w:color="F2F3F2"/>
            </w:tcBorders>
          </w:tcPr>
          <w:p>
            <w:pPr>
              <w:spacing w:after="0"/>
              <w:rPr>
                <w:sz w:val="12"/>
                <w:szCs w:val="12"/>
                <w:color w:val="auto"/>
              </w:rPr>
            </w:pPr>
          </w:p>
        </w:tc>
        <w:tc>
          <w:tcPr>
            <w:tcW w:w="140" w:type="dxa"/>
            <w:vAlign w:val="bottom"/>
            <w:shd w:val="clear" w:color="auto" w:fill="F2F3F2"/>
          </w:tcPr>
          <w:p>
            <w:pPr>
              <w:spacing w:after="0"/>
              <w:rPr>
                <w:sz w:val="12"/>
                <w:szCs w:val="12"/>
                <w:color w:val="auto"/>
              </w:rPr>
            </w:pPr>
          </w:p>
        </w:tc>
        <w:tc>
          <w:tcPr>
            <w:tcW w:w="160" w:type="dxa"/>
            <w:vAlign w:val="bottom"/>
            <w:shd w:val="clear" w:color="auto" w:fill="F2F3F2"/>
          </w:tcPr>
          <w:p>
            <w:pPr>
              <w:ind w:left="40"/>
              <w:spacing w:after="0" w:line="145" w:lineRule="exact"/>
              <w:rPr>
                <w:sz w:val="20"/>
                <w:szCs w:val="20"/>
                <w:color w:val="auto"/>
              </w:rPr>
            </w:pPr>
            <w:r>
              <w:rPr>
                <w:rFonts w:ascii="Arial" w:cs="Arial" w:eastAsia="Arial" w:hAnsi="Arial"/>
                <w:sz w:val="14"/>
                <w:szCs w:val="14"/>
                <w:b w:val="1"/>
                <w:bCs w:val="1"/>
                <w:color w:val="6AAA37"/>
              </w:rPr>
              <w:t>•</w:t>
            </w:r>
          </w:p>
        </w:tc>
        <w:tc>
          <w:tcPr>
            <w:tcW w:w="1460" w:type="dxa"/>
            <w:vAlign w:val="bottom"/>
            <w:shd w:val="clear" w:color="auto" w:fill="F2F3F2"/>
          </w:tcPr>
          <w:p>
            <w:pPr>
              <w:ind w:left="40"/>
              <w:spacing w:after="0" w:line="145" w:lineRule="exact"/>
              <w:rPr>
                <w:sz w:val="20"/>
                <w:szCs w:val="20"/>
                <w:color w:val="auto"/>
              </w:rPr>
            </w:pPr>
            <w:r>
              <w:rPr>
                <w:rFonts w:ascii="Arial" w:cs="Arial" w:eastAsia="Arial" w:hAnsi="Arial"/>
                <w:sz w:val="14"/>
                <w:szCs w:val="14"/>
                <w:color w:val="auto"/>
              </w:rPr>
              <w:t>High teen % annual</w:t>
            </w:r>
          </w:p>
        </w:tc>
        <w:tc>
          <w:tcPr>
            <w:tcW w:w="140" w:type="dxa"/>
            <w:vAlign w:val="bottom"/>
            <w:shd w:val="clear" w:color="auto" w:fill="F2F3F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920" w:type="dxa"/>
            <w:vAlign w:val="bottom"/>
            <w:tcBorders>
              <w:left w:val="single" w:sz="8" w:color="B2B3B6"/>
            </w:tcBorders>
            <w:shd w:val="clear" w:color="auto" w:fill="00558C"/>
          </w:tcPr>
          <w:p>
            <w:pPr>
              <w:spacing w:after="0"/>
              <w:rPr>
                <w:sz w:val="7"/>
                <w:szCs w:val="7"/>
                <w:color w:val="auto"/>
              </w:rPr>
            </w:pPr>
          </w:p>
        </w:tc>
        <w:tc>
          <w:tcPr>
            <w:tcW w:w="260" w:type="dxa"/>
            <w:vAlign w:val="bottom"/>
            <w:shd w:val="clear" w:color="auto" w:fill="F2F3F2"/>
          </w:tcPr>
          <w:p>
            <w:pPr>
              <w:spacing w:after="0"/>
              <w:rPr>
                <w:sz w:val="7"/>
                <w:szCs w:val="7"/>
                <w:color w:val="auto"/>
              </w:rPr>
            </w:pPr>
          </w:p>
        </w:tc>
        <w:tc>
          <w:tcPr>
            <w:tcW w:w="5380" w:type="dxa"/>
            <w:vAlign w:val="bottom"/>
          </w:tcPr>
          <w:p>
            <w:pPr>
              <w:spacing w:after="0"/>
              <w:rPr>
                <w:sz w:val="7"/>
                <w:szCs w:val="7"/>
                <w:color w:val="auto"/>
              </w:rPr>
            </w:pPr>
          </w:p>
        </w:tc>
        <w:tc>
          <w:tcPr>
            <w:tcW w:w="180" w:type="dxa"/>
            <w:vAlign w:val="bottom"/>
            <w:shd w:val="clear" w:color="auto" w:fill="F2F3F2"/>
          </w:tcPr>
          <w:p>
            <w:pPr>
              <w:spacing w:after="0"/>
              <w:rPr>
                <w:sz w:val="7"/>
                <w:szCs w:val="7"/>
                <w:color w:val="auto"/>
              </w:rPr>
            </w:pPr>
          </w:p>
        </w:tc>
        <w:tc>
          <w:tcPr>
            <w:tcW w:w="440" w:type="dxa"/>
            <w:vAlign w:val="bottom"/>
            <w:tcBorders>
              <w:right w:val="single" w:sz="8" w:color="F2F3F2"/>
            </w:tcBorders>
          </w:tcPr>
          <w:p>
            <w:pPr>
              <w:spacing w:after="0"/>
              <w:rPr>
                <w:sz w:val="7"/>
                <w:szCs w:val="7"/>
                <w:color w:val="auto"/>
              </w:rPr>
            </w:pPr>
          </w:p>
        </w:tc>
        <w:tc>
          <w:tcPr>
            <w:tcW w:w="140" w:type="dxa"/>
            <w:vAlign w:val="bottom"/>
            <w:shd w:val="clear" w:color="auto" w:fill="F2F3F2"/>
          </w:tcPr>
          <w:p>
            <w:pPr>
              <w:spacing w:after="0"/>
              <w:rPr>
                <w:sz w:val="7"/>
                <w:szCs w:val="7"/>
                <w:color w:val="auto"/>
              </w:rPr>
            </w:pPr>
          </w:p>
        </w:tc>
        <w:tc>
          <w:tcPr>
            <w:tcW w:w="160" w:type="dxa"/>
            <w:vAlign w:val="bottom"/>
            <w:shd w:val="clear" w:color="auto" w:fill="F2F3F2"/>
          </w:tcPr>
          <w:p>
            <w:pPr>
              <w:spacing w:after="0"/>
              <w:rPr>
                <w:sz w:val="7"/>
                <w:szCs w:val="7"/>
                <w:color w:val="auto"/>
              </w:rPr>
            </w:pPr>
          </w:p>
        </w:tc>
        <w:tc>
          <w:tcPr>
            <w:tcW w:w="1460" w:type="dxa"/>
            <w:vAlign w:val="bottom"/>
            <w:vMerge w:val="restart"/>
            <w:shd w:val="clear" w:color="auto" w:fill="F2F3F2"/>
          </w:tcPr>
          <w:p>
            <w:pPr>
              <w:ind w:left="40"/>
              <w:spacing w:after="0" w:line="149" w:lineRule="exact"/>
              <w:rPr>
                <w:sz w:val="20"/>
                <w:szCs w:val="20"/>
                <w:color w:val="auto"/>
              </w:rPr>
            </w:pPr>
            <w:r>
              <w:rPr>
                <w:rFonts w:ascii="Arial" w:cs="Arial" w:eastAsia="Arial" w:hAnsi="Arial"/>
                <w:sz w:val="14"/>
                <w:szCs w:val="14"/>
                <w:color w:val="auto"/>
              </w:rPr>
              <w:t>EPS growth</w:t>
            </w:r>
          </w:p>
        </w:tc>
        <w:tc>
          <w:tcPr>
            <w:tcW w:w="140" w:type="dxa"/>
            <w:vAlign w:val="bottom"/>
            <w:vMerge w:val="restart"/>
            <w:shd w:val="clear" w:color="auto" w:fill="F2F3F2"/>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920" w:type="dxa"/>
            <w:vAlign w:val="bottom"/>
            <w:tcBorders>
              <w:left w:val="single" w:sz="8" w:color="B2B3B6"/>
              <w:bottom w:val="single" w:sz="8" w:color="B2B3B6"/>
            </w:tcBorders>
            <w:shd w:val="clear" w:color="auto" w:fill="00558C"/>
          </w:tcPr>
          <w:p>
            <w:pPr>
              <w:spacing w:after="0"/>
              <w:rPr>
                <w:sz w:val="10"/>
                <w:szCs w:val="10"/>
                <w:color w:val="auto"/>
              </w:rPr>
            </w:pPr>
          </w:p>
        </w:tc>
        <w:tc>
          <w:tcPr>
            <w:tcW w:w="260" w:type="dxa"/>
            <w:vAlign w:val="bottom"/>
            <w:tcBorders>
              <w:bottom w:val="single" w:sz="8" w:color="F2F3F2"/>
            </w:tcBorders>
            <w:shd w:val="clear" w:color="auto" w:fill="F2F3F2"/>
          </w:tcPr>
          <w:p>
            <w:pPr>
              <w:spacing w:after="0"/>
              <w:rPr>
                <w:sz w:val="10"/>
                <w:szCs w:val="10"/>
                <w:color w:val="auto"/>
              </w:rPr>
            </w:pPr>
          </w:p>
        </w:tc>
        <w:tc>
          <w:tcPr>
            <w:tcW w:w="5380" w:type="dxa"/>
            <w:vAlign w:val="bottom"/>
            <w:tcBorders>
              <w:bottom w:val="single" w:sz="8" w:color="F2F3F2"/>
            </w:tcBorders>
            <w:shd w:val="clear" w:color="auto" w:fill="F2F3F2"/>
          </w:tcPr>
          <w:p>
            <w:pPr>
              <w:spacing w:after="0"/>
              <w:rPr>
                <w:sz w:val="10"/>
                <w:szCs w:val="10"/>
                <w:color w:val="auto"/>
              </w:rPr>
            </w:pPr>
          </w:p>
        </w:tc>
        <w:tc>
          <w:tcPr>
            <w:tcW w:w="180" w:type="dxa"/>
            <w:vAlign w:val="bottom"/>
            <w:tcBorders>
              <w:bottom w:val="single" w:sz="8" w:color="F2F3F2"/>
            </w:tcBorders>
            <w:shd w:val="clear" w:color="auto" w:fill="F2F3F2"/>
          </w:tcPr>
          <w:p>
            <w:pPr>
              <w:spacing w:after="0"/>
              <w:rPr>
                <w:sz w:val="10"/>
                <w:szCs w:val="10"/>
                <w:color w:val="auto"/>
              </w:rPr>
            </w:pPr>
          </w:p>
        </w:tc>
        <w:tc>
          <w:tcPr>
            <w:tcW w:w="440" w:type="dxa"/>
            <w:vAlign w:val="bottom"/>
            <w:tcBorders>
              <w:right w:val="single" w:sz="8" w:color="F2F3F2"/>
            </w:tcBorders>
          </w:tcPr>
          <w:p>
            <w:pPr>
              <w:spacing w:after="0"/>
              <w:rPr>
                <w:sz w:val="10"/>
                <w:szCs w:val="10"/>
                <w:color w:val="auto"/>
              </w:rPr>
            </w:pPr>
          </w:p>
        </w:tc>
        <w:tc>
          <w:tcPr>
            <w:tcW w:w="140" w:type="dxa"/>
            <w:vAlign w:val="bottom"/>
            <w:tcBorders>
              <w:bottom w:val="single" w:sz="8" w:color="F2F3F2"/>
            </w:tcBorders>
            <w:shd w:val="clear" w:color="auto" w:fill="F2F3F2"/>
          </w:tcPr>
          <w:p>
            <w:pPr>
              <w:spacing w:after="0"/>
              <w:rPr>
                <w:sz w:val="10"/>
                <w:szCs w:val="10"/>
                <w:color w:val="auto"/>
              </w:rPr>
            </w:pPr>
          </w:p>
        </w:tc>
        <w:tc>
          <w:tcPr>
            <w:tcW w:w="160" w:type="dxa"/>
            <w:vAlign w:val="bottom"/>
            <w:tcBorders>
              <w:bottom w:val="single" w:sz="8" w:color="F2F3F2"/>
            </w:tcBorders>
            <w:shd w:val="clear" w:color="auto" w:fill="F2F3F2"/>
          </w:tcPr>
          <w:p>
            <w:pPr>
              <w:spacing w:after="0"/>
              <w:rPr>
                <w:sz w:val="10"/>
                <w:szCs w:val="10"/>
                <w:color w:val="auto"/>
              </w:rPr>
            </w:pPr>
          </w:p>
        </w:tc>
        <w:tc>
          <w:tcPr>
            <w:tcW w:w="1460" w:type="dxa"/>
            <w:vAlign w:val="bottom"/>
            <w:tcBorders>
              <w:bottom w:val="single" w:sz="8" w:color="F2F3F2"/>
            </w:tcBorders>
            <w:vMerge w:val="continue"/>
            <w:shd w:val="clear" w:color="auto" w:fill="F2F3F2"/>
          </w:tcPr>
          <w:p>
            <w:pPr>
              <w:spacing w:after="0"/>
              <w:rPr>
                <w:sz w:val="10"/>
                <w:szCs w:val="10"/>
                <w:color w:val="auto"/>
              </w:rPr>
            </w:pPr>
          </w:p>
        </w:tc>
        <w:tc>
          <w:tcPr>
            <w:tcW w:w="140" w:type="dxa"/>
            <w:vAlign w:val="bottom"/>
            <w:tcBorders>
              <w:bottom w:val="single" w:sz="8" w:color="F2F3F2"/>
            </w:tcBorders>
            <w:vMerge w:val="continue"/>
            <w:shd w:val="clear" w:color="auto" w:fill="F2F3F2"/>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920" w:type="dxa"/>
            <w:vAlign w:val="bottom"/>
            <w:tcBorders>
              <w:top w:val="single" w:sz="8" w:color="00558C"/>
              <w:left w:val="single" w:sz="8" w:color="B2B3B6"/>
            </w:tcBorders>
            <w:vMerge w:val="restart"/>
            <w:shd w:val="clear" w:color="auto" w:fill="00558C"/>
          </w:tcPr>
          <w:p>
            <w:pPr>
              <w:jc w:val="right"/>
              <w:ind w:right="74"/>
              <w:spacing w:after="0"/>
              <w:rPr>
                <w:sz w:val="20"/>
                <w:szCs w:val="20"/>
                <w:color w:val="auto"/>
              </w:rPr>
            </w:pPr>
            <w:r>
              <w:rPr>
                <w:rFonts w:ascii="Arial" w:cs="Arial" w:eastAsia="Arial" w:hAnsi="Arial"/>
                <w:sz w:val="50"/>
                <w:szCs w:val="50"/>
                <w:color w:val="FFFFFF"/>
              </w:rPr>
              <w:t>5</w:t>
            </w:r>
          </w:p>
        </w:tc>
        <w:tc>
          <w:tcPr>
            <w:tcW w:w="260" w:type="dxa"/>
            <w:vAlign w:val="bottom"/>
            <w:tcBorders>
              <w:top w:val="single" w:sz="8" w:color="F2F3F2"/>
            </w:tcBorders>
            <w:shd w:val="clear" w:color="auto" w:fill="F2F3F2"/>
          </w:tcPr>
          <w:p>
            <w:pPr>
              <w:spacing w:after="0"/>
              <w:rPr>
                <w:sz w:val="21"/>
                <w:szCs w:val="21"/>
                <w:color w:val="auto"/>
              </w:rPr>
            </w:pPr>
          </w:p>
        </w:tc>
        <w:tc>
          <w:tcPr>
            <w:tcW w:w="5380" w:type="dxa"/>
            <w:vAlign w:val="bottom"/>
            <w:tcBorders>
              <w:top w:val="single" w:sz="8" w:color="F2F3F2"/>
            </w:tcBorders>
          </w:tcPr>
          <w:p>
            <w:pPr>
              <w:ind w:left="140"/>
              <w:spacing w:after="0"/>
              <w:rPr>
                <w:sz w:val="20"/>
                <w:szCs w:val="20"/>
                <w:color w:val="auto"/>
              </w:rPr>
            </w:pPr>
            <w:r>
              <w:rPr>
                <w:rFonts w:ascii="Arial" w:cs="Arial" w:eastAsia="Arial" w:hAnsi="Arial"/>
                <w:sz w:val="16"/>
                <w:szCs w:val="16"/>
                <w:b w:val="1"/>
                <w:bCs w:val="1"/>
                <w:color w:val="auto"/>
              </w:rPr>
              <w:t>Strong Balance Sheet and Cash Flows</w:t>
            </w:r>
          </w:p>
        </w:tc>
        <w:tc>
          <w:tcPr>
            <w:tcW w:w="180" w:type="dxa"/>
            <w:vAlign w:val="bottom"/>
            <w:tcBorders>
              <w:top w:val="single" w:sz="8" w:color="F2F3F2"/>
            </w:tcBorders>
            <w:shd w:val="clear" w:color="auto" w:fill="F2F3F2"/>
          </w:tcPr>
          <w:p>
            <w:pPr>
              <w:spacing w:after="0"/>
              <w:rPr>
                <w:sz w:val="21"/>
                <w:szCs w:val="21"/>
                <w:color w:val="auto"/>
              </w:rPr>
            </w:pPr>
          </w:p>
        </w:tc>
        <w:tc>
          <w:tcPr>
            <w:tcW w:w="440" w:type="dxa"/>
            <w:vAlign w:val="bottom"/>
            <w:tcBorders>
              <w:right w:val="single" w:sz="8" w:color="F2F3F2"/>
            </w:tcBorders>
          </w:tcPr>
          <w:p>
            <w:pPr>
              <w:spacing w:after="0"/>
              <w:rPr>
                <w:sz w:val="21"/>
                <w:szCs w:val="21"/>
                <w:color w:val="auto"/>
              </w:rPr>
            </w:pPr>
          </w:p>
        </w:tc>
        <w:tc>
          <w:tcPr>
            <w:tcW w:w="140" w:type="dxa"/>
            <w:vAlign w:val="bottom"/>
            <w:tcBorders>
              <w:top w:val="single" w:sz="8" w:color="F2F3F2"/>
            </w:tcBorders>
            <w:shd w:val="clear" w:color="auto" w:fill="F2F3F2"/>
          </w:tcPr>
          <w:p>
            <w:pPr>
              <w:spacing w:after="0"/>
              <w:rPr>
                <w:sz w:val="21"/>
                <w:szCs w:val="21"/>
                <w:color w:val="auto"/>
              </w:rPr>
            </w:pPr>
          </w:p>
        </w:tc>
        <w:tc>
          <w:tcPr>
            <w:tcW w:w="160" w:type="dxa"/>
            <w:vAlign w:val="bottom"/>
            <w:tcBorders>
              <w:top w:val="single" w:sz="8" w:color="F2F3F2"/>
            </w:tcBorders>
            <w:shd w:val="clear" w:color="auto" w:fill="F2F3F2"/>
          </w:tcPr>
          <w:p>
            <w:pPr>
              <w:ind w:left="40"/>
              <w:spacing w:after="0"/>
              <w:rPr>
                <w:sz w:val="20"/>
                <w:szCs w:val="20"/>
                <w:color w:val="auto"/>
              </w:rPr>
            </w:pPr>
            <w:r>
              <w:rPr>
                <w:rFonts w:ascii="Arial" w:cs="Arial" w:eastAsia="Arial" w:hAnsi="Arial"/>
                <w:sz w:val="14"/>
                <w:szCs w:val="14"/>
                <w:b w:val="1"/>
                <w:bCs w:val="1"/>
                <w:color w:val="6AAA37"/>
              </w:rPr>
              <w:t>•</w:t>
            </w:r>
          </w:p>
        </w:tc>
        <w:tc>
          <w:tcPr>
            <w:tcW w:w="1460" w:type="dxa"/>
            <w:vAlign w:val="bottom"/>
            <w:tcBorders>
              <w:top w:val="single" w:sz="8" w:color="F2F3F2"/>
            </w:tcBorders>
            <w:shd w:val="clear" w:color="auto" w:fill="F2F3F2"/>
          </w:tcPr>
          <w:p>
            <w:pPr>
              <w:ind w:left="40"/>
              <w:spacing w:after="0"/>
              <w:rPr>
                <w:sz w:val="20"/>
                <w:szCs w:val="20"/>
                <w:color w:val="auto"/>
              </w:rPr>
            </w:pPr>
            <w:r>
              <w:rPr>
                <w:rFonts w:ascii="Arial" w:cs="Arial" w:eastAsia="Arial" w:hAnsi="Arial"/>
                <w:sz w:val="14"/>
                <w:szCs w:val="14"/>
                <w:color w:val="auto"/>
              </w:rPr>
              <w:t>Strong annual cash</w:t>
            </w:r>
          </w:p>
        </w:tc>
        <w:tc>
          <w:tcPr>
            <w:tcW w:w="140" w:type="dxa"/>
            <w:vAlign w:val="bottom"/>
            <w:tcBorders>
              <w:top w:val="single" w:sz="8" w:color="F2F3F2"/>
            </w:tcBorders>
            <w:shd w:val="clear" w:color="auto" w:fill="F2F3F2"/>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920" w:type="dxa"/>
            <w:vAlign w:val="bottom"/>
            <w:tcBorders>
              <w:left w:val="single" w:sz="8" w:color="B2B3B6"/>
            </w:tcBorders>
            <w:vMerge w:val="continue"/>
            <w:shd w:val="clear" w:color="auto" w:fill="00558C"/>
          </w:tcPr>
          <w:p>
            <w:pPr>
              <w:spacing w:after="0"/>
              <w:rPr>
                <w:sz w:val="11"/>
                <w:szCs w:val="11"/>
                <w:color w:val="auto"/>
              </w:rPr>
            </w:pPr>
          </w:p>
        </w:tc>
        <w:tc>
          <w:tcPr>
            <w:tcW w:w="260" w:type="dxa"/>
            <w:vAlign w:val="bottom"/>
            <w:shd w:val="clear" w:color="auto" w:fill="F2F3F2"/>
          </w:tcPr>
          <w:p>
            <w:pPr>
              <w:spacing w:after="0"/>
              <w:rPr>
                <w:sz w:val="11"/>
                <w:szCs w:val="11"/>
                <w:color w:val="auto"/>
              </w:rPr>
            </w:pPr>
          </w:p>
        </w:tc>
        <w:tc>
          <w:tcPr>
            <w:tcW w:w="5380" w:type="dxa"/>
            <w:vAlign w:val="bottom"/>
            <w:vMerge w:val="restart"/>
          </w:tcPr>
          <w:p>
            <w:pPr>
              <w:ind w:left="140"/>
              <w:spacing w:after="0"/>
              <w:rPr>
                <w:sz w:val="20"/>
                <w:szCs w:val="20"/>
                <w:color w:val="auto"/>
              </w:rPr>
            </w:pPr>
            <w:r>
              <w:rPr>
                <w:rFonts w:ascii="Arial" w:cs="Arial" w:eastAsia="Arial" w:hAnsi="Arial"/>
                <w:sz w:val="14"/>
                <w:szCs w:val="14"/>
                <w:color w:val="auto"/>
              </w:rPr>
              <w:t>Focus: Delivering 25%-50% of deployed capital as a return to stockholders via</w:t>
            </w:r>
          </w:p>
        </w:tc>
        <w:tc>
          <w:tcPr>
            <w:tcW w:w="180" w:type="dxa"/>
            <w:vAlign w:val="bottom"/>
            <w:shd w:val="clear" w:color="auto" w:fill="F2F3F2"/>
          </w:tcPr>
          <w:p>
            <w:pPr>
              <w:spacing w:after="0"/>
              <w:rPr>
                <w:sz w:val="11"/>
                <w:szCs w:val="11"/>
                <w:color w:val="auto"/>
              </w:rPr>
            </w:pPr>
          </w:p>
        </w:tc>
        <w:tc>
          <w:tcPr>
            <w:tcW w:w="440" w:type="dxa"/>
            <w:vAlign w:val="bottom"/>
            <w:tcBorders>
              <w:right w:val="single" w:sz="8" w:color="F2F3F2"/>
            </w:tcBorders>
          </w:tcPr>
          <w:p>
            <w:pPr>
              <w:spacing w:after="0"/>
              <w:rPr>
                <w:sz w:val="11"/>
                <w:szCs w:val="11"/>
                <w:color w:val="auto"/>
              </w:rPr>
            </w:pPr>
          </w:p>
        </w:tc>
        <w:tc>
          <w:tcPr>
            <w:tcW w:w="140" w:type="dxa"/>
            <w:vAlign w:val="bottom"/>
            <w:shd w:val="clear" w:color="auto" w:fill="F2F3F2"/>
          </w:tcPr>
          <w:p>
            <w:pPr>
              <w:spacing w:after="0"/>
              <w:rPr>
                <w:sz w:val="11"/>
                <w:szCs w:val="11"/>
                <w:color w:val="auto"/>
              </w:rPr>
            </w:pPr>
          </w:p>
        </w:tc>
        <w:tc>
          <w:tcPr>
            <w:tcW w:w="160" w:type="dxa"/>
            <w:vAlign w:val="bottom"/>
            <w:shd w:val="clear" w:color="auto" w:fill="F2F3F2"/>
          </w:tcPr>
          <w:p>
            <w:pPr>
              <w:spacing w:after="0"/>
              <w:rPr>
                <w:sz w:val="11"/>
                <w:szCs w:val="11"/>
                <w:color w:val="auto"/>
              </w:rPr>
            </w:pPr>
          </w:p>
        </w:tc>
        <w:tc>
          <w:tcPr>
            <w:tcW w:w="1460" w:type="dxa"/>
            <w:vAlign w:val="bottom"/>
            <w:shd w:val="clear" w:color="auto" w:fill="F2F3F2"/>
          </w:tcPr>
          <w:p>
            <w:pPr>
              <w:ind w:left="40"/>
              <w:spacing w:after="0" w:line="135" w:lineRule="exact"/>
              <w:rPr>
                <w:sz w:val="20"/>
                <w:szCs w:val="20"/>
                <w:color w:val="auto"/>
              </w:rPr>
            </w:pPr>
            <w:r>
              <w:rPr>
                <w:rFonts w:ascii="Arial" w:cs="Arial" w:eastAsia="Arial" w:hAnsi="Arial"/>
                <w:sz w:val="14"/>
                <w:szCs w:val="14"/>
                <w:color w:val="auto"/>
              </w:rPr>
              <w:t>flows with 25-50%</w:t>
            </w:r>
          </w:p>
        </w:tc>
        <w:tc>
          <w:tcPr>
            <w:tcW w:w="140" w:type="dxa"/>
            <w:vAlign w:val="bottom"/>
            <w:shd w:val="clear" w:color="auto" w:fill="F2F3F2"/>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920" w:type="dxa"/>
            <w:vAlign w:val="bottom"/>
            <w:tcBorders>
              <w:left w:val="single" w:sz="8" w:color="B2B3B6"/>
            </w:tcBorders>
            <w:vMerge w:val="continue"/>
            <w:shd w:val="clear" w:color="auto" w:fill="00558C"/>
          </w:tcPr>
          <w:p>
            <w:pPr>
              <w:spacing w:after="0"/>
              <w:rPr>
                <w:sz w:val="7"/>
                <w:szCs w:val="7"/>
                <w:color w:val="auto"/>
              </w:rPr>
            </w:pPr>
          </w:p>
        </w:tc>
        <w:tc>
          <w:tcPr>
            <w:tcW w:w="260" w:type="dxa"/>
            <w:vAlign w:val="bottom"/>
            <w:shd w:val="clear" w:color="auto" w:fill="F2F3F2"/>
          </w:tcPr>
          <w:p>
            <w:pPr>
              <w:spacing w:after="0"/>
              <w:rPr>
                <w:sz w:val="7"/>
                <w:szCs w:val="7"/>
                <w:color w:val="auto"/>
              </w:rPr>
            </w:pPr>
          </w:p>
        </w:tc>
        <w:tc>
          <w:tcPr>
            <w:tcW w:w="5380" w:type="dxa"/>
            <w:vAlign w:val="bottom"/>
            <w:vMerge w:val="continue"/>
          </w:tcPr>
          <w:p>
            <w:pPr>
              <w:spacing w:after="0"/>
              <w:rPr>
                <w:sz w:val="7"/>
                <w:szCs w:val="7"/>
                <w:color w:val="auto"/>
              </w:rPr>
            </w:pPr>
          </w:p>
        </w:tc>
        <w:tc>
          <w:tcPr>
            <w:tcW w:w="180" w:type="dxa"/>
            <w:vAlign w:val="bottom"/>
            <w:shd w:val="clear" w:color="auto" w:fill="F2F3F2"/>
          </w:tcPr>
          <w:p>
            <w:pPr>
              <w:spacing w:after="0"/>
              <w:rPr>
                <w:sz w:val="7"/>
                <w:szCs w:val="7"/>
                <w:color w:val="auto"/>
              </w:rPr>
            </w:pPr>
          </w:p>
        </w:tc>
        <w:tc>
          <w:tcPr>
            <w:tcW w:w="440" w:type="dxa"/>
            <w:vAlign w:val="bottom"/>
            <w:tcBorders>
              <w:right w:val="single" w:sz="8" w:color="F2F3F2"/>
            </w:tcBorders>
          </w:tcPr>
          <w:p>
            <w:pPr>
              <w:spacing w:after="0"/>
              <w:rPr>
                <w:sz w:val="7"/>
                <w:szCs w:val="7"/>
                <w:color w:val="auto"/>
              </w:rPr>
            </w:pPr>
          </w:p>
        </w:tc>
        <w:tc>
          <w:tcPr>
            <w:tcW w:w="140" w:type="dxa"/>
            <w:vAlign w:val="bottom"/>
            <w:shd w:val="clear" w:color="auto" w:fill="F2F3F2"/>
          </w:tcPr>
          <w:p>
            <w:pPr>
              <w:spacing w:after="0"/>
              <w:rPr>
                <w:sz w:val="7"/>
                <w:szCs w:val="7"/>
                <w:color w:val="auto"/>
              </w:rPr>
            </w:pPr>
          </w:p>
        </w:tc>
        <w:tc>
          <w:tcPr>
            <w:tcW w:w="160" w:type="dxa"/>
            <w:vAlign w:val="bottom"/>
            <w:shd w:val="clear" w:color="auto" w:fill="F2F3F2"/>
          </w:tcPr>
          <w:p>
            <w:pPr>
              <w:spacing w:after="0"/>
              <w:rPr>
                <w:sz w:val="7"/>
                <w:szCs w:val="7"/>
                <w:color w:val="auto"/>
              </w:rPr>
            </w:pPr>
          </w:p>
        </w:tc>
        <w:tc>
          <w:tcPr>
            <w:tcW w:w="1460" w:type="dxa"/>
            <w:vAlign w:val="bottom"/>
            <w:vMerge w:val="restart"/>
            <w:shd w:val="clear" w:color="auto" w:fill="F2F3F2"/>
          </w:tcPr>
          <w:p>
            <w:pPr>
              <w:ind w:left="40"/>
              <w:spacing w:after="0" w:line="139" w:lineRule="exact"/>
              <w:rPr>
                <w:sz w:val="20"/>
                <w:szCs w:val="20"/>
                <w:color w:val="auto"/>
              </w:rPr>
            </w:pPr>
            <w:r>
              <w:rPr>
                <w:rFonts w:ascii="Arial" w:cs="Arial" w:eastAsia="Arial" w:hAnsi="Arial"/>
                <w:sz w:val="14"/>
                <w:szCs w:val="14"/>
                <w:color w:val="auto"/>
              </w:rPr>
              <w:t>targeted for share</w:t>
            </w:r>
          </w:p>
        </w:tc>
        <w:tc>
          <w:tcPr>
            <w:tcW w:w="140" w:type="dxa"/>
            <w:vAlign w:val="bottom"/>
            <w:shd w:val="clear" w:color="auto" w:fill="F2F3F2"/>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920" w:type="dxa"/>
            <w:vAlign w:val="bottom"/>
            <w:tcBorders>
              <w:left w:val="single" w:sz="8" w:color="B2B3B6"/>
            </w:tcBorders>
            <w:vMerge w:val="continue"/>
            <w:shd w:val="clear" w:color="auto" w:fill="00558C"/>
          </w:tcPr>
          <w:p>
            <w:pPr>
              <w:spacing w:after="0"/>
              <w:rPr>
                <w:sz w:val="4"/>
                <w:szCs w:val="4"/>
                <w:color w:val="auto"/>
              </w:rPr>
            </w:pPr>
          </w:p>
        </w:tc>
        <w:tc>
          <w:tcPr>
            <w:tcW w:w="260" w:type="dxa"/>
            <w:vAlign w:val="bottom"/>
            <w:shd w:val="clear" w:color="auto" w:fill="F2F3F2"/>
          </w:tcPr>
          <w:p>
            <w:pPr>
              <w:spacing w:after="0"/>
              <w:rPr>
                <w:sz w:val="4"/>
                <w:szCs w:val="4"/>
                <w:color w:val="auto"/>
              </w:rPr>
            </w:pPr>
          </w:p>
        </w:tc>
        <w:tc>
          <w:tcPr>
            <w:tcW w:w="5380" w:type="dxa"/>
            <w:vAlign w:val="bottom"/>
            <w:vMerge w:val="restart"/>
          </w:tcPr>
          <w:p>
            <w:pPr>
              <w:ind w:left="140"/>
              <w:spacing w:after="0"/>
              <w:rPr>
                <w:sz w:val="20"/>
                <w:szCs w:val="20"/>
                <w:color w:val="auto"/>
              </w:rPr>
            </w:pPr>
            <w:r>
              <w:rPr>
                <w:rFonts w:ascii="Arial" w:cs="Arial" w:eastAsia="Arial" w:hAnsi="Arial"/>
                <w:sz w:val="14"/>
                <w:szCs w:val="14"/>
                <w:color w:val="auto"/>
              </w:rPr>
              <w:t>share repurchases</w:t>
            </w:r>
          </w:p>
        </w:tc>
        <w:tc>
          <w:tcPr>
            <w:tcW w:w="180" w:type="dxa"/>
            <w:vAlign w:val="bottom"/>
            <w:shd w:val="clear" w:color="auto" w:fill="F2F3F2"/>
          </w:tcPr>
          <w:p>
            <w:pPr>
              <w:spacing w:after="0"/>
              <w:rPr>
                <w:sz w:val="4"/>
                <w:szCs w:val="4"/>
                <w:color w:val="auto"/>
              </w:rPr>
            </w:pPr>
          </w:p>
        </w:tc>
        <w:tc>
          <w:tcPr>
            <w:tcW w:w="440" w:type="dxa"/>
            <w:vAlign w:val="bottom"/>
            <w:tcBorders>
              <w:right w:val="single" w:sz="8" w:color="F2F3F2"/>
            </w:tcBorders>
          </w:tcPr>
          <w:p>
            <w:pPr>
              <w:spacing w:after="0"/>
              <w:rPr>
                <w:sz w:val="4"/>
                <w:szCs w:val="4"/>
                <w:color w:val="auto"/>
              </w:rPr>
            </w:pPr>
          </w:p>
        </w:tc>
        <w:tc>
          <w:tcPr>
            <w:tcW w:w="140" w:type="dxa"/>
            <w:vAlign w:val="bottom"/>
            <w:shd w:val="clear" w:color="auto" w:fill="F2F3F2"/>
          </w:tcPr>
          <w:p>
            <w:pPr>
              <w:spacing w:after="0"/>
              <w:rPr>
                <w:sz w:val="4"/>
                <w:szCs w:val="4"/>
                <w:color w:val="auto"/>
              </w:rPr>
            </w:pPr>
          </w:p>
        </w:tc>
        <w:tc>
          <w:tcPr>
            <w:tcW w:w="160" w:type="dxa"/>
            <w:vAlign w:val="bottom"/>
            <w:shd w:val="clear" w:color="auto" w:fill="F2F3F2"/>
          </w:tcPr>
          <w:p>
            <w:pPr>
              <w:spacing w:after="0"/>
              <w:rPr>
                <w:sz w:val="4"/>
                <w:szCs w:val="4"/>
                <w:color w:val="auto"/>
              </w:rPr>
            </w:pPr>
          </w:p>
        </w:tc>
        <w:tc>
          <w:tcPr>
            <w:tcW w:w="1460" w:type="dxa"/>
            <w:vAlign w:val="bottom"/>
            <w:vMerge w:val="continue"/>
            <w:shd w:val="clear" w:color="auto" w:fill="F2F3F2"/>
          </w:tcPr>
          <w:p>
            <w:pPr>
              <w:spacing w:after="0"/>
              <w:rPr>
                <w:sz w:val="4"/>
                <w:szCs w:val="4"/>
                <w:color w:val="auto"/>
              </w:rPr>
            </w:pPr>
          </w:p>
        </w:tc>
        <w:tc>
          <w:tcPr>
            <w:tcW w:w="140" w:type="dxa"/>
            <w:vAlign w:val="bottom"/>
            <w:shd w:val="clear" w:color="auto" w:fill="F2F3F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920" w:type="dxa"/>
            <w:vAlign w:val="bottom"/>
            <w:tcBorders>
              <w:left w:val="single" w:sz="8" w:color="B2B3B6"/>
            </w:tcBorders>
            <w:vMerge w:val="continue"/>
            <w:shd w:val="clear" w:color="auto" w:fill="00558C"/>
          </w:tcPr>
          <w:p>
            <w:pPr>
              <w:spacing w:after="0"/>
              <w:rPr>
                <w:sz w:val="14"/>
                <w:szCs w:val="14"/>
                <w:color w:val="auto"/>
              </w:rPr>
            </w:pPr>
          </w:p>
        </w:tc>
        <w:tc>
          <w:tcPr>
            <w:tcW w:w="260" w:type="dxa"/>
            <w:vAlign w:val="bottom"/>
            <w:shd w:val="clear" w:color="auto" w:fill="F2F3F2"/>
          </w:tcPr>
          <w:p>
            <w:pPr>
              <w:spacing w:after="0"/>
              <w:rPr>
                <w:sz w:val="14"/>
                <w:szCs w:val="14"/>
                <w:color w:val="auto"/>
              </w:rPr>
            </w:pPr>
          </w:p>
        </w:tc>
        <w:tc>
          <w:tcPr>
            <w:tcW w:w="5380" w:type="dxa"/>
            <w:vAlign w:val="bottom"/>
            <w:vMerge w:val="continue"/>
          </w:tcPr>
          <w:p>
            <w:pPr>
              <w:spacing w:after="0"/>
              <w:rPr>
                <w:sz w:val="14"/>
                <w:szCs w:val="14"/>
                <w:color w:val="auto"/>
              </w:rPr>
            </w:pPr>
          </w:p>
        </w:tc>
        <w:tc>
          <w:tcPr>
            <w:tcW w:w="180" w:type="dxa"/>
            <w:vAlign w:val="bottom"/>
            <w:shd w:val="clear" w:color="auto" w:fill="F2F3F2"/>
          </w:tcPr>
          <w:p>
            <w:pPr>
              <w:spacing w:after="0"/>
              <w:rPr>
                <w:sz w:val="14"/>
                <w:szCs w:val="14"/>
                <w:color w:val="auto"/>
              </w:rPr>
            </w:pPr>
          </w:p>
        </w:tc>
        <w:tc>
          <w:tcPr>
            <w:tcW w:w="440" w:type="dxa"/>
            <w:vAlign w:val="bottom"/>
            <w:tcBorders>
              <w:right w:val="single" w:sz="8" w:color="F2F3F2"/>
            </w:tcBorders>
          </w:tcPr>
          <w:p>
            <w:pPr>
              <w:spacing w:after="0"/>
              <w:rPr>
                <w:sz w:val="14"/>
                <w:szCs w:val="14"/>
                <w:color w:val="auto"/>
              </w:rPr>
            </w:pPr>
          </w:p>
        </w:tc>
        <w:tc>
          <w:tcPr>
            <w:tcW w:w="140" w:type="dxa"/>
            <w:vAlign w:val="bottom"/>
            <w:shd w:val="clear" w:color="auto" w:fill="F2F3F2"/>
          </w:tcPr>
          <w:p>
            <w:pPr>
              <w:spacing w:after="0"/>
              <w:rPr>
                <w:sz w:val="14"/>
                <w:szCs w:val="14"/>
                <w:color w:val="auto"/>
              </w:rPr>
            </w:pPr>
          </w:p>
        </w:tc>
        <w:tc>
          <w:tcPr>
            <w:tcW w:w="160" w:type="dxa"/>
            <w:vAlign w:val="bottom"/>
            <w:shd w:val="clear" w:color="auto" w:fill="F2F3F2"/>
          </w:tcPr>
          <w:p>
            <w:pPr>
              <w:spacing w:after="0"/>
              <w:rPr>
                <w:sz w:val="14"/>
                <w:szCs w:val="14"/>
                <w:color w:val="auto"/>
              </w:rPr>
            </w:pPr>
          </w:p>
        </w:tc>
        <w:tc>
          <w:tcPr>
            <w:tcW w:w="1460" w:type="dxa"/>
            <w:vAlign w:val="bottom"/>
            <w:shd w:val="clear" w:color="auto" w:fill="F2F3F2"/>
          </w:tcPr>
          <w:p>
            <w:pPr>
              <w:ind w:left="40"/>
              <w:spacing w:after="0"/>
              <w:rPr>
                <w:sz w:val="20"/>
                <w:szCs w:val="20"/>
                <w:color w:val="auto"/>
              </w:rPr>
            </w:pPr>
            <w:r>
              <w:rPr>
                <w:rFonts w:ascii="Arial" w:cs="Arial" w:eastAsia="Arial" w:hAnsi="Arial"/>
                <w:sz w:val="14"/>
                <w:szCs w:val="14"/>
                <w:color w:val="auto"/>
              </w:rPr>
              <w:t>repurchases</w:t>
            </w:r>
          </w:p>
        </w:tc>
        <w:tc>
          <w:tcPr>
            <w:tcW w:w="140" w:type="dxa"/>
            <w:vAlign w:val="bottom"/>
            <w:shd w:val="clear" w:color="auto" w:fill="F2F3F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920" w:type="dxa"/>
            <w:vAlign w:val="bottom"/>
            <w:tcBorders>
              <w:left w:val="single" w:sz="8" w:color="B2B3B6"/>
            </w:tcBorders>
            <w:shd w:val="clear" w:color="auto" w:fill="00558C"/>
          </w:tcPr>
          <w:p>
            <w:pPr>
              <w:spacing w:after="0"/>
              <w:rPr>
                <w:sz w:val="16"/>
                <w:szCs w:val="16"/>
                <w:color w:val="auto"/>
              </w:rPr>
            </w:pPr>
          </w:p>
        </w:tc>
        <w:tc>
          <w:tcPr>
            <w:tcW w:w="260" w:type="dxa"/>
            <w:vAlign w:val="bottom"/>
            <w:shd w:val="clear" w:color="auto" w:fill="F2F3F2"/>
          </w:tcPr>
          <w:p>
            <w:pPr>
              <w:spacing w:after="0"/>
              <w:rPr>
                <w:sz w:val="16"/>
                <w:szCs w:val="16"/>
                <w:color w:val="auto"/>
              </w:rPr>
            </w:pPr>
          </w:p>
        </w:tc>
        <w:tc>
          <w:tcPr>
            <w:tcW w:w="5380" w:type="dxa"/>
            <w:vAlign w:val="bottom"/>
            <w:shd w:val="clear" w:color="auto" w:fill="F2F3F2"/>
          </w:tcPr>
          <w:p>
            <w:pPr>
              <w:spacing w:after="0"/>
              <w:rPr>
                <w:sz w:val="16"/>
                <w:szCs w:val="16"/>
                <w:color w:val="auto"/>
              </w:rPr>
            </w:pPr>
          </w:p>
        </w:tc>
        <w:tc>
          <w:tcPr>
            <w:tcW w:w="180" w:type="dxa"/>
            <w:vAlign w:val="bottom"/>
            <w:shd w:val="clear" w:color="auto" w:fill="F2F3F2"/>
          </w:tcPr>
          <w:p>
            <w:pPr>
              <w:spacing w:after="0"/>
              <w:rPr>
                <w:sz w:val="16"/>
                <w:szCs w:val="16"/>
                <w:color w:val="auto"/>
              </w:rPr>
            </w:pPr>
          </w:p>
        </w:tc>
        <w:tc>
          <w:tcPr>
            <w:tcW w:w="440" w:type="dxa"/>
            <w:vAlign w:val="bottom"/>
            <w:tcBorders>
              <w:right w:val="single" w:sz="8" w:color="F2F3F2"/>
            </w:tcBorders>
          </w:tcPr>
          <w:p>
            <w:pPr>
              <w:spacing w:after="0"/>
              <w:rPr>
                <w:sz w:val="16"/>
                <w:szCs w:val="16"/>
                <w:color w:val="auto"/>
              </w:rPr>
            </w:pPr>
          </w:p>
        </w:tc>
        <w:tc>
          <w:tcPr>
            <w:tcW w:w="140" w:type="dxa"/>
            <w:vAlign w:val="bottom"/>
            <w:shd w:val="clear" w:color="auto" w:fill="F2F3F2"/>
          </w:tcPr>
          <w:p>
            <w:pPr>
              <w:spacing w:after="0"/>
              <w:rPr>
                <w:sz w:val="16"/>
                <w:szCs w:val="16"/>
                <w:color w:val="auto"/>
              </w:rPr>
            </w:pPr>
          </w:p>
        </w:tc>
        <w:tc>
          <w:tcPr>
            <w:tcW w:w="160" w:type="dxa"/>
            <w:vAlign w:val="bottom"/>
            <w:shd w:val="clear" w:color="auto" w:fill="F2F3F2"/>
          </w:tcPr>
          <w:p>
            <w:pPr>
              <w:spacing w:after="0"/>
              <w:rPr>
                <w:sz w:val="16"/>
                <w:szCs w:val="16"/>
                <w:color w:val="auto"/>
              </w:rPr>
            </w:pPr>
          </w:p>
        </w:tc>
        <w:tc>
          <w:tcPr>
            <w:tcW w:w="1460" w:type="dxa"/>
            <w:vAlign w:val="bottom"/>
            <w:shd w:val="clear" w:color="auto" w:fill="F2F3F2"/>
          </w:tcPr>
          <w:p>
            <w:pPr>
              <w:spacing w:after="0"/>
              <w:rPr>
                <w:sz w:val="16"/>
                <w:szCs w:val="16"/>
                <w:color w:val="auto"/>
              </w:rPr>
            </w:pPr>
          </w:p>
        </w:tc>
        <w:tc>
          <w:tcPr>
            <w:tcW w:w="140" w:type="dxa"/>
            <w:vAlign w:val="bottom"/>
            <w:shd w:val="clear" w:color="auto" w:fill="F2F3F2"/>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-2707005</wp:posOffset>
            </wp:positionV>
            <wp:extent cx="248285" cy="2674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48285" cy="2674620"/>
                    </a:xfrm>
                    <a:prstGeom prst="rect">
                      <a:avLst/>
                    </a:prstGeom>
                    <a:noFill/>
                  </pic:spPr>
                </pic:pic>
              </a:graphicData>
            </a:graphic>
          </wp:anchor>
        </w:drawing>
      </w:r>
    </w:p>
    <w:p>
      <w:pPr>
        <w:spacing w:after="0" w:line="114" w:lineRule="exact"/>
        <w:rPr>
          <w:sz w:val="20"/>
          <w:szCs w:val="20"/>
          <w:color w:val="auto"/>
        </w:rPr>
      </w:pPr>
    </w:p>
    <w:p>
      <w:pPr>
        <w:ind w:left="820" w:right="880"/>
        <w:spacing w:after="0" w:line="321" w:lineRule="auto"/>
        <w:rPr>
          <w:sz w:val="20"/>
          <w:szCs w:val="20"/>
          <w:color w:val="auto"/>
        </w:rPr>
      </w:pPr>
      <w:r>
        <w:rPr>
          <w:rFonts w:ascii="Arial" w:cs="Arial" w:eastAsia="Arial" w:hAnsi="Arial"/>
          <w:sz w:val="16"/>
          <w:szCs w:val="16"/>
          <w:color w:val="auto"/>
        </w:rPr>
        <w:t xml:space="preserve">For details on our refreshed growth strategy presented at our 2025 investor day, see our 2025 investor day presentation found on our </w:t>
      </w:r>
      <w:r>
        <w:rPr>
          <w:rFonts w:ascii="Arial" w:cs="Arial" w:eastAsia="Arial" w:hAnsi="Arial"/>
          <w:sz w:val="16"/>
          <w:szCs w:val="16"/>
          <w:color w:val="auto"/>
          <w:highlight w:val="white"/>
        </w:rPr>
        <w:t>investor relations website at</w:t>
      </w:r>
      <w:r>
        <w:rPr>
          <w:rFonts w:ascii="Arial" w:cs="Arial" w:eastAsia="Arial" w:hAnsi="Arial"/>
          <w:sz w:val="16"/>
          <w:szCs w:val="16"/>
          <w:color w:val="auto"/>
        </w:rPr>
        <w:t xml:space="preserve"> http://ir.huronconsultinggroup.com.</w:t>
      </w:r>
    </w:p>
    <w:p>
      <w:pPr>
        <w:sectPr>
          <w:pgSz w:w="11900" w:h="16838" w:orient="portrait"/>
          <w:cols w:equalWidth="0" w:num="1">
            <w:col w:w="10720"/>
          </w:cols>
          <w:pgMar w:left="580" w:top="140" w:right="599" w:bottom="0" w:gutter="0" w:footer="0" w:header="0"/>
        </w:sectPr>
      </w:pPr>
    </w:p>
    <w:p>
      <w:pPr>
        <w:spacing w:after="0" w:line="83" w:lineRule="exact"/>
        <w:rPr>
          <w:sz w:val="20"/>
          <w:szCs w:val="20"/>
          <w:color w:val="auto"/>
        </w:rPr>
      </w:pPr>
    </w:p>
    <w:p>
      <w:pPr>
        <w:ind w:left="820"/>
        <w:spacing w:after="0"/>
        <w:tabs>
          <w:tab w:leader="none" w:pos="4140" w:val="left"/>
        </w:tabs>
        <w:rPr>
          <w:sz w:val="20"/>
          <w:szCs w:val="20"/>
          <w:color w:val="auto"/>
        </w:rPr>
      </w:pPr>
      <w:r>
        <w:rPr>
          <w:rFonts w:ascii="Arial" w:cs="Arial" w:eastAsia="Arial" w:hAnsi="Arial"/>
          <w:sz w:val="22"/>
          <w:szCs w:val="22"/>
          <w:b w:val="1"/>
          <w:bCs w:val="1"/>
          <w:color w:val="00558C"/>
        </w:rPr>
        <w:t>2024 Performance Highlights</w:t>
      </w:r>
      <w:r>
        <w:rPr>
          <w:sz w:val="20"/>
          <w:szCs w:val="20"/>
          <w:color w:val="auto"/>
        </w:rPr>
        <w:tab/>
      </w:r>
      <w:r>
        <w:rPr>
          <w:rFonts w:ascii="Arial" w:cs="Arial" w:eastAsia="Arial" w:hAnsi="Arial"/>
          <w:sz w:val="21"/>
          <w:szCs w:val="21"/>
          <w:b w:val="1"/>
          <w:bCs w:val="1"/>
          <w:color w:val="FFFFFF"/>
          <w:vertAlign w:val="superscript"/>
        </w:rPr>
        <w:t>2</w:t>
      </w:r>
    </w:p>
    <w:p>
      <w:pPr>
        <w:sectPr>
          <w:pgSz w:w="11900" w:h="16838" w:orient="portrait"/>
          <w:cols w:equalWidth="0" w:num="1">
            <w:col w:w="10720"/>
          </w:cols>
          <w:pgMar w:left="580" w:top="140" w:right="599" w:bottom="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94"/>
        </w:trPr>
        <w:tc>
          <w:tcPr>
            <w:tcW w:w="100" w:type="dxa"/>
            <w:vAlign w:val="bottom"/>
            <w:shd w:val="clear" w:color="auto" w:fill="F2F3F2"/>
          </w:tcPr>
          <w:p>
            <w:pPr>
              <w:spacing w:after="0"/>
              <w:rPr>
                <w:sz w:val="8"/>
                <w:szCs w:val="8"/>
                <w:color w:val="auto"/>
              </w:rPr>
            </w:pPr>
          </w:p>
        </w:tc>
        <w:tc>
          <w:tcPr>
            <w:tcW w:w="2860" w:type="dxa"/>
            <w:vAlign w:val="bottom"/>
            <w:vMerge w:val="restart"/>
            <w:shd w:val="clear" w:color="auto" w:fill="F2F3F2"/>
          </w:tcPr>
          <w:p>
            <w:pPr>
              <w:ind w:left="40"/>
              <w:spacing w:after="0"/>
              <w:rPr>
                <w:sz w:val="20"/>
                <w:szCs w:val="20"/>
                <w:color w:val="auto"/>
              </w:rPr>
            </w:pPr>
            <w:r>
              <w:rPr>
                <w:rFonts w:ascii="Arial" w:cs="Arial" w:eastAsia="Arial" w:hAnsi="Arial"/>
                <w:sz w:val="32"/>
                <w:szCs w:val="32"/>
                <w:color w:val="6AAA37"/>
              </w:rPr>
              <w:t>$1.49B</w:t>
            </w:r>
          </w:p>
        </w:tc>
        <w:tc>
          <w:tcPr>
            <w:tcW w:w="3020" w:type="dxa"/>
            <w:vAlign w:val="bottom"/>
            <w:gridSpan w:val="2"/>
            <w:vMerge w:val="restart"/>
            <w:shd w:val="clear" w:color="auto" w:fill="F2F3F2"/>
          </w:tcPr>
          <w:p>
            <w:pPr>
              <w:ind w:left="220"/>
              <w:spacing w:after="0"/>
              <w:rPr>
                <w:sz w:val="20"/>
                <w:szCs w:val="20"/>
                <w:color w:val="auto"/>
              </w:rPr>
            </w:pPr>
            <w:r>
              <w:rPr>
                <w:rFonts w:ascii="Arial" w:cs="Arial" w:eastAsia="Arial" w:hAnsi="Arial"/>
                <w:sz w:val="32"/>
                <w:szCs w:val="32"/>
                <w:color w:val="6AAA37"/>
              </w:rPr>
              <w:t>7.7%</w:t>
            </w:r>
          </w:p>
        </w:tc>
        <w:tc>
          <w:tcPr>
            <w:tcW w:w="180" w:type="dxa"/>
            <w:vAlign w:val="bottom"/>
            <w:shd w:val="clear" w:color="auto" w:fill="F2F3F2"/>
          </w:tcPr>
          <w:p>
            <w:pPr>
              <w:spacing w:after="0"/>
              <w:rPr>
                <w:sz w:val="8"/>
                <w:szCs w:val="8"/>
                <w:color w:val="auto"/>
              </w:rPr>
            </w:pPr>
          </w:p>
        </w:tc>
        <w:tc>
          <w:tcPr>
            <w:tcW w:w="2820" w:type="dxa"/>
            <w:vAlign w:val="bottom"/>
            <w:vMerge w:val="restart"/>
            <w:shd w:val="clear" w:color="auto" w:fill="F2F3F2"/>
          </w:tcPr>
          <w:p>
            <w:pPr>
              <w:ind w:left="60"/>
              <w:spacing w:after="0"/>
              <w:rPr>
                <w:sz w:val="20"/>
                <w:szCs w:val="20"/>
                <w:color w:val="auto"/>
              </w:rPr>
            </w:pPr>
            <w:r>
              <w:rPr>
                <w:rFonts w:ascii="Arial" w:cs="Arial" w:eastAsia="Arial" w:hAnsi="Arial"/>
                <w:sz w:val="32"/>
                <w:szCs w:val="32"/>
                <w:color w:val="6AAA37"/>
              </w:rPr>
              <w:t>13.5%</w:t>
            </w:r>
          </w:p>
        </w:tc>
        <w:tc>
          <w:tcPr>
            <w:tcW w:w="100" w:type="dxa"/>
            <w:vAlign w:val="bottom"/>
            <w:shd w:val="clear" w:color="auto" w:fill="F2F3F2"/>
          </w:tcPr>
          <w:p>
            <w:pPr>
              <w:spacing w:after="0"/>
              <w:rPr>
                <w:sz w:val="8"/>
                <w:szCs w:val="8"/>
                <w:color w:val="auto"/>
              </w:rPr>
            </w:pPr>
          </w:p>
        </w:tc>
        <w:tc>
          <w:tcPr>
            <w:tcW w:w="0" w:type="dxa"/>
            <w:vAlign w:val="bottom"/>
          </w:tcPr>
          <w:p>
            <w:pPr>
              <w:spacing w:after="0"/>
              <w:rPr>
                <w:sz w:val="1"/>
                <w:szCs w:val="1"/>
                <w:color w:val="auto"/>
              </w:rPr>
            </w:pPr>
          </w:p>
        </w:tc>
      </w:tr>
      <w:tr>
        <w:trPr>
          <w:trHeight w:val="364"/>
        </w:trPr>
        <w:tc>
          <w:tcPr>
            <w:tcW w:w="100" w:type="dxa"/>
            <w:vAlign w:val="bottom"/>
          </w:tcPr>
          <w:p>
            <w:pPr>
              <w:spacing w:after="0"/>
              <w:rPr>
                <w:sz w:val="24"/>
                <w:szCs w:val="24"/>
                <w:color w:val="auto"/>
              </w:rPr>
            </w:pPr>
          </w:p>
        </w:tc>
        <w:tc>
          <w:tcPr>
            <w:tcW w:w="2860" w:type="dxa"/>
            <w:vAlign w:val="bottom"/>
            <w:vMerge w:val="continue"/>
            <w:shd w:val="clear" w:color="auto" w:fill="F2F3F2"/>
          </w:tcPr>
          <w:p>
            <w:pPr>
              <w:spacing w:after="0"/>
              <w:rPr>
                <w:sz w:val="24"/>
                <w:szCs w:val="24"/>
                <w:color w:val="auto"/>
              </w:rPr>
            </w:pPr>
          </w:p>
        </w:tc>
        <w:tc>
          <w:tcPr>
            <w:tcW w:w="3020" w:type="dxa"/>
            <w:vAlign w:val="bottom"/>
            <w:gridSpan w:val="2"/>
            <w:vMerge w:val="continue"/>
            <w:shd w:val="clear" w:color="auto" w:fill="F2F3F2"/>
          </w:tcPr>
          <w:p>
            <w:pPr>
              <w:spacing w:after="0"/>
              <w:rPr>
                <w:sz w:val="24"/>
                <w:szCs w:val="24"/>
                <w:color w:val="auto"/>
              </w:rPr>
            </w:pPr>
          </w:p>
        </w:tc>
        <w:tc>
          <w:tcPr>
            <w:tcW w:w="180" w:type="dxa"/>
            <w:vAlign w:val="bottom"/>
            <w:shd w:val="clear" w:color="auto" w:fill="F2F3F2"/>
          </w:tcPr>
          <w:p>
            <w:pPr>
              <w:spacing w:after="0"/>
              <w:rPr>
                <w:sz w:val="24"/>
                <w:szCs w:val="24"/>
                <w:color w:val="auto"/>
              </w:rPr>
            </w:pPr>
          </w:p>
        </w:tc>
        <w:tc>
          <w:tcPr>
            <w:tcW w:w="2820" w:type="dxa"/>
            <w:vAlign w:val="bottom"/>
            <w:vMerge w:val="continue"/>
            <w:shd w:val="clear" w:color="auto" w:fill="F2F3F2"/>
          </w:tcPr>
          <w:p>
            <w:pPr>
              <w:spacing w:after="0"/>
              <w:rPr>
                <w:sz w:val="24"/>
                <w:szCs w:val="24"/>
                <w:color w:val="auto"/>
              </w:rPr>
            </w:pPr>
          </w:p>
        </w:tc>
        <w:tc>
          <w:tcPr>
            <w:tcW w:w="100" w:type="dxa"/>
            <w:vAlign w:val="bottom"/>
            <w:shd w:val="clear" w:color="auto" w:fill="F2F3F2"/>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00" w:type="dxa"/>
            <w:vAlign w:val="bottom"/>
          </w:tcPr>
          <w:p>
            <w:pPr>
              <w:spacing w:after="0"/>
              <w:rPr>
                <w:sz w:val="16"/>
                <w:szCs w:val="16"/>
                <w:color w:val="auto"/>
              </w:rPr>
            </w:pPr>
          </w:p>
        </w:tc>
        <w:tc>
          <w:tcPr>
            <w:tcW w:w="2860" w:type="dxa"/>
            <w:vAlign w:val="bottom"/>
            <w:shd w:val="clear" w:color="auto" w:fill="F2F3F2"/>
          </w:tcPr>
          <w:p>
            <w:pPr>
              <w:ind w:left="40"/>
              <w:spacing w:after="0"/>
              <w:rPr>
                <w:sz w:val="20"/>
                <w:szCs w:val="20"/>
                <w:color w:val="auto"/>
              </w:rPr>
            </w:pPr>
            <w:r>
              <w:rPr>
                <w:rFonts w:ascii="Arial" w:cs="Arial" w:eastAsia="Arial" w:hAnsi="Arial"/>
                <w:sz w:val="16"/>
                <w:szCs w:val="16"/>
                <w:b w:val="1"/>
                <w:bCs w:val="1"/>
                <w:color w:val="auto"/>
              </w:rPr>
              <w:t>9% increase in Revenues before</w:t>
            </w:r>
          </w:p>
        </w:tc>
        <w:tc>
          <w:tcPr>
            <w:tcW w:w="180" w:type="dxa"/>
            <w:vAlign w:val="bottom"/>
            <w:shd w:val="clear" w:color="auto" w:fill="F2F3F2"/>
          </w:tcPr>
          <w:p>
            <w:pPr>
              <w:spacing w:after="0"/>
              <w:rPr>
                <w:sz w:val="16"/>
                <w:szCs w:val="16"/>
                <w:color w:val="auto"/>
              </w:rPr>
            </w:pPr>
          </w:p>
        </w:tc>
        <w:tc>
          <w:tcPr>
            <w:tcW w:w="3020" w:type="dxa"/>
            <w:vAlign w:val="bottom"/>
            <w:gridSpan w:val="2"/>
            <w:shd w:val="clear" w:color="auto" w:fill="F2F3F2"/>
          </w:tcPr>
          <w:p>
            <w:pPr>
              <w:ind w:left="40"/>
              <w:spacing w:after="0"/>
              <w:rPr>
                <w:sz w:val="20"/>
                <w:szCs w:val="20"/>
                <w:color w:val="auto"/>
              </w:rPr>
            </w:pPr>
            <w:r>
              <w:rPr>
                <w:rFonts w:ascii="Arial" w:cs="Arial" w:eastAsia="Arial" w:hAnsi="Arial"/>
                <w:sz w:val="16"/>
                <w:szCs w:val="16"/>
                <w:b w:val="1"/>
                <w:bCs w:val="1"/>
                <w:color w:val="auto"/>
              </w:rPr>
              <w:t>320 basis point increase in Net</w:t>
            </w:r>
          </w:p>
        </w:tc>
        <w:tc>
          <w:tcPr>
            <w:tcW w:w="2920" w:type="dxa"/>
            <w:vAlign w:val="bottom"/>
            <w:gridSpan w:val="2"/>
            <w:shd w:val="clear" w:color="auto" w:fill="F2F3F2"/>
          </w:tcPr>
          <w:p>
            <w:pPr>
              <w:ind w:left="60"/>
              <w:spacing w:after="0"/>
              <w:rPr>
                <w:sz w:val="20"/>
                <w:szCs w:val="20"/>
                <w:color w:val="auto"/>
              </w:rPr>
            </w:pPr>
            <w:r>
              <w:rPr>
                <w:rFonts w:ascii="Arial" w:cs="Arial" w:eastAsia="Arial" w:hAnsi="Arial"/>
                <w:sz w:val="16"/>
                <w:szCs w:val="16"/>
                <w:b w:val="1"/>
                <w:bCs w:val="1"/>
                <w:color w:val="auto"/>
              </w:rPr>
              <w:t>120 basis point increase in</w:t>
            </w:r>
          </w:p>
        </w:tc>
        <w:tc>
          <w:tcPr>
            <w:tcW w:w="0" w:type="dxa"/>
            <w:vAlign w:val="bottom"/>
          </w:tcPr>
          <w:p>
            <w:pPr>
              <w:spacing w:after="0"/>
              <w:rPr>
                <w:sz w:val="1"/>
                <w:szCs w:val="1"/>
                <w:color w:val="auto"/>
              </w:rPr>
            </w:pPr>
          </w:p>
        </w:tc>
      </w:tr>
      <w:tr>
        <w:trPr>
          <w:trHeight w:val="199"/>
        </w:trPr>
        <w:tc>
          <w:tcPr>
            <w:tcW w:w="100" w:type="dxa"/>
            <w:vAlign w:val="bottom"/>
          </w:tcPr>
          <w:p>
            <w:pPr>
              <w:spacing w:after="0"/>
              <w:rPr>
                <w:sz w:val="17"/>
                <w:szCs w:val="17"/>
                <w:color w:val="auto"/>
              </w:rPr>
            </w:pPr>
          </w:p>
        </w:tc>
        <w:tc>
          <w:tcPr>
            <w:tcW w:w="2860" w:type="dxa"/>
            <w:vAlign w:val="bottom"/>
            <w:shd w:val="clear" w:color="auto" w:fill="F2F3F2"/>
          </w:tcPr>
          <w:p>
            <w:pPr>
              <w:ind w:left="40"/>
              <w:spacing w:after="0"/>
              <w:rPr>
                <w:sz w:val="20"/>
                <w:szCs w:val="20"/>
                <w:color w:val="auto"/>
              </w:rPr>
            </w:pPr>
            <w:r>
              <w:rPr>
                <w:rFonts w:ascii="Arial" w:cs="Arial" w:eastAsia="Arial" w:hAnsi="Arial"/>
                <w:sz w:val="16"/>
                <w:szCs w:val="16"/>
                <w:b w:val="1"/>
                <w:bCs w:val="1"/>
                <w:color w:val="auto"/>
              </w:rPr>
              <w:t xml:space="preserve">Reimbursable Expenses (RBR) </w:t>
            </w:r>
            <w:r>
              <w:rPr>
                <w:rFonts w:ascii="Arial" w:cs="Arial" w:eastAsia="Arial" w:hAnsi="Arial"/>
                <w:sz w:val="16"/>
                <w:szCs w:val="16"/>
                <w:color w:val="auto"/>
              </w:rPr>
              <w:t>from</w:t>
            </w:r>
          </w:p>
        </w:tc>
        <w:tc>
          <w:tcPr>
            <w:tcW w:w="180" w:type="dxa"/>
            <w:vAlign w:val="bottom"/>
            <w:shd w:val="clear" w:color="auto" w:fill="F2F3F2"/>
          </w:tcPr>
          <w:p>
            <w:pPr>
              <w:spacing w:after="0"/>
              <w:rPr>
                <w:sz w:val="17"/>
                <w:szCs w:val="17"/>
                <w:color w:val="auto"/>
              </w:rPr>
            </w:pPr>
          </w:p>
        </w:tc>
        <w:tc>
          <w:tcPr>
            <w:tcW w:w="3020" w:type="dxa"/>
            <w:vAlign w:val="bottom"/>
            <w:gridSpan w:val="2"/>
            <w:shd w:val="clear" w:color="auto" w:fill="F2F3F2"/>
          </w:tcPr>
          <w:p>
            <w:pPr>
              <w:ind w:left="40"/>
              <w:spacing w:after="0"/>
              <w:rPr>
                <w:sz w:val="20"/>
                <w:szCs w:val="20"/>
                <w:color w:val="auto"/>
              </w:rPr>
            </w:pPr>
            <w:r>
              <w:rPr>
                <w:rFonts w:ascii="Arial" w:cs="Arial" w:eastAsia="Arial" w:hAnsi="Arial"/>
                <w:sz w:val="16"/>
                <w:szCs w:val="16"/>
                <w:b w:val="1"/>
                <w:bCs w:val="1"/>
                <w:color w:val="auto"/>
              </w:rPr>
              <w:t xml:space="preserve">Income Margin </w:t>
            </w:r>
            <w:r>
              <w:rPr>
                <w:rFonts w:ascii="Arial" w:cs="Arial" w:eastAsia="Arial" w:hAnsi="Arial"/>
                <w:sz w:val="16"/>
                <w:szCs w:val="16"/>
                <w:color w:val="auto"/>
              </w:rPr>
              <w:t>from 2023</w:t>
            </w:r>
          </w:p>
        </w:tc>
        <w:tc>
          <w:tcPr>
            <w:tcW w:w="2920" w:type="dxa"/>
            <w:vAlign w:val="bottom"/>
            <w:gridSpan w:val="2"/>
            <w:shd w:val="clear" w:color="auto" w:fill="F2F3F2"/>
          </w:tcPr>
          <w:p>
            <w:pPr>
              <w:ind w:left="60"/>
              <w:spacing w:after="0" w:line="199" w:lineRule="exact"/>
              <w:rPr>
                <w:sz w:val="20"/>
                <w:szCs w:val="20"/>
                <w:color w:val="auto"/>
              </w:rPr>
            </w:pPr>
            <w:r>
              <w:rPr>
                <w:rFonts w:ascii="Arial" w:cs="Arial" w:eastAsia="Arial" w:hAnsi="Arial"/>
                <w:sz w:val="16"/>
                <w:szCs w:val="16"/>
                <w:b w:val="1"/>
                <w:bCs w:val="1"/>
                <w:color w:val="auto"/>
              </w:rPr>
              <w:t>Adjusted EBITDA Margin</w:t>
            </w:r>
            <w:r>
              <w:rPr>
                <w:rFonts w:ascii="Arial" w:cs="Arial" w:eastAsia="Arial" w:hAnsi="Arial"/>
                <w:sz w:val="21"/>
                <w:szCs w:val="21"/>
                <w:b w:val="1"/>
                <w:bCs w:val="1"/>
                <w:color w:val="auto"/>
                <w:vertAlign w:val="superscript"/>
              </w:rPr>
              <w:t>2</w:t>
            </w:r>
            <w:r>
              <w:rPr>
                <w:rFonts w:ascii="Arial" w:cs="Arial" w:eastAsia="Arial" w:hAnsi="Arial"/>
                <w:sz w:val="16"/>
                <w:szCs w:val="16"/>
                <w:b w:val="1"/>
                <w:bCs w:val="1"/>
                <w:color w:val="auto"/>
              </w:rPr>
              <w:t xml:space="preserve"> </w:t>
            </w:r>
            <w:r>
              <w:rPr>
                <w:rFonts w:ascii="Arial" w:cs="Arial" w:eastAsia="Arial" w:hAnsi="Arial"/>
                <w:sz w:val="16"/>
                <w:szCs w:val="16"/>
                <w:color w:val="auto"/>
              </w:rPr>
              <w:t>from</w:t>
            </w: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2860" w:type="dxa"/>
            <w:vAlign w:val="bottom"/>
            <w:shd w:val="clear" w:color="auto" w:fill="F2F3F2"/>
          </w:tcPr>
          <w:p>
            <w:pPr>
              <w:ind w:left="40"/>
              <w:spacing w:after="0"/>
              <w:rPr>
                <w:sz w:val="20"/>
                <w:szCs w:val="20"/>
                <w:color w:val="auto"/>
              </w:rPr>
            </w:pPr>
            <w:r>
              <w:rPr>
                <w:rFonts w:ascii="Arial" w:cs="Arial" w:eastAsia="Arial" w:hAnsi="Arial"/>
                <w:sz w:val="16"/>
                <w:szCs w:val="16"/>
                <w:color w:val="auto"/>
              </w:rPr>
              <w:t>2023, driven by growth in Healthcare</w:t>
            </w:r>
          </w:p>
        </w:tc>
        <w:tc>
          <w:tcPr>
            <w:tcW w:w="180" w:type="dxa"/>
            <w:vAlign w:val="bottom"/>
            <w:shd w:val="clear" w:color="auto" w:fill="F2F3F2"/>
          </w:tcPr>
          <w:p>
            <w:pPr>
              <w:spacing w:after="0"/>
              <w:rPr>
                <w:sz w:val="17"/>
                <w:szCs w:val="17"/>
                <w:color w:val="auto"/>
              </w:rPr>
            </w:pPr>
          </w:p>
        </w:tc>
        <w:tc>
          <w:tcPr>
            <w:tcW w:w="2840" w:type="dxa"/>
            <w:vAlign w:val="bottom"/>
            <w:shd w:val="clear" w:color="auto" w:fill="F2F3F2"/>
          </w:tcPr>
          <w:p>
            <w:pPr>
              <w:spacing w:after="0"/>
              <w:rPr>
                <w:sz w:val="17"/>
                <w:szCs w:val="17"/>
                <w:color w:val="auto"/>
              </w:rPr>
            </w:pPr>
          </w:p>
        </w:tc>
        <w:tc>
          <w:tcPr>
            <w:tcW w:w="180" w:type="dxa"/>
            <w:vAlign w:val="bottom"/>
            <w:shd w:val="clear" w:color="auto" w:fill="F2F3F2"/>
          </w:tcPr>
          <w:p>
            <w:pPr>
              <w:spacing w:after="0"/>
              <w:rPr>
                <w:sz w:val="17"/>
                <w:szCs w:val="17"/>
                <w:color w:val="auto"/>
              </w:rPr>
            </w:pPr>
          </w:p>
        </w:tc>
        <w:tc>
          <w:tcPr>
            <w:tcW w:w="2820" w:type="dxa"/>
            <w:vAlign w:val="bottom"/>
            <w:shd w:val="clear" w:color="auto" w:fill="F2F3F2"/>
          </w:tcPr>
          <w:p>
            <w:pPr>
              <w:ind w:left="60"/>
              <w:spacing w:after="0"/>
              <w:rPr>
                <w:sz w:val="20"/>
                <w:szCs w:val="20"/>
                <w:color w:val="auto"/>
              </w:rPr>
            </w:pPr>
            <w:r>
              <w:rPr>
                <w:rFonts w:ascii="Arial" w:cs="Arial" w:eastAsia="Arial" w:hAnsi="Arial"/>
                <w:sz w:val="16"/>
                <w:szCs w:val="16"/>
                <w:color w:val="auto"/>
              </w:rPr>
              <w:t>2023</w:t>
            </w:r>
          </w:p>
        </w:tc>
        <w:tc>
          <w:tcPr>
            <w:tcW w:w="100" w:type="dxa"/>
            <w:vAlign w:val="bottom"/>
            <w:shd w:val="clear" w:color="auto" w:fill="F2F3F2"/>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100" w:type="dxa"/>
            <w:vAlign w:val="bottom"/>
          </w:tcPr>
          <w:p>
            <w:pPr>
              <w:spacing w:after="0"/>
              <w:rPr>
                <w:sz w:val="21"/>
                <w:szCs w:val="21"/>
                <w:color w:val="auto"/>
              </w:rPr>
            </w:pPr>
          </w:p>
        </w:tc>
        <w:tc>
          <w:tcPr>
            <w:tcW w:w="2860" w:type="dxa"/>
            <w:vAlign w:val="bottom"/>
            <w:tcBorders>
              <w:bottom w:val="single" w:sz="8" w:color="F2F3F2"/>
            </w:tcBorders>
            <w:shd w:val="clear" w:color="auto" w:fill="F2F3F2"/>
          </w:tcPr>
          <w:p>
            <w:pPr>
              <w:ind w:left="40"/>
              <w:spacing w:after="0"/>
              <w:rPr>
                <w:sz w:val="20"/>
                <w:szCs w:val="20"/>
                <w:color w:val="auto"/>
              </w:rPr>
            </w:pPr>
            <w:r>
              <w:rPr>
                <w:rFonts w:ascii="Arial" w:cs="Arial" w:eastAsia="Arial" w:hAnsi="Arial"/>
                <w:sz w:val="16"/>
                <w:szCs w:val="16"/>
                <w:color w:val="auto"/>
              </w:rPr>
              <w:t>and Education segments</w:t>
            </w:r>
          </w:p>
        </w:tc>
        <w:tc>
          <w:tcPr>
            <w:tcW w:w="180" w:type="dxa"/>
            <w:vAlign w:val="bottom"/>
            <w:tcBorders>
              <w:bottom w:val="single" w:sz="8" w:color="F2F3F2"/>
            </w:tcBorders>
            <w:shd w:val="clear" w:color="auto" w:fill="F2F3F2"/>
          </w:tcPr>
          <w:p>
            <w:pPr>
              <w:spacing w:after="0"/>
              <w:rPr>
                <w:sz w:val="21"/>
                <w:szCs w:val="21"/>
                <w:color w:val="auto"/>
              </w:rPr>
            </w:pPr>
          </w:p>
        </w:tc>
        <w:tc>
          <w:tcPr>
            <w:tcW w:w="2840" w:type="dxa"/>
            <w:vAlign w:val="bottom"/>
            <w:tcBorders>
              <w:bottom w:val="single" w:sz="8" w:color="F2F3F2"/>
            </w:tcBorders>
            <w:shd w:val="clear" w:color="auto" w:fill="F2F3F2"/>
          </w:tcPr>
          <w:p>
            <w:pPr>
              <w:spacing w:after="0"/>
              <w:rPr>
                <w:sz w:val="21"/>
                <w:szCs w:val="21"/>
                <w:color w:val="auto"/>
              </w:rPr>
            </w:pPr>
          </w:p>
        </w:tc>
        <w:tc>
          <w:tcPr>
            <w:tcW w:w="180" w:type="dxa"/>
            <w:vAlign w:val="bottom"/>
            <w:tcBorders>
              <w:bottom w:val="single" w:sz="8" w:color="F2F3F2"/>
            </w:tcBorders>
            <w:shd w:val="clear" w:color="auto" w:fill="F2F3F2"/>
          </w:tcPr>
          <w:p>
            <w:pPr>
              <w:spacing w:after="0"/>
              <w:rPr>
                <w:sz w:val="21"/>
                <w:szCs w:val="21"/>
                <w:color w:val="auto"/>
              </w:rPr>
            </w:pPr>
          </w:p>
        </w:tc>
        <w:tc>
          <w:tcPr>
            <w:tcW w:w="2820" w:type="dxa"/>
            <w:vAlign w:val="bottom"/>
            <w:tcBorders>
              <w:bottom w:val="single" w:sz="8" w:color="F2F3F2"/>
            </w:tcBorders>
            <w:shd w:val="clear" w:color="auto" w:fill="F2F3F2"/>
          </w:tcPr>
          <w:p>
            <w:pPr>
              <w:spacing w:after="0"/>
              <w:rPr>
                <w:sz w:val="21"/>
                <w:szCs w:val="21"/>
                <w:color w:val="auto"/>
              </w:rPr>
            </w:pPr>
          </w:p>
        </w:tc>
        <w:tc>
          <w:tcPr>
            <w:tcW w:w="100" w:type="dxa"/>
            <w:vAlign w:val="bottom"/>
            <w:tcBorders>
              <w:bottom w:val="single" w:sz="8" w:color="F2F3F2"/>
            </w:tcBorders>
            <w:shd w:val="clear" w:color="auto" w:fill="F2F3F2"/>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100" w:type="dxa"/>
            <w:vAlign w:val="bottom"/>
          </w:tcPr>
          <w:p>
            <w:pPr>
              <w:spacing w:after="0"/>
              <w:rPr>
                <w:sz w:val="9"/>
                <w:szCs w:val="9"/>
                <w:color w:val="auto"/>
              </w:rPr>
            </w:pPr>
          </w:p>
        </w:tc>
        <w:tc>
          <w:tcPr>
            <w:tcW w:w="2860" w:type="dxa"/>
            <w:vAlign w:val="bottom"/>
            <w:tcBorders>
              <w:bottom w:val="single" w:sz="8" w:color="B2B3B6"/>
            </w:tcBorders>
          </w:tcPr>
          <w:p>
            <w:pPr>
              <w:spacing w:after="0"/>
              <w:rPr>
                <w:sz w:val="9"/>
                <w:szCs w:val="9"/>
                <w:color w:val="auto"/>
              </w:rPr>
            </w:pPr>
          </w:p>
        </w:tc>
        <w:tc>
          <w:tcPr>
            <w:tcW w:w="180" w:type="dxa"/>
            <w:vAlign w:val="bottom"/>
            <w:shd w:val="clear" w:color="auto" w:fill="F2F3F2"/>
          </w:tcPr>
          <w:p>
            <w:pPr>
              <w:spacing w:after="0"/>
              <w:rPr>
                <w:sz w:val="9"/>
                <w:szCs w:val="9"/>
                <w:color w:val="auto"/>
              </w:rPr>
            </w:pPr>
          </w:p>
        </w:tc>
        <w:tc>
          <w:tcPr>
            <w:tcW w:w="2840" w:type="dxa"/>
            <w:vAlign w:val="bottom"/>
            <w:tcBorders>
              <w:bottom w:val="single" w:sz="8" w:color="B2B3B6"/>
            </w:tcBorders>
            <w:shd w:val="clear" w:color="auto" w:fill="F2F3F2"/>
          </w:tcPr>
          <w:p>
            <w:pPr>
              <w:spacing w:after="0"/>
              <w:rPr>
                <w:sz w:val="9"/>
                <w:szCs w:val="9"/>
                <w:color w:val="auto"/>
              </w:rPr>
            </w:pPr>
          </w:p>
        </w:tc>
        <w:tc>
          <w:tcPr>
            <w:tcW w:w="180" w:type="dxa"/>
            <w:vAlign w:val="bottom"/>
            <w:shd w:val="clear" w:color="auto" w:fill="F2F3F2"/>
          </w:tcPr>
          <w:p>
            <w:pPr>
              <w:spacing w:after="0"/>
              <w:rPr>
                <w:sz w:val="9"/>
                <w:szCs w:val="9"/>
                <w:color w:val="auto"/>
              </w:rPr>
            </w:pPr>
          </w:p>
        </w:tc>
        <w:tc>
          <w:tcPr>
            <w:tcW w:w="2820" w:type="dxa"/>
            <w:vAlign w:val="bottom"/>
            <w:tcBorders>
              <w:bottom w:val="single" w:sz="8" w:color="B2B3B6"/>
            </w:tcBorders>
            <w:shd w:val="clear" w:color="auto" w:fill="F2F3F2"/>
          </w:tcPr>
          <w:p>
            <w:pPr>
              <w:spacing w:after="0"/>
              <w:rPr>
                <w:sz w:val="9"/>
                <w:szCs w:val="9"/>
                <w:color w:val="auto"/>
              </w:rPr>
            </w:pPr>
          </w:p>
        </w:tc>
        <w:tc>
          <w:tcPr>
            <w:tcW w:w="100" w:type="dxa"/>
            <w:vAlign w:val="bottom"/>
            <w:shd w:val="clear" w:color="auto" w:fill="F2F3F2"/>
          </w:tcPr>
          <w:p>
            <w:pPr>
              <w:spacing w:after="0"/>
              <w:rPr>
                <w:sz w:val="9"/>
                <w:szCs w:val="9"/>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37052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10375" cy="370522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55"/>
        </w:trPr>
        <w:tc>
          <w:tcPr>
            <w:tcW w:w="100" w:type="dxa"/>
            <w:vAlign w:val="bottom"/>
          </w:tcPr>
          <w:p>
            <w:pPr>
              <w:spacing w:after="0"/>
              <w:rPr>
                <w:sz w:val="4"/>
                <w:szCs w:val="4"/>
                <w:color w:val="auto"/>
              </w:rPr>
            </w:pPr>
          </w:p>
        </w:tc>
        <w:tc>
          <w:tcPr>
            <w:tcW w:w="2860" w:type="dxa"/>
            <w:vAlign w:val="bottom"/>
            <w:vMerge w:val="restart"/>
          </w:tcPr>
          <w:p>
            <w:pPr>
              <w:ind w:left="40"/>
              <w:spacing w:after="0"/>
              <w:rPr>
                <w:sz w:val="20"/>
                <w:szCs w:val="20"/>
                <w:color w:val="auto"/>
              </w:rPr>
            </w:pPr>
            <w:r>
              <w:rPr>
                <w:rFonts w:ascii="Arial" w:cs="Arial" w:eastAsia="Arial" w:hAnsi="Arial"/>
                <w:sz w:val="32"/>
                <w:szCs w:val="32"/>
                <w:color w:val="6AAA37"/>
              </w:rPr>
              <w:t>$6.27</w:t>
            </w:r>
          </w:p>
        </w:tc>
        <w:tc>
          <w:tcPr>
            <w:tcW w:w="180" w:type="dxa"/>
            <w:vAlign w:val="bottom"/>
            <w:vMerge w:val="restart"/>
          </w:tcPr>
          <w:p>
            <w:pPr>
              <w:spacing w:after="0"/>
              <w:rPr>
                <w:sz w:val="4"/>
                <w:szCs w:val="4"/>
                <w:color w:val="auto"/>
              </w:rPr>
            </w:pPr>
          </w:p>
        </w:tc>
        <w:tc>
          <w:tcPr>
            <w:tcW w:w="460" w:type="dxa"/>
            <w:vAlign w:val="bottom"/>
          </w:tcPr>
          <w:p>
            <w:pPr>
              <w:spacing w:after="0"/>
              <w:rPr>
                <w:sz w:val="4"/>
                <w:szCs w:val="4"/>
                <w:color w:val="auto"/>
              </w:rPr>
            </w:pPr>
          </w:p>
        </w:tc>
        <w:tc>
          <w:tcPr>
            <w:tcW w:w="23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4"/>
        </w:trPr>
        <w:tc>
          <w:tcPr>
            <w:tcW w:w="100" w:type="dxa"/>
            <w:vAlign w:val="bottom"/>
          </w:tcPr>
          <w:p>
            <w:pPr>
              <w:spacing w:after="0"/>
              <w:rPr>
                <w:sz w:val="24"/>
                <w:szCs w:val="24"/>
                <w:color w:val="auto"/>
              </w:rPr>
            </w:pPr>
          </w:p>
        </w:tc>
        <w:tc>
          <w:tcPr>
            <w:tcW w:w="2860" w:type="dxa"/>
            <w:vAlign w:val="bottom"/>
            <w:vMerge w:val="continue"/>
          </w:tcPr>
          <w:p>
            <w:pPr>
              <w:spacing w:after="0"/>
              <w:rPr>
                <w:sz w:val="24"/>
                <w:szCs w:val="24"/>
                <w:color w:val="auto"/>
              </w:rPr>
            </w:pPr>
          </w:p>
        </w:tc>
        <w:tc>
          <w:tcPr>
            <w:tcW w:w="180" w:type="dxa"/>
            <w:vAlign w:val="bottom"/>
            <w:vMerge w:val="continue"/>
          </w:tcPr>
          <w:p>
            <w:pPr>
              <w:spacing w:after="0"/>
              <w:rPr>
                <w:sz w:val="24"/>
                <w:szCs w:val="24"/>
                <w:color w:val="auto"/>
              </w:rPr>
            </w:pPr>
          </w:p>
        </w:tc>
        <w:tc>
          <w:tcPr>
            <w:tcW w:w="2840" w:type="dxa"/>
            <w:vAlign w:val="bottom"/>
            <w:gridSpan w:val="2"/>
            <w:shd w:val="clear" w:color="auto" w:fill="F2F3F2"/>
          </w:tcPr>
          <w:p>
            <w:pPr>
              <w:ind w:left="40"/>
              <w:spacing w:after="0" w:line="364" w:lineRule="exact"/>
              <w:rPr>
                <w:sz w:val="20"/>
                <w:szCs w:val="20"/>
                <w:color w:val="auto"/>
              </w:rPr>
            </w:pPr>
            <w:r>
              <w:rPr>
                <w:rFonts w:ascii="Arial" w:cs="Arial" w:eastAsia="Arial" w:hAnsi="Arial"/>
                <w:sz w:val="32"/>
                <w:szCs w:val="32"/>
                <w:color w:val="6AAA37"/>
              </w:rPr>
              <w:t>$6.47</w:t>
            </w:r>
          </w:p>
        </w:tc>
        <w:tc>
          <w:tcPr>
            <w:tcW w:w="180" w:type="dxa"/>
            <w:vAlign w:val="bottom"/>
            <w:shd w:val="clear" w:color="auto" w:fill="F2F3F2"/>
          </w:tcPr>
          <w:p>
            <w:pPr>
              <w:spacing w:after="0"/>
              <w:rPr>
                <w:sz w:val="24"/>
                <w:szCs w:val="24"/>
                <w:color w:val="auto"/>
              </w:rPr>
            </w:pPr>
          </w:p>
        </w:tc>
        <w:tc>
          <w:tcPr>
            <w:tcW w:w="2920" w:type="dxa"/>
            <w:vAlign w:val="bottom"/>
            <w:gridSpan w:val="2"/>
            <w:shd w:val="clear" w:color="auto" w:fill="F2F3F2"/>
          </w:tcPr>
          <w:p>
            <w:pPr>
              <w:ind w:left="60"/>
              <w:spacing w:after="0" w:line="364" w:lineRule="exact"/>
              <w:rPr>
                <w:sz w:val="20"/>
                <w:szCs w:val="20"/>
                <w:color w:val="auto"/>
              </w:rPr>
            </w:pPr>
            <w:r>
              <w:rPr>
                <w:rFonts w:ascii="Arial" w:cs="Arial" w:eastAsia="Arial" w:hAnsi="Arial"/>
                <w:sz w:val="32"/>
                <w:szCs w:val="32"/>
                <w:color w:val="6AAA37"/>
              </w:rPr>
              <w:t>$201M</w:t>
            </w:r>
          </w:p>
        </w:tc>
        <w:tc>
          <w:tcPr>
            <w:tcW w:w="0" w:type="dxa"/>
            <w:vAlign w:val="bottom"/>
          </w:tcPr>
          <w:p>
            <w:pPr>
              <w:spacing w:after="0"/>
              <w:rPr>
                <w:sz w:val="1"/>
                <w:szCs w:val="1"/>
                <w:color w:val="auto"/>
              </w:rPr>
            </w:pPr>
          </w:p>
        </w:tc>
      </w:tr>
      <w:tr>
        <w:trPr>
          <w:trHeight w:val="192"/>
        </w:trPr>
        <w:tc>
          <w:tcPr>
            <w:tcW w:w="100" w:type="dxa"/>
            <w:vAlign w:val="bottom"/>
          </w:tcPr>
          <w:p>
            <w:pPr>
              <w:spacing w:after="0"/>
              <w:rPr>
                <w:sz w:val="16"/>
                <w:szCs w:val="16"/>
                <w:color w:val="auto"/>
              </w:rPr>
            </w:pPr>
          </w:p>
        </w:tc>
        <w:tc>
          <w:tcPr>
            <w:tcW w:w="3040" w:type="dxa"/>
            <w:vAlign w:val="bottom"/>
            <w:gridSpan w:val="2"/>
          </w:tcPr>
          <w:p>
            <w:pPr>
              <w:ind w:left="40"/>
              <w:spacing w:after="0"/>
              <w:rPr>
                <w:sz w:val="20"/>
                <w:szCs w:val="20"/>
                <w:color w:val="auto"/>
              </w:rPr>
            </w:pPr>
            <w:r>
              <w:rPr>
                <w:rFonts w:ascii="Arial" w:cs="Arial" w:eastAsia="Arial" w:hAnsi="Arial"/>
                <w:sz w:val="16"/>
                <w:szCs w:val="16"/>
                <w:b w:val="1"/>
                <w:bCs w:val="1"/>
                <w:color w:val="auto"/>
              </w:rPr>
              <w:t>97% increase in GAAP Diluted EPS</w:t>
            </w:r>
          </w:p>
        </w:tc>
        <w:tc>
          <w:tcPr>
            <w:tcW w:w="2840" w:type="dxa"/>
            <w:vAlign w:val="bottom"/>
            <w:gridSpan w:val="2"/>
            <w:shd w:val="clear" w:color="auto" w:fill="F2F3F2"/>
          </w:tcPr>
          <w:p>
            <w:pPr>
              <w:ind w:left="40"/>
              <w:spacing w:after="0"/>
              <w:rPr>
                <w:sz w:val="20"/>
                <w:szCs w:val="20"/>
                <w:color w:val="auto"/>
              </w:rPr>
            </w:pPr>
            <w:r>
              <w:rPr>
                <w:rFonts w:ascii="Arial" w:cs="Arial" w:eastAsia="Arial" w:hAnsi="Arial"/>
                <w:sz w:val="16"/>
                <w:szCs w:val="16"/>
                <w:b w:val="1"/>
                <w:bCs w:val="1"/>
                <w:color w:val="auto"/>
              </w:rPr>
              <w:t>32% increase in Adjusted Diluted</w:t>
            </w:r>
          </w:p>
        </w:tc>
        <w:tc>
          <w:tcPr>
            <w:tcW w:w="180" w:type="dxa"/>
            <w:vAlign w:val="bottom"/>
            <w:shd w:val="clear" w:color="auto" w:fill="F2F3F2"/>
          </w:tcPr>
          <w:p>
            <w:pPr>
              <w:spacing w:after="0"/>
              <w:rPr>
                <w:sz w:val="16"/>
                <w:szCs w:val="16"/>
                <w:color w:val="auto"/>
              </w:rPr>
            </w:pPr>
          </w:p>
        </w:tc>
        <w:tc>
          <w:tcPr>
            <w:tcW w:w="2920" w:type="dxa"/>
            <w:vAlign w:val="bottom"/>
            <w:gridSpan w:val="2"/>
            <w:shd w:val="clear" w:color="auto" w:fill="F2F3F2"/>
          </w:tcPr>
          <w:p>
            <w:pPr>
              <w:ind w:left="60"/>
              <w:spacing w:after="0"/>
              <w:rPr>
                <w:sz w:val="20"/>
                <w:szCs w:val="20"/>
                <w:color w:val="auto"/>
              </w:rPr>
            </w:pPr>
            <w:r>
              <w:rPr>
                <w:rFonts w:ascii="Arial" w:cs="Arial" w:eastAsia="Arial" w:hAnsi="Arial"/>
                <w:sz w:val="16"/>
                <w:szCs w:val="16"/>
                <w:b w:val="1"/>
                <w:bCs w:val="1"/>
                <w:color w:val="auto"/>
              </w:rPr>
              <w:t>49% increase in Operating Cash</w:t>
            </w:r>
          </w:p>
        </w:tc>
        <w:tc>
          <w:tcPr>
            <w:tcW w:w="0" w:type="dxa"/>
            <w:vAlign w:val="bottom"/>
          </w:tcPr>
          <w:p>
            <w:pPr>
              <w:spacing w:after="0"/>
              <w:rPr>
                <w:sz w:val="1"/>
                <w:szCs w:val="1"/>
                <w:color w:val="auto"/>
              </w:rPr>
            </w:pPr>
          </w:p>
        </w:tc>
      </w:tr>
      <w:tr>
        <w:trPr>
          <w:trHeight w:val="286"/>
        </w:trPr>
        <w:tc>
          <w:tcPr>
            <w:tcW w:w="100" w:type="dxa"/>
            <w:vAlign w:val="bottom"/>
          </w:tcPr>
          <w:p>
            <w:pPr>
              <w:spacing w:after="0"/>
              <w:rPr>
                <w:sz w:val="24"/>
                <w:szCs w:val="24"/>
                <w:color w:val="auto"/>
              </w:rPr>
            </w:pPr>
          </w:p>
        </w:tc>
        <w:tc>
          <w:tcPr>
            <w:tcW w:w="3040" w:type="dxa"/>
            <w:vAlign w:val="bottom"/>
            <w:gridSpan w:val="2"/>
          </w:tcPr>
          <w:p>
            <w:pPr>
              <w:ind w:left="40"/>
              <w:spacing w:after="0"/>
              <w:rPr>
                <w:sz w:val="20"/>
                <w:szCs w:val="20"/>
                <w:color w:val="auto"/>
              </w:rPr>
            </w:pPr>
            <w:r>
              <w:rPr>
                <w:rFonts w:ascii="Arial" w:cs="Arial" w:eastAsia="Arial" w:hAnsi="Arial"/>
                <w:sz w:val="16"/>
                <w:szCs w:val="16"/>
                <w:color w:val="auto"/>
              </w:rPr>
              <w:t>from 2023</w:t>
            </w:r>
          </w:p>
        </w:tc>
        <w:tc>
          <w:tcPr>
            <w:tcW w:w="2840" w:type="dxa"/>
            <w:vAlign w:val="bottom"/>
            <w:gridSpan w:val="2"/>
            <w:shd w:val="clear" w:color="auto" w:fill="F2F3F2"/>
          </w:tcPr>
          <w:p>
            <w:pPr>
              <w:ind w:left="40"/>
              <w:spacing w:after="0"/>
              <w:rPr>
                <w:sz w:val="20"/>
                <w:szCs w:val="20"/>
                <w:color w:val="auto"/>
              </w:rPr>
            </w:pPr>
            <w:r>
              <w:rPr>
                <w:rFonts w:ascii="Arial" w:cs="Arial" w:eastAsia="Arial" w:hAnsi="Arial"/>
                <w:sz w:val="16"/>
                <w:szCs w:val="16"/>
                <w:b w:val="1"/>
                <w:bCs w:val="1"/>
                <w:color w:val="auto"/>
              </w:rPr>
              <w:t>EPS</w:t>
            </w:r>
            <w:r>
              <w:rPr>
                <w:rFonts w:ascii="Arial" w:cs="Arial" w:eastAsia="Arial" w:hAnsi="Arial"/>
                <w:sz w:val="21"/>
                <w:szCs w:val="21"/>
                <w:b w:val="1"/>
                <w:bCs w:val="1"/>
                <w:color w:val="auto"/>
                <w:vertAlign w:val="superscript"/>
              </w:rPr>
              <w:t>2</w:t>
            </w:r>
            <w:r>
              <w:rPr>
                <w:rFonts w:ascii="Arial" w:cs="Arial" w:eastAsia="Arial" w:hAnsi="Arial"/>
                <w:sz w:val="16"/>
                <w:szCs w:val="16"/>
                <w:b w:val="1"/>
                <w:bCs w:val="1"/>
                <w:color w:val="auto"/>
              </w:rPr>
              <w:t xml:space="preserve"> </w:t>
            </w:r>
            <w:r>
              <w:rPr>
                <w:rFonts w:ascii="Arial" w:cs="Arial" w:eastAsia="Arial" w:hAnsi="Arial"/>
                <w:sz w:val="16"/>
                <w:szCs w:val="16"/>
                <w:color w:val="auto"/>
              </w:rPr>
              <w:t>from 2023</w:t>
            </w:r>
          </w:p>
        </w:tc>
        <w:tc>
          <w:tcPr>
            <w:tcW w:w="180" w:type="dxa"/>
            <w:vAlign w:val="bottom"/>
            <w:shd w:val="clear" w:color="auto" w:fill="F2F3F2"/>
          </w:tcPr>
          <w:p>
            <w:pPr>
              <w:spacing w:after="0"/>
              <w:rPr>
                <w:sz w:val="24"/>
                <w:szCs w:val="24"/>
                <w:color w:val="auto"/>
              </w:rPr>
            </w:pPr>
          </w:p>
        </w:tc>
        <w:tc>
          <w:tcPr>
            <w:tcW w:w="2920" w:type="dxa"/>
            <w:vAlign w:val="bottom"/>
            <w:gridSpan w:val="2"/>
            <w:shd w:val="clear" w:color="auto" w:fill="F2F3F2"/>
          </w:tcPr>
          <w:p>
            <w:pPr>
              <w:ind w:left="60"/>
              <w:spacing w:after="0"/>
              <w:rPr>
                <w:sz w:val="20"/>
                <w:szCs w:val="20"/>
                <w:color w:val="auto"/>
              </w:rPr>
            </w:pPr>
            <w:r>
              <w:rPr>
                <w:rFonts w:ascii="Arial" w:cs="Arial" w:eastAsia="Arial" w:hAnsi="Arial"/>
                <w:sz w:val="16"/>
                <w:szCs w:val="16"/>
                <w:b w:val="1"/>
                <w:bCs w:val="1"/>
                <w:color w:val="auto"/>
              </w:rPr>
              <w:t xml:space="preserve">Inflows </w:t>
            </w:r>
            <w:r>
              <w:rPr>
                <w:rFonts w:ascii="Arial" w:cs="Arial" w:eastAsia="Arial" w:hAnsi="Arial"/>
                <w:sz w:val="16"/>
                <w:szCs w:val="16"/>
                <w:color w:val="auto"/>
              </w:rPr>
              <w:t>from 2023</w:t>
            </w:r>
          </w:p>
        </w:tc>
        <w:tc>
          <w:tcPr>
            <w:tcW w:w="0" w:type="dxa"/>
            <w:vAlign w:val="bottom"/>
          </w:tcPr>
          <w:p>
            <w:pPr>
              <w:spacing w:after="0"/>
              <w:rPr>
                <w:sz w:val="1"/>
                <w:szCs w:val="1"/>
                <w:color w:val="auto"/>
              </w:rPr>
            </w:pPr>
          </w:p>
        </w:tc>
      </w:tr>
      <w:tr>
        <w:trPr>
          <w:trHeight w:val="494"/>
        </w:trPr>
        <w:tc>
          <w:tcPr>
            <w:tcW w:w="100" w:type="dxa"/>
            <w:vAlign w:val="bottom"/>
          </w:tcPr>
          <w:p>
            <w:pPr>
              <w:spacing w:after="0"/>
              <w:rPr>
                <w:sz w:val="24"/>
                <w:szCs w:val="24"/>
                <w:color w:val="auto"/>
              </w:rPr>
            </w:pPr>
          </w:p>
        </w:tc>
        <w:tc>
          <w:tcPr>
            <w:tcW w:w="2860" w:type="dxa"/>
            <w:vAlign w:val="bottom"/>
            <w:tcBorders>
              <w:bottom w:val="single" w:sz="8" w:color="B2B3B6"/>
            </w:tcBorders>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Borders>
              <w:bottom w:val="single" w:sz="8" w:color="B2B3B6"/>
            </w:tcBorders>
            <w:shd w:val="clear" w:color="auto" w:fill="F2F3F2"/>
          </w:tcPr>
          <w:p>
            <w:pPr>
              <w:spacing w:after="0"/>
              <w:rPr>
                <w:sz w:val="24"/>
                <w:szCs w:val="24"/>
                <w:color w:val="auto"/>
              </w:rPr>
            </w:pPr>
          </w:p>
        </w:tc>
        <w:tc>
          <w:tcPr>
            <w:tcW w:w="2380" w:type="dxa"/>
            <w:vAlign w:val="bottom"/>
            <w:tcBorders>
              <w:bottom w:val="single" w:sz="8" w:color="B2B3B6"/>
            </w:tcBorders>
            <w:shd w:val="clear" w:color="auto" w:fill="F2F3F2"/>
          </w:tcPr>
          <w:p>
            <w:pPr>
              <w:spacing w:after="0"/>
              <w:rPr>
                <w:sz w:val="24"/>
                <w:szCs w:val="24"/>
                <w:color w:val="auto"/>
              </w:rPr>
            </w:pPr>
          </w:p>
        </w:tc>
        <w:tc>
          <w:tcPr>
            <w:tcW w:w="180" w:type="dxa"/>
            <w:vAlign w:val="bottom"/>
            <w:tcBorders>
              <w:bottom w:val="single" w:sz="8" w:color="F2F3F2"/>
            </w:tcBorders>
            <w:shd w:val="clear" w:color="auto" w:fill="F2F3F2"/>
          </w:tcPr>
          <w:p>
            <w:pPr>
              <w:spacing w:after="0"/>
              <w:rPr>
                <w:sz w:val="24"/>
                <w:szCs w:val="24"/>
                <w:color w:val="auto"/>
              </w:rPr>
            </w:pPr>
          </w:p>
        </w:tc>
        <w:tc>
          <w:tcPr>
            <w:tcW w:w="2820" w:type="dxa"/>
            <w:vAlign w:val="bottom"/>
            <w:tcBorders>
              <w:bottom w:val="single" w:sz="8" w:color="B2B3B6"/>
            </w:tcBorders>
            <w:shd w:val="clear" w:color="auto" w:fill="F2F3F2"/>
          </w:tcPr>
          <w:p>
            <w:pPr>
              <w:spacing w:after="0"/>
              <w:rPr>
                <w:sz w:val="24"/>
                <w:szCs w:val="24"/>
                <w:color w:val="auto"/>
              </w:rPr>
            </w:pPr>
          </w:p>
        </w:tc>
        <w:tc>
          <w:tcPr>
            <w:tcW w:w="100" w:type="dxa"/>
            <w:vAlign w:val="bottom"/>
            <w:tcBorders>
              <w:bottom w:val="single" w:sz="8" w:color="F2F3F2"/>
            </w:tcBorders>
            <w:shd w:val="clear" w:color="auto" w:fill="F2F3F2"/>
          </w:tcPr>
          <w:p>
            <w:pPr>
              <w:spacing w:after="0"/>
              <w:rPr>
                <w:sz w:val="24"/>
                <w:szCs w:val="24"/>
                <w:color w:val="auto"/>
              </w:rPr>
            </w:pPr>
          </w:p>
        </w:tc>
        <w:tc>
          <w:tcPr>
            <w:tcW w:w="0" w:type="dxa"/>
            <w:vAlign w:val="bottom"/>
          </w:tcPr>
          <w:p>
            <w:pPr>
              <w:spacing w:after="0"/>
              <w:rPr>
                <w:sz w:val="1"/>
                <w:szCs w:val="1"/>
                <w:color w:val="auto"/>
              </w:rPr>
            </w:pPr>
          </w:p>
        </w:tc>
      </w:tr>
      <w:tr>
        <w:trPr>
          <w:trHeight w:val="442"/>
        </w:trPr>
        <w:tc>
          <w:tcPr>
            <w:tcW w:w="100" w:type="dxa"/>
            <w:vAlign w:val="bottom"/>
          </w:tcPr>
          <w:p>
            <w:pPr>
              <w:spacing w:after="0"/>
              <w:rPr>
                <w:sz w:val="24"/>
                <w:szCs w:val="24"/>
                <w:color w:val="auto"/>
              </w:rPr>
            </w:pPr>
          </w:p>
        </w:tc>
        <w:tc>
          <w:tcPr>
            <w:tcW w:w="3040" w:type="dxa"/>
            <w:vAlign w:val="bottom"/>
            <w:gridSpan w:val="2"/>
          </w:tcPr>
          <w:p>
            <w:pPr>
              <w:ind w:left="40"/>
              <w:spacing w:after="0"/>
              <w:rPr>
                <w:sz w:val="20"/>
                <w:szCs w:val="20"/>
                <w:color w:val="auto"/>
              </w:rPr>
            </w:pPr>
            <w:r>
              <w:rPr>
                <w:rFonts w:ascii="Arial" w:cs="Arial" w:eastAsia="Arial" w:hAnsi="Arial"/>
                <w:sz w:val="32"/>
                <w:szCs w:val="32"/>
                <w:color w:val="6AAA37"/>
              </w:rPr>
              <w:t>$169M</w:t>
            </w:r>
          </w:p>
        </w:tc>
        <w:tc>
          <w:tcPr>
            <w:tcW w:w="2840" w:type="dxa"/>
            <w:vAlign w:val="bottom"/>
            <w:gridSpan w:val="2"/>
            <w:shd w:val="clear" w:color="auto" w:fill="F2F3F2"/>
          </w:tcPr>
          <w:p>
            <w:pPr>
              <w:ind w:left="40"/>
              <w:spacing w:after="0"/>
              <w:rPr>
                <w:sz w:val="20"/>
                <w:szCs w:val="20"/>
                <w:color w:val="auto"/>
              </w:rPr>
            </w:pPr>
            <w:r>
              <w:rPr>
                <w:rFonts w:ascii="Arial" w:cs="Arial" w:eastAsia="Arial" w:hAnsi="Arial"/>
                <w:sz w:val="32"/>
                <w:szCs w:val="32"/>
                <w:color w:val="6AAA37"/>
              </w:rPr>
              <w:t>$122M</w:t>
            </w:r>
          </w:p>
        </w:tc>
        <w:tc>
          <w:tcPr>
            <w:tcW w:w="180" w:type="dxa"/>
            <w:vAlign w:val="bottom"/>
            <w:shd w:val="clear" w:color="auto" w:fill="F2F3F2"/>
          </w:tcPr>
          <w:p>
            <w:pPr>
              <w:spacing w:after="0"/>
              <w:rPr>
                <w:sz w:val="24"/>
                <w:szCs w:val="24"/>
                <w:color w:val="auto"/>
              </w:rPr>
            </w:pPr>
          </w:p>
        </w:tc>
        <w:tc>
          <w:tcPr>
            <w:tcW w:w="2820" w:type="dxa"/>
            <w:vAlign w:val="bottom"/>
            <w:shd w:val="clear" w:color="auto" w:fill="F2F3F2"/>
          </w:tcPr>
          <w:p>
            <w:pPr>
              <w:ind w:left="60"/>
              <w:spacing w:after="0"/>
              <w:rPr>
                <w:sz w:val="20"/>
                <w:szCs w:val="20"/>
                <w:color w:val="auto"/>
              </w:rPr>
            </w:pPr>
            <w:r>
              <w:rPr>
                <w:rFonts w:ascii="Arial" w:cs="Arial" w:eastAsia="Arial" w:hAnsi="Arial"/>
                <w:sz w:val="32"/>
                <w:szCs w:val="32"/>
                <w:color w:val="6AAA37"/>
              </w:rPr>
              <w:t>21%</w:t>
            </w:r>
          </w:p>
        </w:tc>
        <w:tc>
          <w:tcPr>
            <w:tcW w:w="100" w:type="dxa"/>
            <w:vAlign w:val="bottom"/>
            <w:shd w:val="clear" w:color="auto" w:fill="F2F3F2"/>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3040" w:type="dxa"/>
            <w:vAlign w:val="bottom"/>
            <w:gridSpan w:val="2"/>
          </w:tcPr>
          <w:p>
            <w:pPr>
              <w:ind w:left="40"/>
              <w:spacing w:after="0" w:line="213" w:lineRule="exact"/>
              <w:rPr>
                <w:sz w:val="20"/>
                <w:szCs w:val="20"/>
                <w:color w:val="auto"/>
              </w:rPr>
            </w:pPr>
            <w:r>
              <w:rPr>
                <w:rFonts w:ascii="Arial" w:cs="Arial" w:eastAsia="Arial" w:hAnsi="Arial"/>
                <w:sz w:val="16"/>
                <w:szCs w:val="16"/>
                <w:b w:val="1"/>
                <w:bCs w:val="1"/>
                <w:color w:val="auto"/>
              </w:rPr>
              <w:t>69% increase in Free Cash Flow</w:t>
            </w:r>
            <w:r>
              <w:rPr>
                <w:rFonts w:ascii="Arial" w:cs="Arial" w:eastAsia="Arial" w:hAnsi="Arial"/>
                <w:sz w:val="21"/>
                <w:szCs w:val="21"/>
                <w:b w:val="1"/>
                <w:bCs w:val="1"/>
                <w:color w:val="auto"/>
                <w:vertAlign w:val="superscript"/>
              </w:rPr>
              <w:t>2</w:t>
            </w:r>
          </w:p>
        </w:tc>
        <w:tc>
          <w:tcPr>
            <w:tcW w:w="2840" w:type="dxa"/>
            <w:vAlign w:val="bottom"/>
            <w:gridSpan w:val="2"/>
            <w:shd w:val="clear" w:color="auto" w:fill="F2F3F2"/>
          </w:tcPr>
          <w:p>
            <w:pPr>
              <w:ind w:left="40"/>
              <w:spacing w:after="0"/>
              <w:rPr>
                <w:sz w:val="20"/>
                <w:szCs w:val="20"/>
                <w:color w:val="auto"/>
              </w:rPr>
            </w:pPr>
            <w:r>
              <w:rPr>
                <w:rFonts w:ascii="Arial" w:cs="Arial" w:eastAsia="Arial" w:hAnsi="Arial"/>
                <w:sz w:val="16"/>
                <w:szCs w:val="16"/>
                <w:b w:val="1"/>
                <w:bCs w:val="1"/>
                <w:color w:val="auto"/>
              </w:rPr>
              <w:t>Returned $122 million to</w:t>
            </w:r>
          </w:p>
        </w:tc>
        <w:tc>
          <w:tcPr>
            <w:tcW w:w="180" w:type="dxa"/>
            <w:vAlign w:val="bottom"/>
            <w:shd w:val="clear" w:color="auto" w:fill="F2F3F2"/>
          </w:tcPr>
          <w:p>
            <w:pPr>
              <w:spacing w:after="0"/>
              <w:rPr>
                <w:sz w:val="18"/>
                <w:szCs w:val="18"/>
                <w:color w:val="auto"/>
              </w:rPr>
            </w:pPr>
          </w:p>
        </w:tc>
        <w:tc>
          <w:tcPr>
            <w:tcW w:w="2820" w:type="dxa"/>
            <w:vAlign w:val="bottom"/>
            <w:shd w:val="clear" w:color="auto" w:fill="F2F3F2"/>
          </w:tcPr>
          <w:p>
            <w:pPr>
              <w:ind w:left="60"/>
              <w:spacing w:after="0"/>
              <w:rPr>
                <w:sz w:val="20"/>
                <w:szCs w:val="20"/>
                <w:color w:val="auto"/>
              </w:rPr>
            </w:pPr>
            <w:r>
              <w:rPr>
                <w:rFonts w:ascii="Arial" w:cs="Arial" w:eastAsia="Arial" w:hAnsi="Arial"/>
                <w:sz w:val="16"/>
                <w:szCs w:val="16"/>
                <w:b w:val="1"/>
                <w:bCs w:val="1"/>
                <w:color w:val="auto"/>
              </w:rPr>
              <w:t>2024 Total Shareholder Return</w:t>
            </w:r>
          </w:p>
        </w:tc>
        <w:tc>
          <w:tcPr>
            <w:tcW w:w="100" w:type="dxa"/>
            <w:vAlign w:val="bottom"/>
            <w:shd w:val="clear" w:color="auto" w:fill="F2F3F2"/>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3040" w:type="dxa"/>
            <w:vAlign w:val="bottom"/>
            <w:gridSpan w:val="2"/>
          </w:tcPr>
          <w:p>
            <w:pPr>
              <w:ind w:left="40"/>
              <w:spacing w:after="0"/>
              <w:rPr>
                <w:sz w:val="20"/>
                <w:szCs w:val="20"/>
                <w:color w:val="auto"/>
              </w:rPr>
            </w:pPr>
            <w:r>
              <w:rPr>
                <w:rFonts w:ascii="Arial" w:cs="Arial" w:eastAsia="Arial" w:hAnsi="Arial"/>
                <w:sz w:val="16"/>
                <w:szCs w:val="16"/>
                <w:color w:val="auto"/>
              </w:rPr>
              <w:t>from 2023</w:t>
            </w:r>
          </w:p>
        </w:tc>
        <w:tc>
          <w:tcPr>
            <w:tcW w:w="2840" w:type="dxa"/>
            <w:vAlign w:val="bottom"/>
            <w:gridSpan w:val="2"/>
            <w:shd w:val="clear" w:color="auto" w:fill="F2F3F2"/>
          </w:tcPr>
          <w:p>
            <w:pPr>
              <w:ind w:left="40"/>
              <w:spacing w:after="0"/>
              <w:rPr>
                <w:sz w:val="20"/>
                <w:szCs w:val="20"/>
                <w:color w:val="auto"/>
              </w:rPr>
            </w:pPr>
            <w:r>
              <w:rPr>
                <w:rFonts w:ascii="Arial" w:cs="Arial" w:eastAsia="Arial" w:hAnsi="Arial"/>
                <w:sz w:val="16"/>
                <w:szCs w:val="16"/>
                <w:b w:val="1"/>
                <w:bCs w:val="1"/>
                <w:color w:val="auto"/>
              </w:rPr>
              <w:t xml:space="preserve">stockholders </w:t>
            </w:r>
            <w:r>
              <w:rPr>
                <w:rFonts w:ascii="Arial" w:cs="Arial" w:eastAsia="Arial" w:hAnsi="Arial"/>
                <w:sz w:val="16"/>
                <w:szCs w:val="16"/>
                <w:color w:val="auto"/>
              </w:rPr>
              <w:t>through share</w:t>
            </w:r>
          </w:p>
        </w:tc>
        <w:tc>
          <w:tcPr>
            <w:tcW w:w="180" w:type="dxa"/>
            <w:vAlign w:val="bottom"/>
            <w:shd w:val="clear" w:color="auto" w:fill="F2F3F2"/>
          </w:tcPr>
          <w:p>
            <w:pPr>
              <w:spacing w:after="0"/>
              <w:rPr>
                <w:sz w:val="16"/>
                <w:szCs w:val="16"/>
                <w:color w:val="auto"/>
              </w:rPr>
            </w:pPr>
          </w:p>
        </w:tc>
        <w:tc>
          <w:tcPr>
            <w:tcW w:w="2820" w:type="dxa"/>
            <w:vAlign w:val="bottom"/>
            <w:shd w:val="clear" w:color="auto" w:fill="F2F3F2"/>
          </w:tcPr>
          <w:p>
            <w:pPr>
              <w:spacing w:after="0"/>
              <w:rPr>
                <w:sz w:val="16"/>
                <w:szCs w:val="16"/>
                <w:color w:val="auto"/>
              </w:rPr>
            </w:pPr>
          </w:p>
        </w:tc>
        <w:tc>
          <w:tcPr>
            <w:tcW w:w="100" w:type="dxa"/>
            <w:vAlign w:val="bottom"/>
            <w:shd w:val="clear" w:color="auto" w:fill="F2F3F2"/>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40" w:type="dxa"/>
            <w:vAlign w:val="bottom"/>
            <w:gridSpan w:val="2"/>
            <w:shd w:val="clear" w:color="auto" w:fill="F2F3F2"/>
          </w:tcPr>
          <w:p>
            <w:pPr>
              <w:ind w:left="40"/>
              <w:spacing w:after="0"/>
              <w:rPr>
                <w:sz w:val="20"/>
                <w:szCs w:val="20"/>
                <w:color w:val="auto"/>
              </w:rPr>
            </w:pPr>
            <w:r>
              <w:rPr>
                <w:rFonts w:ascii="Arial" w:cs="Arial" w:eastAsia="Arial" w:hAnsi="Arial"/>
                <w:sz w:val="16"/>
                <w:szCs w:val="16"/>
                <w:color w:val="auto"/>
              </w:rPr>
              <w:t>repurchases</w:t>
            </w:r>
          </w:p>
        </w:tc>
        <w:tc>
          <w:tcPr>
            <w:tcW w:w="180" w:type="dxa"/>
            <w:vAlign w:val="bottom"/>
            <w:shd w:val="clear" w:color="auto" w:fill="F2F3F2"/>
          </w:tcPr>
          <w:p>
            <w:pPr>
              <w:spacing w:after="0"/>
              <w:rPr>
                <w:sz w:val="18"/>
                <w:szCs w:val="18"/>
                <w:color w:val="auto"/>
              </w:rPr>
            </w:pPr>
          </w:p>
        </w:tc>
        <w:tc>
          <w:tcPr>
            <w:tcW w:w="2820" w:type="dxa"/>
            <w:vAlign w:val="bottom"/>
            <w:shd w:val="clear" w:color="auto" w:fill="F2F3F2"/>
          </w:tcPr>
          <w:p>
            <w:pPr>
              <w:spacing w:after="0"/>
              <w:rPr>
                <w:sz w:val="18"/>
                <w:szCs w:val="18"/>
                <w:color w:val="auto"/>
              </w:rPr>
            </w:pPr>
          </w:p>
        </w:tc>
        <w:tc>
          <w:tcPr>
            <w:tcW w:w="100" w:type="dxa"/>
            <w:vAlign w:val="bottom"/>
            <w:shd w:val="clear" w:color="auto" w:fill="F2F3F2"/>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0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shd w:val="clear" w:color="auto" w:fill="F2F3F2"/>
          </w:tcPr>
          <w:p>
            <w:pPr>
              <w:spacing w:after="0"/>
              <w:rPr>
                <w:sz w:val="21"/>
                <w:szCs w:val="21"/>
                <w:color w:val="auto"/>
              </w:rPr>
            </w:pPr>
          </w:p>
        </w:tc>
        <w:tc>
          <w:tcPr>
            <w:tcW w:w="2380" w:type="dxa"/>
            <w:vAlign w:val="bottom"/>
            <w:shd w:val="clear" w:color="auto" w:fill="F2F3F2"/>
          </w:tcPr>
          <w:p>
            <w:pPr>
              <w:spacing w:after="0"/>
              <w:rPr>
                <w:sz w:val="21"/>
                <w:szCs w:val="21"/>
                <w:color w:val="auto"/>
              </w:rPr>
            </w:pPr>
          </w:p>
        </w:tc>
        <w:tc>
          <w:tcPr>
            <w:tcW w:w="180" w:type="dxa"/>
            <w:vAlign w:val="bottom"/>
            <w:shd w:val="clear" w:color="auto" w:fill="F2F3F2"/>
          </w:tcPr>
          <w:p>
            <w:pPr>
              <w:spacing w:after="0"/>
              <w:rPr>
                <w:sz w:val="21"/>
                <w:szCs w:val="21"/>
                <w:color w:val="auto"/>
              </w:rPr>
            </w:pPr>
          </w:p>
        </w:tc>
        <w:tc>
          <w:tcPr>
            <w:tcW w:w="2820" w:type="dxa"/>
            <w:vAlign w:val="bottom"/>
            <w:shd w:val="clear" w:color="auto" w:fill="F2F3F2"/>
          </w:tcPr>
          <w:p>
            <w:pPr>
              <w:spacing w:after="0"/>
              <w:rPr>
                <w:sz w:val="21"/>
                <w:szCs w:val="21"/>
                <w:color w:val="auto"/>
              </w:rPr>
            </w:pPr>
          </w:p>
        </w:tc>
        <w:tc>
          <w:tcPr>
            <w:tcW w:w="100" w:type="dxa"/>
            <w:vAlign w:val="bottom"/>
            <w:shd w:val="clear" w:color="auto" w:fill="F2F3F2"/>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100" w:type="dxa"/>
            <w:vAlign w:val="bottom"/>
            <w:tcBorders>
              <w:bottom w:val="single" w:sz="8" w:color="auto"/>
            </w:tcBorders>
          </w:tcPr>
          <w:p>
            <w:pPr>
              <w:spacing w:after="0"/>
              <w:rPr>
                <w:sz w:val="21"/>
                <w:szCs w:val="21"/>
                <w:color w:val="auto"/>
              </w:rPr>
            </w:pPr>
          </w:p>
        </w:tc>
        <w:tc>
          <w:tcPr>
            <w:tcW w:w="28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right="40" w:firstLine="8"/>
        <w:spacing w:after="0" w:line="224" w:lineRule="auto"/>
        <w:tabs>
          <w:tab w:leader="none" w:pos="80" w:val="left"/>
        </w:tabs>
        <w:numPr>
          <w:ilvl w:val="0"/>
          <w:numId w:val="8"/>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See Appendix C for the definitions of adjusted EBITDA margin, adjusted diluted earnings per share and free cash flows, and other non-GAAP financial measures included in this Proxy Statement, as well as their reconciliation to the most directly comparable GAAP financial measure.</w:t>
      </w:r>
    </w:p>
    <w:p>
      <w:pPr>
        <w:spacing w:after="0" w:line="200" w:lineRule="exact"/>
        <w:rPr>
          <w:sz w:val="20"/>
          <w:szCs w:val="20"/>
          <w:color w:val="auto"/>
        </w:rPr>
      </w:pPr>
    </w:p>
    <w:p>
      <w:pPr>
        <w:spacing w:after="0" w:line="229" w:lineRule="exact"/>
        <w:rPr>
          <w:sz w:val="20"/>
          <w:szCs w:val="20"/>
          <w:color w:val="auto"/>
        </w:rPr>
      </w:pPr>
    </w:p>
    <w:p>
      <w:pPr>
        <w:ind w:left="60"/>
        <w:spacing w:after="0"/>
        <w:tabs>
          <w:tab w:leader="none" w:pos="448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13"/>
          <w:szCs w:val="13"/>
          <w:b w:val="1"/>
          <w:bCs w:val="1"/>
          <w:color w:val="00558C"/>
        </w:rPr>
        <w:t>ii</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351790</wp:posOffset>
            </wp:positionV>
            <wp:extent cx="6810375" cy="67284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10375" cy="6728460"/>
                    </a:xfrm>
                    <a:prstGeom prst="rect">
                      <a:avLst/>
                    </a:prstGeom>
                    <a:noFill/>
                  </pic:spPr>
                </pic:pic>
              </a:graphicData>
            </a:graphic>
          </wp:anchor>
        </w:drawing>
      </w:r>
    </w:p>
    <w:p>
      <w:pPr>
        <w:sectPr>
          <w:pgSz w:w="11900" w:h="16838" w:orient="portrait"/>
          <w:cols w:equalWidth="0" w:num="1">
            <w:col w:w="9080"/>
          </w:cols>
          <w:pgMar w:left="1400" w:top="140" w:right="1419" w:bottom="11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60"/>
        <w:spacing w:after="0" w:line="274" w:lineRule="auto"/>
        <w:rPr>
          <w:sz w:val="20"/>
          <w:szCs w:val="20"/>
          <w:color w:val="auto"/>
        </w:rPr>
      </w:pPr>
      <w:r>
        <w:rPr>
          <w:rFonts w:ascii="Arial" w:cs="Arial" w:eastAsia="Arial" w:hAnsi="Arial"/>
          <w:sz w:val="13"/>
          <w:szCs w:val="13"/>
          <w:b w:val="1"/>
          <w:bCs w:val="1"/>
          <w:color w:val="B2B3B6"/>
        </w:rPr>
        <w:t>General Proposal Information 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200"/>
        <w:spacing w:after="0" w:line="274" w:lineRule="auto"/>
        <w:rPr>
          <w:sz w:val="20"/>
          <w:szCs w:val="20"/>
          <w:color w:val="auto"/>
        </w:rPr>
      </w:pPr>
      <w:r>
        <w:rPr>
          <w:rFonts w:ascii="Arial" w:cs="Arial" w:eastAsia="Arial" w:hAnsi="Arial"/>
          <w:sz w:val="13"/>
          <w:szCs w:val="13"/>
          <w:b w:val="1"/>
          <w:bCs w:val="1"/>
          <w:color w:val="B2B3B6"/>
        </w:rPr>
        <w:t>Corporate Proposal Executive Proposal Proposal Proposal Stockholder Other Governance Two Compensation Three Four Five Proposals Matters</w:t>
      </w:r>
    </w:p>
    <w:p>
      <w:pPr>
        <w:spacing w:after="0" w:line="200" w:lineRule="exact"/>
        <w:rPr>
          <w:sz w:val="20"/>
          <w:szCs w:val="20"/>
          <w:color w:val="auto"/>
        </w:rPr>
      </w:pPr>
    </w:p>
    <w:p>
      <w:pPr>
        <w:sectPr>
          <w:pgSz w:w="11900" w:h="16838" w:orient="portrait"/>
          <w:cols w:equalWidth="0" w:num="2">
            <w:col w:w="1600" w:space="300"/>
            <w:col w:w="7180"/>
          </w:cols>
          <w:pgMar w:left="1400" w:top="140" w:right="1419" w:bottom="1135" w:gutter="0" w:footer="0" w:header="0"/>
          <w:type w:val="continuous"/>
        </w:sectPr>
      </w:pP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00558C"/>
        </w:rPr>
        <w:t>Human Capital</w:t>
      </w:r>
    </w:p>
    <w:p>
      <w:pPr>
        <w:spacing w:after="0" w:line="16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Our people are at the center of Huron’s strategy, and we are committed to providing a workplace where our talented team can thrive both personally and professionally. Huron’s success hinges on our ability to attract, engage, develop, reward, and retain highly skilled professionals. The cornerstone of our human capital strategy lies in both our mission-driven approach and an enduring belief that great leaders and engaged coaches cultivate a work environment where team members feel valued, create deep connections, and see their future with Huron. Our unwavering focus extends across every aspect of the employee journey, and we are committed to fostering our collaborative culture, which we believe is one of our most meaningful sources of competitive differentiation.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Notable Workplace Accolades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0" w:type="dxa"/>
            <w:vAlign w:val="bottom"/>
            <w:shd w:val="clear" w:color="auto" w:fill="F2F3F2"/>
          </w:tcPr>
          <w:p>
            <w:pPr>
              <w:spacing w:after="0"/>
              <w:rPr>
                <w:sz w:val="12"/>
                <w:szCs w:val="12"/>
                <w:color w:val="auto"/>
              </w:rPr>
            </w:pPr>
          </w:p>
        </w:tc>
        <w:tc>
          <w:tcPr>
            <w:tcW w:w="2860" w:type="dxa"/>
            <w:vAlign w:val="bottom"/>
            <w:vMerge w:val="restart"/>
            <w:shd w:val="clear" w:color="auto" w:fill="F2F3F2"/>
          </w:tcPr>
          <w:p>
            <w:pPr>
              <w:jc w:val="center"/>
              <w:ind w:right="149"/>
              <w:spacing w:after="0"/>
              <w:rPr>
                <w:sz w:val="20"/>
                <w:szCs w:val="20"/>
                <w:color w:val="auto"/>
              </w:rPr>
            </w:pPr>
            <w:r>
              <w:rPr>
                <w:rFonts w:ascii="Arial" w:cs="Arial" w:eastAsia="Arial" w:hAnsi="Arial"/>
                <w:sz w:val="25"/>
                <w:szCs w:val="25"/>
                <w:color w:val="6AAA37"/>
              </w:rPr>
              <w:t>2024 Best Firms to</w:t>
            </w:r>
          </w:p>
        </w:tc>
        <w:tc>
          <w:tcPr>
            <w:tcW w:w="100" w:type="dxa"/>
            <w:vAlign w:val="bottom"/>
            <w:tcBorders>
              <w:right w:val="single" w:sz="8" w:color="F2F3F2"/>
            </w:tcBorders>
            <w:shd w:val="clear" w:color="auto" w:fill="F2F3F2"/>
          </w:tcPr>
          <w:p>
            <w:pPr>
              <w:spacing w:after="0"/>
              <w:rPr>
                <w:sz w:val="12"/>
                <w:szCs w:val="12"/>
                <w:color w:val="auto"/>
              </w:rPr>
            </w:pPr>
          </w:p>
        </w:tc>
        <w:tc>
          <w:tcPr>
            <w:tcW w:w="80" w:type="dxa"/>
            <w:vAlign w:val="bottom"/>
            <w:shd w:val="clear" w:color="auto" w:fill="F2F3F2"/>
          </w:tcPr>
          <w:p>
            <w:pPr>
              <w:spacing w:after="0"/>
              <w:rPr>
                <w:sz w:val="12"/>
                <w:szCs w:val="12"/>
                <w:color w:val="auto"/>
              </w:rPr>
            </w:pPr>
          </w:p>
        </w:tc>
        <w:tc>
          <w:tcPr>
            <w:tcW w:w="2840" w:type="dxa"/>
            <w:vAlign w:val="bottom"/>
            <w:vMerge w:val="restart"/>
            <w:shd w:val="clear" w:color="auto" w:fill="F2F3F2"/>
          </w:tcPr>
          <w:p>
            <w:pPr>
              <w:jc w:val="center"/>
              <w:ind w:right="86"/>
              <w:spacing w:after="0"/>
              <w:rPr>
                <w:sz w:val="20"/>
                <w:szCs w:val="20"/>
                <w:color w:val="auto"/>
              </w:rPr>
            </w:pPr>
            <w:r>
              <w:rPr>
                <w:rFonts w:ascii="Arial" w:cs="Arial" w:eastAsia="Arial" w:hAnsi="Arial"/>
                <w:sz w:val="25"/>
                <w:szCs w:val="25"/>
                <w:color w:val="6AAA37"/>
              </w:rPr>
              <w:t>2025 Best Places to</w:t>
            </w:r>
          </w:p>
        </w:tc>
        <w:tc>
          <w:tcPr>
            <w:tcW w:w="100" w:type="dxa"/>
            <w:vAlign w:val="bottom"/>
            <w:tcBorders>
              <w:right w:val="single" w:sz="8" w:color="F2F3F2"/>
            </w:tcBorders>
            <w:shd w:val="clear" w:color="auto" w:fill="F2F3F2"/>
          </w:tcPr>
          <w:p>
            <w:pPr>
              <w:spacing w:after="0"/>
              <w:rPr>
                <w:sz w:val="12"/>
                <w:szCs w:val="12"/>
                <w:color w:val="auto"/>
              </w:rPr>
            </w:pPr>
          </w:p>
        </w:tc>
        <w:tc>
          <w:tcPr>
            <w:tcW w:w="80" w:type="dxa"/>
            <w:vAlign w:val="bottom"/>
            <w:shd w:val="clear" w:color="auto" w:fill="F2F3F2"/>
          </w:tcPr>
          <w:p>
            <w:pPr>
              <w:spacing w:after="0"/>
              <w:rPr>
                <w:sz w:val="12"/>
                <w:szCs w:val="12"/>
                <w:color w:val="auto"/>
              </w:rPr>
            </w:pPr>
          </w:p>
        </w:tc>
        <w:tc>
          <w:tcPr>
            <w:tcW w:w="2920" w:type="dxa"/>
            <w:vAlign w:val="bottom"/>
            <w:gridSpan w:val="2"/>
            <w:vMerge w:val="restart"/>
            <w:shd w:val="clear" w:color="auto" w:fill="F2F3F2"/>
          </w:tcPr>
          <w:p>
            <w:pPr>
              <w:jc w:val="center"/>
              <w:ind w:right="280"/>
              <w:spacing w:after="0"/>
              <w:rPr>
                <w:sz w:val="20"/>
                <w:szCs w:val="20"/>
                <w:color w:val="auto"/>
              </w:rPr>
            </w:pPr>
            <w:r>
              <w:rPr>
                <w:rFonts w:ascii="Arial" w:cs="Arial" w:eastAsia="Arial" w:hAnsi="Arial"/>
                <w:sz w:val="25"/>
                <w:szCs w:val="25"/>
                <w:color w:val="6AAA37"/>
              </w:rPr>
              <w:t>America’s Best</w:t>
            </w:r>
          </w:p>
        </w:tc>
        <w:tc>
          <w:tcPr>
            <w:tcW w:w="0" w:type="dxa"/>
            <w:vAlign w:val="bottom"/>
          </w:tcPr>
          <w:p>
            <w:pPr>
              <w:spacing w:after="0"/>
              <w:rPr>
                <w:sz w:val="1"/>
                <w:szCs w:val="1"/>
                <w:color w:val="auto"/>
              </w:rPr>
            </w:pPr>
          </w:p>
        </w:tc>
      </w:tr>
      <w:tr>
        <w:trPr>
          <w:trHeight w:val="472"/>
        </w:trPr>
        <w:tc>
          <w:tcPr>
            <w:tcW w:w="100" w:type="dxa"/>
            <w:vAlign w:val="bottom"/>
            <w:shd w:val="clear" w:color="auto" w:fill="F2F3F2"/>
          </w:tcPr>
          <w:p>
            <w:pPr>
              <w:spacing w:after="0"/>
              <w:rPr>
                <w:sz w:val="24"/>
                <w:szCs w:val="24"/>
                <w:color w:val="auto"/>
              </w:rPr>
            </w:pPr>
          </w:p>
        </w:tc>
        <w:tc>
          <w:tcPr>
            <w:tcW w:w="2860" w:type="dxa"/>
            <w:vAlign w:val="bottom"/>
            <w:vMerge w:val="continue"/>
            <w:shd w:val="clear" w:color="auto" w:fill="F2F3F2"/>
          </w:tcPr>
          <w:p>
            <w:pPr>
              <w:spacing w:after="0"/>
              <w:rPr>
                <w:sz w:val="24"/>
                <w:szCs w:val="24"/>
                <w:color w:val="auto"/>
              </w:rPr>
            </w:pPr>
          </w:p>
        </w:tc>
        <w:tc>
          <w:tcPr>
            <w:tcW w:w="100" w:type="dxa"/>
            <w:vAlign w:val="bottom"/>
            <w:tcBorders>
              <w:right w:val="single" w:sz="8" w:color="B2B3B6"/>
            </w:tcBorders>
            <w:shd w:val="clear" w:color="auto" w:fill="F2F3F2"/>
          </w:tcPr>
          <w:p>
            <w:pPr>
              <w:spacing w:after="0"/>
              <w:rPr>
                <w:sz w:val="24"/>
                <w:szCs w:val="24"/>
                <w:color w:val="auto"/>
              </w:rPr>
            </w:pPr>
          </w:p>
        </w:tc>
        <w:tc>
          <w:tcPr>
            <w:tcW w:w="80" w:type="dxa"/>
            <w:vAlign w:val="bottom"/>
            <w:shd w:val="clear" w:color="auto" w:fill="F2F3F2"/>
          </w:tcPr>
          <w:p>
            <w:pPr>
              <w:spacing w:after="0"/>
              <w:rPr>
                <w:sz w:val="24"/>
                <w:szCs w:val="24"/>
                <w:color w:val="auto"/>
              </w:rPr>
            </w:pPr>
          </w:p>
        </w:tc>
        <w:tc>
          <w:tcPr>
            <w:tcW w:w="2840" w:type="dxa"/>
            <w:vAlign w:val="bottom"/>
            <w:vMerge w:val="continue"/>
            <w:shd w:val="clear" w:color="auto" w:fill="F2F3F2"/>
          </w:tcPr>
          <w:p>
            <w:pPr>
              <w:spacing w:after="0"/>
              <w:rPr>
                <w:sz w:val="24"/>
                <w:szCs w:val="24"/>
                <w:color w:val="auto"/>
              </w:rPr>
            </w:pPr>
          </w:p>
        </w:tc>
        <w:tc>
          <w:tcPr>
            <w:tcW w:w="100" w:type="dxa"/>
            <w:vAlign w:val="bottom"/>
            <w:tcBorders>
              <w:right w:val="single" w:sz="8" w:color="B2B3B6"/>
            </w:tcBorders>
            <w:shd w:val="clear" w:color="auto" w:fill="F2F3F2"/>
          </w:tcPr>
          <w:p>
            <w:pPr>
              <w:spacing w:after="0"/>
              <w:rPr>
                <w:sz w:val="24"/>
                <w:szCs w:val="24"/>
                <w:color w:val="auto"/>
              </w:rPr>
            </w:pPr>
          </w:p>
        </w:tc>
        <w:tc>
          <w:tcPr>
            <w:tcW w:w="80" w:type="dxa"/>
            <w:vAlign w:val="bottom"/>
            <w:shd w:val="clear" w:color="auto" w:fill="F2F3F2"/>
          </w:tcPr>
          <w:p>
            <w:pPr>
              <w:spacing w:after="0"/>
              <w:rPr>
                <w:sz w:val="24"/>
                <w:szCs w:val="24"/>
                <w:color w:val="auto"/>
              </w:rPr>
            </w:pPr>
          </w:p>
        </w:tc>
        <w:tc>
          <w:tcPr>
            <w:tcW w:w="2920" w:type="dxa"/>
            <w:vAlign w:val="bottom"/>
            <w:gridSpan w:val="2"/>
            <w:vMerge w:val="continue"/>
            <w:shd w:val="clear" w:color="auto" w:fill="F2F3F2"/>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100" w:type="dxa"/>
            <w:vAlign w:val="bottom"/>
            <w:shd w:val="clear" w:color="auto" w:fill="F2F3F2"/>
          </w:tcPr>
          <w:p>
            <w:pPr>
              <w:spacing w:after="0"/>
              <w:rPr>
                <w:sz w:val="13"/>
                <w:szCs w:val="13"/>
                <w:color w:val="auto"/>
              </w:rPr>
            </w:pPr>
          </w:p>
        </w:tc>
        <w:tc>
          <w:tcPr>
            <w:tcW w:w="2860" w:type="dxa"/>
            <w:vAlign w:val="bottom"/>
            <w:vMerge w:val="restart"/>
            <w:shd w:val="clear" w:color="auto" w:fill="F2F3F2"/>
          </w:tcPr>
          <w:p>
            <w:pPr>
              <w:jc w:val="center"/>
              <w:ind w:right="29"/>
              <w:spacing w:after="0"/>
              <w:rPr>
                <w:sz w:val="20"/>
                <w:szCs w:val="20"/>
                <w:color w:val="auto"/>
              </w:rPr>
            </w:pPr>
            <w:r>
              <w:rPr>
                <w:rFonts w:ascii="Arial" w:cs="Arial" w:eastAsia="Arial" w:hAnsi="Arial"/>
                <w:sz w:val="25"/>
                <w:szCs w:val="25"/>
                <w:color w:val="6AAA37"/>
              </w:rPr>
              <w:t>Work For</w:t>
            </w:r>
          </w:p>
        </w:tc>
        <w:tc>
          <w:tcPr>
            <w:tcW w:w="100" w:type="dxa"/>
            <w:vAlign w:val="bottom"/>
            <w:tcBorders>
              <w:right w:val="single" w:sz="8" w:color="B2B3B6"/>
            </w:tcBorders>
            <w:shd w:val="clear" w:color="auto" w:fill="F2F3F2"/>
          </w:tcPr>
          <w:p>
            <w:pPr>
              <w:spacing w:after="0"/>
              <w:rPr>
                <w:sz w:val="13"/>
                <w:szCs w:val="13"/>
                <w:color w:val="auto"/>
              </w:rPr>
            </w:pPr>
          </w:p>
        </w:tc>
        <w:tc>
          <w:tcPr>
            <w:tcW w:w="80" w:type="dxa"/>
            <w:vAlign w:val="bottom"/>
            <w:shd w:val="clear" w:color="auto" w:fill="F2F3F2"/>
          </w:tcPr>
          <w:p>
            <w:pPr>
              <w:spacing w:after="0"/>
              <w:rPr>
                <w:sz w:val="13"/>
                <w:szCs w:val="13"/>
                <w:color w:val="auto"/>
              </w:rPr>
            </w:pPr>
          </w:p>
        </w:tc>
        <w:tc>
          <w:tcPr>
            <w:tcW w:w="2840" w:type="dxa"/>
            <w:vAlign w:val="bottom"/>
            <w:vMerge w:val="continue"/>
            <w:shd w:val="clear" w:color="auto" w:fill="F2F3F2"/>
          </w:tcPr>
          <w:p>
            <w:pPr>
              <w:spacing w:after="0"/>
              <w:rPr>
                <w:sz w:val="13"/>
                <w:szCs w:val="13"/>
                <w:color w:val="auto"/>
              </w:rPr>
            </w:pPr>
          </w:p>
        </w:tc>
        <w:tc>
          <w:tcPr>
            <w:tcW w:w="100" w:type="dxa"/>
            <w:vAlign w:val="bottom"/>
            <w:tcBorders>
              <w:right w:val="single" w:sz="8" w:color="B2B3B6"/>
            </w:tcBorders>
            <w:shd w:val="clear" w:color="auto" w:fill="F2F3F2"/>
          </w:tcPr>
          <w:p>
            <w:pPr>
              <w:spacing w:after="0"/>
              <w:rPr>
                <w:sz w:val="13"/>
                <w:szCs w:val="13"/>
                <w:color w:val="auto"/>
              </w:rPr>
            </w:pPr>
          </w:p>
        </w:tc>
        <w:tc>
          <w:tcPr>
            <w:tcW w:w="80" w:type="dxa"/>
            <w:vAlign w:val="bottom"/>
            <w:shd w:val="clear" w:color="auto" w:fill="F2F3F2"/>
          </w:tcPr>
          <w:p>
            <w:pPr>
              <w:spacing w:after="0"/>
              <w:rPr>
                <w:sz w:val="13"/>
                <w:szCs w:val="13"/>
                <w:color w:val="auto"/>
              </w:rPr>
            </w:pPr>
          </w:p>
        </w:tc>
        <w:tc>
          <w:tcPr>
            <w:tcW w:w="2920" w:type="dxa"/>
            <w:vAlign w:val="bottom"/>
            <w:gridSpan w:val="2"/>
            <w:vMerge w:val="restart"/>
            <w:shd w:val="clear" w:color="auto" w:fill="F2F3F2"/>
          </w:tcPr>
          <w:p>
            <w:pPr>
              <w:jc w:val="center"/>
              <w:ind w:right="360"/>
              <w:spacing w:after="0"/>
              <w:rPr>
                <w:sz w:val="20"/>
                <w:szCs w:val="20"/>
                <w:color w:val="auto"/>
              </w:rPr>
            </w:pPr>
            <w:r>
              <w:rPr>
                <w:rFonts w:ascii="Arial" w:cs="Arial" w:eastAsia="Arial" w:hAnsi="Arial"/>
                <w:sz w:val="25"/>
                <w:szCs w:val="25"/>
                <w:color w:val="6AAA37"/>
              </w:rPr>
              <w:t>Companies - Mid-size</w:t>
            </w:r>
          </w:p>
        </w:tc>
        <w:tc>
          <w:tcPr>
            <w:tcW w:w="0" w:type="dxa"/>
            <w:vAlign w:val="bottom"/>
          </w:tcPr>
          <w:p>
            <w:pPr>
              <w:spacing w:after="0"/>
              <w:rPr>
                <w:sz w:val="1"/>
                <w:szCs w:val="1"/>
                <w:color w:val="auto"/>
              </w:rPr>
            </w:pPr>
          </w:p>
        </w:tc>
      </w:tr>
      <w:tr>
        <w:trPr>
          <w:trHeight w:val="149"/>
        </w:trPr>
        <w:tc>
          <w:tcPr>
            <w:tcW w:w="100" w:type="dxa"/>
            <w:vAlign w:val="bottom"/>
            <w:shd w:val="clear" w:color="auto" w:fill="F2F3F2"/>
          </w:tcPr>
          <w:p>
            <w:pPr>
              <w:spacing w:after="0"/>
              <w:rPr>
                <w:sz w:val="12"/>
                <w:szCs w:val="12"/>
                <w:color w:val="auto"/>
              </w:rPr>
            </w:pPr>
          </w:p>
        </w:tc>
        <w:tc>
          <w:tcPr>
            <w:tcW w:w="2860" w:type="dxa"/>
            <w:vAlign w:val="bottom"/>
            <w:vMerge w:val="continue"/>
            <w:shd w:val="clear" w:color="auto" w:fill="F2F3F2"/>
          </w:tcPr>
          <w:p>
            <w:pPr>
              <w:spacing w:after="0"/>
              <w:rPr>
                <w:sz w:val="12"/>
                <w:szCs w:val="12"/>
                <w:color w:val="auto"/>
              </w:rPr>
            </w:pPr>
          </w:p>
        </w:tc>
        <w:tc>
          <w:tcPr>
            <w:tcW w:w="100" w:type="dxa"/>
            <w:vAlign w:val="bottom"/>
            <w:tcBorders>
              <w:right w:val="single" w:sz="8" w:color="B2B3B6"/>
            </w:tcBorders>
            <w:shd w:val="clear" w:color="auto" w:fill="F2F3F2"/>
          </w:tcPr>
          <w:p>
            <w:pPr>
              <w:spacing w:after="0"/>
              <w:rPr>
                <w:sz w:val="12"/>
                <w:szCs w:val="12"/>
                <w:color w:val="auto"/>
              </w:rPr>
            </w:pPr>
          </w:p>
        </w:tc>
        <w:tc>
          <w:tcPr>
            <w:tcW w:w="80" w:type="dxa"/>
            <w:vAlign w:val="bottom"/>
            <w:shd w:val="clear" w:color="auto" w:fill="F2F3F2"/>
          </w:tcPr>
          <w:p>
            <w:pPr>
              <w:spacing w:after="0"/>
              <w:rPr>
                <w:sz w:val="12"/>
                <w:szCs w:val="12"/>
                <w:color w:val="auto"/>
              </w:rPr>
            </w:pPr>
          </w:p>
        </w:tc>
        <w:tc>
          <w:tcPr>
            <w:tcW w:w="2840" w:type="dxa"/>
            <w:vAlign w:val="bottom"/>
            <w:vMerge w:val="restart"/>
            <w:shd w:val="clear" w:color="auto" w:fill="F2F3F2"/>
          </w:tcPr>
          <w:p>
            <w:pPr>
              <w:jc w:val="center"/>
              <w:spacing w:after="0"/>
              <w:rPr>
                <w:sz w:val="20"/>
                <w:szCs w:val="20"/>
                <w:color w:val="auto"/>
              </w:rPr>
            </w:pPr>
            <w:r>
              <w:rPr>
                <w:rFonts w:ascii="Arial" w:cs="Arial" w:eastAsia="Arial" w:hAnsi="Arial"/>
                <w:sz w:val="25"/>
                <w:szCs w:val="25"/>
                <w:color w:val="6AAA37"/>
                <w:w w:val="99"/>
              </w:rPr>
              <w:t>Work</w:t>
            </w:r>
          </w:p>
        </w:tc>
        <w:tc>
          <w:tcPr>
            <w:tcW w:w="100" w:type="dxa"/>
            <w:vAlign w:val="bottom"/>
            <w:tcBorders>
              <w:right w:val="single" w:sz="8" w:color="B2B3B6"/>
            </w:tcBorders>
            <w:shd w:val="clear" w:color="auto" w:fill="F2F3F2"/>
          </w:tcPr>
          <w:p>
            <w:pPr>
              <w:spacing w:after="0"/>
              <w:rPr>
                <w:sz w:val="12"/>
                <w:szCs w:val="12"/>
                <w:color w:val="auto"/>
              </w:rPr>
            </w:pPr>
          </w:p>
        </w:tc>
        <w:tc>
          <w:tcPr>
            <w:tcW w:w="80" w:type="dxa"/>
            <w:vAlign w:val="bottom"/>
            <w:shd w:val="clear" w:color="auto" w:fill="F2F3F2"/>
          </w:tcPr>
          <w:p>
            <w:pPr>
              <w:spacing w:after="0"/>
              <w:rPr>
                <w:sz w:val="12"/>
                <w:szCs w:val="12"/>
                <w:color w:val="auto"/>
              </w:rPr>
            </w:pPr>
          </w:p>
        </w:tc>
        <w:tc>
          <w:tcPr>
            <w:tcW w:w="2920" w:type="dxa"/>
            <w:vAlign w:val="bottom"/>
            <w:gridSpan w:val="2"/>
            <w:vMerge w:val="continue"/>
            <w:shd w:val="clear" w:color="auto" w:fill="F2F3F2"/>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100" w:type="dxa"/>
            <w:vAlign w:val="bottom"/>
            <w:shd w:val="clear" w:color="auto" w:fill="F2F3F2"/>
          </w:tcPr>
          <w:p>
            <w:pPr>
              <w:spacing w:after="0"/>
              <w:rPr>
                <w:sz w:val="15"/>
                <w:szCs w:val="15"/>
                <w:color w:val="auto"/>
              </w:rPr>
            </w:pPr>
          </w:p>
        </w:tc>
        <w:tc>
          <w:tcPr>
            <w:tcW w:w="2860" w:type="dxa"/>
            <w:vAlign w:val="bottom"/>
            <w:vMerge w:val="restart"/>
            <w:shd w:val="clear" w:color="auto" w:fill="F2F3F2"/>
          </w:tcPr>
          <w:p>
            <w:pPr>
              <w:jc w:val="center"/>
              <w:spacing w:after="0"/>
              <w:rPr>
                <w:sz w:val="20"/>
                <w:szCs w:val="20"/>
                <w:color w:val="auto"/>
              </w:rPr>
            </w:pPr>
            <w:r>
              <w:rPr>
                <w:rFonts w:ascii="Arial" w:cs="Arial" w:eastAsia="Arial" w:hAnsi="Arial"/>
                <w:sz w:val="16"/>
                <w:szCs w:val="16"/>
                <w:color w:val="auto"/>
              </w:rPr>
              <w:t>14 consecutive years</w:t>
            </w:r>
          </w:p>
        </w:tc>
        <w:tc>
          <w:tcPr>
            <w:tcW w:w="100" w:type="dxa"/>
            <w:vAlign w:val="bottom"/>
            <w:tcBorders>
              <w:right w:val="single" w:sz="8" w:color="B2B3B6"/>
            </w:tcBorders>
            <w:shd w:val="clear" w:color="auto" w:fill="F2F3F2"/>
          </w:tcPr>
          <w:p>
            <w:pPr>
              <w:spacing w:after="0"/>
              <w:rPr>
                <w:sz w:val="15"/>
                <w:szCs w:val="15"/>
                <w:color w:val="auto"/>
              </w:rPr>
            </w:pPr>
          </w:p>
        </w:tc>
        <w:tc>
          <w:tcPr>
            <w:tcW w:w="80" w:type="dxa"/>
            <w:vAlign w:val="bottom"/>
            <w:shd w:val="clear" w:color="auto" w:fill="F2F3F2"/>
          </w:tcPr>
          <w:p>
            <w:pPr>
              <w:spacing w:after="0"/>
              <w:rPr>
                <w:sz w:val="15"/>
                <w:szCs w:val="15"/>
                <w:color w:val="auto"/>
              </w:rPr>
            </w:pPr>
          </w:p>
        </w:tc>
        <w:tc>
          <w:tcPr>
            <w:tcW w:w="2840" w:type="dxa"/>
            <w:vAlign w:val="bottom"/>
            <w:vMerge w:val="continue"/>
            <w:shd w:val="clear" w:color="auto" w:fill="F2F3F2"/>
          </w:tcPr>
          <w:p>
            <w:pPr>
              <w:spacing w:after="0"/>
              <w:rPr>
                <w:sz w:val="15"/>
                <w:szCs w:val="15"/>
                <w:color w:val="auto"/>
              </w:rPr>
            </w:pPr>
          </w:p>
        </w:tc>
        <w:tc>
          <w:tcPr>
            <w:tcW w:w="100" w:type="dxa"/>
            <w:vAlign w:val="bottom"/>
            <w:tcBorders>
              <w:right w:val="single" w:sz="8" w:color="B2B3B6"/>
            </w:tcBorders>
            <w:shd w:val="clear" w:color="auto" w:fill="F2F3F2"/>
          </w:tcPr>
          <w:p>
            <w:pPr>
              <w:spacing w:after="0"/>
              <w:rPr>
                <w:sz w:val="15"/>
                <w:szCs w:val="15"/>
                <w:color w:val="auto"/>
              </w:rPr>
            </w:pPr>
          </w:p>
        </w:tc>
        <w:tc>
          <w:tcPr>
            <w:tcW w:w="2900" w:type="dxa"/>
            <w:vAlign w:val="bottom"/>
            <w:gridSpan w:val="2"/>
            <w:vMerge w:val="restart"/>
            <w:shd w:val="clear" w:color="auto" w:fill="F2F3F2"/>
          </w:tcPr>
          <w:p>
            <w:pPr>
              <w:jc w:val="center"/>
              <w:spacing w:after="0"/>
              <w:rPr>
                <w:sz w:val="20"/>
                <w:szCs w:val="20"/>
                <w:color w:val="auto"/>
              </w:rPr>
            </w:pPr>
            <w:r>
              <w:rPr>
                <w:rFonts w:ascii="Arial" w:cs="Arial" w:eastAsia="Arial" w:hAnsi="Arial"/>
                <w:sz w:val="25"/>
                <w:szCs w:val="25"/>
                <w:color w:val="6AAA37"/>
              </w:rPr>
              <w:t>2024</w:t>
            </w:r>
          </w:p>
        </w:tc>
        <w:tc>
          <w:tcPr>
            <w:tcW w:w="100" w:type="dxa"/>
            <w:vAlign w:val="bottom"/>
            <w:shd w:val="clear" w:color="auto" w:fill="F2F3F2"/>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00" w:type="dxa"/>
            <w:vAlign w:val="bottom"/>
            <w:shd w:val="clear" w:color="auto" w:fill="F2F3F2"/>
          </w:tcPr>
          <w:p>
            <w:pPr>
              <w:spacing w:after="0"/>
              <w:rPr>
                <w:sz w:val="12"/>
                <w:szCs w:val="12"/>
                <w:color w:val="auto"/>
              </w:rPr>
            </w:pPr>
          </w:p>
        </w:tc>
        <w:tc>
          <w:tcPr>
            <w:tcW w:w="2860" w:type="dxa"/>
            <w:vAlign w:val="bottom"/>
            <w:vMerge w:val="continue"/>
            <w:shd w:val="clear" w:color="auto" w:fill="F2F3F2"/>
          </w:tcPr>
          <w:p>
            <w:pPr>
              <w:spacing w:after="0"/>
              <w:rPr>
                <w:sz w:val="12"/>
                <w:szCs w:val="12"/>
                <w:color w:val="auto"/>
              </w:rPr>
            </w:pPr>
          </w:p>
        </w:tc>
        <w:tc>
          <w:tcPr>
            <w:tcW w:w="100" w:type="dxa"/>
            <w:vAlign w:val="bottom"/>
            <w:tcBorders>
              <w:right w:val="single" w:sz="8" w:color="B2B3B6"/>
            </w:tcBorders>
            <w:shd w:val="clear" w:color="auto" w:fill="F2F3F2"/>
          </w:tcPr>
          <w:p>
            <w:pPr>
              <w:spacing w:after="0"/>
              <w:rPr>
                <w:sz w:val="12"/>
                <w:szCs w:val="12"/>
                <w:color w:val="auto"/>
              </w:rPr>
            </w:pPr>
          </w:p>
        </w:tc>
        <w:tc>
          <w:tcPr>
            <w:tcW w:w="80" w:type="dxa"/>
            <w:vAlign w:val="bottom"/>
            <w:shd w:val="clear" w:color="auto" w:fill="F2F3F2"/>
          </w:tcPr>
          <w:p>
            <w:pPr>
              <w:spacing w:after="0"/>
              <w:rPr>
                <w:sz w:val="12"/>
                <w:szCs w:val="12"/>
                <w:color w:val="auto"/>
              </w:rPr>
            </w:pPr>
          </w:p>
        </w:tc>
        <w:tc>
          <w:tcPr>
            <w:tcW w:w="2840" w:type="dxa"/>
            <w:vAlign w:val="bottom"/>
            <w:shd w:val="clear" w:color="auto" w:fill="F2F3F2"/>
          </w:tcPr>
          <w:p>
            <w:pPr>
              <w:spacing w:after="0"/>
              <w:rPr>
                <w:sz w:val="12"/>
                <w:szCs w:val="12"/>
                <w:color w:val="auto"/>
              </w:rPr>
            </w:pPr>
          </w:p>
        </w:tc>
        <w:tc>
          <w:tcPr>
            <w:tcW w:w="100" w:type="dxa"/>
            <w:vAlign w:val="bottom"/>
            <w:tcBorders>
              <w:right w:val="single" w:sz="8" w:color="B2B3B6"/>
            </w:tcBorders>
            <w:shd w:val="clear" w:color="auto" w:fill="F2F3F2"/>
          </w:tcPr>
          <w:p>
            <w:pPr>
              <w:spacing w:after="0"/>
              <w:rPr>
                <w:sz w:val="12"/>
                <w:szCs w:val="12"/>
                <w:color w:val="auto"/>
              </w:rPr>
            </w:pPr>
          </w:p>
        </w:tc>
        <w:tc>
          <w:tcPr>
            <w:tcW w:w="2900" w:type="dxa"/>
            <w:vAlign w:val="bottom"/>
            <w:gridSpan w:val="2"/>
            <w:vMerge w:val="continue"/>
            <w:shd w:val="clear" w:color="auto" w:fill="F2F3F2"/>
          </w:tcPr>
          <w:p>
            <w:pPr>
              <w:spacing w:after="0"/>
              <w:rPr>
                <w:sz w:val="12"/>
                <w:szCs w:val="12"/>
                <w:color w:val="auto"/>
              </w:rPr>
            </w:pPr>
          </w:p>
        </w:tc>
        <w:tc>
          <w:tcPr>
            <w:tcW w:w="100" w:type="dxa"/>
            <w:vAlign w:val="bottom"/>
            <w:shd w:val="clear" w:color="auto" w:fill="F2F3F2"/>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 w:type="dxa"/>
            <w:vAlign w:val="bottom"/>
            <w:shd w:val="clear" w:color="auto" w:fill="F2F3F2"/>
          </w:tcPr>
          <w:p>
            <w:pPr>
              <w:spacing w:after="0"/>
              <w:rPr>
                <w:sz w:val="13"/>
                <w:szCs w:val="13"/>
                <w:color w:val="auto"/>
              </w:rPr>
            </w:pPr>
          </w:p>
        </w:tc>
        <w:tc>
          <w:tcPr>
            <w:tcW w:w="2860" w:type="dxa"/>
            <w:vAlign w:val="bottom"/>
            <w:shd w:val="clear" w:color="auto" w:fill="F2F3F2"/>
          </w:tcPr>
          <w:p>
            <w:pPr>
              <w:spacing w:after="0"/>
              <w:rPr>
                <w:sz w:val="13"/>
                <w:szCs w:val="13"/>
                <w:color w:val="auto"/>
              </w:rPr>
            </w:pPr>
          </w:p>
        </w:tc>
        <w:tc>
          <w:tcPr>
            <w:tcW w:w="100" w:type="dxa"/>
            <w:vAlign w:val="bottom"/>
            <w:tcBorders>
              <w:right w:val="single" w:sz="8" w:color="B2B3B6"/>
            </w:tcBorders>
            <w:shd w:val="clear" w:color="auto" w:fill="F2F3F2"/>
          </w:tcPr>
          <w:p>
            <w:pPr>
              <w:spacing w:after="0"/>
              <w:rPr>
                <w:sz w:val="13"/>
                <w:szCs w:val="13"/>
                <w:color w:val="auto"/>
              </w:rPr>
            </w:pPr>
          </w:p>
        </w:tc>
        <w:tc>
          <w:tcPr>
            <w:tcW w:w="80" w:type="dxa"/>
            <w:vAlign w:val="bottom"/>
            <w:shd w:val="clear" w:color="auto" w:fill="F2F3F2"/>
          </w:tcPr>
          <w:p>
            <w:pPr>
              <w:spacing w:after="0"/>
              <w:rPr>
                <w:sz w:val="13"/>
                <w:szCs w:val="13"/>
                <w:color w:val="auto"/>
              </w:rPr>
            </w:pPr>
          </w:p>
        </w:tc>
        <w:tc>
          <w:tcPr>
            <w:tcW w:w="2840" w:type="dxa"/>
            <w:vAlign w:val="bottom"/>
            <w:shd w:val="clear" w:color="auto" w:fill="F2F3F2"/>
          </w:tcPr>
          <w:p>
            <w:pPr>
              <w:spacing w:after="0"/>
              <w:rPr>
                <w:sz w:val="13"/>
                <w:szCs w:val="13"/>
                <w:color w:val="auto"/>
              </w:rPr>
            </w:pPr>
          </w:p>
        </w:tc>
        <w:tc>
          <w:tcPr>
            <w:tcW w:w="100" w:type="dxa"/>
            <w:vAlign w:val="bottom"/>
            <w:tcBorders>
              <w:right w:val="single" w:sz="8" w:color="B2B3B6"/>
            </w:tcBorders>
            <w:shd w:val="clear" w:color="auto" w:fill="F2F3F2"/>
          </w:tcPr>
          <w:p>
            <w:pPr>
              <w:spacing w:after="0"/>
              <w:rPr>
                <w:sz w:val="13"/>
                <w:szCs w:val="13"/>
                <w:color w:val="auto"/>
              </w:rPr>
            </w:pPr>
          </w:p>
        </w:tc>
        <w:tc>
          <w:tcPr>
            <w:tcW w:w="80" w:type="dxa"/>
            <w:vAlign w:val="bottom"/>
            <w:shd w:val="clear" w:color="auto" w:fill="F2F3F2"/>
          </w:tcPr>
          <w:p>
            <w:pPr>
              <w:spacing w:after="0"/>
              <w:rPr>
                <w:sz w:val="13"/>
                <w:szCs w:val="13"/>
                <w:color w:val="auto"/>
              </w:rPr>
            </w:pPr>
          </w:p>
        </w:tc>
        <w:tc>
          <w:tcPr>
            <w:tcW w:w="2820" w:type="dxa"/>
            <w:vAlign w:val="bottom"/>
            <w:shd w:val="clear" w:color="auto" w:fill="F2F3F2"/>
          </w:tcPr>
          <w:p>
            <w:pPr>
              <w:spacing w:after="0"/>
              <w:rPr>
                <w:sz w:val="13"/>
                <w:szCs w:val="13"/>
                <w:color w:val="auto"/>
              </w:rPr>
            </w:pPr>
          </w:p>
        </w:tc>
        <w:tc>
          <w:tcPr>
            <w:tcW w:w="100" w:type="dxa"/>
            <w:vAlign w:val="bottom"/>
            <w:shd w:val="clear" w:color="auto" w:fill="F2F3F2"/>
          </w:tcPr>
          <w:p>
            <w:pPr>
              <w:spacing w:after="0"/>
              <w:rPr>
                <w:sz w:val="13"/>
                <w:szCs w:val="13"/>
                <w:color w:val="auto"/>
              </w:rPr>
            </w:pPr>
          </w:p>
        </w:tc>
        <w:tc>
          <w:tcPr>
            <w:tcW w:w="0" w:type="dxa"/>
            <w:vAlign w:val="bottom"/>
          </w:tcPr>
          <w:p>
            <w:pPr>
              <w:spacing w:after="0"/>
              <w:rPr>
                <w:sz w:val="1"/>
                <w:szCs w:val="1"/>
                <w:color w:val="auto"/>
              </w:rPr>
            </w:pPr>
          </w:p>
        </w:tc>
      </w:tr>
      <w:tr>
        <w:trPr>
          <w:trHeight w:val="303"/>
        </w:trPr>
        <w:tc>
          <w:tcPr>
            <w:tcW w:w="100" w:type="dxa"/>
            <w:vAlign w:val="bottom"/>
            <w:shd w:val="clear" w:color="auto" w:fill="F2F3F2"/>
          </w:tcPr>
          <w:p>
            <w:pPr>
              <w:spacing w:after="0"/>
              <w:rPr>
                <w:sz w:val="24"/>
                <w:szCs w:val="24"/>
                <w:color w:val="auto"/>
              </w:rPr>
            </w:pPr>
          </w:p>
        </w:tc>
        <w:tc>
          <w:tcPr>
            <w:tcW w:w="2860" w:type="dxa"/>
            <w:vAlign w:val="bottom"/>
            <w:shd w:val="clear" w:color="auto" w:fill="00558C"/>
          </w:tcPr>
          <w:p>
            <w:pPr>
              <w:jc w:val="center"/>
              <w:ind w:right="49"/>
              <w:spacing w:after="0"/>
              <w:rPr>
                <w:sz w:val="20"/>
                <w:szCs w:val="20"/>
                <w:color w:val="auto"/>
              </w:rPr>
            </w:pPr>
            <w:r>
              <w:rPr>
                <w:rFonts w:ascii="Arial" w:cs="Arial" w:eastAsia="Arial" w:hAnsi="Arial"/>
                <w:sz w:val="16"/>
                <w:szCs w:val="16"/>
                <w:b w:val="1"/>
                <w:bCs w:val="1"/>
                <w:color w:val="FFFFFF"/>
              </w:rPr>
              <w:t>Consulting Magazine</w:t>
            </w:r>
          </w:p>
        </w:tc>
        <w:tc>
          <w:tcPr>
            <w:tcW w:w="100" w:type="dxa"/>
            <w:vAlign w:val="bottom"/>
            <w:tcBorders>
              <w:right w:val="single" w:sz="8" w:color="B2B3B6"/>
            </w:tcBorders>
            <w:shd w:val="clear" w:color="auto" w:fill="F2F3F2"/>
          </w:tcPr>
          <w:p>
            <w:pPr>
              <w:spacing w:after="0"/>
              <w:rPr>
                <w:sz w:val="24"/>
                <w:szCs w:val="24"/>
                <w:color w:val="auto"/>
              </w:rPr>
            </w:pPr>
          </w:p>
        </w:tc>
        <w:tc>
          <w:tcPr>
            <w:tcW w:w="80" w:type="dxa"/>
            <w:vAlign w:val="bottom"/>
            <w:shd w:val="clear" w:color="auto" w:fill="F2F3F2"/>
          </w:tcPr>
          <w:p>
            <w:pPr>
              <w:spacing w:after="0"/>
              <w:rPr>
                <w:sz w:val="24"/>
                <w:szCs w:val="24"/>
                <w:color w:val="auto"/>
              </w:rPr>
            </w:pPr>
          </w:p>
        </w:tc>
        <w:tc>
          <w:tcPr>
            <w:tcW w:w="2840" w:type="dxa"/>
            <w:vAlign w:val="bottom"/>
            <w:shd w:val="clear" w:color="auto" w:fill="00558C"/>
          </w:tcPr>
          <w:p>
            <w:pPr>
              <w:jc w:val="center"/>
              <w:spacing w:after="0"/>
              <w:rPr>
                <w:sz w:val="20"/>
                <w:szCs w:val="20"/>
                <w:color w:val="auto"/>
              </w:rPr>
            </w:pPr>
            <w:r>
              <w:rPr>
                <w:rFonts w:ascii="Arial" w:cs="Arial" w:eastAsia="Arial" w:hAnsi="Arial"/>
                <w:sz w:val="16"/>
                <w:szCs w:val="16"/>
                <w:b w:val="1"/>
                <w:bCs w:val="1"/>
                <w:color w:val="FFFFFF"/>
              </w:rPr>
              <w:t>Glassdoor</w:t>
            </w:r>
          </w:p>
        </w:tc>
        <w:tc>
          <w:tcPr>
            <w:tcW w:w="100" w:type="dxa"/>
            <w:vAlign w:val="bottom"/>
            <w:tcBorders>
              <w:right w:val="single" w:sz="8" w:color="B2B3B6"/>
            </w:tcBorders>
            <w:shd w:val="clear" w:color="auto" w:fill="F2F3F2"/>
          </w:tcPr>
          <w:p>
            <w:pPr>
              <w:spacing w:after="0"/>
              <w:rPr>
                <w:sz w:val="24"/>
                <w:szCs w:val="24"/>
                <w:color w:val="auto"/>
              </w:rPr>
            </w:pPr>
          </w:p>
        </w:tc>
        <w:tc>
          <w:tcPr>
            <w:tcW w:w="80" w:type="dxa"/>
            <w:vAlign w:val="bottom"/>
            <w:shd w:val="clear" w:color="auto" w:fill="F2F3F2"/>
          </w:tcPr>
          <w:p>
            <w:pPr>
              <w:spacing w:after="0"/>
              <w:rPr>
                <w:sz w:val="24"/>
                <w:szCs w:val="24"/>
                <w:color w:val="auto"/>
              </w:rPr>
            </w:pPr>
          </w:p>
        </w:tc>
        <w:tc>
          <w:tcPr>
            <w:tcW w:w="2820" w:type="dxa"/>
            <w:vAlign w:val="bottom"/>
            <w:shd w:val="clear" w:color="auto" w:fill="00558C"/>
          </w:tcPr>
          <w:p>
            <w:pPr>
              <w:jc w:val="center"/>
              <w:spacing w:after="0"/>
              <w:rPr>
                <w:sz w:val="20"/>
                <w:szCs w:val="20"/>
                <w:color w:val="auto"/>
              </w:rPr>
            </w:pPr>
            <w:r>
              <w:rPr>
                <w:rFonts w:ascii="Arial" w:cs="Arial" w:eastAsia="Arial" w:hAnsi="Arial"/>
                <w:sz w:val="16"/>
                <w:szCs w:val="16"/>
                <w:b w:val="1"/>
                <w:bCs w:val="1"/>
                <w:color w:val="FFFFFF"/>
              </w:rPr>
              <w:t>TIME Magazine</w:t>
            </w:r>
          </w:p>
        </w:tc>
        <w:tc>
          <w:tcPr>
            <w:tcW w:w="100" w:type="dxa"/>
            <w:vAlign w:val="bottom"/>
            <w:shd w:val="clear" w:color="auto" w:fill="F2F3F2"/>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100" w:type="dxa"/>
            <w:vAlign w:val="bottom"/>
            <w:shd w:val="clear" w:color="auto" w:fill="F2F3F2"/>
          </w:tcPr>
          <w:p>
            <w:pPr>
              <w:spacing w:after="0"/>
              <w:rPr>
                <w:sz w:val="6"/>
                <w:szCs w:val="6"/>
                <w:color w:val="auto"/>
              </w:rPr>
            </w:pPr>
          </w:p>
        </w:tc>
        <w:tc>
          <w:tcPr>
            <w:tcW w:w="2860" w:type="dxa"/>
            <w:vAlign w:val="bottom"/>
            <w:shd w:val="clear" w:color="auto" w:fill="00558C"/>
          </w:tcPr>
          <w:p>
            <w:pPr>
              <w:spacing w:after="0"/>
              <w:rPr>
                <w:sz w:val="6"/>
                <w:szCs w:val="6"/>
                <w:color w:val="auto"/>
              </w:rPr>
            </w:pPr>
          </w:p>
        </w:tc>
        <w:tc>
          <w:tcPr>
            <w:tcW w:w="100" w:type="dxa"/>
            <w:vAlign w:val="bottom"/>
            <w:tcBorders>
              <w:right w:val="single" w:sz="8" w:color="B2B3B6"/>
            </w:tcBorders>
            <w:shd w:val="clear" w:color="auto" w:fill="F2F3F2"/>
          </w:tcPr>
          <w:p>
            <w:pPr>
              <w:spacing w:after="0"/>
              <w:rPr>
                <w:sz w:val="6"/>
                <w:szCs w:val="6"/>
                <w:color w:val="auto"/>
              </w:rPr>
            </w:pPr>
          </w:p>
        </w:tc>
        <w:tc>
          <w:tcPr>
            <w:tcW w:w="80" w:type="dxa"/>
            <w:vAlign w:val="bottom"/>
            <w:shd w:val="clear" w:color="auto" w:fill="F2F3F2"/>
          </w:tcPr>
          <w:p>
            <w:pPr>
              <w:spacing w:after="0"/>
              <w:rPr>
                <w:sz w:val="6"/>
                <w:szCs w:val="6"/>
                <w:color w:val="auto"/>
              </w:rPr>
            </w:pPr>
          </w:p>
        </w:tc>
        <w:tc>
          <w:tcPr>
            <w:tcW w:w="2840" w:type="dxa"/>
            <w:vAlign w:val="bottom"/>
            <w:shd w:val="clear" w:color="auto" w:fill="00558C"/>
          </w:tcPr>
          <w:p>
            <w:pPr>
              <w:spacing w:after="0"/>
              <w:rPr>
                <w:sz w:val="6"/>
                <w:szCs w:val="6"/>
                <w:color w:val="auto"/>
              </w:rPr>
            </w:pPr>
          </w:p>
        </w:tc>
        <w:tc>
          <w:tcPr>
            <w:tcW w:w="100" w:type="dxa"/>
            <w:vAlign w:val="bottom"/>
            <w:tcBorders>
              <w:right w:val="single" w:sz="8" w:color="B2B3B6"/>
            </w:tcBorders>
            <w:shd w:val="clear" w:color="auto" w:fill="F2F3F2"/>
          </w:tcPr>
          <w:p>
            <w:pPr>
              <w:spacing w:after="0"/>
              <w:rPr>
                <w:sz w:val="6"/>
                <w:szCs w:val="6"/>
                <w:color w:val="auto"/>
              </w:rPr>
            </w:pPr>
          </w:p>
        </w:tc>
        <w:tc>
          <w:tcPr>
            <w:tcW w:w="80" w:type="dxa"/>
            <w:vAlign w:val="bottom"/>
            <w:shd w:val="clear" w:color="auto" w:fill="F2F3F2"/>
          </w:tcPr>
          <w:p>
            <w:pPr>
              <w:spacing w:after="0"/>
              <w:rPr>
                <w:sz w:val="6"/>
                <w:szCs w:val="6"/>
                <w:color w:val="auto"/>
              </w:rPr>
            </w:pPr>
          </w:p>
        </w:tc>
        <w:tc>
          <w:tcPr>
            <w:tcW w:w="2820" w:type="dxa"/>
            <w:vAlign w:val="bottom"/>
            <w:shd w:val="clear" w:color="auto" w:fill="00558C"/>
          </w:tcPr>
          <w:p>
            <w:pPr>
              <w:spacing w:after="0"/>
              <w:rPr>
                <w:sz w:val="6"/>
                <w:szCs w:val="6"/>
                <w:color w:val="auto"/>
              </w:rPr>
            </w:pPr>
          </w:p>
        </w:tc>
        <w:tc>
          <w:tcPr>
            <w:tcW w:w="100" w:type="dxa"/>
            <w:vAlign w:val="bottom"/>
            <w:shd w:val="clear" w:color="auto" w:fill="F2F3F2"/>
          </w:tcPr>
          <w:p>
            <w:pPr>
              <w:spacing w:after="0"/>
              <w:rPr>
                <w:sz w:val="6"/>
                <w:szCs w:val="6"/>
                <w:color w:val="auto"/>
              </w:rPr>
            </w:pPr>
          </w:p>
        </w:tc>
        <w:tc>
          <w:tcPr>
            <w:tcW w:w="0" w:type="dxa"/>
            <w:vAlign w:val="bottom"/>
          </w:tcPr>
          <w:p>
            <w:pPr>
              <w:spacing w:after="0"/>
              <w:rPr>
                <w:sz w:val="1"/>
                <w:szCs w:val="1"/>
                <w:color w:val="auto"/>
              </w:rPr>
            </w:pPr>
          </w:p>
        </w:tc>
      </w:tr>
      <w:tr>
        <w:trPr>
          <w:trHeight w:val="626"/>
        </w:trPr>
        <w:tc>
          <w:tcPr>
            <w:tcW w:w="100" w:type="dxa"/>
            <w:vAlign w:val="bottom"/>
            <w:shd w:val="clear" w:color="auto" w:fill="F2F3F2"/>
          </w:tcPr>
          <w:p>
            <w:pPr>
              <w:spacing w:after="0"/>
              <w:rPr>
                <w:sz w:val="24"/>
                <w:szCs w:val="24"/>
                <w:color w:val="auto"/>
              </w:rPr>
            </w:pPr>
          </w:p>
        </w:tc>
        <w:tc>
          <w:tcPr>
            <w:tcW w:w="2860" w:type="dxa"/>
            <w:vAlign w:val="bottom"/>
            <w:shd w:val="clear" w:color="auto" w:fill="F2F3F2"/>
          </w:tcPr>
          <w:p>
            <w:pPr>
              <w:jc w:val="center"/>
              <w:ind w:right="129"/>
              <w:spacing w:after="0"/>
              <w:rPr>
                <w:sz w:val="20"/>
                <w:szCs w:val="20"/>
                <w:color w:val="auto"/>
              </w:rPr>
            </w:pPr>
            <w:r>
              <w:rPr>
                <w:rFonts w:ascii="Arial" w:cs="Arial" w:eastAsia="Arial" w:hAnsi="Arial"/>
                <w:sz w:val="25"/>
                <w:szCs w:val="25"/>
                <w:color w:val="6AAA37"/>
                <w:w w:val="99"/>
              </w:rPr>
              <w:t>2024 World’s Best</w:t>
            </w:r>
          </w:p>
        </w:tc>
        <w:tc>
          <w:tcPr>
            <w:tcW w:w="100" w:type="dxa"/>
            <w:vAlign w:val="bottom"/>
            <w:tcBorders>
              <w:right w:val="single" w:sz="8" w:color="B2B3B6"/>
            </w:tcBorders>
            <w:shd w:val="clear" w:color="auto" w:fill="F2F3F2"/>
          </w:tcPr>
          <w:p>
            <w:pPr>
              <w:spacing w:after="0"/>
              <w:rPr>
                <w:sz w:val="24"/>
                <w:szCs w:val="24"/>
                <w:color w:val="auto"/>
              </w:rPr>
            </w:pPr>
          </w:p>
        </w:tc>
        <w:tc>
          <w:tcPr>
            <w:tcW w:w="80" w:type="dxa"/>
            <w:vAlign w:val="bottom"/>
            <w:shd w:val="clear" w:color="auto" w:fill="F2F3F2"/>
          </w:tcPr>
          <w:p>
            <w:pPr>
              <w:spacing w:after="0"/>
              <w:rPr>
                <w:sz w:val="24"/>
                <w:szCs w:val="24"/>
                <w:color w:val="auto"/>
              </w:rPr>
            </w:pPr>
          </w:p>
        </w:tc>
        <w:tc>
          <w:tcPr>
            <w:tcW w:w="2840" w:type="dxa"/>
            <w:vAlign w:val="bottom"/>
            <w:shd w:val="clear" w:color="auto" w:fill="F2F3F2"/>
          </w:tcPr>
          <w:p>
            <w:pPr>
              <w:jc w:val="center"/>
              <w:ind w:right="146"/>
              <w:spacing w:after="0"/>
              <w:rPr>
                <w:sz w:val="20"/>
                <w:szCs w:val="20"/>
                <w:color w:val="auto"/>
              </w:rPr>
            </w:pPr>
            <w:r>
              <w:rPr>
                <w:rFonts w:ascii="Arial" w:cs="Arial" w:eastAsia="Arial" w:hAnsi="Arial"/>
                <w:sz w:val="25"/>
                <w:szCs w:val="25"/>
                <w:color w:val="6AAA37"/>
              </w:rPr>
              <w:t>2024 America’s Best</w:t>
            </w:r>
          </w:p>
        </w:tc>
        <w:tc>
          <w:tcPr>
            <w:tcW w:w="100" w:type="dxa"/>
            <w:vAlign w:val="bottom"/>
            <w:tcBorders>
              <w:right w:val="single" w:sz="8" w:color="B2B3B6"/>
            </w:tcBorders>
            <w:shd w:val="clear" w:color="auto" w:fill="F2F3F2"/>
          </w:tcPr>
          <w:p>
            <w:pPr>
              <w:spacing w:after="0"/>
              <w:rPr>
                <w:sz w:val="24"/>
                <w:szCs w:val="24"/>
                <w:color w:val="auto"/>
              </w:rPr>
            </w:pPr>
          </w:p>
        </w:tc>
        <w:tc>
          <w:tcPr>
            <w:tcW w:w="80" w:type="dxa"/>
            <w:vAlign w:val="bottom"/>
            <w:shd w:val="clear" w:color="auto" w:fill="F2F3F2"/>
          </w:tcPr>
          <w:p>
            <w:pPr>
              <w:spacing w:after="0"/>
              <w:rPr>
                <w:sz w:val="24"/>
                <w:szCs w:val="24"/>
                <w:color w:val="auto"/>
              </w:rPr>
            </w:pPr>
          </w:p>
        </w:tc>
        <w:tc>
          <w:tcPr>
            <w:tcW w:w="2820" w:type="dxa"/>
            <w:vAlign w:val="bottom"/>
            <w:shd w:val="clear" w:color="auto" w:fill="F2F3F2"/>
          </w:tcPr>
          <w:p>
            <w:pPr>
              <w:jc w:val="center"/>
              <w:ind w:right="128"/>
              <w:spacing w:after="0"/>
              <w:rPr>
                <w:sz w:val="20"/>
                <w:szCs w:val="20"/>
                <w:color w:val="auto"/>
              </w:rPr>
            </w:pPr>
            <w:r>
              <w:rPr>
                <w:rFonts w:ascii="Arial" w:cs="Arial" w:eastAsia="Arial" w:hAnsi="Arial"/>
                <w:sz w:val="25"/>
                <w:szCs w:val="25"/>
                <w:color w:val="6AAA37"/>
              </w:rPr>
              <w:t>2024 America’s Best</w:t>
            </w:r>
          </w:p>
        </w:tc>
        <w:tc>
          <w:tcPr>
            <w:tcW w:w="100" w:type="dxa"/>
            <w:vAlign w:val="bottom"/>
            <w:shd w:val="clear" w:color="auto" w:fill="F2F3F2"/>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00" w:type="dxa"/>
            <w:vAlign w:val="bottom"/>
            <w:shd w:val="clear" w:color="auto" w:fill="F2F3F2"/>
          </w:tcPr>
          <w:p>
            <w:pPr>
              <w:spacing w:after="0"/>
              <w:rPr>
                <w:sz w:val="24"/>
                <w:szCs w:val="24"/>
                <w:color w:val="auto"/>
              </w:rPr>
            </w:pPr>
          </w:p>
        </w:tc>
        <w:tc>
          <w:tcPr>
            <w:tcW w:w="2860" w:type="dxa"/>
            <w:vAlign w:val="bottom"/>
            <w:shd w:val="clear" w:color="auto" w:fill="F2F3F2"/>
          </w:tcPr>
          <w:p>
            <w:pPr>
              <w:jc w:val="center"/>
              <w:ind w:right="149"/>
              <w:spacing w:after="0"/>
              <w:rPr>
                <w:sz w:val="20"/>
                <w:szCs w:val="20"/>
                <w:color w:val="auto"/>
              </w:rPr>
            </w:pPr>
            <w:r>
              <w:rPr>
                <w:rFonts w:ascii="Arial" w:cs="Arial" w:eastAsia="Arial" w:hAnsi="Arial"/>
                <w:sz w:val="25"/>
                <w:szCs w:val="25"/>
                <w:color w:val="6AAA37"/>
              </w:rPr>
              <w:t>Management</w:t>
            </w:r>
          </w:p>
        </w:tc>
        <w:tc>
          <w:tcPr>
            <w:tcW w:w="100" w:type="dxa"/>
            <w:vAlign w:val="bottom"/>
            <w:tcBorders>
              <w:right w:val="single" w:sz="8" w:color="B2B3B6"/>
            </w:tcBorders>
            <w:shd w:val="clear" w:color="auto" w:fill="F2F3F2"/>
          </w:tcPr>
          <w:p>
            <w:pPr>
              <w:spacing w:after="0"/>
              <w:rPr>
                <w:sz w:val="24"/>
                <w:szCs w:val="24"/>
                <w:color w:val="auto"/>
              </w:rPr>
            </w:pPr>
          </w:p>
        </w:tc>
        <w:tc>
          <w:tcPr>
            <w:tcW w:w="80" w:type="dxa"/>
            <w:vAlign w:val="bottom"/>
            <w:shd w:val="clear" w:color="auto" w:fill="F2F3F2"/>
          </w:tcPr>
          <w:p>
            <w:pPr>
              <w:spacing w:after="0"/>
              <w:rPr>
                <w:sz w:val="24"/>
                <w:szCs w:val="24"/>
                <w:color w:val="auto"/>
              </w:rPr>
            </w:pPr>
          </w:p>
        </w:tc>
        <w:tc>
          <w:tcPr>
            <w:tcW w:w="2840" w:type="dxa"/>
            <w:vAlign w:val="bottom"/>
            <w:shd w:val="clear" w:color="auto" w:fill="F2F3F2"/>
          </w:tcPr>
          <w:p>
            <w:pPr>
              <w:jc w:val="center"/>
              <w:ind w:right="146"/>
              <w:spacing w:after="0"/>
              <w:rPr>
                <w:sz w:val="20"/>
                <w:szCs w:val="20"/>
                <w:color w:val="auto"/>
              </w:rPr>
            </w:pPr>
            <w:r>
              <w:rPr>
                <w:rFonts w:ascii="Arial" w:cs="Arial" w:eastAsia="Arial" w:hAnsi="Arial"/>
                <w:sz w:val="25"/>
                <w:szCs w:val="25"/>
                <w:color w:val="6AAA37"/>
              </w:rPr>
              <w:t>Management</w:t>
            </w:r>
          </w:p>
        </w:tc>
        <w:tc>
          <w:tcPr>
            <w:tcW w:w="100" w:type="dxa"/>
            <w:vAlign w:val="bottom"/>
            <w:tcBorders>
              <w:right w:val="single" w:sz="8" w:color="B2B3B6"/>
            </w:tcBorders>
            <w:shd w:val="clear" w:color="auto" w:fill="F2F3F2"/>
          </w:tcPr>
          <w:p>
            <w:pPr>
              <w:spacing w:after="0"/>
              <w:rPr>
                <w:sz w:val="24"/>
                <w:szCs w:val="24"/>
                <w:color w:val="auto"/>
              </w:rPr>
            </w:pPr>
          </w:p>
        </w:tc>
        <w:tc>
          <w:tcPr>
            <w:tcW w:w="80" w:type="dxa"/>
            <w:vAlign w:val="bottom"/>
            <w:shd w:val="clear" w:color="auto" w:fill="F2F3F2"/>
          </w:tcPr>
          <w:p>
            <w:pPr>
              <w:spacing w:after="0"/>
              <w:rPr>
                <w:sz w:val="24"/>
                <w:szCs w:val="24"/>
                <w:color w:val="auto"/>
              </w:rPr>
            </w:pPr>
          </w:p>
        </w:tc>
        <w:tc>
          <w:tcPr>
            <w:tcW w:w="2820" w:type="dxa"/>
            <w:vAlign w:val="bottom"/>
            <w:shd w:val="clear" w:color="auto" w:fill="F2F3F2"/>
          </w:tcPr>
          <w:p>
            <w:pPr>
              <w:jc w:val="center"/>
              <w:ind w:right="68"/>
              <w:spacing w:after="0"/>
              <w:rPr>
                <w:sz w:val="20"/>
                <w:szCs w:val="20"/>
                <w:color w:val="auto"/>
              </w:rPr>
            </w:pPr>
            <w:r>
              <w:rPr>
                <w:rFonts w:ascii="Arial" w:cs="Arial" w:eastAsia="Arial" w:hAnsi="Arial"/>
                <w:sz w:val="25"/>
                <w:szCs w:val="25"/>
                <w:color w:val="6AAA37"/>
              </w:rPr>
              <w:t>Employers for</w:t>
            </w:r>
          </w:p>
        </w:tc>
        <w:tc>
          <w:tcPr>
            <w:tcW w:w="100" w:type="dxa"/>
            <w:vAlign w:val="bottom"/>
            <w:shd w:val="clear" w:color="auto" w:fill="F2F3F2"/>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100" w:type="dxa"/>
            <w:vAlign w:val="bottom"/>
            <w:shd w:val="clear" w:color="auto" w:fill="F2F3F2"/>
          </w:tcPr>
          <w:p>
            <w:pPr>
              <w:spacing w:after="0"/>
              <w:rPr>
                <w:sz w:val="24"/>
                <w:szCs w:val="24"/>
                <w:color w:val="auto"/>
              </w:rPr>
            </w:pPr>
          </w:p>
        </w:tc>
        <w:tc>
          <w:tcPr>
            <w:tcW w:w="2860" w:type="dxa"/>
            <w:vAlign w:val="bottom"/>
            <w:shd w:val="clear" w:color="auto" w:fill="F2F3F2"/>
          </w:tcPr>
          <w:p>
            <w:pPr>
              <w:jc w:val="center"/>
              <w:ind w:right="169"/>
              <w:spacing w:after="0"/>
              <w:rPr>
                <w:sz w:val="20"/>
                <w:szCs w:val="20"/>
                <w:color w:val="auto"/>
              </w:rPr>
            </w:pPr>
            <w:r>
              <w:rPr>
                <w:rFonts w:ascii="Arial" w:cs="Arial" w:eastAsia="Arial" w:hAnsi="Arial"/>
                <w:sz w:val="25"/>
                <w:szCs w:val="25"/>
                <w:color w:val="6AAA37"/>
              </w:rPr>
              <w:t>Consulting Firms</w:t>
            </w:r>
          </w:p>
        </w:tc>
        <w:tc>
          <w:tcPr>
            <w:tcW w:w="100" w:type="dxa"/>
            <w:vAlign w:val="bottom"/>
            <w:tcBorders>
              <w:right w:val="single" w:sz="8" w:color="B2B3B6"/>
            </w:tcBorders>
            <w:shd w:val="clear" w:color="auto" w:fill="F2F3F2"/>
          </w:tcPr>
          <w:p>
            <w:pPr>
              <w:spacing w:after="0"/>
              <w:rPr>
                <w:sz w:val="24"/>
                <w:szCs w:val="24"/>
                <w:color w:val="auto"/>
              </w:rPr>
            </w:pPr>
          </w:p>
        </w:tc>
        <w:tc>
          <w:tcPr>
            <w:tcW w:w="80" w:type="dxa"/>
            <w:vAlign w:val="bottom"/>
            <w:shd w:val="clear" w:color="auto" w:fill="F2F3F2"/>
          </w:tcPr>
          <w:p>
            <w:pPr>
              <w:spacing w:after="0"/>
              <w:rPr>
                <w:sz w:val="24"/>
                <w:szCs w:val="24"/>
                <w:color w:val="auto"/>
              </w:rPr>
            </w:pPr>
          </w:p>
        </w:tc>
        <w:tc>
          <w:tcPr>
            <w:tcW w:w="2840" w:type="dxa"/>
            <w:vAlign w:val="bottom"/>
            <w:shd w:val="clear" w:color="auto" w:fill="F2F3F2"/>
          </w:tcPr>
          <w:p>
            <w:pPr>
              <w:jc w:val="center"/>
              <w:ind w:right="166"/>
              <w:spacing w:after="0"/>
              <w:rPr>
                <w:sz w:val="20"/>
                <w:szCs w:val="20"/>
                <w:color w:val="auto"/>
              </w:rPr>
            </w:pPr>
            <w:r>
              <w:rPr>
                <w:rFonts w:ascii="Arial" w:cs="Arial" w:eastAsia="Arial" w:hAnsi="Arial"/>
                <w:sz w:val="25"/>
                <w:szCs w:val="25"/>
                <w:color w:val="6AAA37"/>
              </w:rPr>
              <w:t>Consulting Firms</w:t>
            </w:r>
          </w:p>
        </w:tc>
        <w:tc>
          <w:tcPr>
            <w:tcW w:w="100" w:type="dxa"/>
            <w:vAlign w:val="bottom"/>
            <w:tcBorders>
              <w:right w:val="single" w:sz="8" w:color="B2B3B6"/>
            </w:tcBorders>
            <w:shd w:val="clear" w:color="auto" w:fill="F2F3F2"/>
          </w:tcPr>
          <w:p>
            <w:pPr>
              <w:spacing w:after="0"/>
              <w:rPr>
                <w:sz w:val="24"/>
                <w:szCs w:val="24"/>
                <w:color w:val="auto"/>
              </w:rPr>
            </w:pPr>
          </w:p>
        </w:tc>
        <w:tc>
          <w:tcPr>
            <w:tcW w:w="80" w:type="dxa"/>
            <w:vAlign w:val="bottom"/>
            <w:shd w:val="clear" w:color="auto" w:fill="F2F3F2"/>
          </w:tcPr>
          <w:p>
            <w:pPr>
              <w:spacing w:after="0"/>
              <w:rPr>
                <w:sz w:val="24"/>
                <w:szCs w:val="24"/>
                <w:color w:val="auto"/>
              </w:rPr>
            </w:pPr>
          </w:p>
        </w:tc>
        <w:tc>
          <w:tcPr>
            <w:tcW w:w="2820" w:type="dxa"/>
            <w:vAlign w:val="bottom"/>
            <w:shd w:val="clear" w:color="auto" w:fill="F2F3F2"/>
          </w:tcPr>
          <w:p>
            <w:pPr>
              <w:jc w:val="center"/>
              <w:ind w:right="48"/>
              <w:spacing w:after="0"/>
              <w:rPr>
                <w:sz w:val="20"/>
                <w:szCs w:val="20"/>
                <w:color w:val="auto"/>
              </w:rPr>
            </w:pPr>
            <w:r>
              <w:rPr>
                <w:rFonts w:ascii="Arial" w:cs="Arial" w:eastAsia="Arial" w:hAnsi="Arial"/>
                <w:sz w:val="25"/>
                <w:szCs w:val="25"/>
                <w:color w:val="6AAA37"/>
                <w:w w:val="99"/>
              </w:rPr>
              <w:t>Women</w:t>
            </w:r>
          </w:p>
        </w:tc>
        <w:tc>
          <w:tcPr>
            <w:tcW w:w="100" w:type="dxa"/>
            <w:vAlign w:val="bottom"/>
            <w:shd w:val="clear" w:color="auto" w:fill="F2F3F2"/>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100" w:type="dxa"/>
            <w:vAlign w:val="bottom"/>
            <w:shd w:val="clear" w:color="auto" w:fill="F2F3F2"/>
          </w:tcPr>
          <w:p>
            <w:pPr>
              <w:spacing w:after="0"/>
              <w:rPr>
                <w:sz w:val="13"/>
                <w:szCs w:val="13"/>
                <w:color w:val="auto"/>
              </w:rPr>
            </w:pPr>
          </w:p>
        </w:tc>
        <w:tc>
          <w:tcPr>
            <w:tcW w:w="2860" w:type="dxa"/>
            <w:vAlign w:val="bottom"/>
            <w:shd w:val="clear" w:color="auto" w:fill="F2F3F2"/>
          </w:tcPr>
          <w:p>
            <w:pPr>
              <w:spacing w:after="0"/>
              <w:rPr>
                <w:sz w:val="13"/>
                <w:szCs w:val="13"/>
                <w:color w:val="auto"/>
              </w:rPr>
            </w:pPr>
          </w:p>
        </w:tc>
        <w:tc>
          <w:tcPr>
            <w:tcW w:w="100" w:type="dxa"/>
            <w:vAlign w:val="bottom"/>
            <w:tcBorders>
              <w:right w:val="single" w:sz="8" w:color="B2B3B6"/>
            </w:tcBorders>
            <w:shd w:val="clear" w:color="auto" w:fill="F2F3F2"/>
          </w:tcPr>
          <w:p>
            <w:pPr>
              <w:spacing w:after="0"/>
              <w:rPr>
                <w:sz w:val="13"/>
                <w:szCs w:val="13"/>
                <w:color w:val="auto"/>
              </w:rPr>
            </w:pPr>
          </w:p>
        </w:tc>
        <w:tc>
          <w:tcPr>
            <w:tcW w:w="80" w:type="dxa"/>
            <w:vAlign w:val="bottom"/>
            <w:shd w:val="clear" w:color="auto" w:fill="F2F3F2"/>
          </w:tcPr>
          <w:p>
            <w:pPr>
              <w:spacing w:after="0"/>
              <w:rPr>
                <w:sz w:val="13"/>
                <w:szCs w:val="13"/>
                <w:color w:val="auto"/>
              </w:rPr>
            </w:pPr>
          </w:p>
        </w:tc>
        <w:tc>
          <w:tcPr>
            <w:tcW w:w="2840" w:type="dxa"/>
            <w:vAlign w:val="bottom"/>
            <w:shd w:val="clear" w:color="auto" w:fill="F2F3F2"/>
          </w:tcPr>
          <w:p>
            <w:pPr>
              <w:spacing w:after="0"/>
              <w:rPr>
                <w:sz w:val="13"/>
                <w:szCs w:val="13"/>
                <w:color w:val="auto"/>
              </w:rPr>
            </w:pPr>
          </w:p>
        </w:tc>
        <w:tc>
          <w:tcPr>
            <w:tcW w:w="100" w:type="dxa"/>
            <w:vAlign w:val="bottom"/>
            <w:tcBorders>
              <w:right w:val="single" w:sz="8" w:color="B2B3B6"/>
            </w:tcBorders>
            <w:shd w:val="clear" w:color="auto" w:fill="F2F3F2"/>
          </w:tcPr>
          <w:p>
            <w:pPr>
              <w:spacing w:after="0"/>
              <w:rPr>
                <w:sz w:val="13"/>
                <w:szCs w:val="13"/>
                <w:color w:val="auto"/>
              </w:rPr>
            </w:pPr>
          </w:p>
        </w:tc>
        <w:tc>
          <w:tcPr>
            <w:tcW w:w="80" w:type="dxa"/>
            <w:vAlign w:val="bottom"/>
            <w:shd w:val="clear" w:color="auto" w:fill="F2F3F2"/>
          </w:tcPr>
          <w:p>
            <w:pPr>
              <w:spacing w:after="0"/>
              <w:rPr>
                <w:sz w:val="13"/>
                <w:szCs w:val="13"/>
                <w:color w:val="auto"/>
              </w:rPr>
            </w:pPr>
          </w:p>
        </w:tc>
        <w:tc>
          <w:tcPr>
            <w:tcW w:w="2820" w:type="dxa"/>
            <w:vAlign w:val="bottom"/>
            <w:shd w:val="clear" w:color="auto" w:fill="F2F3F2"/>
          </w:tcPr>
          <w:p>
            <w:pPr>
              <w:spacing w:after="0"/>
              <w:rPr>
                <w:sz w:val="13"/>
                <w:szCs w:val="13"/>
                <w:color w:val="auto"/>
              </w:rPr>
            </w:pPr>
          </w:p>
        </w:tc>
        <w:tc>
          <w:tcPr>
            <w:tcW w:w="100" w:type="dxa"/>
            <w:vAlign w:val="bottom"/>
            <w:shd w:val="clear" w:color="auto" w:fill="F2F3F2"/>
          </w:tcPr>
          <w:p>
            <w:pPr>
              <w:spacing w:after="0"/>
              <w:rPr>
                <w:sz w:val="13"/>
                <w:szCs w:val="13"/>
                <w:color w:val="auto"/>
              </w:rPr>
            </w:pPr>
          </w:p>
        </w:tc>
        <w:tc>
          <w:tcPr>
            <w:tcW w:w="0" w:type="dxa"/>
            <w:vAlign w:val="bottom"/>
          </w:tcPr>
          <w:p>
            <w:pPr>
              <w:spacing w:after="0"/>
              <w:rPr>
                <w:sz w:val="1"/>
                <w:szCs w:val="1"/>
                <w:color w:val="auto"/>
              </w:rPr>
            </w:pPr>
          </w:p>
        </w:tc>
      </w:tr>
      <w:tr>
        <w:trPr>
          <w:trHeight w:val="303"/>
        </w:trPr>
        <w:tc>
          <w:tcPr>
            <w:tcW w:w="100" w:type="dxa"/>
            <w:vAlign w:val="bottom"/>
            <w:shd w:val="clear" w:color="auto" w:fill="F2F3F2"/>
          </w:tcPr>
          <w:p>
            <w:pPr>
              <w:spacing w:after="0"/>
              <w:rPr>
                <w:sz w:val="24"/>
                <w:szCs w:val="24"/>
                <w:color w:val="auto"/>
              </w:rPr>
            </w:pPr>
          </w:p>
        </w:tc>
        <w:tc>
          <w:tcPr>
            <w:tcW w:w="2860" w:type="dxa"/>
            <w:vAlign w:val="bottom"/>
            <w:shd w:val="clear" w:color="auto" w:fill="00558C"/>
          </w:tcPr>
          <w:p>
            <w:pPr>
              <w:jc w:val="center"/>
              <w:spacing w:after="0"/>
              <w:rPr>
                <w:sz w:val="20"/>
                <w:szCs w:val="20"/>
                <w:color w:val="auto"/>
              </w:rPr>
            </w:pPr>
            <w:r>
              <w:rPr>
                <w:rFonts w:ascii="Arial" w:cs="Arial" w:eastAsia="Arial" w:hAnsi="Arial"/>
                <w:sz w:val="16"/>
                <w:szCs w:val="16"/>
                <w:b w:val="1"/>
                <w:bCs w:val="1"/>
                <w:color w:val="FFFFFF"/>
              </w:rPr>
              <w:t>Forbes</w:t>
            </w:r>
          </w:p>
        </w:tc>
        <w:tc>
          <w:tcPr>
            <w:tcW w:w="100" w:type="dxa"/>
            <w:vAlign w:val="bottom"/>
            <w:tcBorders>
              <w:right w:val="single" w:sz="8" w:color="B2B3B6"/>
            </w:tcBorders>
            <w:shd w:val="clear" w:color="auto" w:fill="F2F3F2"/>
          </w:tcPr>
          <w:p>
            <w:pPr>
              <w:spacing w:after="0"/>
              <w:rPr>
                <w:sz w:val="24"/>
                <w:szCs w:val="24"/>
                <w:color w:val="auto"/>
              </w:rPr>
            </w:pPr>
          </w:p>
        </w:tc>
        <w:tc>
          <w:tcPr>
            <w:tcW w:w="80" w:type="dxa"/>
            <w:vAlign w:val="bottom"/>
            <w:shd w:val="clear" w:color="auto" w:fill="F2F3F2"/>
          </w:tcPr>
          <w:p>
            <w:pPr>
              <w:spacing w:after="0"/>
              <w:rPr>
                <w:sz w:val="24"/>
                <w:szCs w:val="24"/>
                <w:color w:val="auto"/>
              </w:rPr>
            </w:pPr>
          </w:p>
        </w:tc>
        <w:tc>
          <w:tcPr>
            <w:tcW w:w="2840" w:type="dxa"/>
            <w:vAlign w:val="bottom"/>
            <w:shd w:val="clear" w:color="auto" w:fill="00558C"/>
          </w:tcPr>
          <w:p>
            <w:pPr>
              <w:jc w:val="center"/>
              <w:spacing w:after="0"/>
              <w:rPr>
                <w:sz w:val="20"/>
                <w:szCs w:val="20"/>
                <w:color w:val="auto"/>
              </w:rPr>
            </w:pPr>
            <w:r>
              <w:rPr>
                <w:rFonts w:ascii="Arial" w:cs="Arial" w:eastAsia="Arial" w:hAnsi="Arial"/>
                <w:sz w:val="16"/>
                <w:szCs w:val="16"/>
                <w:b w:val="1"/>
                <w:bCs w:val="1"/>
                <w:color w:val="FFFFFF"/>
              </w:rPr>
              <w:t>Forbes</w:t>
            </w:r>
          </w:p>
        </w:tc>
        <w:tc>
          <w:tcPr>
            <w:tcW w:w="100" w:type="dxa"/>
            <w:vAlign w:val="bottom"/>
            <w:tcBorders>
              <w:right w:val="single" w:sz="8" w:color="B2B3B6"/>
            </w:tcBorders>
            <w:shd w:val="clear" w:color="auto" w:fill="F2F3F2"/>
          </w:tcPr>
          <w:p>
            <w:pPr>
              <w:spacing w:after="0"/>
              <w:rPr>
                <w:sz w:val="24"/>
                <w:szCs w:val="24"/>
                <w:color w:val="auto"/>
              </w:rPr>
            </w:pPr>
          </w:p>
        </w:tc>
        <w:tc>
          <w:tcPr>
            <w:tcW w:w="80" w:type="dxa"/>
            <w:vAlign w:val="bottom"/>
            <w:shd w:val="clear" w:color="auto" w:fill="F2F3F2"/>
          </w:tcPr>
          <w:p>
            <w:pPr>
              <w:spacing w:after="0"/>
              <w:rPr>
                <w:sz w:val="24"/>
                <w:szCs w:val="24"/>
                <w:color w:val="auto"/>
              </w:rPr>
            </w:pPr>
          </w:p>
        </w:tc>
        <w:tc>
          <w:tcPr>
            <w:tcW w:w="2820" w:type="dxa"/>
            <w:vAlign w:val="bottom"/>
            <w:shd w:val="clear" w:color="auto" w:fill="00558C"/>
          </w:tcPr>
          <w:p>
            <w:pPr>
              <w:ind w:left="1120"/>
              <w:spacing w:after="0"/>
              <w:rPr>
                <w:sz w:val="20"/>
                <w:szCs w:val="20"/>
                <w:color w:val="auto"/>
              </w:rPr>
            </w:pPr>
            <w:r>
              <w:rPr>
                <w:rFonts w:ascii="Arial" w:cs="Arial" w:eastAsia="Arial" w:hAnsi="Arial"/>
                <w:sz w:val="16"/>
                <w:szCs w:val="16"/>
                <w:b w:val="1"/>
                <w:bCs w:val="1"/>
                <w:color w:val="FFFFFF"/>
              </w:rPr>
              <w:t>Forbes</w:t>
            </w:r>
          </w:p>
        </w:tc>
        <w:tc>
          <w:tcPr>
            <w:tcW w:w="100" w:type="dxa"/>
            <w:vAlign w:val="bottom"/>
            <w:shd w:val="clear" w:color="auto" w:fill="F2F3F2"/>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100" w:type="dxa"/>
            <w:vAlign w:val="bottom"/>
            <w:shd w:val="clear" w:color="auto" w:fill="F2F3F2"/>
          </w:tcPr>
          <w:p>
            <w:pPr>
              <w:spacing w:after="0"/>
              <w:rPr>
                <w:sz w:val="6"/>
                <w:szCs w:val="6"/>
                <w:color w:val="auto"/>
              </w:rPr>
            </w:pPr>
          </w:p>
        </w:tc>
        <w:tc>
          <w:tcPr>
            <w:tcW w:w="2860" w:type="dxa"/>
            <w:vAlign w:val="bottom"/>
            <w:shd w:val="clear" w:color="auto" w:fill="00558C"/>
          </w:tcPr>
          <w:p>
            <w:pPr>
              <w:spacing w:after="0"/>
              <w:rPr>
                <w:sz w:val="6"/>
                <w:szCs w:val="6"/>
                <w:color w:val="auto"/>
              </w:rPr>
            </w:pPr>
          </w:p>
        </w:tc>
        <w:tc>
          <w:tcPr>
            <w:tcW w:w="100" w:type="dxa"/>
            <w:vAlign w:val="bottom"/>
            <w:tcBorders>
              <w:right w:val="single" w:sz="8" w:color="B2B3B6"/>
            </w:tcBorders>
            <w:shd w:val="clear" w:color="auto" w:fill="F2F3F2"/>
          </w:tcPr>
          <w:p>
            <w:pPr>
              <w:spacing w:after="0"/>
              <w:rPr>
                <w:sz w:val="6"/>
                <w:szCs w:val="6"/>
                <w:color w:val="auto"/>
              </w:rPr>
            </w:pPr>
          </w:p>
        </w:tc>
        <w:tc>
          <w:tcPr>
            <w:tcW w:w="80" w:type="dxa"/>
            <w:vAlign w:val="bottom"/>
            <w:shd w:val="clear" w:color="auto" w:fill="F2F3F2"/>
          </w:tcPr>
          <w:p>
            <w:pPr>
              <w:spacing w:after="0"/>
              <w:rPr>
                <w:sz w:val="6"/>
                <w:szCs w:val="6"/>
                <w:color w:val="auto"/>
              </w:rPr>
            </w:pPr>
          </w:p>
        </w:tc>
        <w:tc>
          <w:tcPr>
            <w:tcW w:w="2840" w:type="dxa"/>
            <w:vAlign w:val="bottom"/>
            <w:shd w:val="clear" w:color="auto" w:fill="00558C"/>
          </w:tcPr>
          <w:p>
            <w:pPr>
              <w:spacing w:after="0"/>
              <w:rPr>
                <w:sz w:val="6"/>
                <w:szCs w:val="6"/>
                <w:color w:val="auto"/>
              </w:rPr>
            </w:pPr>
          </w:p>
        </w:tc>
        <w:tc>
          <w:tcPr>
            <w:tcW w:w="100" w:type="dxa"/>
            <w:vAlign w:val="bottom"/>
            <w:tcBorders>
              <w:right w:val="single" w:sz="8" w:color="B2B3B6"/>
            </w:tcBorders>
            <w:shd w:val="clear" w:color="auto" w:fill="F2F3F2"/>
          </w:tcPr>
          <w:p>
            <w:pPr>
              <w:spacing w:after="0"/>
              <w:rPr>
                <w:sz w:val="6"/>
                <w:szCs w:val="6"/>
                <w:color w:val="auto"/>
              </w:rPr>
            </w:pPr>
          </w:p>
        </w:tc>
        <w:tc>
          <w:tcPr>
            <w:tcW w:w="80" w:type="dxa"/>
            <w:vAlign w:val="bottom"/>
            <w:shd w:val="clear" w:color="auto" w:fill="F2F3F2"/>
          </w:tcPr>
          <w:p>
            <w:pPr>
              <w:spacing w:after="0"/>
              <w:rPr>
                <w:sz w:val="6"/>
                <w:szCs w:val="6"/>
                <w:color w:val="auto"/>
              </w:rPr>
            </w:pPr>
          </w:p>
        </w:tc>
        <w:tc>
          <w:tcPr>
            <w:tcW w:w="2820" w:type="dxa"/>
            <w:vAlign w:val="bottom"/>
            <w:shd w:val="clear" w:color="auto" w:fill="00558C"/>
          </w:tcPr>
          <w:p>
            <w:pPr>
              <w:spacing w:after="0"/>
              <w:rPr>
                <w:sz w:val="6"/>
                <w:szCs w:val="6"/>
                <w:color w:val="auto"/>
              </w:rPr>
            </w:pPr>
          </w:p>
        </w:tc>
        <w:tc>
          <w:tcPr>
            <w:tcW w:w="100" w:type="dxa"/>
            <w:vAlign w:val="bottom"/>
            <w:shd w:val="clear" w:color="auto" w:fill="F2F3F2"/>
          </w:tcPr>
          <w:p>
            <w:pPr>
              <w:spacing w:after="0"/>
              <w:rPr>
                <w:sz w:val="6"/>
                <w:szCs w:val="6"/>
                <w:color w:val="auto"/>
              </w:rPr>
            </w:pPr>
          </w:p>
        </w:tc>
        <w:tc>
          <w:tcPr>
            <w:tcW w:w="0" w:type="dxa"/>
            <w:vAlign w:val="bottom"/>
          </w:tcPr>
          <w:p>
            <w:pPr>
              <w:spacing w:after="0"/>
              <w:rPr>
                <w:sz w:val="1"/>
                <w:szCs w:val="1"/>
                <w:color w:val="auto"/>
              </w:rPr>
            </w:pPr>
          </w:p>
        </w:tc>
      </w:tr>
      <w:tr>
        <w:trPr>
          <w:trHeight w:val="599"/>
        </w:trPr>
        <w:tc>
          <w:tcPr>
            <w:tcW w:w="100" w:type="dxa"/>
            <w:vAlign w:val="bottom"/>
            <w:shd w:val="clear" w:color="auto" w:fill="F2F3F2"/>
          </w:tcPr>
          <w:p>
            <w:pPr>
              <w:spacing w:after="0"/>
              <w:rPr>
                <w:sz w:val="24"/>
                <w:szCs w:val="24"/>
                <w:color w:val="auto"/>
              </w:rPr>
            </w:pPr>
          </w:p>
        </w:tc>
        <w:tc>
          <w:tcPr>
            <w:tcW w:w="2860" w:type="dxa"/>
            <w:vAlign w:val="bottom"/>
            <w:shd w:val="clear" w:color="auto" w:fill="F2F3F2"/>
          </w:tcPr>
          <w:p>
            <w:pPr>
              <w:jc w:val="center"/>
              <w:ind w:right="169"/>
              <w:spacing w:after="0"/>
              <w:rPr>
                <w:sz w:val="20"/>
                <w:szCs w:val="20"/>
                <w:color w:val="auto"/>
              </w:rPr>
            </w:pPr>
            <w:r>
              <w:rPr>
                <w:rFonts w:ascii="Arial" w:cs="Arial" w:eastAsia="Arial" w:hAnsi="Arial"/>
                <w:sz w:val="25"/>
                <w:szCs w:val="25"/>
                <w:color w:val="6AAA37"/>
              </w:rPr>
              <w:t>Best Companies to</w:t>
            </w:r>
          </w:p>
        </w:tc>
        <w:tc>
          <w:tcPr>
            <w:tcW w:w="100" w:type="dxa"/>
            <w:vAlign w:val="bottom"/>
            <w:tcBorders>
              <w:right w:val="single" w:sz="8" w:color="B2B3B6"/>
            </w:tcBorders>
            <w:shd w:val="clear" w:color="auto" w:fill="F2F3F2"/>
          </w:tcPr>
          <w:p>
            <w:pPr>
              <w:spacing w:after="0"/>
              <w:rPr>
                <w:sz w:val="24"/>
                <w:szCs w:val="24"/>
                <w:color w:val="auto"/>
              </w:rPr>
            </w:pPr>
          </w:p>
        </w:tc>
        <w:tc>
          <w:tcPr>
            <w:tcW w:w="80" w:type="dxa"/>
            <w:vAlign w:val="bottom"/>
            <w:shd w:val="clear" w:color="auto" w:fill="F2F3F2"/>
          </w:tcPr>
          <w:p>
            <w:pPr>
              <w:spacing w:after="0"/>
              <w:rPr>
                <w:sz w:val="24"/>
                <w:szCs w:val="24"/>
                <w:color w:val="auto"/>
              </w:rPr>
            </w:pPr>
          </w:p>
        </w:tc>
        <w:tc>
          <w:tcPr>
            <w:tcW w:w="2840" w:type="dxa"/>
            <w:vAlign w:val="bottom"/>
            <w:shd w:val="clear" w:color="auto" w:fill="F2F3F2"/>
          </w:tcPr>
          <w:p>
            <w:pPr>
              <w:jc w:val="center"/>
              <w:ind w:right="86"/>
              <w:spacing w:after="0"/>
              <w:rPr>
                <w:sz w:val="20"/>
                <w:szCs w:val="20"/>
                <w:color w:val="auto"/>
              </w:rPr>
            </w:pPr>
            <w:r>
              <w:rPr>
                <w:rFonts w:ascii="Arial" w:cs="Arial" w:eastAsia="Arial" w:hAnsi="Arial"/>
                <w:sz w:val="25"/>
                <w:szCs w:val="25"/>
                <w:color w:val="6AAA37"/>
              </w:rPr>
              <w:t>2025 Best Places to</w:t>
            </w:r>
          </w:p>
        </w:tc>
        <w:tc>
          <w:tcPr>
            <w:tcW w:w="100" w:type="dxa"/>
            <w:vAlign w:val="bottom"/>
            <w:tcBorders>
              <w:right w:val="single" w:sz="8" w:color="B2B3B6"/>
            </w:tcBorders>
            <w:shd w:val="clear" w:color="auto" w:fill="F2F3F2"/>
          </w:tcPr>
          <w:p>
            <w:pPr>
              <w:spacing w:after="0"/>
              <w:rPr>
                <w:sz w:val="24"/>
                <w:szCs w:val="24"/>
                <w:color w:val="auto"/>
              </w:rPr>
            </w:pPr>
          </w:p>
        </w:tc>
        <w:tc>
          <w:tcPr>
            <w:tcW w:w="80" w:type="dxa"/>
            <w:vAlign w:val="bottom"/>
            <w:shd w:val="clear" w:color="auto" w:fill="F2F3F2"/>
          </w:tcPr>
          <w:p>
            <w:pPr>
              <w:spacing w:after="0"/>
              <w:rPr>
                <w:sz w:val="24"/>
                <w:szCs w:val="24"/>
                <w:color w:val="auto"/>
              </w:rPr>
            </w:pPr>
          </w:p>
        </w:tc>
        <w:tc>
          <w:tcPr>
            <w:tcW w:w="2820" w:type="dxa"/>
            <w:vAlign w:val="bottom"/>
            <w:vMerge w:val="restart"/>
            <w:shd w:val="clear" w:color="auto" w:fill="F2F3F2"/>
          </w:tcPr>
          <w:p>
            <w:pPr>
              <w:jc w:val="center"/>
              <w:ind w:right="168"/>
              <w:spacing w:after="0"/>
              <w:rPr>
                <w:sz w:val="20"/>
                <w:szCs w:val="20"/>
                <w:color w:val="auto"/>
              </w:rPr>
            </w:pPr>
            <w:r>
              <w:rPr>
                <w:rFonts w:ascii="Arial" w:cs="Arial" w:eastAsia="Arial" w:hAnsi="Arial"/>
                <w:sz w:val="25"/>
                <w:szCs w:val="25"/>
                <w:color w:val="6AAA37"/>
              </w:rPr>
              <w:t>#4 in Consulting</w:t>
            </w:r>
          </w:p>
        </w:tc>
        <w:tc>
          <w:tcPr>
            <w:tcW w:w="100" w:type="dxa"/>
            <w:vAlign w:val="bottom"/>
            <w:shd w:val="clear" w:color="auto" w:fill="F2F3F2"/>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00" w:type="dxa"/>
            <w:vAlign w:val="bottom"/>
            <w:shd w:val="clear" w:color="auto" w:fill="F2F3F2"/>
          </w:tcPr>
          <w:p>
            <w:pPr>
              <w:spacing w:after="0"/>
              <w:rPr>
                <w:sz w:val="16"/>
                <w:szCs w:val="16"/>
                <w:color w:val="auto"/>
              </w:rPr>
            </w:pPr>
          </w:p>
        </w:tc>
        <w:tc>
          <w:tcPr>
            <w:tcW w:w="2860" w:type="dxa"/>
            <w:vAlign w:val="bottom"/>
            <w:vMerge w:val="restart"/>
            <w:shd w:val="clear" w:color="auto" w:fill="F2F3F2"/>
          </w:tcPr>
          <w:p>
            <w:pPr>
              <w:jc w:val="center"/>
              <w:ind w:right="29"/>
              <w:spacing w:after="0"/>
              <w:rPr>
                <w:sz w:val="20"/>
                <w:szCs w:val="20"/>
                <w:color w:val="auto"/>
              </w:rPr>
            </w:pPr>
            <w:r>
              <w:rPr>
                <w:rFonts w:ascii="Arial" w:cs="Arial" w:eastAsia="Arial" w:hAnsi="Arial"/>
                <w:sz w:val="25"/>
                <w:szCs w:val="25"/>
                <w:color w:val="6AAA37"/>
              </w:rPr>
              <w:t>Work For</w:t>
            </w:r>
          </w:p>
        </w:tc>
        <w:tc>
          <w:tcPr>
            <w:tcW w:w="100" w:type="dxa"/>
            <w:vAlign w:val="bottom"/>
            <w:tcBorders>
              <w:right w:val="single" w:sz="8" w:color="B2B3B6"/>
            </w:tcBorders>
            <w:shd w:val="clear" w:color="auto" w:fill="F2F3F2"/>
          </w:tcPr>
          <w:p>
            <w:pPr>
              <w:spacing w:after="0"/>
              <w:rPr>
                <w:sz w:val="16"/>
                <w:szCs w:val="16"/>
                <w:color w:val="auto"/>
              </w:rPr>
            </w:pPr>
          </w:p>
        </w:tc>
        <w:tc>
          <w:tcPr>
            <w:tcW w:w="80" w:type="dxa"/>
            <w:vAlign w:val="bottom"/>
            <w:shd w:val="clear" w:color="auto" w:fill="F2F3F2"/>
          </w:tcPr>
          <w:p>
            <w:pPr>
              <w:spacing w:after="0"/>
              <w:rPr>
                <w:sz w:val="16"/>
                <w:szCs w:val="16"/>
                <w:color w:val="auto"/>
              </w:rPr>
            </w:pPr>
          </w:p>
        </w:tc>
        <w:tc>
          <w:tcPr>
            <w:tcW w:w="2840" w:type="dxa"/>
            <w:vAlign w:val="bottom"/>
            <w:vMerge w:val="restart"/>
            <w:shd w:val="clear" w:color="auto" w:fill="F2F3F2"/>
          </w:tcPr>
          <w:p>
            <w:pPr>
              <w:ind w:left="120"/>
              <w:spacing w:after="0"/>
              <w:rPr>
                <w:sz w:val="20"/>
                <w:szCs w:val="20"/>
                <w:color w:val="auto"/>
              </w:rPr>
            </w:pPr>
            <w:r>
              <w:rPr>
                <w:rFonts w:ascii="Arial" w:cs="Arial" w:eastAsia="Arial" w:hAnsi="Arial"/>
                <w:sz w:val="25"/>
                <w:szCs w:val="25"/>
                <w:color w:val="6AAA37"/>
              </w:rPr>
              <w:t>Work for Supporting</w:t>
            </w:r>
          </w:p>
        </w:tc>
        <w:tc>
          <w:tcPr>
            <w:tcW w:w="100" w:type="dxa"/>
            <w:vAlign w:val="bottom"/>
            <w:tcBorders>
              <w:right w:val="single" w:sz="8" w:color="B2B3B6"/>
            </w:tcBorders>
            <w:shd w:val="clear" w:color="auto" w:fill="F2F3F2"/>
          </w:tcPr>
          <w:p>
            <w:pPr>
              <w:spacing w:after="0"/>
              <w:rPr>
                <w:sz w:val="16"/>
                <w:szCs w:val="16"/>
                <w:color w:val="auto"/>
              </w:rPr>
            </w:pPr>
          </w:p>
        </w:tc>
        <w:tc>
          <w:tcPr>
            <w:tcW w:w="80" w:type="dxa"/>
            <w:vAlign w:val="bottom"/>
            <w:shd w:val="clear" w:color="auto" w:fill="F2F3F2"/>
          </w:tcPr>
          <w:p>
            <w:pPr>
              <w:spacing w:after="0"/>
              <w:rPr>
                <w:sz w:val="16"/>
                <w:szCs w:val="16"/>
                <w:color w:val="auto"/>
              </w:rPr>
            </w:pPr>
          </w:p>
        </w:tc>
        <w:tc>
          <w:tcPr>
            <w:tcW w:w="2820" w:type="dxa"/>
            <w:vAlign w:val="bottom"/>
            <w:vMerge w:val="continue"/>
            <w:shd w:val="clear" w:color="auto" w:fill="F2F3F2"/>
          </w:tcPr>
          <w:p>
            <w:pPr>
              <w:spacing w:after="0"/>
              <w:rPr>
                <w:sz w:val="16"/>
                <w:szCs w:val="16"/>
                <w:color w:val="auto"/>
              </w:rPr>
            </w:pPr>
          </w:p>
        </w:tc>
        <w:tc>
          <w:tcPr>
            <w:tcW w:w="100" w:type="dxa"/>
            <w:vAlign w:val="bottom"/>
            <w:shd w:val="clear" w:color="auto" w:fill="F2F3F2"/>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00" w:type="dxa"/>
            <w:vAlign w:val="bottom"/>
            <w:shd w:val="clear" w:color="auto" w:fill="F2F3F2"/>
          </w:tcPr>
          <w:p>
            <w:pPr>
              <w:spacing w:after="0"/>
              <w:rPr>
                <w:sz w:val="12"/>
                <w:szCs w:val="12"/>
                <w:color w:val="auto"/>
              </w:rPr>
            </w:pPr>
          </w:p>
        </w:tc>
        <w:tc>
          <w:tcPr>
            <w:tcW w:w="2860" w:type="dxa"/>
            <w:vAlign w:val="bottom"/>
            <w:vMerge w:val="continue"/>
            <w:shd w:val="clear" w:color="auto" w:fill="F2F3F2"/>
          </w:tcPr>
          <w:p>
            <w:pPr>
              <w:spacing w:after="0"/>
              <w:rPr>
                <w:sz w:val="12"/>
                <w:szCs w:val="12"/>
                <w:color w:val="auto"/>
              </w:rPr>
            </w:pPr>
          </w:p>
        </w:tc>
        <w:tc>
          <w:tcPr>
            <w:tcW w:w="100" w:type="dxa"/>
            <w:vAlign w:val="bottom"/>
            <w:tcBorders>
              <w:right w:val="single" w:sz="8" w:color="B2B3B6"/>
            </w:tcBorders>
            <w:shd w:val="clear" w:color="auto" w:fill="F2F3F2"/>
          </w:tcPr>
          <w:p>
            <w:pPr>
              <w:spacing w:after="0"/>
              <w:rPr>
                <w:sz w:val="12"/>
                <w:szCs w:val="12"/>
                <w:color w:val="auto"/>
              </w:rPr>
            </w:pPr>
          </w:p>
        </w:tc>
        <w:tc>
          <w:tcPr>
            <w:tcW w:w="80" w:type="dxa"/>
            <w:vAlign w:val="bottom"/>
            <w:shd w:val="clear" w:color="auto" w:fill="F2F3F2"/>
          </w:tcPr>
          <w:p>
            <w:pPr>
              <w:spacing w:after="0"/>
              <w:rPr>
                <w:sz w:val="12"/>
                <w:szCs w:val="12"/>
                <w:color w:val="auto"/>
              </w:rPr>
            </w:pPr>
          </w:p>
        </w:tc>
        <w:tc>
          <w:tcPr>
            <w:tcW w:w="2840" w:type="dxa"/>
            <w:vAlign w:val="bottom"/>
            <w:vMerge w:val="continue"/>
            <w:shd w:val="clear" w:color="auto" w:fill="F2F3F2"/>
          </w:tcPr>
          <w:p>
            <w:pPr>
              <w:spacing w:after="0"/>
              <w:rPr>
                <w:sz w:val="12"/>
                <w:szCs w:val="12"/>
                <w:color w:val="auto"/>
              </w:rPr>
            </w:pPr>
          </w:p>
        </w:tc>
        <w:tc>
          <w:tcPr>
            <w:tcW w:w="100" w:type="dxa"/>
            <w:vAlign w:val="bottom"/>
            <w:tcBorders>
              <w:right w:val="single" w:sz="8" w:color="B2B3B6"/>
            </w:tcBorders>
            <w:shd w:val="clear" w:color="auto" w:fill="F2F3F2"/>
          </w:tcPr>
          <w:p>
            <w:pPr>
              <w:spacing w:after="0"/>
              <w:rPr>
                <w:sz w:val="12"/>
                <w:szCs w:val="12"/>
                <w:color w:val="auto"/>
              </w:rPr>
            </w:pPr>
          </w:p>
        </w:tc>
        <w:tc>
          <w:tcPr>
            <w:tcW w:w="80" w:type="dxa"/>
            <w:vAlign w:val="bottom"/>
            <w:shd w:val="clear" w:color="auto" w:fill="F2F3F2"/>
          </w:tcPr>
          <w:p>
            <w:pPr>
              <w:spacing w:after="0"/>
              <w:rPr>
                <w:sz w:val="12"/>
                <w:szCs w:val="12"/>
                <w:color w:val="auto"/>
              </w:rPr>
            </w:pPr>
          </w:p>
        </w:tc>
        <w:tc>
          <w:tcPr>
            <w:tcW w:w="2820" w:type="dxa"/>
            <w:vAlign w:val="bottom"/>
            <w:vMerge w:val="restart"/>
            <w:shd w:val="clear" w:color="auto" w:fill="F2F3F2"/>
          </w:tcPr>
          <w:p>
            <w:pPr>
              <w:jc w:val="center"/>
              <w:ind w:right="128"/>
              <w:spacing w:after="0"/>
              <w:rPr>
                <w:sz w:val="20"/>
                <w:szCs w:val="20"/>
                <w:color w:val="auto"/>
              </w:rPr>
            </w:pPr>
            <w:r>
              <w:rPr>
                <w:rFonts w:ascii="Arial" w:cs="Arial" w:eastAsia="Arial" w:hAnsi="Arial"/>
                <w:sz w:val="25"/>
                <w:szCs w:val="25"/>
                <w:color w:val="6AAA37"/>
              </w:rPr>
              <w:t>Internships 2024</w:t>
            </w:r>
          </w:p>
        </w:tc>
        <w:tc>
          <w:tcPr>
            <w:tcW w:w="100" w:type="dxa"/>
            <w:vAlign w:val="bottom"/>
            <w:shd w:val="clear" w:color="auto" w:fill="F2F3F2"/>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100" w:type="dxa"/>
            <w:vAlign w:val="bottom"/>
            <w:shd w:val="clear" w:color="auto" w:fill="F2F3F2"/>
          </w:tcPr>
          <w:p>
            <w:pPr>
              <w:spacing w:after="0"/>
              <w:rPr>
                <w:sz w:val="15"/>
                <w:szCs w:val="15"/>
                <w:color w:val="auto"/>
              </w:rPr>
            </w:pPr>
          </w:p>
        </w:tc>
        <w:tc>
          <w:tcPr>
            <w:tcW w:w="2860" w:type="dxa"/>
            <w:vAlign w:val="bottom"/>
            <w:vMerge w:val="restart"/>
            <w:shd w:val="clear" w:color="auto" w:fill="F2F3F2"/>
          </w:tcPr>
          <w:p>
            <w:pPr>
              <w:jc w:val="center"/>
              <w:ind w:right="9"/>
              <w:spacing w:after="0"/>
              <w:rPr>
                <w:sz w:val="20"/>
                <w:szCs w:val="20"/>
                <w:color w:val="auto"/>
              </w:rPr>
            </w:pPr>
            <w:r>
              <w:rPr>
                <w:rFonts w:ascii="Arial" w:cs="Arial" w:eastAsia="Arial" w:hAnsi="Arial"/>
                <w:sz w:val="25"/>
                <w:szCs w:val="25"/>
                <w:color w:val="6AAA37"/>
              </w:rPr>
              <w:t>2024 - 2025</w:t>
            </w:r>
          </w:p>
        </w:tc>
        <w:tc>
          <w:tcPr>
            <w:tcW w:w="100" w:type="dxa"/>
            <w:vAlign w:val="bottom"/>
            <w:tcBorders>
              <w:right w:val="single" w:sz="8" w:color="B2B3B6"/>
            </w:tcBorders>
            <w:shd w:val="clear" w:color="auto" w:fill="F2F3F2"/>
          </w:tcPr>
          <w:p>
            <w:pPr>
              <w:spacing w:after="0"/>
              <w:rPr>
                <w:sz w:val="15"/>
                <w:szCs w:val="15"/>
                <w:color w:val="auto"/>
              </w:rPr>
            </w:pPr>
          </w:p>
        </w:tc>
        <w:tc>
          <w:tcPr>
            <w:tcW w:w="80" w:type="dxa"/>
            <w:vAlign w:val="bottom"/>
            <w:shd w:val="clear" w:color="auto" w:fill="F2F3F2"/>
          </w:tcPr>
          <w:p>
            <w:pPr>
              <w:spacing w:after="0"/>
              <w:rPr>
                <w:sz w:val="15"/>
                <w:szCs w:val="15"/>
                <w:color w:val="auto"/>
              </w:rPr>
            </w:pPr>
          </w:p>
        </w:tc>
        <w:tc>
          <w:tcPr>
            <w:tcW w:w="2840" w:type="dxa"/>
            <w:vAlign w:val="bottom"/>
            <w:vMerge w:val="restart"/>
            <w:shd w:val="clear" w:color="auto" w:fill="F2F3F2"/>
          </w:tcPr>
          <w:p>
            <w:pPr>
              <w:jc w:val="center"/>
              <w:ind w:right="146"/>
              <w:spacing w:after="0"/>
              <w:rPr>
                <w:sz w:val="20"/>
                <w:szCs w:val="20"/>
                <w:color w:val="auto"/>
              </w:rPr>
            </w:pPr>
            <w:r>
              <w:rPr>
                <w:rFonts w:ascii="Arial" w:cs="Arial" w:eastAsia="Arial" w:hAnsi="Arial"/>
                <w:sz w:val="25"/>
                <w:szCs w:val="25"/>
                <w:color w:val="6AAA37"/>
              </w:rPr>
              <w:t>Family Caregiving</w:t>
            </w:r>
          </w:p>
        </w:tc>
        <w:tc>
          <w:tcPr>
            <w:tcW w:w="100" w:type="dxa"/>
            <w:vAlign w:val="bottom"/>
            <w:tcBorders>
              <w:right w:val="single" w:sz="8" w:color="B2B3B6"/>
            </w:tcBorders>
            <w:shd w:val="clear" w:color="auto" w:fill="F2F3F2"/>
          </w:tcPr>
          <w:p>
            <w:pPr>
              <w:spacing w:after="0"/>
              <w:rPr>
                <w:sz w:val="15"/>
                <w:szCs w:val="15"/>
                <w:color w:val="auto"/>
              </w:rPr>
            </w:pPr>
          </w:p>
        </w:tc>
        <w:tc>
          <w:tcPr>
            <w:tcW w:w="80" w:type="dxa"/>
            <w:vAlign w:val="bottom"/>
            <w:shd w:val="clear" w:color="auto" w:fill="F2F3F2"/>
          </w:tcPr>
          <w:p>
            <w:pPr>
              <w:spacing w:after="0"/>
              <w:rPr>
                <w:sz w:val="15"/>
                <w:szCs w:val="15"/>
                <w:color w:val="auto"/>
              </w:rPr>
            </w:pPr>
          </w:p>
        </w:tc>
        <w:tc>
          <w:tcPr>
            <w:tcW w:w="2820" w:type="dxa"/>
            <w:vAlign w:val="bottom"/>
            <w:vMerge w:val="continue"/>
            <w:shd w:val="clear" w:color="auto" w:fill="F2F3F2"/>
          </w:tcPr>
          <w:p>
            <w:pPr>
              <w:spacing w:after="0"/>
              <w:rPr>
                <w:sz w:val="15"/>
                <w:szCs w:val="15"/>
                <w:color w:val="auto"/>
              </w:rPr>
            </w:pPr>
          </w:p>
        </w:tc>
        <w:tc>
          <w:tcPr>
            <w:tcW w:w="100" w:type="dxa"/>
            <w:vAlign w:val="bottom"/>
            <w:shd w:val="clear" w:color="auto" w:fill="F2F3F2"/>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0" w:type="dxa"/>
            <w:vAlign w:val="bottom"/>
            <w:shd w:val="clear" w:color="auto" w:fill="F2F3F2"/>
          </w:tcPr>
          <w:p>
            <w:pPr>
              <w:spacing w:after="0"/>
              <w:rPr>
                <w:sz w:val="15"/>
                <w:szCs w:val="15"/>
                <w:color w:val="auto"/>
              </w:rPr>
            </w:pPr>
          </w:p>
        </w:tc>
        <w:tc>
          <w:tcPr>
            <w:tcW w:w="2860" w:type="dxa"/>
            <w:vAlign w:val="bottom"/>
            <w:vMerge w:val="continue"/>
            <w:shd w:val="clear" w:color="auto" w:fill="F2F3F2"/>
          </w:tcPr>
          <w:p>
            <w:pPr>
              <w:spacing w:after="0"/>
              <w:rPr>
                <w:sz w:val="15"/>
                <w:szCs w:val="15"/>
                <w:color w:val="auto"/>
              </w:rPr>
            </w:pPr>
          </w:p>
        </w:tc>
        <w:tc>
          <w:tcPr>
            <w:tcW w:w="100" w:type="dxa"/>
            <w:vAlign w:val="bottom"/>
            <w:tcBorders>
              <w:right w:val="single" w:sz="8" w:color="B2B3B6"/>
            </w:tcBorders>
            <w:shd w:val="clear" w:color="auto" w:fill="F2F3F2"/>
          </w:tcPr>
          <w:p>
            <w:pPr>
              <w:spacing w:after="0"/>
              <w:rPr>
                <w:sz w:val="15"/>
                <w:szCs w:val="15"/>
                <w:color w:val="auto"/>
              </w:rPr>
            </w:pPr>
          </w:p>
        </w:tc>
        <w:tc>
          <w:tcPr>
            <w:tcW w:w="80" w:type="dxa"/>
            <w:vAlign w:val="bottom"/>
            <w:shd w:val="clear" w:color="auto" w:fill="F2F3F2"/>
          </w:tcPr>
          <w:p>
            <w:pPr>
              <w:spacing w:after="0"/>
              <w:rPr>
                <w:sz w:val="15"/>
                <w:szCs w:val="15"/>
                <w:color w:val="auto"/>
              </w:rPr>
            </w:pPr>
          </w:p>
        </w:tc>
        <w:tc>
          <w:tcPr>
            <w:tcW w:w="2840" w:type="dxa"/>
            <w:vAlign w:val="bottom"/>
            <w:vMerge w:val="continue"/>
            <w:shd w:val="clear" w:color="auto" w:fill="F2F3F2"/>
          </w:tcPr>
          <w:p>
            <w:pPr>
              <w:spacing w:after="0"/>
              <w:rPr>
                <w:sz w:val="15"/>
                <w:szCs w:val="15"/>
                <w:color w:val="auto"/>
              </w:rPr>
            </w:pPr>
          </w:p>
        </w:tc>
        <w:tc>
          <w:tcPr>
            <w:tcW w:w="100" w:type="dxa"/>
            <w:vAlign w:val="bottom"/>
            <w:tcBorders>
              <w:right w:val="single" w:sz="8" w:color="B2B3B6"/>
            </w:tcBorders>
            <w:shd w:val="clear" w:color="auto" w:fill="F2F3F2"/>
          </w:tcPr>
          <w:p>
            <w:pPr>
              <w:spacing w:after="0"/>
              <w:rPr>
                <w:sz w:val="15"/>
                <w:szCs w:val="15"/>
                <w:color w:val="auto"/>
              </w:rPr>
            </w:pPr>
          </w:p>
        </w:tc>
        <w:tc>
          <w:tcPr>
            <w:tcW w:w="80" w:type="dxa"/>
            <w:vAlign w:val="bottom"/>
            <w:shd w:val="clear" w:color="auto" w:fill="F2F3F2"/>
          </w:tcPr>
          <w:p>
            <w:pPr>
              <w:spacing w:after="0"/>
              <w:rPr>
                <w:sz w:val="15"/>
                <w:szCs w:val="15"/>
                <w:color w:val="auto"/>
              </w:rPr>
            </w:pPr>
          </w:p>
        </w:tc>
        <w:tc>
          <w:tcPr>
            <w:tcW w:w="2820" w:type="dxa"/>
            <w:vAlign w:val="bottom"/>
            <w:shd w:val="clear" w:color="auto" w:fill="F2F3F2"/>
          </w:tcPr>
          <w:p>
            <w:pPr>
              <w:spacing w:after="0"/>
              <w:rPr>
                <w:sz w:val="15"/>
                <w:szCs w:val="15"/>
                <w:color w:val="auto"/>
              </w:rPr>
            </w:pPr>
          </w:p>
        </w:tc>
        <w:tc>
          <w:tcPr>
            <w:tcW w:w="100" w:type="dxa"/>
            <w:vAlign w:val="bottom"/>
            <w:shd w:val="clear" w:color="auto" w:fill="F2F3F2"/>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100" w:type="dxa"/>
            <w:vAlign w:val="bottom"/>
            <w:shd w:val="clear" w:color="auto" w:fill="F2F3F2"/>
          </w:tcPr>
          <w:p>
            <w:pPr>
              <w:spacing w:after="0"/>
              <w:rPr>
                <w:sz w:val="10"/>
                <w:szCs w:val="10"/>
                <w:color w:val="auto"/>
              </w:rPr>
            </w:pPr>
          </w:p>
        </w:tc>
        <w:tc>
          <w:tcPr>
            <w:tcW w:w="2860" w:type="dxa"/>
            <w:vAlign w:val="bottom"/>
            <w:shd w:val="clear" w:color="auto" w:fill="F2F3F2"/>
          </w:tcPr>
          <w:p>
            <w:pPr>
              <w:spacing w:after="0"/>
              <w:rPr>
                <w:sz w:val="10"/>
                <w:szCs w:val="10"/>
                <w:color w:val="auto"/>
              </w:rPr>
            </w:pPr>
          </w:p>
        </w:tc>
        <w:tc>
          <w:tcPr>
            <w:tcW w:w="100" w:type="dxa"/>
            <w:vAlign w:val="bottom"/>
            <w:tcBorders>
              <w:right w:val="single" w:sz="8" w:color="B2B3B6"/>
            </w:tcBorders>
            <w:shd w:val="clear" w:color="auto" w:fill="F2F3F2"/>
          </w:tcPr>
          <w:p>
            <w:pPr>
              <w:spacing w:after="0"/>
              <w:rPr>
                <w:sz w:val="10"/>
                <w:szCs w:val="10"/>
                <w:color w:val="auto"/>
              </w:rPr>
            </w:pPr>
          </w:p>
        </w:tc>
        <w:tc>
          <w:tcPr>
            <w:tcW w:w="80" w:type="dxa"/>
            <w:vAlign w:val="bottom"/>
            <w:shd w:val="clear" w:color="auto" w:fill="F2F3F2"/>
          </w:tcPr>
          <w:p>
            <w:pPr>
              <w:spacing w:after="0"/>
              <w:rPr>
                <w:sz w:val="10"/>
                <w:szCs w:val="10"/>
                <w:color w:val="auto"/>
              </w:rPr>
            </w:pPr>
          </w:p>
        </w:tc>
        <w:tc>
          <w:tcPr>
            <w:tcW w:w="2840" w:type="dxa"/>
            <w:vAlign w:val="bottom"/>
            <w:shd w:val="clear" w:color="auto" w:fill="F2F3F2"/>
          </w:tcPr>
          <w:p>
            <w:pPr>
              <w:spacing w:after="0"/>
              <w:rPr>
                <w:sz w:val="10"/>
                <w:szCs w:val="10"/>
                <w:color w:val="auto"/>
              </w:rPr>
            </w:pPr>
          </w:p>
        </w:tc>
        <w:tc>
          <w:tcPr>
            <w:tcW w:w="100" w:type="dxa"/>
            <w:vAlign w:val="bottom"/>
            <w:tcBorders>
              <w:right w:val="single" w:sz="8" w:color="B2B3B6"/>
            </w:tcBorders>
            <w:shd w:val="clear" w:color="auto" w:fill="F2F3F2"/>
          </w:tcPr>
          <w:p>
            <w:pPr>
              <w:spacing w:after="0"/>
              <w:rPr>
                <w:sz w:val="10"/>
                <w:szCs w:val="10"/>
                <w:color w:val="auto"/>
              </w:rPr>
            </w:pPr>
          </w:p>
        </w:tc>
        <w:tc>
          <w:tcPr>
            <w:tcW w:w="80" w:type="dxa"/>
            <w:vAlign w:val="bottom"/>
            <w:shd w:val="clear" w:color="auto" w:fill="F2F3F2"/>
          </w:tcPr>
          <w:p>
            <w:pPr>
              <w:spacing w:after="0"/>
              <w:rPr>
                <w:sz w:val="10"/>
                <w:szCs w:val="10"/>
                <w:color w:val="auto"/>
              </w:rPr>
            </w:pPr>
          </w:p>
        </w:tc>
        <w:tc>
          <w:tcPr>
            <w:tcW w:w="2820" w:type="dxa"/>
            <w:vAlign w:val="bottom"/>
            <w:shd w:val="clear" w:color="auto" w:fill="F2F3F2"/>
          </w:tcPr>
          <w:p>
            <w:pPr>
              <w:spacing w:after="0"/>
              <w:rPr>
                <w:sz w:val="10"/>
                <w:szCs w:val="10"/>
                <w:color w:val="auto"/>
              </w:rPr>
            </w:pPr>
          </w:p>
        </w:tc>
        <w:tc>
          <w:tcPr>
            <w:tcW w:w="100" w:type="dxa"/>
            <w:vAlign w:val="bottom"/>
            <w:shd w:val="clear" w:color="auto" w:fill="F2F3F2"/>
          </w:tcPr>
          <w:p>
            <w:pPr>
              <w:spacing w:after="0"/>
              <w:rPr>
                <w:sz w:val="10"/>
                <w:szCs w:val="10"/>
                <w:color w:val="auto"/>
              </w:rPr>
            </w:pPr>
          </w:p>
        </w:tc>
        <w:tc>
          <w:tcPr>
            <w:tcW w:w="0" w:type="dxa"/>
            <w:vAlign w:val="bottom"/>
          </w:tcPr>
          <w:p>
            <w:pPr>
              <w:spacing w:after="0"/>
              <w:rPr>
                <w:sz w:val="1"/>
                <w:szCs w:val="1"/>
                <w:color w:val="auto"/>
              </w:rPr>
            </w:pPr>
          </w:p>
        </w:tc>
      </w:tr>
      <w:tr>
        <w:trPr>
          <w:trHeight w:val="303"/>
        </w:trPr>
        <w:tc>
          <w:tcPr>
            <w:tcW w:w="100" w:type="dxa"/>
            <w:vAlign w:val="bottom"/>
            <w:shd w:val="clear" w:color="auto" w:fill="F2F3F2"/>
          </w:tcPr>
          <w:p>
            <w:pPr>
              <w:spacing w:after="0"/>
              <w:rPr>
                <w:sz w:val="24"/>
                <w:szCs w:val="24"/>
                <w:color w:val="auto"/>
              </w:rPr>
            </w:pPr>
          </w:p>
        </w:tc>
        <w:tc>
          <w:tcPr>
            <w:tcW w:w="2860" w:type="dxa"/>
            <w:vAlign w:val="bottom"/>
            <w:shd w:val="clear" w:color="auto" w:fill="00558C"/>
          </w:tcPr>
          <w:p>
            <w:pPr>
              <w:jc w:val="center"/>
              <w:ind w:right="69"/>
              <w:spacing w:after="0"/>
              <w:rPr>
                <w:sz w:val="20"/>
                <w:szCs w:val="20"/>
                <w:color w:val="auto"/>
              </w:rPr>
            </w:pPr>
            <w:r>
              <w:rPr>
                <w:rFonts w:ascii="Arial" w:cs="Arial" w:eastAsia="Arial" w:hAnsi="Arial"/>
                <w:sz w:val="16"/>
                <w:szCs w:val="16"/>
                <w:b w:val="1"/>
                <w:bCs w:val="1"/>
                <w:color w:val="FFFFFF"/>
              </w:rPr>
              <w:t>U.S. News &amp; World Report</w:t>
            </w:r>
          </w:p>
        </w:tc>
        <w:tc>
          <w:tcPr>
            <w:tcW w:w="100" w:type="dxa"/>
            <w:vAlign w:val="bottom"/>
            <w:tcBorders>
              <w:right w:val="single" w:sz="8" w:color="B2B3B6"/>
            </w:tcBorders>
            <w:shd w:val="clear" w:color="auto" w:fill="F2F3F2"/>
          </w:tcPr>
          <w:p>
            <w:pPr>
              <w:spacing w:after="0"/>
              <w:rPr>
                <w:sz w:val="24"/>
                <w:szCs w:val="24"/>
                <w:color w:val="auto"/>
              </w:rPr>
            </w:pPr>
          </w:p>
        </w:tc>
        <w:tc>
          <w:tcPr>
            <w:tcW w:w="80" w:type="dxa"/>
            <w:vAlign w:val="bottom"/>
            <w:shd w:val="clear" w:color="auto" w:fill="F2F3F2"/>
          </w:tcPr>
          <w:p>
            <w:pPr>
              <w:spacing w:after="0"/>
              <w:rPr>
                <w:sz w:val="24"/>
                <w:szCs w:val="24"/>
                <w:color w:val="auto"/>
              </w:rPr>
            </w:pPr>
          </w:p>
        </w:tc>
        <w:tc>
          <w:tcPr>
            <w:tcW w:w="2840" w:type="dxa"/>
            <w:vAlign w:val="bottom"/>
            <w:shd w:val="clear" w:color="auto" w:fill="00558C"/>
          </w:tcPr>
          <w:p>
            <w:pPr>
              <w:jc w:val="center"/>
              <w:ind w:right="66"/>
              <w:spacing w:after="0"/>
              <w:rPr>
                <w:sz w:val="20"/>
                <w:szCs w:val="20"/>
                <w:color w:val="auto"/>
              </w:rPr>
            </w:pPr>
            <w:r>
              <w:rPr>
                <w:rFonts w:ascii="Arial" w:cs="Arial" w:eastAsia="Arial" w:hAnsi="Arial"/>
                <w:sz w:val="16"/>
                <w:szCs w:val="16"/>
                <w:b w:val="1"/>
                <w:bCs w:val="1"/>
                <w:color w:val="FFFFFF"/>
              </w:rPr>
              <w:t>U.S. News &amp; World Report</w:t>
            </w:r>
          </w:p>
        </w:tc>
        <w:tc>
          <w:tcPr>
            <w:tcW w:w="100" w:type="dxa"/>
            <w:vAlign w:val="bottom"/>
            <w:tcBorders>
              <w:right w:val="single" w:sz="8" w:color="B2B3B6"/>
            </w:tcBorders>
            <w:shd w:val="clear" w:color="auto" w:fill="F2F3F2"/>
          </w:tcPr>
          <w:p>
            <w:pPr>
              <w:spacing w:after="0"/>
              <w:rPr>
                <w:sz w:val="24"/>
                <w:szCs w:val="24"/>
                <w:color w:val="auto"/>
              </w:rPr>
            </w:pPr>
          </w:p>
        </w:tc>
        <w:tc>
          <w:tcPr>
            <w:tcW w:w="80" w:type="dxa"/>
            <w:vAlign w:val="bottom"/>
            <w:shd w:val="clear" w:color="auto" w:fill="F2F3F2"/>
          </w:tcPr>
          <w:p>
            <w:pPr>
              <w:spacing w:after="0"/>
              <w:rPr>
                <w:sz w:val="24"/>
                <w:szCs w:val="24"/>
                <w:color w:val="auto"/>
              </w:rPr>
            </w:pPr>
          </w:p>
        </w:tc>
        <w:tc>
          <w:tcPr>
            <w:tcW w:w="2820" w:type="dxa"/>
            <w:vAlign w:val="bottom"/>
            <w:shd w:val="clear" w:color="auto" w:fill="00558C"/>
          </w:tcPr>
          <w:p>
            <w:pPr>
              <w:jc w:val="center"/>
              <w:spacing w:after="0"/>
              <w:rPr>
                <w:sz w:val="20"/>
                <w:szCs w:val="20"/>
                <w:color w:val="auto"/>
              </w:rPr>
            </w:pPr>
            <w:r>
              <w:rPr>
                <w:rFonts w:ascii="Arial" w:cs="Arial" w:eastAsia="Arial" w:hAnsi="Arial"/>
                <w:sz w:val="16"/>
                <w:szCs w:val="16"/>
                <w:b w:val="1"/>
                <w:bCs w:val="1"/>
                <w:color w:val="FFFFFF"/>
              </w:rPr>
              <w:t>Vault</w:t>
            </w:r>
          </w:p>
        </w:tc>
        <w:tc>
          <w:tcPr>
            <w:tcW w:w="100" w:type="dxa"/>
            <w:vAlign w:val="bottom"/>
            <w:shd w:val="clear" w:color="auto" w:fill="F2F3F2"/>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100" w:type="dxa"/>
            <w:vAlign w:val="bottom"/>
            <w:shd w:val="clear" w:color="auto" w:fill="F2F3F2"/>
          </w:tcPr>
          <w:p>
            <w:pPr>
              <w:spacing w:after="0"/>
              <w:rPr>
                <w:sz w:val="6"/>
                <w:szCs w:val="6"/>
                <w:color w:val="auto"/>
              </w:rPr>
            </w:pPr>
          </w:p>
        </w:tc>
        <w:tc>
          <w:tcPr>
            <w:tcW w:w="2860" w:type="dxa"/>
            <w:vAlign w:val="bottom"/>
            <w:shd w:val="clear" w:color="auto" w:fill="00558C"/>
          </w:tcPr>
          <w:p>
            <w:pPr>
              <w:spacing w:after="0"/>
              <w:rPr>
                <w:sz w:val="6"/>
                <w:szCs w:val="6"/>
                <w:color w:val="auto"/>
              </w:rPr>
            </w:pPr>
          </w:p>
        </w:tc>
        <w:tc>
          <w:tcPr>
            <w:tcW w:w="100" w:type="dxa"/>
            <w:vAlign w:val="bottom"/>
            <w:tcBorders>
              <w:right w:val="single" w:sz="8" w:color="B2B3B6"/>
            </w:tcBorders>
            <w:shd w:val="clear" w:color="auto" w:fill="F2F3F2"/>
          </w:tcPr>
          <w:p>
            <w:pPr>
              <w:spacing w:after="0"/>
              <w:rPr>
                <w:sz w:val="6"/>
                <w:szCs w:val="6"/>
                <w:color w:val="auto"/>
              </w:rPr>
            </w:pPr>
          </w:p>
        </w:tc>
        <w:tc>
          <w:tcPr>
            <w:tcW w:w="80" w:type="dxa"/>
            <w:vAlign w:val="bottom"/>
            <w:shd w:val="clear" w:color="auto" w:fill="F2F3F2"/>
          </w:tcPr>
          <w:p>
            <w:pPr>
              <w:spacing w:after="0"/>
              <w:rPr>
                <w:sz w:val="6"/>
                <w:szCs w:val="6"/>
                <w:color w:val="auto"/>
              </w:rPr>
            </w:pPr>
          </w:p>
        </w:tc>
        <w:tc>
          <w:tcPr>
            <w:tcW w:w="2840" w:type="dxa"/>
            <w:vAlign w:val="bottom"/>
            <w:shd w:val="clear" w:color="auto" w:fill="00558C"/>
          </w:tcPr>
          <w:p>
            <w:pPr>
              <w:spacing w:after="0"/>
              <w:rPr>
                <w:sz w:val="6"/>
                <w:szCs w:val="6"/>
                <w:color w:val="auto"/>
              </w:rPr>
            </w:pPr>
          </w:p>
        </w:tc>
        <w:tc>
          <w:tcPr>
            <w:tcW w:w="100" w:type="dxa"/>
            <w:vAlign w:val="bottom"/>
            <w:tcBorders>
              <w:right w:val="single" w:sz="8" w:color="B2B3B6"/>
            </w:tcBorders>
            <w:shd w:val="clear" w:color="auto" w:fill="F2F3F2"/>
          </w:tcPr>
          <w:p>
            <w:pPr>
              <w:spacing w:after="0"/>
              <w:rPr>
                <w:sz w:val="6"/>
                <w:szCs w:val="6"/>
                <w:color w:val="auto"/>
              </w:rPr>
            </w:pPr>
          </w:p>
        </w:tc>
        <w:tc>
          <w:tcPr>
            <w:tcW w:w="80" w:type="dxa"/>
            <w:vAlign w:val="bottom"/>
            <w:shd w:val="clear" w:color="auto" w:fill="F2F3F2"/>
          </w:tcPr>
          <w:p>
            <w:pPr>
              <w:spacing w:after="0"/>
              <w:rPr>
                <w:sz w:val="6"/>
                <w:szCs w:val="6"/>
                <w:color w:val="auto"/>
              </w:rPr>
            </w:pPr>
          </w:p>
        </w:tc>
        <w:tc>
          <w:tcPr>
            <w:tcW w:w="2820" w:type="dxa"/>
            <w:vAlign w:val="bottom"/>
            <w:shd w:val="clear" w:color="auto" w:fill="00558C"/>
          </w:tcPr>
          <w:p>
            <w:pPr>
              <w:spacing w:after="0"/>
              <w:rPr>
                <w:sz w:val="6"/>
                <w:szCs w:val="6"/>
                <w:color w:val="auto"/>
              </w:rPr>
            </w:pPr>
          </w:p>
        </w:tc>
        <w:tc>
          <w:tcPr>
            <w:tcW w:w="100" w:type="dxa"/>
            <w:vAlign w:val="bottom"/>
            <w:shd w:val="clear" w:color="auto" w:fill="F2F3F2"/>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100" w:type="dxa"/>
            <w:vAlign w:val="bottom"/>
            <w:shd w:val="clear" w:color="auto" w:fill="F2F3F2"/>
          </w:tcPr>
          <w:p>
            <w:pPr>
              <w:spacing w:after="0"/>
              <w:rPr>
                <w:sz w:val="11"/>
                <w:szCs w:val="11"/>
                <w:color w:val="auto"/>
              </w:rPr>
            </w:pPr>
          </w:p>
        </w:tc>
        <w:tc>
          <w:tcPr>
            <w:tcW w:w="2860" w:type="dxa"/>
            <w:vAlign w:val="bottom"/>
            <w:shd w:val="clear" w:color="auto" w:fill="F2F3F2"/>
          </w:tcPr>
          <w:p>
            <w:pPr>
              <w:spacing w:after="0"/>
              <w:rPr>
                <w:sz w:val="11"/>
                <w:szCs w:val="11"/>
                <w:color w:val="auto"/>
              </w:rPr>
            </w:pPr>
          </w:p>
        </w:tc>
        <w:tc>
          <w:tcPr>
            <w:tcW w:w="100" w:type="dxa"/>
            <w:vAlign w:val="bottom"/>
            <w:tcBorders>
              <w:right w:val="single" w:sz="8" w:color="F2F3F2"/>
            </w:tcBorders>
            <w:shd w:val="clear" w:color="auto" w:fill="F2F3F2"/>
          </w:tcPr>
          <w:p>
            <w:pPr>
              <w:spacing w:after="0"/>
              <w:rPr>
                <w:sz w:val="11"/>
                <w:szCs w:val="11"/>
                <w:color w:val="auto"/>
              </w:rPr>
            </w:pPr>
          </w:p>
        </w:tc>
        <w:tc>
          <w:tcPr>
            <w:tcW w:w="80" w:type="dxa"/>
            <w:vAlign w:val="bottom"/>
            <w:shd w:val="clear" w:color="auto" w:fill="F2F3F2"/>
          </w:tcPr>
          <w:p>
            <w:pPr>
              <w:spacing w:after="0"/>
              <w:rPr>
                <w:sz w:val="11"/>
                <w:szCs w:val="11"/>
                <w:color w:val="auto"/>
              </w:rPr>
            </w:pPr>
          </w:p>
        </w:tc>
        <w:tc>
          <w:tcPr>
            <w:tcW w:w="2840" w:type="dxa"/>
            <w:vAlign w:val="bottom"/>
            <w:shd w:val="clear" w:color="auto" w:fill="F2F3F2"/>
          </w:tcPr>
          <w:p>
            <w:pPr>
              <w:spacing w:after="0"/>
              <w:rPr>
                <w:sz w:val="11"/>
                <w:szCs w:val="11"/>
                <w:color w:val="auto"/>
              </w:rPr>
            </w:pPr>
          </w:p>
        </w:tc>
        <w:tc>
          <w:tcPr>
            <w:tcW w:w="100" w:type="dxa"/>
            <w:vAlign w:val="bottom"/>
            <w:tcBorders>
              <w:right w:val="single" w:sz="8" w:color="F2F3F2"/>
            </w:tcBorders>
            <w:shd w:val="clear" w:color="auto" w:fill="F2F3F2"/>
          </w:tcPr>
          <w:p>
            <w:pPr>
              <w:spacing w:after="0"/>
              <w:rPr>
                <w:sz w:val="11"/>
                <w:szCs w:val="11"/>
                <w:color w:val="auto"/>
              </w:rPr>
            </w:pPr>
          </w:p>
        </w:tc>
        <w:tc>
          <w:tcPr>
            <w:tcW w:w="80" w:type="dxa"/>
            <w:vAlign w:val="bottom"/>
            <w:shd w:val="clear" w:color="auto" w:fill="F2F3F2"/>
          </w:tcPr>
          <w:p>
            <w:pPr>
              <w:spacing w:after="0"/>
              <w:rPr>
                <w:sz w:val="11"/>
                <w:szCs w:val="11"/>
                <w:color w:val="auto"/>
              </w:rPr>
            </w:pPr>
          </w:p>
        </w:tc>
        <w:tc>
          <w:tcPr>
            <w:tcW w:w="2820" w:type="dxa"/>
            <w:vAlign w:val="bottom"/>
            <w:shd w:val="clear" w:color="auto" w:fill="F2F3F2"/>
          </w:tcPr>
          <w:p>
            <w:pPr>
              <w:spacing w:after="0"/>
              <w:rPr>
                <w:sz w:val="11"/>
                <w:szCs w:val="11"/>
                <w:color w:val="auto"/>
              </w:rPr>
            </w:pPr>
          </w:p>
        </w:tc>
        <w:tc>
          <w:tcPr>
            <w:tcW w:w="100" w:type="dxa"/>
            <w:vAlign w:val="bottom"/>
            <w:shd w:val="clear" w:color="auto" w:fill="F2F3F2"/>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80"/>
          </w:cols>
          <w:pgMar w:left="1400" w:top="140" w:right="1419" w:bottom="1135" w:gutter="0" w:footer="0" w:header="0"/>
          <w:type w:val="continuous"/>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21278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10375" cy="2127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tabs>
          <w:tab w:leader="none" w:pos="446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13"/>
          <w:szCs w:val="13"/>
          <w:b w:val="1"/>
          <w:bCs w:val="1"/>
          <w:color w:val="00558C"/>
        </w:rPr>
        <w:t>iii</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351790</wp:posOffset>
            </wp:positionV>
            <wp:extent cx="6810375" cy="83058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10375" cy="8305800"/>
                    </a:xfrm>
                    <a:prstGeom prst="rect">
                      <a:avLst/>
                    </a:prstGeom>
                    <a:noFill/>
                  </pic:spPr>
                </pic:pic>
              </a:graphicData>
            </a:graphic>
          </wp:anchor>
        </w:drawing>
      </w:r>
    </w:p>
    <w:p>
      <w:pPr>
        <w:sectPr>
          <w:pgSz w:w="11900" w:h="16838" w:orient="portrait"/>
          <w:cols w:equalWidth="0" w:num="1">
            <w:col w:w="9080"/>
          </w:cols>
          <w:pgMar w:left="1400" w:top="1440"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60"/>
        <w:spacing w:after="0" w:line="274" w:lineRule="auto"/>
        <w:rPr>
          <w:sz w:val="20"/>
          <w:szCs w:val="20"/>
          <w:color w:val="auto"/>
        </w:rPr>
      </w:pPr>
      <w:r>
        <w:rPr>
          <w:rFonts w:ascii="Arial" w:cs="Arial" w:eastAsia="Arial" w:hAnsi="Arial"/>
          <w:sz w:val="13"/>
          <w:szCs w:val="13"/>
          <w:b w:val="1"/>
          <w:bCs w:val="1"/>
          <w:color w:val="B2B3B6"/>
        </w:rPr>
        <w:t>General Proposal Information 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200"/>
        <w:spacing w:after="0" w:line="274" w:lineRule="auto"/>
        <w:rPr>
          <w:sz w:val="20"/>
          <w:szCs w:val="20"/>
          <w:color w:val="auto"/>
        </w:rPr>
      </w:pPr>
      <w:r>
        <w:rPr>
          <w:rFonts w:ascii="Arial" w:cs="Arial" w:eastAsia="Arial" w:hAnsi="Arial"/>
          <w:sz w:val="13"/>
          <w:szCs w:val="13"/>
          <w:b w:val="1"/>
          <w:bCs w:val="1"/>
          <w:color w:val="B2B3B6"/>
        </w:rPr>
        <w:t>Corporate Proposal Executive Proposal Proposal Proposal Stockholder Other Governance Two Compensation Three Four Five Proposals Matters</w:t>
      </w:r>
    </w:p>
    <w:p>
      <w:pPr>
        <w:spacing w:after="0" w:line="200" w:lineRule="exact"/>
        <w:rPr>
          <w:sz w:val="20"/>
          <w:szCs w:val="20"/>
          <w:color w:val="auto"/>
        </w:rPr>
      </w:pPr>
    </w:p>
    <w:p>
      <w:pPr>
        <w:sectPr>
          <w:pgSz w:w="11900" w:h="16838" w:orient="portrait"/>
          <w:cols w:equalWidth="0" w:num="2">
            <w:col w:w="1600" w:space="300"/>
            <w:col w:w="7180"/>
          </w:cols>
          <w:pgMar w:left="1400" w:top="1440" w:right="1419"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Philosophy</w:t>
      </w:r>
    </w:p>
    <w:p>
      <w:pPr>
        <w:spacing w:after="0" w:line="68" w:lineRule="exact"/>
        <w:rPr>
          <w:sz w:val="20"/>
          <w:szCs w:val="20"/>
          <w:color w:val="auto"/>
        </w:rPr>
      </w:pPr>
    </w:p>
    <w:p>
      <w:pPr>
        <w:ind w:right="260"/>
        <w:spacing w:after="0" w:line="321" w:lineRule="auto"/>
        <w:rPr>
          <w:sz w:val="20"/>
          <w:szCs w:val="20"/>
          <w:color w:val="auto"/>
        </w:rPr>
      </w:pPr>
      <w:r>
        <w:rPr>
          <w:rFonts w:ascii="Arial" w:cs="Arial" w:eastAsia="Arial" w:hAnsi="Arial"/>
          <w:sz w:val="16"/>
          <w:szCs w:val="16"/>
          <w:color w:val="auto"/>
        </w:rPr>
        <w:t>Huron operates in a highly competitive talent market and our compensation philosophy is designed to pay-for-performance, rewarding and retaining our highest performing employees and paying competitively versus peer companies.</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Specifically, for our leadership compensation programs, we adhere to the following core tenets: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00" w:type="dxa"/>
            <w:vAlign w:val="bottom"/>
            <w:shd w:val="clear" w:color="auto" w:fill="F2F3F2"/>
          </w:tcPr>
          <w:p>
            <w:pPr>
              <w:spacing w:after="0"/>
              <w:rPr>
                <w:sz w:val="15"/>
                <w:szCs w:val="15"/>
                <w:color w:val="auto"/>
              </w:rPr>
            </w:pPr>
          </w:p>
        </w:tc>
        <w:tc>
          <w:tcPr>
            <w:tcW w:w="2060" w:type="dxa"/>
            <w:vAlign w:val="bottom"/>
            <w:vMerge w:val="restart"/>
            <w:shd w:val="clear" w:color="auto" w:fill="F2F3F2"/>
          </w:tcPr>
          <w:p>
            <w:pPr>
              <w:ind w:left="40"/>
              <w:spacing w:after="0"/>
              <w:rPr>
                <w:sz w:val="20"/>
                <w:szCs w:val="20"/>
                <w:color w:val="auto"/>
              </w:rPr>
            </w:pPr>
            <w:r>
              <w:rPr>
                <w:rFonts w:ascii="Arial" w:cs="Arial" w:eastAsia="Arial" w:hAnsi="Arial"/>
                <w:sz w:val="43"/>
                <w:szCs w:val="43"/>
                <w:b w:val="1"/>
                <w:bCs w:val="1"/>
                <w:color w:val="00558C"/>
              </w:rPr>
              <w:t>1</w:t>
            </w:r>
          </w:p>
        </w:tc>
        <w:tc>
          <w:tcPr>
            <w:tcW w:w="120" w:type="dxa"/>
            <w:vAlign w:val="bottom"/>
            <w:tcBorders>
              <w:right w:val="single" w:sz="8" w:color="F2F3F2"/>
            </w:tcBorders>
            <w:shd w:val="clear" w:color="auto" w:fill="F2F3F2"/>
          </w:tcPr>
          <w:p>
            <w:pPr>
              <w:spacing w:after="0"/>
              <w:rPr>
                <w:sz w:val="15"/>
                <w:szCs w:val="15"/>
                <w:color w:val="auto"/>
              </w:rPr>
            </w:pPr>
          </w:p>
        </w:tc>
        <w:tc>
          <w:tcPr>
            <w:tcW w:w="2140" w:type="dxa"/>
            <w:vAlign w:val="bottom"/>
            <w:gridSpan w:val="2"/>
            <w:vMerge w:val="restart"/>
            <w:shd w:val="clear" w:color="auto" w:fill="F2F3F2"/>
          </w:tcPr>
          <w:p>
            <w:pPr>
              <w:ind w:left="120"/>
              <w:spacing w:after="0"/>
              <w:rPr>
                <w:sz w:val="20"/>
                <w:szCs w:val="20"/>
                <w:color w:val="auto"/>
              </w:rPr>
            </w:pPr>
            <w:r>
              <w:rPr>
                <w:rFonts w:ascii="Arial" w:cs="Arial" w:eastAsia="Arial" w:hAnsi="Arial"/>
                <w:sz w:val="43"/>
                <w:szCs w:val="43"/>
                <w:b w:val="1"/>
                <w:bCs w:val="1"/>
                <w:color w:val="00558C"/>
              </w:rPr>
              <w:t>2</w:t>
            </w:r>
          </w:p>
        </w:tc>
        <w:tc>
          <w:tcPr>
            <w:tcW w:w="120" w:type="dxa"/>
            <w:vAlign w:val="bottom"/>
            <w:tcBorders>
              <w:right w:val="single" w:sz="8" w:color="F2F3F2"/>
            </w:tcBorders>
            <w:shd w:val="clear" w:color="auto" w:fill="F2F3F2"/>
          </w:tcPr>
          <w:p>
            <w:pPr>
              <w:spacing w:after="0"/>
              <w:rPr>
                <w:sz w:val="15"/>
                <w:szCs w:val="15"/>
                <w:color w:val="auto"/>
              </w:rPr>
            </w:pPr>
          </w:p>
        </w:tc>
        <w:tc>
          <w:tcPr>
            <w:tcW w:w="2140" w:type="dxa"/>
            <w:vAlign w:val="bottom"/>
            <w:gridSpan w:val="2"/>
            <w:vMerge w:val="restart"/>
            <w:shd w:val="clear" w:color="auto" w:fill="F2F3F2"/>
          </w:tcPr>
          <w:p>
            <w:pPr>
              <w:ind w:left="120"/>
              <w:spacing w:after="0"/>
              <w:rPr>
                <w:sz w:val="20"/>
                <w:szCs w:val="20"/>
                <w:color w:val="auto"/>
              </w:rPr>
            </w:pPr>
            <w:r>
              <w:rPr>
                <w:rFonts w:ascii="Arial" w:cs="Arial" w:eastAsia="Arial" w:hAnsi="Arial"/>
                <w:sz w:val="43"/>
                <w:szCs w:val="43"/>
                <w:b w:val="1"/>
                <w:bCs w:val="1"/>
                <w:color w:val="00558C"/>
              </w:rPr>
              <w:t>3</w:t>
            </w:r>
          </w:p>
        </w:tc>
        <w:tc>
          <w:tcPr>
            <w:tcW w:w="120" w:type="dxa"/>
            <w:vAlign w:val="bottom"/>
            <w:tcBorders>
              <w:right w:val="single" w:sz="8" w:color="F2F3F2"/>
            </w:tcBorders>
            <w:shd w:val="clear" w:color="auto" w:fill="F2F3F2"/>
          </w:tcPr>
          <w:p>
            <w:pPr>
              <w:spacing w:after="0"/>
              <w:rPr>
                <w:sz w:val="15"/>
                <w:szCs w:val="15"/>
                <w:color w:val="auto"/>
              </w:rPr>
            </w:pPr>
          </w:p>
        </w:tc>
        <w:tc>
          <w:tcPr>
            <w:tcW w:w="60" w:type="dxa"/>
            <w:vAlign w:val="bottom"/>
            <w:shd w:val="clear" w:color="auto" w:fill="F2F3F2"/>
          </w:tcPr>
          <w:p>
            <w:pPr>
              <w:spacing w:after="0"/>
              <w:rPr>
                <w:sz w:val="15"/>
                <w:szCs w:val="15"/>
                <w:color w:val="auto"/>
              </w:rPr>
            </w:pPr>
          </w:p>
        </w:tc>
        <w:tc>
          <w:tcPr>
            <w:tcW w:w="2120" w:type="dxa"/>
            <w:vAlign w:val="bottom"/>
            <w:vMerge w:val="restart"/>
            <w:shd w:val="clear" w:color="auto" w:fill="F2F3F2"/>
          </w:tcPr>
          <w:p>
            <w:pPr>
              <w:ind w:left="60"/>
              <w:spacing w:after="0"/>
              <w:rPr>
                <w:sz w:val="20"/>
                <w:szCs w:val="20"/>
                <w:color w:val="auto"/>
              </w:rPr>
            </w:pPr>
            <w:r>
              <w:rPr>
                <w:rFonts w:ascii="Arial" w:cs="Arial" w:eastAsia="Arial" w:hAnsi="Arial"/>
                <w:sz w:val="43"/>
                <w:szCs w:val="43"/>
                <w:b w:val="1"/>
                <w:bCs w:val="1"/>
                <w:color w:val="00558C"/>
              </w:rPr>
              <w:t>4</w:t>
            </w:r>
          </w:p>
        </w:tc>
        <w:tc>
          <w:tcPr>
            <w:tcW w:w="100" w:type="dxa"/>
            <w:vAlign w:val="bottom"/>
            <w:shd w:val="clear" w:color="auto" w:fill="F2F3F2"/>
          </w:tcPr>
          <w:p>
            <w:pPr>
              <w:spacing w:after="0"/>
              <w:rPr>
                <w:sz w:val="15"/>
                <w:szCs w:val="15"/>
                <w:color w:val="auto"/>
              </w:rPr>
            </w:pPr>
          </w:p>
        </w:tc>
        <w:tc>
          <w:tcPr>
            <w:tcW w:w="0" w:type="dxa"/>
            <w:vAlign w:val="bottom"/>
          </w:tcPr>
          <w:p>
            <w:pPr>
              <w:spacing w:after="0"/>
              <w:rPr>
                <w:sz w:val="1"/>
                <w:szCs w:val="1"/>
                <w:color w:val="auto"/>
              </w:rPr>
            </w:pPr>
          </w:p>
        </w:tc>
      </w:tr>
      <w:tr>
        <w:trPr>
          <w:trHeight w:val="500"/>
        </w:trPr>
        <w:tc>
          <w:tcPr>
            <w:tcW w:w="100" w:type="dxa"/>
            <w:vAlign w:val="bottom"/>
            <w:shd w:val="clear" w:color="auto" w:fill="F2F3F2"/>
          </w:tcPr>
          <w:p>
            <w:pPr>
              <w:spacing w:after="0"/>
              <w:rPr>
                <w:sz w:val="24"/>
                <w:szCs w:val="24"/>
                <w:color w:val="auto"/>
              </w:rPr>
            </w:pPr>
          </w:p>
        </w:tc>
        <w:tc>
          <w:tcPr>
            <w:tcW w:w="2060" w:type="dxa"/>
            <w:vAlign w:val="bottom"/>
            <w:vMerge w:val="continue"/>
            <w:shd w:val="clear" w:color="auto" w:fill="F2F3F2"/>
          </w:tcPr>
          <w:p>
            <w:pPr>
              <w:spacing w:after="0"/>
              <w:rPr>
                <w:sz w:val="24"/>
                <w:szCs w:val="24"/>
                <w:color w:val="auto"/>
              </w:rPr>
            </w:pPr>
          </w:p>
        </w:tc>
        <w:tc>
          <w:tcPr>
            <w:tcW w:w="120" w:type="dxa"/>
            <w:vAlign w:val="bottom"/>
            <w:tcBorders>
              <w:right w:val="single" w:sz="8" w:color="B2B3B6"/>
            </w:tcBorders>
            <w:shd w:val="clear" w:color="auto" w:fill="F2F3F2"/>
          </w:tcPr>
          <w:p>
            <w:pPr>
              <w:spacing w:after="0"/>
              <w:rPr>
                <w:sz w:val="24"/>
                <w:szCs w:val="24"/>
                <w:color w:val="auto"/>
              </w:rPr>
            </w:pPr>
          </w:p>
        </w:tc>
        <w:tc>
          <w:tcPr>
            <w:tcW w:w="2140" w:type="dxa"/>
            <w:vAlign w:val="bottom"/>
            <w:gridSpan w:val="2"/>
            <w:vMerge w:val="continue"/>
            <w:shd w:val="clear" w:color="auto" w:fill="F2F3F2"/>
          </w:tcPr>
          <w:p>
            <w:pPr>
              <w:spacing w:after="0"/>
              <w:rPr>
                <w:sz w:val="24"/>
                <w:szCs w:val="24"/>
                <w:color w:val="auto"/>
              </w:rPr>
            </w:pPr>
          </w:p>
        </w:tc>
        <w:tc>
          <w:tcPr>
            <w:tcW w:w="120" w:type="dxa"/>
            <w:vAlign w:val="bottom"/>
            <w:tcBorders>
              <w:right w:val="single" w:sz="8" w:color="B2B3B6"/>
            </w:tcBorders>
            <w:shd w:val="clear" w:color="auto" w:fill="F2F3F2"/>
          </w:tcPr>
          <w:p>
            <w:pPr>
              <w:spacing w:after="0"/>
              <w:rPr>
                <w:sz w:val="24"/>
                <w:szCs w:val="24"/>
                <w:color w:val="auto"/>
              </w:rPr>
            </w:pPr>
          </w:p>
        </w:tc>
        <w:tc>
          <w:tcPr>
            <w:tcW w:w="2140" w:type="dxa"/>
            <w:vAlign w:val="bottom"/>
            <w:gridSpan w:val="2"/>
            <w:vMerge w:val="continue"/>
            <w:shd w:val="clear" w:color="auto" w:fill="F2F3F2"/>
          </w:tcPr>
          <w:p>
            <w:pPr>
              <w:spacing w:after="0"/>
              <w:rPr>
                <w:sz w:val="24"/>
                <w:szCs w:val="24"/>
                <w:color w:val="auto"/>
              </w:rPr>
            </w:pPr>
          </w:p>
        </w:tc>
        <w:tc>
          <w:tcPr>
            <w:tcW w:w="120" w:type="dxa"/>
            <w:vAlign w:val="bottom"/>
            <w:tcBorders>
              <w:right w:val="single" w:sz="8" w:color="B2B3B6"/>
            </w:tcBorders>
            <w:shd w:val="clear" w:color="auto" w:fill="F2F3F2"/>
          </w:tcPr>
          <w:p>
            <w:pPr>
              <w:spacing w:after="0"/>
              <w:rPr>
                <w:sz w:val="24"/>
                <w:szCs w:val="24"/>
                <w:color w:val="auto"/>
              </w:rPr>
            </w:pPr>
          </w:p>
        </w:tc>
        <w:tc>
          <w:tcPr>
            <w:tcW w:w="60" w:type="dxa"/>
            <w:vAlign w:val="bottom"/>
            <w:shd w:val="clear" w:color="auto" w:fill="F2F3F2"/>
          </w:tcPr>
          <w:p>
            <w:pPr>
              <w:spacing w:after="0"/>
              <w:rPr>
                <w:sz w:val="24"/>
                <w:szCs w:val="24"/>
                <w:color w:val="auto"/>
              </w:rPr>
            </w:pPr>
          </w:p>
        </w:tc>
        <w:tc>
          <w:tcPr>
            <w:tcW w:w="2120" w:type="dxa"/>
            <w:vAlign w:val="bottom"/>
            <w:vMerge w:val="continue"/>
            <w:shd w:val="clear" w:color="auto" w:fill="F2F3F2"/>
          </w:tcPr>
          <w:p>
            <w:pPr>
              <w:spacing w:after="0"/>
              <w:rPr>
                <w:sz w:val="24"/>
                <w:szCs w:val="24"/>
                <w:color w:val="auto"/>
              </w:rPr>
            </w:pPr>
          </w:p>
        </w:tc>
        <w:tc>
          <w:tcPr>
            <w:tcW w:w="100" w:type="dxa"/>
            <w:vAlign w:val="bottom"/>
            <w:shd w:val="clear" w:color="auto" w:fill="F2F3F2"/>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00" w:type="dxa"/>
            <w:vAlign w:val="bottom"/>
            <w:tcBorders>
              <w:bottom w:val="single" w:sz="8" w:color="F2F3F2"/>
            </w:tcBorders>
            <w:shd w:val="clear" w:color="auto" w:fill="F2F3F2"/>
          </w:tcPr>
          <w:p>
            <w:pPr>
              <w:spacing w:after="0"/>
              <w:rPr>
                <w:sz w:val="15"/>
                <w:szCs w:val="15"/>
                <w:color w:val="auto"/>
              </w:rPr>
            </w:pPr>
          </w:p>
        </w:tc>
        <w:tc>
          <w:tcPr>
            <w:tcW w:w="2060" w:type="dxa"/>
            <w:vAlign w:val="bottom"/>
            <w:tcBorders>
              <w:bottom w:val="single" w:sz="8" w:color="B2B3B6"/>
            </w:tcBorders>
            <w:shd w:val="clear" w:color="auto" w:fill="F2F3F2"/>
          </w:tcPr>
          <w:p>
            <w:pPr>
              <w:spacing w:after="0"/>
              <w:rPr>
                <w:sz w:val="15"/>
                <w:szCs w:val="15"/>
                <w:color w:val="auto"/>
              </w:rPr>
            </w:pPr>
          </w:p>
        </w:tc>
        <w:tc>
          <w:tcPr>
            <w:tcW w:w="120" w:type="dxa"/>
            <w:vAlign w:val="bottom"/>
            <w:tcBorders>
              <w:bottom w:val="single" w:sz="8" w:color="F2F3F2"/>
              <w:right w:val="single" w:sz="8" w:color="B2B3B6"/>
            </w:tcBorders>
            <w:shd w:val="clear" w:color="auto" w:fill="F2F3F2"/>
          </w:tcPr>
          <w:p>
            <w:pPr>
              <w:spacing w:after="0"/>
              <w:rPr>
                <w:sz w:val="15"/>
                <w:szCs w:val="15"/>
                <w:color w:val="auto"/>
              </w:rPr>
            </w:pPr>
          </w:p>
        </w:tc>
        <w:tc>
          <w:tcPr>
            <w:tcW w:w="80" w:type="dxa"/>
            <w:vAlign w:val="bottom"/>
            <w:tcBorders>
              <w:bottom w:val="single" w:sz="8" w:color="F2F3F2"/>
            </w:tcBorders>
            <w:shd w:val="clear" w:color="auto" w:fill="F2F3F2"/>
          </w:tcPr>
          <w:p>
            <w:pPr>
              <w:spacing w:after="0"/>
              <w:rPr>
                <w:sz w:val="15"/>
                <w:szCs w:val="15"/>
                <w:color w:val="auto"/>
              </w:rPr>
            </w:pPr>
          </w:p>
        </w:tc>
        <w:tc>
          <w:tcPr>
            <w:tcW w:w="2060" w:type="dxa"/>
            <w:vAlign w:val="bottom"/>
            <w:tcBorders>
              <w:bottom w:val="single" w:sz="8" w:color="B2B3B6"/>
            </w:tcBorders>
            <w:shd w:val="clear" w:color="auto" w:fill="F2F3F2"/>
          </w:tcPr>
          <w:p>
            <w:pPr>
              <w:spacing w:after="0"/>
              <w:rPr>
                <w:sz w:val="15"/>
                <w:szCs w:val="15"/>
                <w:color w:val="auto"/>
              </w:rPr>
            </w:pPr>
          </w:p>
        </w:tc>
        <w:tc>
          <w:tcPr>
            <w:tcW w:w="120" w:type="dxa"/>
            <w:vAlign w:val="bottom"/>
            <w:tcBorders>
              <w:bottom w:val="single" w:sz="8" w:color="F2F3F2"/>
              <w:right w:val="single" w:sz="8" w:color="B2B3B6"/>
            </w:tcBorders>
            <w:shd w:val="clear" w:color="auto" w:fill="F2F3F2"/>
          </w:tcPr>
          <w:p>
            <w:pPr>
              <w:spacing w:after="0"/>
              <w:rPr>
                <w:sz w:val="15"/>
                <w:szCs w:val="15"/>
                <w:color w:val="auto"/>
              </w:rPr>
            </w:pPr>
          </w:p>
        </w:tc>
        <w:tc>
          <w:tcPr>
            <w:tcW w:w="80" w:type="dxa"/>
            <w:vAlign w:val="bottom"/>
            <w:tcBorders>
              <w:bottom w:val="single" w:sz="8" w:color="F2F3F2"/>
            </w:tcBorders>
            <w:shd w:val="clear" w:color="auto" w:fill="F2F3F2"/>
          </w:tcPr>
          <w:p>
            <w:pPr>
              <w:spacing w:after="0"/>
              <w:rPr>
                <w:sz w:val="15"/>
                <w:szCs w:val="15"/>
                <w:color w:val="auto"/>
              </w:rPr>
            </w:pPr>
          </w:p>
        </w:tc>
        <w:tc>
          <w:tcPr>
            <w:tcW w:w="2060" w:type="dxa"/>
            <w:vAlign w:val="bottom"/>
            <w:tcBorders>
              <w:bottom w:val="single" w:sz="8" w:color="B2B3B6"/>
            </w:tcBorders>
            <w:shd w:val="clear" w:color="auto" w:fill="F2F3F2"/>
          </w:tcPr>
          <w:p>
            <w:pPr>
              <w:spacing w:after="0"/>
              <w:rPr>
                <w:sz w:val="15"/>
                <w:szCs w:val="15"/>
                <w:color w:val="auto"/>
              </w:rPr>
            </w:pPr>
          </w:p>
        </w:tc>
        <w:tc>
          <w:tcPr>
            <w:tcW w:w="120" w:type="dxa"/>
            <w:vAlign w:val="bottom"/>
            <w:tcBorders>
              <w:bottom w:val="single" w:sz="8" w:color="F2F3F2"/>
              <w:right w:val="single" w:sz="8" w:color="B2B3B6"/>
            </w:tcBorders>
            <w:shd w:val="clear" w:color="auto" w:fill="F2F3F2"/>
          </w:tcPr>
          <w:p>
            <w:pPr>
              <w:spacing w:after="0"/>
              <w:rPr>
                <w:sz w:val="15"/>
                <w:szCs w:val="15"/>
                <w:color w:val="auto"/>
              </w:rPr>
            </w:pPr>
          </w:p>
        </w:tc>
        <w:tc>
          <w:tcPr>
            <w:tcW w:w="60" w:type="dxa"/>
            <w:vAlign w:val="bottom"/>
            <w:tcBorders>
              <w:bottom w:val="single" w:sz="8" w:color="F2F3F2"/>
            </w:tcBorders>
            <w:shd w:val="clear" w:color="auto" w:fill="F2F3F2"/>
          </w:tcPr>
          <w:p>
            <w:pPr>
              <w:spacing w:after="0"/>
              <w:rPr>
                <w:sz w:val="15"/>
                <w:szCs w:val="15"/>
                <w:color w:val="auto"/>
              </w:rPr>
            </w:pPr>
          </w:p>
        </w:tc>
        <w:tc>
          <w:tcPr>
            <w:tcW w:w="2120" w:type="dxa"/>
            <w:vAlign w:val="bottom"/>
            <w:tcBorders>
              <w:bottom w:val="single" w:sz="8" w:color="B2B3B6"/>
            </w:tcBorders>
            <w:shd w:val="clear" w:color="auto" w:fill="F2F3F2"/>
          </w:tcPr>
          <w:p>
            <w:pPr>
              <w:spacing w:after="0"/>
              <w:rPr>
                <w:sz w:val="15"/>
                <w:szCs w:val="15"/>
                <w:color w:val="auto"/>
              </w:rPr>
            </w:pPr>
          </w:p>
        </w:tc>
        <w:tc>
          <w:tcPr>
            <w:tcW w:w="100" w:type="dxa"/>
            <w:vAlign w:val="bottom"/>
            <w:tcBorders>
              <w:bottom w:val="single" w:sz="8" w:color="F2F3F2"/>
            </w:tcBorders>
            <w:shd w:val="clear" w:color="auto" w:fill="F2F3F2"/>
          </w:tcPr>
          <w:p>
            <w:pPr>
              <w:spacing w:after="0"/>
              <w:rPr>
                <w:sz w:val="15"/>
                <w:szCs w:val="15"/>
                <w:color w:val="auto"/>
              </w:rPr>
            </w:pPr>
          </w:p>
        </w:tc>
        <w:tc>
          <w:tcPr>
            <w:tcW w:w="0" w:type="dxa"/>
            <w:vAlign w:val="bottom"/>
          </w:tcPr>
          <w:p>
            <w:pPr>
              <w:spacing w:after="0"/>
              <w:rPr>
                <w:sz w:val="1"/>
                <w:szCs w:val="1"/>
                <w:color w:val="auto"/>
              </w:rPr>
            </w:pPr>
          </w:p>
        </w:tc>
      </w:tr>
      <w:tr>
        <w:trPr>
          <w:trHeight w:val="420"/>
        </w:trPr>
        <w:tc>
          <w:tcPr>
            <w:tcW w:w="100" w:type="dxa"/>
            <w:vAlign w:val="bottom"/>
            <w:shd w:val="clear" w:color="auto" w:fill="F2F3F2"/>
          </w:tcPr>
          <w:p>
            <w:pPr>
              <w:spacing w:after="0"/>
              <w:rPr>
                <w:sz w:val="24"/>
                <w:szCs w:val="24"/>
                <w:color w:val="auto"/>
              </w:rPr>
            </w:pPr>
          </w:p>
        </w:tc>
        <w:tc>
          <w:tcPr>
            <w:tcW w:w="2060" w:type="dxa"/>
            <w:vAlign w:val="bottom"/>
            <w:shd w:val="clear" w:color="auto" w:fill="F2F3F2"/>
          </w:tcPr>
          <w:p>
            <w:pPr>
              <w:ind w:left="40"/>
              <w:spacing w:after="0"/>
              <w:rPr>
                <w:sz w:val="20"/>
                <w:szCs w:val="20"/>
                <w:color w:val="auto"/>
              </w:rPr>
            </w:pPr>
            <w:r>
              <w:rPr>
                <w:rFonts w:ascii="Arial" w:cs="Arial" w:eastAsia="Arial" w:hAnsi="Arial"/>
                <w:sz w:val="18"/>
                <w:szCs w:val="18"/>
                <w:b w:val="1"/>
                <w:bCs w:val="1"/>
                <w:color w:val="auto"/>
              </w:rPr>
              <w:t>Align to Business</w:t>
            </w:r>
          </w:p>
        </w:tc>
        <w:tc>
          <w:tcPr>
            <w:tcW w:w="120" w:type="dxa"/>
            <w:vAlign w:val="bottom"/>
            <w:tcBorders>
              <w:right w:val="single" w:sz="8" w:color="B2B3B6"/>
            </w:tcBorders>
            <w:shd w:val="clear" w:color="auto" w:fill="F2F3F2"/>
          </w:tcPr>
          <w:p>
            <w:pPr>
              <w:spacing w:after="0"/>
              <w:rPr>
                <w:sz w:val="24"/>
                <w:szCs w:val="24"/>
                <w:color w:val="auto"/>
              </w:rPr>
            </w:pPr>
          </w:p>
        </w:tc>
        <w:tc>
          <w:tcPr>
            <w:tcW w:w="80" w:type="dxa"/>
            <w:vAlign w:val="bottom"/>
            <w:shd w:val="clear" w:color="auto" w:fill="F2F3F2"/>
          </w:tcPr>
          <w:p>
            <w:pPr>
              <w:spacing w:after="0"/>
              <w:rPr>
                <w:sz w:val="24"/>
                <w:szCs w:val="24"/>
                <w:color w:val="auto"/>
              </w:rPr>
            </w:pPr>
          </w:p>
        </w:tc>
        <w:tc>
          <w:tcPr>
            <w:tcW w:w="2060" w:type="dxa"/>
            <w:vAlign w:val="bottom"/>
            <w:shd w:val="clear" w:color="auto" w:fill="F2F3F2"/>
          </w:tcPr>
          <w:p>
            <w:pPr>
              <w:ind w:left="40"/>
              <w:spacing w:after="0"/>
              <w:rPr>
                <w:sz w:val="20"/>
                <w:szCs w:val="20"/>
                <w:color w:val="auto"/>
              </w:rPr>
            </w:pPr>
            <w:r>
              <w:rPr>
                <w:rFonts w:ascii="Arial" w:cs="Arial" w:eastAsia="Arial" w:hAnsi="Arial"/>
                <w:sz w:val="18"/>
                <w:szCs w:val="18"/>
                <w:b w:val="1"/>
                <w:bCs w:val="1"/>
                <w:color w:val="auto"/>
              </w:rPr>
              <w:t>Attract</w:t>
            </w:r>
          </w:p>
        </w:tc>
        <w:tc>
          <w:tcPr>
            <w:tcW w:w="120" w:type="dxa"/>
            <w:vAlign w:val="bottom"/>
            <w:tcBorders>
              <w:right w:val="single" w:sz="8" w:color="B2B3B6"/>
            </w:tcBorders>
            <w:shd w:val="clear" w:color="auto" w:fill="F2F3F2"/>
          </w:tcPr>
          <w:p>
            <w:pPr>
              <w:spacing w:after="0"/>
              <w:rPr>
                <w:sz w:val="24"/>
                <w:szCs w:val="24"/>
                <w:color w:val="auto"/>
              </w:rPr>
            </w:pPr>
          </w:p>
        </w:tc>
        <w:tc>
          <w:tcPr>
            <w:tcW w:w="80" w:type="dxa"/>
            <w:vAlign w:val="bottom"/>
            <w:shd w:val="clear" w:color="auto" w:fill="F2F3F2"/>
          </w:tcPr>
          <w:p>
            <w:pPr>
              <w:spacing w:after="0"/>
              <w:rPr>
                <w:sz w:val="24"/>
                <w:szCs w:val="24"/>
                <w:color w:val="auto"/>
              </w:rPr>
            </w:pPr>
          </w:p>
        </w:tc>
        <w:tc>
          <w:tcPr>
            <w:tcW w:w="2180" w:type="dxa"/>
            <w:vAlign w:val="bottom"/>
            <w:tcBorders>
              <w:right w:val="single" w:sz="8" w:color="B2B3B6"/>
            </w:tcBorders>
            <w:gridSpan w:val="2"/>
            <w:shd w:val="clear" w:color="auto" w:fill="F2F3F2"/>
          </w:tcPr>
          <w:p>
            <w:pPr>
              <w:ind w:left="40"/>
              <w:spacing w:after="0"/>
              <w:rPr>
                <w:sz w:val="20"/>
                <w:szCs w:val="20"/>
                <w:color w:val="auto"/>
              </w:rPr>
            </w:pPr>
            <w:r>
              <w:rPr>
                <w:rFonts w:ascii="Arial" w:cs="Arial" w:eastAsia="Arial" w:hAnsi="Arial"/>
                <w:sz w:val="18"/>
                <w:szCs w:val="18"/>
                <w:b w:val="1"/>
                <w:bCs w:val="1"/>
                <w:color w:val="auto"/>
              </w:rPr>
              <w:t>Pay for</w:t>
            </w:r>
          </w:p>
        </w:tc>
        <w:tc>
          <w:tcPr>
            <w:tcW w:w="60" w:type="dxa"/>
            <w:vAlign w:val="bottom"/>
            <w:shd w:val="clear" w:color="auto" w:fill="F2F3F2"/>
          </w:tcPr>
          <w:p>
            <w:pPr>
              <w:spacing w:after="0"/>
              <w:rPr>
                <w:sz w:val="24"/>
                <w:szCs w:val="24"/>
                <w:color w:val="auto"/>
              </w:rPr>
            </w:pPr>
          </w:p>
        </w:tc>
        <w:tc>
          <w:tcPr>
            <w:tcW w:w="2220" w:type="dxa"/>
            <w:vAlign w:val="bottom"/>
            <w:gridSpan w:val="2"/>
            <w:shd w:val="clear" w:color="auto" w:fill="F2F3F2"/>
          </w:tcPr>
          <w:p>
            <w:pPr>
              <w:ind w:left="60"/>
              <w:spacing w:after="0"/>
              <w:rPr>
                <w:sz w:val="20"/>
                <w:szCs w:val="20"/>
                <w:color w:val="auto"/>
              </w:rPr>
            </w:pPr>
            <w:r>
              <w:rPr>
                <w:rFonts w:ascii="Arial" w:cs="Arial" w:eastAsia="Arial" w:hAnsi="Arial"/>
                <w:sz w:val="18"/>
                <w:szCs w:val="18"/>
                <w:b w:val="1"/>
                <w:bCs w:val="1"/>
                <w:color w:val="auto"/>
              </w:rPr>
              <w:t>Uphold Strong</w:t>
            </w:r>
          </w:p>
        </w:tc>
        <w:tc>
          <w:tcPr>
            <w:tcW w:w="0" w:type="dxa"/>
            <w:vAlign w:val="bottom"/>
          </w:tcPr>
          <w:p>
            <w:pPr>
              <w:spacing w:after="0"/>
              <w:rPr>
                <w:sz w:val="1"/>
                <w:szCs w:val="1"/>
                <w:color w:val="auto"/>
              </w:rPr>
            </w:pPr>
          </w:p>
        </w:tc>
      </w:tr>
      <w:tr>
        <w:trPr>
          <w:trHeight w:val="247"/>
        </w:trPr>
        <w:tc>
          <w:tcPr>
            <w:tcW w:w="100" w:type="dxa"/>
            <w:vAlign w:val="bottom"/>
            <w:shd w:val="clear" w:color="auto" w:fill="F2F3F2"/>
          </w:tcPr>
          <w:p>
            <w:pPr>
              <w:spacing w:after="0"/>
              <w:rPr>
                <w:sz w:val="21"/>
                <w:szCs w:val="21"/>
                <w:color w:val="auto"/>
              </w:rPr>
            </w:pPr>
          </w:p>
        </w:tc>
        <w:tc>
          <w:tcPr>
            <w:tcW w:w="2060" w:type="dxa"/>
            <w:vAlign w:val="bottom"/>
            <w:shd w:val="clear" w:color="auto" w:fill="F2F3F2"/>
          </w:tcPr>
          <w:p>
            <w:pPr>
              <w:ind w:left="40"/>
              <w:spacing w:after="0"/>
              <w:rPr>
                <w:sz w:val="20"/>
                <w:szCs w:val="20"/>
                <w:color w:val="auto"/>
              </w:rPr>
            </w:pPr>
            <w:r>
              <w:rPr>
                <w:rFonts w:ascii="Arial" w:cs="Arial" w:eastAsia="Arial" w:hAnsi="Arial"/>
                <w:sz w:val="18"/>
                <w:szCs w:val="18"/>
                <w:b w:val="1"/>
                <w:bCs w:val="1"/>
                <w:color w:val="auto"/>
              </w:rPr>
              <w:t>Strategy</w:t>
            </w:r>
          </w:p>
        </w:tc>
        <w:tc>
          <w:tcPr>
            <w:tcW w:w="120" w:type="dxa"/>
            <w:vAlign w:val="bottom"/>
            <w:tcBorders>
              <w:right w:val="single" w:sz="8" w:color="B2B3B6"/>
            </w:tcBorders>
            <w:shd w:val="clear" w:color="auto" w:fill="F2F3F2"/>
          </w:tcPr>
          <w:p>
            <w:pPr>
              <w:spacing w:after="0"/>
              <w:rPr>
                <w:sz w:val="21"/>
                <w:szCs w:val="21"/>
                <w:color w:val="auto"/>
              </w:rPr>
            </w:pPr>
          </w:p>
        </w:tc>
        <w:tc>
          <w:tcPr>
            <w:tcW w:w="80" w:type="dxa"/>
            <w:vAlign w:val="bottom"/>
            <w:shd w:val="clear" w:color="auto" w:fill="F2F3F2"/>
          </w:tcPr>
          <w:p>
            <w:pPr>
              <w:spacing w:after="0"/>
              <w:rPr>
                <w:sz w:val="21"/>
                <w:szCs w:val="21"/>
                <w:color w:val="auto"/>
              </w:rPr>
            </w:pPr>
          </w:p>
        </w:tc>
        <w:tc>
          <w:tcPr>
            <w:tcW w:w="2060" w:type="dxa"/>
            <w:vAlign w:val="bottom"/>
            <w:shd w:val="clear" w:color="auto" w:fill="F2F3F2"/>
          </w:tcPr>
          <w:p>
            <w:pPr>
              <w:ind w:left="40"/>
              <w:spacing w:after="0"/>
              <w:rPr>
                <w:sz w:val="20"/>
                <w:szCs w:val="20"/>
                <w:color w:val="auto"/>
              </w:rPr>
            </w:pPr>
            <w:r>
              <w:rPr>
                <w:rFonts w:ascii="Arial" w:cs="Arial" w:eastAsia="Arial" w:hAnsi="Arial"/>
                <w:sz w:val="18"/>
                <w:szCs w:val="18"/>
                <w:b w:val="1"/>
                <w:bCs w:val="1"/>
                <w:color w:val="auto"/>
              </w:rPr>
              <w:t>and Retain</w:t>
            </w:r>
          </w:p>
        </w:tc>
        <w:tc>
          <w:tcPr>
            <w:tcW w:w="120" w:type="dxa"/>
            <w:vAlign w:val="bottom"/>
            <w:tcBorders>
              <w:right w:val="single" w:sz="8" w:color="B2B3B6"/>
            </w:tcBorders>
            <w:shd w:val="clear" w:color="auto" w:fill="F2F3F2"/>
          </w:tcPr>
          <w:p>
            <w:pPr>
              <w:spacing w:after="0"/>
              <w:rPr>
                <w:sz w:val="21"/>
                <w:szCs w:val="21"/>
                <w:color w:val="auto"/>
              </w:rPr>
            </w:pPr>
          </w:p>
        </w:tc>
        <w:tc>
          <w:tcPr>
            <w:tcW w:w="80" w:type="dxa"/>
            <w:vAlign w:val="bottom"/>
            <w:shd w:val="clear" w:color="auto" w:fill="F2F3F2"/>
          </w:tcPr>
          <w:p>
            <w:pPr>
              <w:spacing w:after="0"/>
              <w:rPr>
                <w:sz w:val="21"/>
                <w:szCs w:val="21"/>
                <w:color w:val="auto"/>
              </w:rPr>
            </w:pPr>
          </w:p>
        </w:tc>
        <w:tc>
          <w:tcPr>
            <w:tcW w:w="2180" w:type="dxa"/>
            <w:vAlign w:val="bottom"/>
            <w:tcBorders>
              <w:right w:val="single" w:sz="8" w:color="B2B3B6"/>
            </w:tcBorders>
            <w:gridSpan w:val="2"/>
            <w:shd w:val="clear" w:color="auto" w:fill="F2F3F2"/>
          </w:tcPr>
          <w:p>
            <w:pPr>
              <w:ind w:left="40"/>
              <w:spacing w:after="0"/>
              <w:rPr>
                <w:sz w:val="20"/>
                <w:szCs w:val="20"/>
                <w:color w:val="auto"/>
              </w:rPr>
            </w:pPr>
            <w:r>
              <w:rPr>
                <w:rFonts w:ascii="Arial" w:cs="Arial" w:eastAsia="Arial" w:hAnsi="Arial"/>
                <w:sz w:val="18"/>
                <w:szCs w:val="18"/>
                <w:b w:val="1"/>
                <w:bCs w:val="1"/>
                <w:color w:val="auto"/>
              </w:rPr>
              <w:t>Performance</w:t>
            </w:r>
          </w:p>
        </w:tc>
        <w:tc>
          <w:tcPr>
            <w:tcW w:w="60" w:type="dxa"/>
            <w:vAlign w:val="bottom"/>
            <w:shd w:val="clear" w:color="auto" w:fill="F2F3F2"/>
          </w:tcPr>
          <w:p>
            <w:pPr>
              <w:spacing w:after="0"/>
              <w:rPr>
                <w:sz w:val="21"/>
                <w:szCs w:val="21"/>
                <w:color w:val="auto"/>
              </w:rPr>
            </w:pPr>
          </w:p>
        </w:tc>
        <w:tc>
          <w:tcPr>
            <w:tcW w:w="2220" w:type="dxa"/>
            <w:vAlign w:val="bottom"/>
            <w:gridSpan w:val="2"/>
            <w:shd w:val="clear" w:color="auto" w:fill="F2F3F2"/>
          </w:tcPr>
          <w:p>
            <w:pPr>
              <w:ind w:left="60"/>
              <w:spacing w:after="0"/>
              <w:rPr>
                <w:sz w:val="20"/>
                <w:szCs w:val="20"/>
                <w:color w:val="auto"/>
              </w:rPr>
            </w:pPr>
            <w:r>
              <w:rPr>
                <w:rFonts w:ascii="Arial" w:cs="Arial" w:eastAsia="Arial" w:hAnsi="Arial"/>
                <w:sz w:val="18"/>
                <w:szCs w:val="18"/>
                <w:b w:val="1"/>
                <w:bCs w:val="1"/>
                <w:color w:val="auto"/>
              </w:rPr>
              <w:t>Governance</w:t>
            </w:r>
          </w:p>
        </w:tc>
        <w:tc>
          <w:tcPr>
            <w:tcW w:w="0" w:type="dxa"/>
            <w:vAlign w:val="bottom"/>
          </w:tcPr>
          <w:p>
            <w:pPr>
              <w:spacing w:after="0"/>
              <w:rPr>
                <w:sz w:val="1"/>
                <w:szCs w:val="1"/>
                <w:color w:val="auto"/>
              </w:rPr>
            </w:pPr>
          </w:p>
        </w:tc>
      </w:tr>
      <w:tr>
        <w:trPr>
          <w:trHeight w:val="208"/>
        </w:trPr>
        <w:tc>
          <w:tcPr>
            <w:tcW w:w="100" w:type="dxa"/>
            <w:vAlign w:val="bottom"/>
            <w:shd w:val="clear" w:color="auto" w:fill="F2F3F2"/>
          </w:tcPr>
          <w:p>
            <w:pPr>
              <w:spacing w:after="0"/>
              <w:rPr>
                <w:sz w:val="18"/>
                <w:szCs w:val="18"/>
                <w:color w:val="auto"/>
              </w:rPr>
            </w:pPr>
          </w:p>
        </w:tc>
        <w:tc>
          <w:tcPr>
            <w:tcW w:w="2060" w:type="dxa"/>
            <w:vAlign w:val="bottom"/>
            <w:shd w:val="clear" w:color="auto" w:fill="F2F3F2"/>
          </w:tcPr>
          <w:p>
            <w:pPr>
              <w:ind w:left="40"/>
              <w:spacing w:after="0"/>
              <w:rPr>
                <w:sz w:val="20"/>
                <w:szCs w:val="20"/>
                <w:color w:val="auto"/>
              </w:rPr>
            </w:pPr>
            <w:r>
              <w:rPr>
                <w:rFonts w:ascii="Arial" w:cs="Arial" w:eastAsia="Arial" w:hAnsi="Arial"/>
                <w:sz w:val="14"/>
                <w:szCs w:val="14"/>
                <w:color w:val="auto"/>
              </w:rPr>
              <w:t>Enable our “Team Huron”</w:t>
            </w:r>
          </w:p>
        </w:tc>
        <w:tc>
          <w:tcPr>
            <w:tcW w:w="120" w:type="dxa"/>
            <w:vAlign w:val="bottom"/>
            <w:tcBorders>
              <w:right w:val="single" w:sz="8" w:color="B2B3B6"/>
            </w:tcBorders>
            <w:shd w:val="clear" w:color="auto" w:fill="F2F3F2"/>
          </w:tcPr>
          <w:p>
            <w:pPr>
              <w:spacing w:after="0"/>
              <w:rPr>
                <w:sz w:val="18"/>
                <w:szCs w:val="18"/>
                <w:color w:val="auto"/>
              </w:rPr>
            </w:pPr>
          </w:p>
        </w:tc>
        <w:tc>
          <w:tcPr>
            <w:tcW w:w="80" w:type="dxa"/>
            <w:vAlign w:val="bottom"/>
            <w:shd w:val="clear" w:color="auto" w:fill="F2F3F2"/>
          </w:tcPr>
          <w:p>
            <w:pPr>
              <w:spacing w:after="0"/>
              <w:rPr>
                <w:sz w:val="18"/>
                <w:szCs w:val="18"/>
                <w:color w:val="auto"/>
              </w:rPr>
            </w:pPr>
          </w:p>
        </w:tc>
        <w:tc>
          <w:tcPr>
            <w:tcW w:w="2060" w:type="dxa"/>
            <w:vAlign w:val="bottom"/>
            <w:shd w:val="clear" w:color="auto" w:fill="F2F3F2"/>
          </w:tcPr>
          <w:p>
            <w:pPr>
              <w:ind w:left="40"/>
              <w:spacing w:after="0"/>
              <w:rPr>
                <w:sz w:val="20"/>
                <w:szCs w:val="20"/>
                <w:color w:val="auto"/>
              </w:rPr>
            </w:pPr>
            <w:r>
              <w:rPr>
                <w:rFonts w:ascii="Arial" w:cs="Arial" w:eastAsia="Arial" w:hAnsi="Arial"/>
                <w:sz w:val="14"/>
                <w:szCs w:val="14"/>
                <w:color w:val="auto"/>
              </w:rPr>
              <w:t>Attract and retain</w:t>
            </w:r>
          </w:p>
        </w:tc>
        <w:tc>
          <w:tcPr>
            <w:tcW w:w="120" w:type="dxa"/>
            <w:vAlign w:val="bottom"/>
            <w:tcBorders>
              <w:right w:val="single" w:sz="8" w:color="B2B3B6"/>
            </w:tcBorders>
            <w:shd w:val="clear" w:color="auto" w:fill="F2F3F2"/>
          </w:tcPr>
          <w:p>
            <w:pPr>
              <w:spacing w:after="0"/>
              <w:rPr>
                <w:sz w:val="18"/>
                <w:szCs w:val="18"/>
                <w:color w:val="auto"/>
              </w:rPr>
            </w:pPr>
          </w:p>
        </w:tc>
        <w:tc>
          <w:tcPr>
            <w:tcW w:w="80" w:type="dxa"/>
            <w:vAlign w:val="bottom"/>
            <w:shd w:val="clear" w:color="auto" w:fill="F2F3F2"/>
          </w:tcPr>
          <w:p>
            <w:pPr>
              <w:spacing w:after="0"/>
              <w:rPr>
                <w:sz w:val="18"/>
                <w:szCs w:val="18"/>
                <w:color w:val="auto"/>
              </w:rPr>
            </w:pPr>
          </w:p>
        </w:tc>
        <w:tc>
          <w:tcPr>
            <w:tcW w:w="2180" w:type="dxa"/>
            <w:vAlign w:val="bottom"/>
            <w:tcBorders>
              <w:right w:val="single" w:sz="8" w:color="B2B3B6"/>
            </w:tcBorders>
            <w:gridSpan w:val="2"/>
            <w:shd w:val="clear" w:color="auto" w:fill="F2F3F2"/>
          </w:tcPr>
          <w:p>
            <w:pPr>
              <w:ind w:left="40"/>
              <w:spacing w:after="0"/>
              <w:rPr>
                <w:sz w:val="20"/>
                <w:szCs w:val="20"/>
                <w:color w:val="auto"/>
              </w:rPr>
            </w:pPr>
            <w:r>
              <w:rPr>
                <w:rFonts w:ascii="Arial" w:cs="Arial" w:eastAsia="Arial" w:hAnsi="Arial"/>
                <w:sz w:val="14"/>
                <w:szCs w:val="14"/>
                <w:color w:val="auto"/>
              </w:rPr>
              <w:t>Reward leaders for delivering</w:t>
            </w:r>
          </w:p>
        </w:tc>
        <w:tc>
          <w:tcPr>
            <w:tcW w:w="60" w:type="dxa"/>
            <w:vAlign w:val="bottom"/>
            <w:shd w:val="clear" w:color="auto" w:fill="F2F3F2"/>
          </w:tcPr>
          <w:p>
            <w:pPr>
              <w:spacing w:after="0"/>
              <w:rPr>
                <w:sz w:val="18"/>
                <w:szCs w:val="18"/>
                <w:color w:val="auto"/>
              </w:rPr>
            </w:pPr>
          </w:p>
        </w:tc>
        <w:tc>
          <w:tcPr>
            <w:tcW w:w="2220" w:type="dxa"/>
            <w:vAlign w:val="bottom"/>
            <w:gridSpan w:val="2"/>
            <w:shd w:val="clear" w:color="auto" w:fill="F2F3F2"/>
          </w:tcPr>
          <w:p>
            <w:pPr>
              <w:ind w:left="60"/>
              <w:spacing w:after="0"/>
              <w:rPr>
                <w:sz w:val="20"/>
                <w:szCs w:val="20"/>
                <w:color w:val="auto"/>
              </w:rPr>
            </w:pPr>
            <w:r>
              <w:rPr>
                <w:rFonts w:ascii="Arial" w:cs="Arial" w:eastAsia="Arial" w:hAnsi="Arial"/>
                <w:sz w:val="14"/>
                <w:szCs w:val="14"/>
                <w:color w:val="auto"/>
              </w:rPr>
              <w:t>Implement and execute on</w:t>
            </w:r>
          </w:p>
        </w:tc>
        <w:tc>
          <w:tcPr>
            <w:tcW w:w="0" w:type="dxa"/>
            <w:vAlign w:val="bottom"/>
          </w:tcPr>
          <w:p>
            <w:pPr>
              <w:spacing w:after="0"/>
              <w:rPr>
                <w:sz w:val="1"/>
                <w:szCs w:val="1"/>
                <w:color w:val="auto"/>
              </w:rPr>
            </w:pPr>
          </w:p>
        </w:tc>
      </w:tr>
      <w:tr>
        <w:trPr>
          <w:trHeight w:val="175"/>
        </w:trPr>
        <w:tc>
          <w:tcPr>
            <w:tcW w:w="100" w:type="dxa"/>
            <w:vAlign w:val="bottom"/>
            <w:shd w:val="clear" w:color="auto" w:fill="F2F3F2"/>
          </w:tcPr>
          <w:p>
            <w:pPr>
              <w:spacing w:after="0"/>
              <w:rPr>
                <w:sz w:val="15"/>
                <w:szCs w:val="15"/>
                <w:color w:val="auto"/>
              </w:rPr>
            </w:pPr>
          </w:p>
        </w:tc>
        <w:tc>
          <w:tcPr>
            <w:tcW w:w="2060" w:type="dxa"/>
            <w:vAlign w:val="bottom"/>
            <w:shd w:val="clear" w:color="auto" w:fill="F2F3F2"/>
          </w:tcPr>
          <w:p>
            <w:pPr>
              <w:ind w:left="40"/>
              <w:spacing w:after="0"/>
              <w:rPr>
                <w:sz w:val="20"/>
                <w:szCs w:val="20"/>
                <w:color w:val="auto"/>
              </w:rPr>
            </w:pPr>
            <w:r>
              <w:rPr>
                <w:rFonts w:ascii="Arial" w:cs="Arial" w:eastAsia="Arial" w:hAnsi="Arial"/>
                <w:sz w:val="14"/>
                <w:szCs w:val="14"/>
                <w:color w:val="auto"/>
              </w:rPr>
              <w:t>integrated operating model by</w:t>
            </w:r>
          </w:p>
        </w:tc>
        <w:tc>
          <w:tcPr>
            <w:tcW w:w="120" w:type="dxa"/>
            <w:vAlign w:val="bottom"/>
            <w:tcBorders>
              <w:right w:val="single" w:sz="8" w:color="B2B3B6"/>
            </w:tcBorders>
            <w:shd w:val="clear" w:color="auto" w:fill="F2F3F2"/>
          </w:tcPr>
          <w:p>
            <w:pPr>
              <w:spacing w:after="0"/>
              <w:rPr>
                <w:sz w:val="15"/>
                <w:szCs w:val="15"/>
                <w:color w:val="auto"/>
              </w:rPr>
            </w:pPr>
          </w:p>
        </w:tc>
        <w:tc>
          <w:tcPr>
            <w:tcW w:w="80" w:type="dxa"/>
            <w:vAlign w:val="bottom"/>
            <w:shd w:val="clear" w:color="auto" w:fill="F2F3F2"/>
          </w:tcPr>
          <w:p>
            <w:pPr>
              <w:spacing w:after="0"/>
              <w:rPr>
                <w:sz w:val="15"/>
                <w:szCs w:val="15"/>
                <w:color w:val="auto"/>
              </w:rPr>
            </w:pPr>
          </w:p>
        </w:tc>
        <w:tc>
          <w:tcPr>
            <w:tcW w:w="2060" w:type="dxa"/>
            <w:vAlign w:val="bottom"/>
            <w:shd w:val="clear" w:color="auto" w:fill="F2F3F2"/>
          </w:tcPr>
          <w:p>
            <w:pPr>
              <w:ind w:left="40"/>
              <w:spacing w:after="0"/>
              <w:rPr>
                <w:sz w:val="20"/>
                <w:szCs w:val="20"/>
                <w:color w:val="auto"/>
              </w:rPr>
            </w:pPr>
            <w:r>
              <w:rPr>
                <w:rFonts w:ascii="Arial" w:cs="Arial" w:eastAsia="Arial" w:hAnsi="Arial"/>
                <w:sz w:val="14"/>
                <w:szCs w:val="14"/>
                <w:color w:val="auto"/>
              </w:rPr>
              <w:t>extraordinary leaders who</w:t>
            </w:r>
          </w:p>
        </w:tc>
        <w:tc>
          <w:tcPr>
            <w:tcW w:w="120" w:type="dxa"/>
            <w:vAlign w:val="bottom"/>
            <w:tcBorders>
              <w:right w:val="single" w:sz="8" w:color="B2B3B6"/>
            </w:tcBorders>
            <w:shd w:val="clear" w:color="auto" w:fill="F2F3F2"/>
          </w:tcPr>
          <w:p>
            <w:pPr>
              <w:spacing w:after="0"/>
              <w:rPr>
                <w:sz w:val="15"/>
                <w:szCs w:val="15"/>
                <w:color w:val="auto"/>
              </w:rPr>
            </w:pPr>
          </w:p>
        </w:tc>
        <w:tc>
          <w:tcPr>
            <w:tcW w:w="80" w:type="dxa"/>
            <w:vAlign w:val="bottom"/>
            <w:shd w:val="clear" w:color="auto" w:fill="F2F3F2"/>
          </w:tcPr>
          <w:p>
            <w:pPr>
              <w:spacing w:after="0"/>
              <w:rPr>
                <w:sz w:val="15"/>
                <w:szCs w:val="15"/>
                <w:color w:val="auto"/>
              </w:rPr>
            </w:pPr>
          </w:p>
        </w:tc>
        <w:tc>
          <w:tcPr>
            <w:tcW w:w="2180" w:type="dxa"/>
            <w:vAlign w:val="bottom"/>
            <w:tcBorders>
              <w:right w:val="single" w:sz="8" w:color="B2B3B6"/>
            </w:tcBorders>
            <w:gridSpan w:val="2"/>
            <w:shd w:val="clear" w:color="auto" w:fill="F2F3F2"/>
          </w:tcPr>
          <w:p>
            <w:pPr>
              <w:ind w:left="40"/>
              <w:spacing w:after="0"/>
              <w:rPr>
                <w:sz w:val="20"/>
                <w:szCs w:val="20"/>
                <w:color w:val="auto"/>
              </w:rPr>
            </w:pPr>
            <w:r>
              <w:rPr>
                <w:rFonts w:ascii="Arial" w:cs="Arial" w:eastAsia="Arial" w:hAnsi="Arial"/>
                <w:sz w:val="14"/>
                <w:szCs w:val="14"/>
                <w:color w:val="auto"/>
              </w:rPr>
              <w:t>profitable growth and balance</w:t>
            </w:r>
          </w:p>
        </w:tc>
        <w:tc>
          <w:tcPr>
            <w:tcW w:w="60" w:type="dxa"/>
            <w:vAlign w:val="bottom"/>
            <w:shd w:val="clear" w:color="auto" w:fill="F2F3F2"/>
          </w:tcPr>
          <w:p>
            <w:pPr>
              <w:spacing w:after="0"/>
              <w:rPr>
                <w:sz w:val="15"/>
                <w:szCs w:val="15"/>
                <w:color w:val="auto"/>
              </w:rPr>
            </w:pPr>
          </w:p>
        </w:tc>
        <w:tc>
          <w:tcPr>
            <w:tcW w:w="2220" w:type="dxa"/>
            <w:vAlign w:val="bottom"/>
            <w:gridSpan w:val="2"/>
            <w:shd w:val="clear" w:color="auto" w:fill="F2F3F2"/>
          </w:tcPr>
          <w:p>
            <w:pPr>
              <w:ind w:left="60"/>
              <w:spacing w:after="0"/>
              <w:rPr>
                <w:sz w:val="20"/>
                <w:szCs w:val="20"/>
                <w:color w:val="auto"/>
              </w:rPr>
            </w:pPr>
            <w:r>
              <w:rPr>
                <w:rFonts w:ascii="Arial" w:cs="Arial" w:eastAsia="Arial" w:hAnsi="Arial"/>
                <w:sz w:val="14"/>
                <w:szCs w:val="14"/>
                <w:color w:val="auto"/>
              </w:rPr>
              <w:t>thorough practices that lie at</w:t>
            </w:r>
          </w:p>
        </w:tc>
        <w:tc>
          <w:tcPr>
            <w:tcW w:w="0" w:type="dxa"/>
            <w:vAlign w:val="bottom"/>
          </w:tcPr>
          <w:p>
            <w:pPr>
              <w:spacing w:after="0"/>
              <w:rPr>
                <w:sz w:val="1"/>
                <w:szCs w:val="1"/>
                <w:color w:val="auto"/>
              </w:rPr>
            </w:pPr>
          </w:p>
        </w:tc>
      </w:tr>
      <w:tr>
        <w:trPr>
          <w:trHeight w:val="175"/>
        </w:trPr>
        <w:tc>
          <w:tcPr>
            <w:tcW w:w="100" w:type="dxa"/>
            <w:vAlign w:val="bottom"/>
            <w:shd w:val="clear" w:color="auto" w:fill="F2F3F2"/>
          </w:tcPr>
          <w:p>
            <w:pPr>
              <w:spacing w:after="0"/>
              <w:rPr>
                <w:sz w:val="15"/>
                <w:szCs w:val="15"/>
                <w:color w:val="auto"/>
              </w:rPr>
            </w:pPr>
          </w:p>
        </w:tc>
        <w:tc>
          <w:tcPr>
            <w:tcW w:w="2060" w:type="dxa"/>
            <w:vAlign w:val="bottom"/>
            <w:shd w:val="clear" w:color="auto" w:fill="F2F3F2"/>
          </w:tcPr>
          <w:p>
            <w:pPr>
              <w:ind w:left="40"/>
              <w:spacing w:after="0"/>
              <w:rPr>
                <w:sz w:val="20"/>
                <w:szCs w:val="20"/>
                <w:color w:val="auto"/>
              </w:rPr>
            </w:pPr>
            <w:r>
              <w:rPr>
                <w:rFonts w:ascii="Arial" w:cs="Arial" w:eastAsia="Arial" w:hAnsi="Arial"/>
                <w:sz w:val="14"/>
                <w:szCs w:val="14"/>
                <w:color w:val="auto"/>
              </w:rPr>
              <w:t>holding leaders accountable</w:t>
            </w:r>
          </w:p>
        </w:tc>
        <w:tc>
          <w:tcPr>
            <w:tcW w:w="120" w:type="dxa"/>
            <w:vAlign w:val="bottom"/>
            <w:tcBorders>
              <w:right w:val="single" w:sz="8" w:color="B2B3B6"/>
            </w:tcBorders>
            <w:shd w:val="clear" w:color="auto" w:fill="F2F3F2"/>
          </w:tcPr>
          <w:p>
            <w:pPr>
              <w:spacing w:after="0"/>
              <w:rPr>
                <w:sz w:val="15"/>
                <w:szCs w:val="15"/>
                <w:color w:val="auto"/>
              </w:rPr>
            </w:pPr>
          </w:p>
        </w:tc>
        <w:tc>
          <w:tcPr>
            <w:tcW w:w="80" w:type="dxa"/>
            <w:vAlign w:val="bottom"/>
            <w:shd w:val="clear" w:color="auto" w:fill="F2F3F2"/>
          </w:tcPr>
          <w:p>
            <w:pPr>
              <w:spacing w:after="0"/>
              <w:rPr>
                <w:sz w:val="15"/>
                <w:szCs w:val="15"/>
                <w:color w:val="auto"/>
              </w:rPr>
            </w:pPr>
          </w:p>
        </w:tc>
        <w:tc>
          <w:tcPr>
            <w:tcW w:w="2060" w:type="dxa"/>
            <w:vAlign w:val="bottom"/>
            <w:shd w:val="clear" w:color="auto" w:fill="F2F3F2"/>
          </w:tcPr>
          <w:p>
            <w:pPr>
              <w:ind w:left="40"/>
              <w:spacing w:after="0"/>
              <w:rPr>
                <w:sz w:val="20"/>
                <w:szCs w:val="20"/>
                <w:color w:val="auto"/>
              </w:rPr>
            </w:pPr>
            <w:r>
              <w:rPr>
                <w:rFonts w:ascii="Arial" w:cs="Arial" w:eastAsia="Arial" w:hAnsi="Arial"/>
                <w:sz w:val="14"/>
                <w:szCs w:val="14"/>
                <w:color w:val="auto"/>
              </w:rPr>
              <w:t>both model our Leadership</w:t>
            </w:r>
          </w:p>
        </w:tc>
        <w:tc>
          <w:tcPr>
            <w:tcW w:w="120" w:type="dxa"/>
            <w:vAlign w:val="bottom"/>
            <w:tcBorders>
              <w:right w:val="single" w:sz="8" w:color="B2B3B6"/>
            </w:tcBorders>
            <w:shd w:val="clear" w:color="auto" w:fill="F2F3F2"/>
          </w:tcPr>
          <w:p>
            <w:pPr>
              <w:spacing w:after="0"/>
              <w:rPr>
                <w:sz w:val="15"/>
                <w:szCs w:val="15"/>
                <w:color w:val="auto"/>
              </w:rPr>
            </w:pPr>
          </w:p>
        </w:tc>
        <w:tc>
          <w:tcPr>
            <w:tcW w:w="80" w:type="dxa"/>
            <w:vAlign w:val="bottom"/>
            <w:shd w:val="clear" w:color="auto" w:fill="F2F3F2"/>
          </w:tcPr>
          <w:p>
            <w:pPr>
              <w:spacing w:after="0"/>
              <w:rPr>
                <w:sz w:val="15"/>
                <w:szCs w:val="15"/>
                <w:color w:val="auto"/>
              </w:rPr>
            </w:pPr>
          </w:p>
        </w:tc>
        <w:tc>
          <w:tcPr>
            <w:tcW w:w="2180" w:type="dxa"/>
            <w:vAlign w:val="bottom"/>
            <w:tcBorders>
              <w:right w:val="single" w:sz="8" w:color="B2B3B6"/>
            </w:tcBorders>
            <w:gridSpan w:val="2"/>
            <w:shd w:val="clear" w:color="auto" w:fill="F2F3F2"/>
          </w:tcPr>
          <w:p>
            <w:pPr>
              <w:ind w:left="40"/>
              <w:spacing w:after="0"/>
              <w:rPr>
                <w:sz w:val="20"/>
                <w:szCs w:val="20"/>
                <w:color w:val="auto"/>
              </w:rPr>
            </w:pPr>
            <w:r>
              <w:rPr>
                <w:rFonts w:ascii="Arial" w:cs="Arial" w:eastAsia="Arial" w:hAnsi="Arial"/>
                <w:sz w:val="14"/>
                <w:szCs w:val="14"/>
                <w:color w:val="auto"/>
              </w:rPr>
              <w:t>the achievement of financial</w:t>
            </w:r>
          </w:p>
        </w:tc>
        <w:tc>
          <w:tcPr>
            <w:tcW w:w="60" w:type="dxa"/>
            <w:vAlign w:val="bottom"/>
            <w:shd w:val="clear" w:color="auto" w:fill="F2F3F2"/>
          </w:tcPr>
          <w:p>
            <w:pPr>
              <w:spacing w:after="0"/>
              <w:rPr>
                <w:sz w:val="15"/>
                <w:szCs w:val="15"/>
                <w:color w:val="auto"/>
              </w:rPr>
            </w:pPr>
          </w:p>
        </w:tc>
        <w:tc>
          <w:tcPr>
            <w:tcW w:w="2220" w:type="dxa"/>
            <w:vAlign w:val="bottom"/>
            <w:gridSpan w:val="2"/>
            <w:shd w:val="clear" w:color="auto" w:fill="F2F3F2"/>
          </w:tcPr>
          <w:p>
            <w:pPr>
              <w:ind w:left="60"/>
              <w:spacing w:after="0"/>
              <w:rPr>
                <w:sz w:val="20"/>
                <w:szCs w:val="20"/>
                <w:color w:val="auto"/>
              </w:rPr>
            </w:pPr>
            <w:r>
              <w:rPr>
                <w:rFonts w:ascii="Arial" w:cs="Arial" w:eastAsia="Arial" w:hAnsi="Arial"/>
                <w:sz w:val="14"/>
                <w:szCs w:val="14"/>
                <w:color w:val="auto"/>
              </w:rPr>
              <w:t>the heart of what the</w:t>
            </w:r>
          </w:p>
        </w:tc>
        <w:tc>
          <w:tcPr>
            <w:tcW w:w="0" w:type="dxa"/>
            <w:vAlign w:val="bottom"/>
          </w:tcPr>
          <w:p>
            <w:pPr>
              <w:spacing w:after="0"/>
              <w:rPr>
                <w:sz w:val="1"/>
                <w:szCs w:val="1"/>
                <w:color w:val="auto"/>
              </w:rPr>
            </w:pPr>
          </w:p>
        </w:tc>
      </w:tr>
      <w:tr>
        <w:trPr>
          <w:trHeight w:val="175"/>
        </w:trPr>
        <w:tc>
          <w:tcPr>
            <w:tcW w:w="100" w:type="dxa"/>
            <w:vAlign w:val="bottom"/>
            <w:shd w:val="clear" w:color="auto" w:fill="F2F3F2"/>
          </w:tcPr>
          <w:p>
            <w:pPr>
              <w:spacing w:after="0"/>
              <w:rPr>
                <w:sz w:val="15"/>
                <w:szCs w:val="15"/>
                <w:color w:val="auto"/>
              </w:rPr>
            </w:pPr>
          </w:p>
        </w:tc>
        <w:tc>
          <w:tcPr>
            <w:tcW w:w="2060" w:type="dxa"/>
            <w:vAlign w:val="bottom"/>
            <w:shd w:val="clear" w:color="auto" w:fill="F2F3F2"/>
          </w:tcPr>
          <w:p>
            <w:pPr>
              <w:ind w:left="40"/>
              <w:spacing w:after="0"/>
              <w:rPr>
                <w:sz w:val="20"/>
                <w:szCs w:val="20"/>
                <w:color w:val="auto"/>
              </w:rPr>
            </w:pPr>
            <w:r>
              <w:rPr>
                <w:rFonts w:ascii="Arial" w:cs="Arial" w:eastAsia="Arial" w:hAnsi="Arial"/>
                <w:sz w:val="14"/>
                <w:szCs w:val="14"/>
                <w:color w:val="auto"/>
              </w:rPr>
              <w:t>for delivering challenging, but</w:t>
            </w:r>
          </w:p>
        </w:tc>
        <w:tc>
          <w:tcPr>
            <w:tcW w:w="120" w:type="dxa"/>
            <w:vAlign w:val="bottom"/>
            <w:tcBorders>
              <w:right w:val="single" w:sz="8" w:color="B2B3B6"/>
            </w:tcBorders>
            <w:shd w:val="clear" w:color="auto" w:fill="F2F3F2"/>
          </w:tcPr>
          <w:p>
            <w:pPr>
              <w:spacing w:after="0"/>
              <w:rPr>
                <w:sz w:val="15"/>
                <w:szCs w:val="15"/>
                <w:color w:val="auto"/>
              </w:rPr>
            </w:pPr>
          </w:p>
        </w:tc>
        <w:tc>
          <w:tcPr>
            <w:tcW w:w="80" w:type="dxa"/>
            <w:vAlign w:val="bottom"/>
            <w:shd w:val="clear" w:color="auto" w:fill="F2F3F2"/>
          </w:tcPr>
          <w:p>
            <w:pPr>
              <w:spacing w:after="0"/>
              <w:rPr>
                <w:sz w:val="15"/>
                <w:szCs w:val="15"/>
                <w:color w:val="auto"/>
              </w:rPr>
            </w:pPr>
          </w:p>
        </w:tc>
        <w:tc>
          <w:tcPr>
            <w:tcW w:w="2060" w:type="dxa"/>
            <w:vAlign w:val="bottom"/>
            <w:shd w:val="clear" w:color="auto" w:fill="F2F3F2"/>
          </w:tcPr>
          <w:p>
            <w:pPr>
              <w:ind w:left="40"/>
              <w:spacing w:after="0"/>
              <w:rPr>
                <w:sz w:val="20"/>
                <w:szCs w:val="20"/>
                <w:color w:val="auto"/>
              </w:rPr>
            </w:pPr>
            <w:r>
              <w:rPr>
                <w:rFonts w:ascii="Arial" w:cs="Arial" w:eastAsia="Arial" w:hAnsi="Arial"/>
                <w:sz w:val="14"/>
                <w:szCs w:val="14"/>
                <w:color w:val="auto"/>
              </w:rPr>
              <w:t>Principles and enable our</w:t>
            </w:r>
          </w:p>
        </w:tc>
        <w:tc>
          <w:tcPr>
            <w:tcW w:w="120" w:type="dxa"/>
            <w:vAlign w:val="bottom"/>
            <w:tcBorders>
              <w:right w:val="single" w:sz="8" w:color="B2B3B6"/>
            </w:tcBorders>
            <w:shd w:val="clear" w:color="auto" w:fill="F2F3F2"/>
          </w:tcPr>
          <w:p>
            <w:pPr>
              <w:spacing w:after="0"/>
              <w:rPr>
                <w:sz w:val="15"/>
                <w:szCs w:val="15"/>
                <w:color w:val="auto"/>
              </w:rPr>
            </w:pPr>
          </w:p>
        </w:tc>
        <w:tc>
          <w:tcPr>
            <w:tcW w:w="80" w:type="dxa"/>
            <w:vAlign w:val="bottom"/>
            <w:shd w:val="clear" w:color="auto" w:fill="F2F3F2"/>
          </w:tcPr>
          <w:p>
            <w:pPr>
              <w:spacing w:after="0"/>
              <w:rPr>
                <w:sz w:val="15"/>
                <w:szCs w:val="15"/>
                <w:color w:val="auto"/>
              </w:rPr>
            </w:pPr>
          </w:p>
        </w:tc>
        <w:tc>
          <w:tcPr>
            <w:tcW w:w="2180" w:type="dxa"/>
            <w:vAlign w:val="bottom"/>
            <w:tcBorders>
              <w:right w:val="single" w:sz="8" w:color="B2B3B6"/>
            </w:tcBorders>
            <w:gridSpan w:val="2"/>
            <w:shd w:val="clear" w:color="auto" w:fill="F2F3F2"/>
          </w:tcPr>
          <w:p>
            <w:pPr>
              <w:ind w:left="40"/>
              <w:spacing w:after="0"/>
              <w:rPr>
                <w:sz w:val="20"/>
                <w:szCs w:val="20"/>
                <w:color w:val="auto"/>
              </w:rPr>
            </w:pPr>
            <w:r>
              <w:rPr>
                <w:rFonts w:ascii="Arial" w:cs="Arial" w:eastAsia="Arial" w:hAnsi="Arial"/>
                <w:sz w:val="14"/>
                <w:szCs w:val="14"/>
                <w:color w:val="auto"/>
              </w:rPr>
              <w:t>and non-financial results,</w:t>
            </w:r>
          </w:p>
        </w:tc>
        <w:tc>
          <w:tcPr>
            <w:tcW w:w="60" w:type="dxa"/>
            <w:vAlign w:val="bottom"/>
            <w:shd w:val="clear" w:color="auto" w:fill="F2F3F2"/>
          </w:tcPr>
          <w:p>
            <w:pPr>
              <w:spacing w:after="0"/>
              <w:rPr>
                <w:sz w:val="15"/>
                <w:szCs w:val="15"/>
                <w:color w:val="auto"/>
              </w:rPr>
            </w:pPr>
          </w:p>
        </w:tc>
        <w:tc>
          <w:tcPr>
            <w:tcW w:w="2220" w:type="dxa"/>
            <w:vAlign w:val="bottom"/>
            <w:gridSpan w:val="2"/>
            <w:shd w:val="clear" w:color="auto" w:fill="F2F3F2"/>
          </w:tcPr>
          <w:p>
            <w:pPr>
              <w:ind w:left="60"/>
              <w:spacing w:after="0"/>
              <w:rPr>
                <w:sz w:val="20"/>
                <w:szCs w:val="20"/>
                <w:color w:val="auto"/>
              </w:rPr>
            </w:pPr>
            <w:r>
              <w:rPr>
                <w:rFonts w:ascii="Arial" w:cs="Arial" w:eastAsia="Arial" w:hAnsi="Arial"/>
                <w:sz w:val="14"/>
                <w:szCs w:val="14"/>
                <w:color w:val="auto"/>
              </w:rPr>
              <w:t>Compensation Committee</w:t>
            </w:r>
          </w:p>
        </w:tc>
        <w:tc>
          <w:tcPr>
            <w:tcW w:w="0" w:type="dxa"/>
            <w:vAlign w:val="bottom"/>
          </w:tcPr>
          <w:p>
            <w:pPr>
              <w:spacing w:after="0"/>
              <w:rPr>
                <w:sz w:val="1"/>
                <w:szCs w:val="1"/>
                <w:color w:val="auto"/>
              </w:rPr>
            </w:pPr>
          </w:p>
        </w:tc>
      </w:tr>
      <w:tr>
        <w:trPr>
          <w:trHeight w:val="162"/>
        </w:trPr>
        <w:tc>
          <w:tcPr>
            <w:tcW w:w="100" w:type="dxa"/>
            <w:vAlign w:val="bottom"/>
            <w:shd w:val="clear" w:color="auto" w:fill="F2F3F2"/>
          </w:tcPr>
          <w:p>
            <w:pPr>
              <w:spacing w:after="0"/>
              <w:rPr>
                <w:sz w:val="14"/>
                <w:szCs w:val="14"/>
                <w:color w:val="auto"/>
              </w:rPr>
            </w:pPr>
          </w:p>
        </w:tc>
        <w:tc>
          <w:tcPr>
            <w:tcW w:w="2060" w:type="dxa"/>
            <w:vAlign w:val="bottom"/>
            <w:shd w:val="clear" w:color="auto" w:fill="F2F3F2"/>
          </w:tcPr>
          <w:p>
            <w:pPr>
              <w:ind w:left="40"/>
              <w:spacing w:after="0"/>
              <w:rPr>
                <w:sz w:val="20"/>
                <w:szCs w:val="20"/>
                <w:color w:val="auto"/>
              </w:rPr>
            </w:pPr>
            <w:r>
              <w:rPr>
                <w:rFonts w:ascii="Arial" w:cs="Arial" w:eastAsia="Arial" w:hAnsi="Arial"/>
                <w:sz w:val="14"/>
                <w:szCs w:val="14"/>
                <w:color w:val="auto"/>
              </w:rPr>
              <w:t>achievable, goals that align</w:t>
            </w:r>
          </w:p>
        </w:tc>
        <w:tc>
          <w:tcPr>
            <w:tcW w:w="120" w:type="dxa"/>
            <w:vAlign w:val="bottom"/>
            <w:tcBorders>
              <w:right w:val="single" w:sz="8" w:color="B2B3B6"/>
            </w:tcBorders>
            <w:shd w:val="clear" w:color="auto" w:fill="F2F3F2"/>
          </w:tcPr>
          <w:p>
            <w:pPr>
              <w:spacing w:after="0"/>
              <w:rPr>
                <w:sz w:val="14"/>
                <w:szCs w:val="14"/>
                <w:color w:val="auto"/>
              </w:rPr>
            </w:pPr>
          </w:p>
        </w:tc>
        <w:tc>
          <w:tcPr>
            <w:tcW w:w="80" w:type="dxa"/>
            <w:vAlign w:val="bottom"/>
            <w:shd w:val="clear" w:color="auto" w:fill="F2F3F2"/>
          </w:tcPr>
          <w:p>
            <w:pPr>
              <w:spacing w:after="0"/>
              <w:rPr>
                <w:sz w:val="14"/>
                <w:szCs w:val="14"/>
                <w:color w:val="auto"/>
              </w:rPr>
            </w:pPr>
          </w:p>
        </w:tc>
        <w:tc>
          <w:tcPr>
            <w:tcW w:w="2060" w:type="dxa"/>
            <w:vAlign w:val="bottom"/>
            <w:shd w:val="clear" w:color="auto" w:fill="F2F3F2"/>
          </w:tcPr>
          <w:p>
            <w:pPr>
              <w:ind w:left="40"/>
              <w:spacing w:after="0"/>
              <w:rPr>
                <w:sz w:val="20"/>
                <w:szCs w:val="20"/>
                <w:color w:val="auto"/>
              </w:rPr>
            </w:pPr>
            <w:r>
              <w:rPr>
                <w:rFonts w:ascii="Arial" w:cs="Arial" w:eastAsia="Arial" w:hAnsi="Arial"/>
                <w:sz w:val="14"/>
                <w:szCs w:val="14"/>
                <w:color w:val="auto"/>
              </w:rPr>
              <w:t>purpose-driven culture by</w:t>
            </w:r>
          </w:p>
        </w:tc>
        <w:tc>
          <w:tcPr>
            <w:tcW w:w="120" w:type="dxa"/>
            <w:vAlign w:val="bottom"/>
            <w:tcBorders>
              <w:right w:val="single" w:sz="8" w:color="B2B3B6"/>
            </w:tcBorders>
            <w:shd w:val="clear" w:color="auto" w:fill="F2F3F2"/>
          </w:tcPr>
          <w:p>
            <w:pPr>
              <w:spacing w:after="0"/>
              <w:rPr>
                <w:sz w:val="14"/>
                <w:szCs w:val="14"/>
                <w:color w:val="auto"/>
              </w:rPr>
            </w:pPr>
          </w:p>
        </w:tc>
        <w:tc>
          <w:tcPr>
            <w:tcW w:w="80" w:type="dxa"/>
            <w:vAlign w:val="bottom"/>
            <w:shd w:val="clear" w:color="auto" w:fill="F2F3F2"/>
          </w:tcPr>
          <w:p>
            <w:pPr>
              <w:spacing w:after="0"/>
              <w:rPr>
                <w:sz w:val="14"/>
                <w:szCs w:val="14"/>
                <w:color w:val="auto"/>
              </w:rPr>
            </w:pPr>
          </w:p>
        </w:tc>
        <w:tc>
          <w:tcPr>
            <w:tcW w:w="2180" w:type="dxa"/>
            <w:vAlign w:val="bottom"/>
            <w:tcBorders>
              <w:right w:val="single" w:sz="8" w:color="B2B3B6"/>
            </w:tcBorders>
            <w:gridSpan w:val="2"/>
            <w:shd w:val="clear" w:color="auto" w:fill="F2F3F2"/>
          </w:tcPr>
          <w:p>
            <w:pPr>
              <w:ind w:left="40"/>
              <w:spacing w:after="0"/>
              <w:rPr>
                <w:sz w:val="20"/>
                <w:szCs w:val="20"/>
                <w:color w:val="auto"/>
              </w:rPr>
            </w:pPr>
            <w:r>
              <w:rPr>
                <w:rFonts w:ascii="Arial" w:cs="Arial" w:eastAsia="Arial" w:hAnsi="Arial"/>
                <w:sz w:val="14"/>
                <w:szCs w:val="14"/>
                <w:color w:val="auto"/>
              </w:rPr>
              <w:t>emphasizing our clients,</w:t>
            </w:r>
          </w:p>
        </w:tc>
        <w:tc>
          <w:tcPr>
            <w:tcW w:w="60" w:type="dxa"/>
            <w:vAlign w:val="bottom"/>
            <w:shd w:val="clear" w:color="auto" w:fill="F2F3F2"/>
          </w:tcPr>
          <w:p>
            <w:pPr>
              <w:spacing w:after="0"/>
              <w:rPr>
                <w:sz w:val="14"/>
                <w:szCs w:val="14"/>
                <w:color w:val="auto"/>
              </w:rPr>
            </w:pPr>
          </w:p>
        </w:tc>
        <w:tc>
          <w:tcPr>
            <w:tcW w:w="2220" w:type="dxa"/>
            <w:vAlign w:val="bottom"/>
            <w:gridSpan w:val="2"/>
            <w:shd w:val="clear" w:color="auto" w:fill="F2F3F2"/>
          </w:tcPr>
          <w:p>
            <w:pPr>
              <w:ind w:left="60"/>
              <w:spacing w:after="0"/>
              <w:rPr>
                <w:sz w:val="20"/>
                <w:szCs w:val="20"/>
                <w:color w:val="auto"/>
              </w:rPr>
            </w:pPr>
            <w:r>
              <w:rPr>
                <w:rFonts w:ascii="Arial" w:cs="Arial" w:eastAsia="Arial" w:hAnsi="Arial"/>
                <w:sz w:val="14"/>
                <w:szCs w:val="14"/>
                <w:color w:val="auto"/>
              </w:rPr>
              <w:t>considers good governance as</w:t>
            </w:r>
          </w:p>
        </w:tc>
        <w:tc>
          <w:tcPr>
            <w:tcW w:w="0" w:type="dxa"/>
            <w:vAlign w:val="bottom"/>
          </w:tcPr>
          <w:p>
            <w:pPr>
              <w:spacing w:after="0"/>
              <w:rPr>
                <w:sz w:val="1"/>
                <w:szCs w:val="1"/>
                <w:color w:val="auto"/>
              </w:rPr>
            </w:pPr>
          </w:p>
        </w:tc>
      </w:tr>
      <w:tr>
        <w:trPr>
          <w:trHeight w:val="175"/>
        </w:trPr>
        <w:tc>
          <w:tcPr>
            <w:tcW w:w="100" w:type="dxa"/>
            <w:vAlign w:val="bottom"/>
            <w:shd w:val="clear" w:color="auto" w:fill="F2F3F2"/>
          </w:tcPr>
          <w:p>
            <w:pPr>
              <w:spacing w:after="0"/>
              <w:rPr>
                <w:sz w:val="15"/>
                <w:szCs w:val="15"/>
                <w:color w:val="auto"/>
              </w:rPr>
            </w:pPr>
          </w:p>
        </w:tc>
        <w:tc>
          <w:tcPr>
            <w:tcW w:w="2060" w:type="dxa"/>
            <w:vAlign w:val="bottom"/>
            <w:shd w:val="clear" w:color="auto" w:fill="F2F3F2"/>
          </w:tcPr>
          <w:p>
            <w:pPr>
              <w:ind w:left="40"/>
              <w:spacing w:after="0"/>
              <w:rPr>
                <w:sz w:val="20"/>
                <w:szCs w:val="20"/>
                <w:color w:val="auto"/>
              </w:rPr>
            </w:pPr>
            <w:r>
              <w:rPr>
                <w:rFonts w:ascii="Arial" w:cs="Arial" w:eastAsia="Arial" w:hAnsi="Arial"/>
                <w:sz w:val="14"/>
                <w:szCs w:val="14"/>
                <w:color w:val="auto"/>
              </w:rPr>
              <w:t>with the long-term interests of</w:t>
            </w:r>
          </w:p>
        </w:tc>
        <w:tc>
          <w:tcPr>
            <w:tcW w:w="120" w:type="dxa"/>
            <w:vAlign w:val="bottom"/>
            <w:tcBorders>
              <w:right w:val="single" w:sz="8" w:color="B2B3B6"/>
            </w:tcBorders>
            <w:shd w:val="clear" w:color="auto" w:fill="F2F3F2"/>
          </w:tcPr>
          <w:p>
            <w:pPr>
              <w:spacing w:after="0"/>
              <w:rPr>
                <w:sz w:val="15"/>
                <w:szCs w:val="15"/>
                <w:color w:val="auto"/>
              </w:rPr>
            </w:pPr>
          </w:p>
        </w:tc>
        <w:tc>
          <w:tcPr>
            <w:tcW w:w="80" w:type="dxa"/>
            <w:vAlign w:val="bottom"/>
            <w:shd w:val="clear" w:color="auto" w:fill="F2F3F2"/>
          </w:tcPr>
          <w:p>
            <w:pPr>
              <w:spacing w:after="0"/>
              <w:rPr>
                <w:sz w:val="15"/>
                <w:szCs w:val="15"/>
                <w:color w:val="auto"/>
              </w:rPr>
            </w:pPr>
          </w:p>
        </w:tc>
        <w:tc>
          <w:tcPr>
            <w:tcW w:w="2060" w:type="dxa"/>
            <w:vAlign w:val="bottom"/>
            <w:shd w:val="clear" w:color="auto" w:fill="F2F3F2"/>
          </w:tcPr>
          <w:p>
            <w:pPr>
              <w:ind w:left="40"/>
              <w:spacing w:after="0"/>
              <w:rPr>
                <w:sz w:val="20"/>
                <w:szCs w:val="20"/>
                <w:color w:val="auto"/>
              </w:rPr>
            </w:pPr>
            <w:r>
              <w:rPr>
                <w:rFonts w:ascii="Arial" w:cs="Arial" w:eastAsia="Arial" w:hAnsi="Arial"/>
                <w:sz w:val="14"/>
                <w:szCs w:val="14"/>
                <w:color w:val="auto"/>
              </w:rPr>
              <w:t>providing a competitive total</w:t>
            </w:r>
          </w:p>
        </w:tc>
        <w:tc>
          <w:tcPr>
            <w:tcW w:w="120" w:type="dxa"/>
            <w:vAlign w:val="bottom"/>
            <w:tcBorders>
              <w:right w:val="single" w:sz="8" w:color="B2B3B6"/>
            </w:tcBorders>
            <w:shd w:val="clear" w:color="auto" w:fill="F2F3F2"/>
          </w:tcPr>
          <w:p>
            <w:pPr>
              <w:spacing w:after="0"/>
              <w:rPr>
                <w:sz w:val="15"/>
                <w:szCs w:val="15"/>
                <w:color w:val="auto"/>
              </w:rPr>
            </w:pPr>
          </w:p>
        </w:tc>
        <w:tc>
          <w:tcPr>
            <w:tcW w:w="80" w:type="dxa"/>
            <w:vAlign w:val="bottom"/>
            <w:shd w:val="clear" w:color="auto" w:fill="F2F3F2"/>
          </w:tcPr>
          <w:p>
            <w:pPr>
              <w:spacing w:after="0"/>
              <w:rPr>
                <w:sz w:val="15"/>
                <w:szCs w:val="15"/>
                <w:color w:val="auto"/>
              </w:rPr>
            </w:pPr>
          </w:p>
        </w:tc>
        <w:tc>
          <w:tcPr>
            <w:tcW w:w="2180" w:type="dxa"/>
            <w:vAlign w:val="bottom"/>
            <w:tcBorders>
              <w:right w:val="single" w:sz="8" w:color="B2B3B6"/>
            </w:tcBorders>
            <w:gridSpan w:val="2"/>
            <w:shd w:val="clear" w:color="auto" w:fill="F2F3F2"/>
          </w:tcPr>
          <w:p>
            <w:pPr>
              <w:ind w:left="40"/>
              <w:spacing w:after="0"/>
              <w:rPr>
                <w:sz w:val="20"/>
                <w:szCs w:val="20"/>
                <w:color w:val="auto"/>
              </w:rPr>
            </w:pPr>
            <w:r>
              <w:rPr>
                <w:rFonts w:ascii="Arial" w:cs="Arial" w:eastAsia="Arial" w:hAnsi="Arial"/>
                <w:sz w:val="14"/>
                <w:szCs w:val="14"/>
                <w:color w:val="auto"/>
              </w:rPr>
              <w:t>communities and employees.</w:t>
            </w:r>
          </w:p>
        </w:tc>
        <w:tc>
          <w:tcPr>
            <w:tcW w:w="60" w:type="dxa"/>
            <w:vAlign w:val="bottom"/>
            <w:shd w:val="clear" w:color="auto" w:fill="F2F3F2"/>
          </w:tcPr>
          <w:p>
            <w:pPr>
              <w:spacing w:after="0"/>
              <w:rPr>
                <w:sz w:val="15"/>
                <w:szCs w:val="15"/>
                <w:color w:val="auto"/>
              </w:rPr>
            </w:pPr>
          </w:p>
        </w:tc>
        <w:tc>
          <w:tcPr>
            <w:tcW w:w="2220" w:type="dxa"/>
            <w:vAlign w:val="bottom"/>
            <w:gridSpan w:val="2"/>
            <w:shd w:val="clear" w:color="auto" w:fill="F2F3F2"/>
          </w:tcPr>
          <w:p>
            <w:pPr>
              <w:ind w:left="60"/>
              <w:spacing w:after="0"/>
              <w:rPr>
                <w:sz w:val="20"/>
                <w:szCs w:val="20"/>
                <w:color w:val="auto"/>
              </w:rPr>
            </w:pPr>
            <w:r>
              <w:rPr>
                <w:rFonts w:ascii="Arial" w:cs="Arial" w:eastAsia="Arial" w:hAnsi="Arial"/>
                <w:sz w:val="14"/>
                <w:szCs w:val="14"/>
                <w:color w:val="auto"/>
              </w:rPr>
              <w:t>they review our compensation</w:t>
            </w:r>
          </w:p>
        </w:tc>
        <w:tc>
          <w:tcPr>
            <w:tcW w:w="0" w:type="dxa"/>
            <w:vAlign w:val="bottom"/>
          </w:tcPr>
          <w:p>
            <w:pPr>
              <w:spacing w:after="0"/>
              <w:rPr>
                <w:sz w:val="1"/>
                <w:szCs w:val="1"/>
                <w:color w:val="auto"/>
              </w:rPr>
            </w:pPr>
          </w:p>
        </w:tc>
      </w:tr>
      <w:tr>
        <w:trPr>
          <w:trHeight w:val="175"/>
        </w:trPr>
        <w:tc>
          <w:tcPr>
            <w:tcW w:w="100" w:type="dxa"/>
            <w:vAlign w:val="bottom"/>
            <w:shd w:val="clear" w:color="auto" w:fill="F2F3F2"/>
          </w:tcPr>
          <w:p>
            <w:pPr>
              <w:spacing w:after="0"/>
              <w:rPr>
                <w:sz w:val="15"/>
                <w:szCs w:val="15"/>
                <w:color w:val="auto"/>
              </w:rPr>
            </w:pPr>
          </w:p>
        </w:tc>
        <w:tc>
          <w:tcPr>
            <w:tcW w:w="2060" w:type="dxa"/>
            <w:vAlign w:val="bottom"/>
            <w:shd w:val="clear" w:color="auto" w:fill="F2F3F2"/>
          </w:tcPr>
          <w:p>
            <w:pPr>
              <w:ind w:left="40"/>
              <w:spacing w:after="0"/>
              <w:rPr>
                <w:sz w:val="20"/>
                <w:szCs w:val="20"/>
                <w:color w:val="auto"/>
              </w:rPr>
            </w:pPr>
            <w:r>
              <w:rPr>
                <w:rFonts w:ascii="Arial" w:cs="Arial" w:eastAsia="Arial" w:hAnsi="Arial"/>
                <w:sz w:val="14"/>
                <w:szCs w:val="14"/>
                <w:color w:val="auto"/>
              </w:rPr>
              <w:t>our stockholders.</w:t>
            </w:r>
          </w:p>
        </w:tc>
        <w:tc>
          <w:tcPr>
            <w:tcW w:w="120" w:type="dxa"/>
            <w:vAlign w:val="bottom"/>
            <w:tcBorders>
              <w:right w:val="single" w:sz="8" w:color="B2B3B6"/>
            </w:tcBorders>
            <w:shd w:val="clear" w:color="auto" w:fill="F2F3F2"/>
          </w:tcPr>
          <w:p>
            <w:pPr>
              <w:spacing w:after="0"/>
              <w:rPr>
                <w:sz w:val="15"/>
                <w:szCs w:val="15"/>
                <w:color w:val="auto"/>
              </w:rPr>
            </w:pPr>
          </w:p>
        </w:tc>
        <w:tc>
          <w:tcPr>
            <w:tcW w:w="80" w:type="dxa"/>
            <w:vAlign w:val="bottom"/>
            <w:shd w:val="clear" w:color="auto" w:fill="F2F3F2"/>
          </w:tcPr>
          <w:p>
            <w:pPr>
              <w:spacing w:after="0"/>
              <w:rPr>
                <w:sz w:val="15"/>
                <w:szCs w:val="15"/>
                <w:color w:val="auto"/>
              </w:rPr>
            </w:pPr>
          </w:p>
        </w:tc>
        <w:tc>
          <w:tcPr>
            <w:tcW w:w="2060" w:type="dxa"/>
            <w:vAlign w:val="bottom"/>
            <w:shd w:val="clear" w:color="auto" w:fill="F2F3F2"/>
          </w:tcPr>
          <w:p>
            <w:pPr>
              <w:ind w:left="40"/>
              <w:spacing w:after="0"/>
              <w:rPr>
                <w:sz w:val="20"/>
                <w:szCs w:val="20"/>
                <w:color w:val="auto"/>
              </w:rPr>
            </w:pPr>
            <w:r>
              <w:rPr>
                <w:rFonts w:ascii="Arial" w:cs="Arial" w:eastAsia="Arial" w:hAnsi="Arial"/>
                <w:sz w:val="14"/>
                <w:szCs w:val="14"/>
                <w:color w:val="auto"/>
              </w:rPr>
              <w:t>rewards program compared to</w:t>
            </w:r>
          </w:p>
        </w:tc>
        <w:tc>
          <w:tcPr>
            <w:tcW w:w="120" w:type="dxa"/>
            <w:vAlign w:val="bottom"/>
            <w:tcBorders>
              <w:right w:val="single" w:sz="8" w:color="B2B3B6"/>
            </w:tcBorders>
            <w:shd w:val="clear" w:color="auto" w:fill="F2F3F2"/>
          </w:tcPr>
          <w:p>
            <w:pPr>
              <w:spacing w:after="0"/>
              <w:rPr>
                <w:sz w:val="15"/>
                <w:szCs w:val="15"/>
                <w:color w:val="auto"/>
              </w:rPr>
            </w:pPr>
          </w:p>
        </w:tc>
        <w:tc>
          <w:tcPr>
            <w:tcW w:w="80" w:type="dxa"/>
            <w:vAlign w:val="bottom"/>
            <w:shd w:val="clear" w:color="auto" w:fill="F2F3F2"/>
          </w:tcPr>
          <w:p>
            <w:pPr>
              <w:spacing w:after="0"/>
              <w:rPr>
                <w:sz w:val="15"/>
                <w:szCs w:val="15"/>
                <w:color w:val="auto"/>
              </w:rPr>
            </w:pPr>
          </w:p>
        </w:tc>
        <w:tc>
          <w:tcPr>
            <w:tcW w:w="2060" w:type="dxa"/>
            <w:vAlign w:val="bottom"/>
            <w:shd w:val="clear" w:color="auto" w:fill="F2F3F2"/>
          </w:tcPr>
          <w:p>
            <w:pPr>
              <w:spacing w:after="0"/>
              <w:rPr>
                <w:sz w:val="15"/>
                <w:szCs w:val="15"/>
                <w:color w:val="auto"/>
              </w:rPr>
            </w:pPr>
          </w:p>
        </w:tc>
        <w:tc>
          <w:tcPr>
            <w:tcW w:w="120" w:type="dxa"/>
            <w:vAlign w:val="bottom"/>
            <w:tcBorders>
              <w:right w:val="single" w:sz="8" w:color="B2B3B6"/>
            </w:tcBorders>
            <w:shd w:val="clear" w:color="auto" w:fill="F2F3F2"/>
          </w:tcPr>
          <w:p>
            <w:pPr>
              <w:spacing w:after="0"/>
              <w:rPr>
                <w:sz w:val="15"/>
                <w:szCs w:val="15"/>
                <w:color w:val="auto"/>
              </w:rPr>
            </w:pPr>
          </w:p>
        </w:tc>
        <w:tc>
          <w:tcPr>
            <w:tcW w:w="60" w:type="dxa"/>
            <w:vAlign w:val="bottom"/>
            <w:shd w:val="clear" w:color="auto" w:fill="F2F3F2"/>
          </w:tcPr>
          <w:p>
            <w:pPr>
              <w:spacing w:after="0"/>
              <w:rPr>
                <w:sz w:val="15"/>
                <w:szCs w:val="15"/>
                <w:color w:val="auto"/>
              </w:rPr>
            </w:pPr>
          </w:p>
        </w:tc>
        <w:tc>
          <w:tcPr>
            <w:tcW w:w="2220" w:type="dxa"/>
            <w:vAlign w:val="bottom"/>
            <w:gridSpan w:val="2"/>
            <w:shd w:val="clear" w:color="auto" w:fill="F2F3F2"/>
          </w:tcPr>
          <w:p>
            <w:pPr>
              <w:ind w:left="60"/>
              <w:spacing w:after="0"/>
              <w:rPr>
                <w:sz w:val="20"/>
                <w:szCs w:val="20"/>
                <w:color w:val="auto"/>
              </w:rPr>
            </w:pPr>
            <w:r>
              <w:rPr>
                <w:rFonts w:ascii="Arial" w:cs="Arial" w:eastAsia="Arial" w:hAnsi="Arial"/>
                <w:sz w:val="14"/>
                <w:szCs w:val="14"/>
                <w:color w:val="auto"/>
              </w:rPr>
              <w:t>programs and adopt policies</w:t>
            </w:r>
          </w:p>
        </w:tc>
        <w:tc>
          <w:tcPr>
            <w:tcW w:w="0" w:type="dxa"/>
            <w:vAlign w:val="bottom"/>
          </w:tcPr>
          <w:p>
            <w:pPr>
              <w:spacing w:after="0"/>
              <w:rPr>
                <w:sz w:val="1"/>
                <w:szCs w:val="1"/>
                <w:color w:val="auto"/>
              </w:rPr>
            </w:pPr>
          </w:p>
        </w:tc>
      </w:tr>
      <w:tr>
        <w:trPr>
          <w:trHeight w:val="175"/>
        </w:trPr>
        <w:tc>
          <w:tcPr>
            <w:tcW w:w="100" w:type="dxa"/>
            <w:vAlign w:val="bottom"/>
            <w:shd w:val="clear" w:color="auto" w:fill="F2F3F2"/>
          </w:tcPr>
          <w:p>
            <w:pPr>
              <w:spacing w:after="0"/>
              <w:rPr>
                <w:sz w:val="15"/>
                <w:szCs w:val="15"/>
                <w:color w:val="auto"/>
              </w:rPr>
            </w:pPr>
          </w:p>
        </w:tc>
        <w:tc>
          <w:tcPr>
            <w:tcW w:w="2060" w:type="dxa"/>
            <w:vAlign w:val="bottom"/>
            <w:shd w:val="clear" w:color="auto" w:fill="F2F3F2"/>
          </w:tcPr>
          <w:p>
            <w:pPr>
              <w:spacing w:after="0"/>
              <w:rPr>
                <w:sz w:val="15"/>
                <w:szCs w:val="15"/>
                <w:color w:val="auto"/>
              </w:rPr>
            </w:pPr>
          </w:p>
        </w:tc>
        <w:tc>
          <w:tcPr>
            <w:tcW w:w="120" w:type="dxa"/>
            <w:vAlign w:val="bottom"/>
            <w:tcBorders>
              <w:right w:val="single" w:sz="8" w:color="B2B3B6"/>
            </w:tcBorders>
            <w:shd w:val="clear" w:color="auto" w:fill="F2F3F2"/>
          </w:tcPr>
          <w:p>
            <w:pPr>
              <w:spacing w:after="0"/>
              <w:rPr>
                <w:sz w:val="15"/>
                <w:szCs w:val="15"/>
                <w:color w:val="auto"/>
              </w:rPr>
            </w:pPr>
          </w:p>
        </w:tc>
        <w:tc>
          <w:tcPr>
            <w:tcW w:w="80" w:type="dxa"/>
            <w:vAlign w:val="bottom"/>
            <w:shd w:val="clear" w:color="auto" w:fill="F2F3F2"/>
          </w:tcPr>
          <w:p>
            <w:pPr>
              <w:spacing w:after="0"/>
              <w:rPr>
                <w:sz w:val="15"/>
                <w:szCs w:val="15"/>
                <w:color w:val="auto"/>
              </w:rPr>
            </w:pPr>
          </w:p>
        </w:tc>
        <w:tc>
          <w:tcPr>
            <w:tcW w:w="2060" w:type="dxa"/>
            <w:vAlign w:val="bottom"/>
            <w:shd w:val="clear" w:color="auto" w:fill="F2F3F2"/>
          </w:tcPr>
          <w:p>
            <w:pPr>
              <w:ind w:left="40"/>
              <w:spacing w:after="0"/>
              <w:rPr>
                <w:sz w:val="20"/>
                <w:szCs w:val="20"/>
                <w:color w:val="auto"/>
              </w:rPr>
            </w:pPr>
            <w:r>
              <w:rPr>
                <w:rFonts w:ascii="Arial" w:cs="Arial" w:eastAsia="Arial" w:hAnsi="Arial"/>
                <w:sz w:val="14"/>
                <w:szCs w:val="14"/>
                <w:color w:val="auto"/>
              </w:rPr>
              <w:t>companies with whom we</w:t>
            </w:r>
          </w:p>
        </w:tc>
        <w:tc>
          <w:tcPr>
            <w:tcW w:w="120" w:type="dxa"/>
            <w:vAlign w:val="bottom"/>
            <w:tcBorders>
              <w:right w:val="single" w:sz="8" w:color="B2B3B6"/>
            </w:tcBorders>
            <w:shd w:val="clear" w:color="auto" w:fill="F2F3F2"/>
          </w:tcPr>
          <w:p>
            <w:pPr>
              <w:spacing w:after="0"/>
              <w:rPr>
                <w:sz w:val="15"/>
                <w:szCs w:val="15"/>
                <w:color w:val="auto"/>
              </w:rPr>
            </w:pPr>
          </w:p>
        </w:tc>
        <w:tc>
          <w:tcPr>
            <w:tcW w:w="80" w:type="dxa"/>
            <w:vAlign w:val="bottom"/>
            <w:shd w:val="clear" w:color="auto" w:fill="F2F3F2"/>
          </w:tcPr>
          <w:p>
            <w:pPr>
              <w:spacing w:after="0"/>
              <w:rPr>
                <w:sz w:val="15"/>
                <w:szCs w:val="15"/>
                <w:color w:val="auto"/>
              </w:rPr>
            </w:pPr>
          </w:p>
        </w:tc>
        <w:tc>
          <w:tcPr>
            <w:tcW w:w="2060" w:type="dxa"/>
            <w:vAlign w:val="bottom"/>
            <w:shd w:val="clear" w:color="auto" w:fill="F2F3F2"/>
          </w:tcPr>
          <w:p>
            <w:pPr>
              <w:spacing w:after="0"/>
              <w:rPr>
                <w:sz w:val="15"/>
                <w:szCs w:val="15"/>
                <w:color w:val="auto"/>
              </w:rPr>
            </w:pPr>
          </w:p>
        </w:tc>
        <w:tc>
          <w:tcPr>
            <w:tcW w:w="120" w:type="dxa"/>
            <w:vAlign w:val="bottom"/>
            <w:tcBorders>
              <w:right w:val="single" w:sz="8" w:color="B2B3B6"/>
            </w:tcBorders>
            <w:shd w:val="clear" w:color="auto" w:fill="F2F3F2"/>
          </w:tcPr>
          <w:p>
            <w:pPr>
              <w:spacing w:after="0"/>
              <w:rPr>
                <w:sz w:val="15"/>
                <w:szCs w:val="15"/>
                <w:color w:val="auto"/>
              </w:rPr>
            </w:pPr>
          </w:p>
        </w:tc>
        <w:tc>
          <w:tcPr>
            <w:tcW w:w="60" w:type="dxa"/>
            <w:vAlign w:val="bottom"/>
            <w:shd w:val="clear" w:color="auto" w:fill="F2F3F2"/>
          </w:tcPr>
          <w:p>
            <w:pPr>
              <w:spacing w:after="0"/>
              <w:rPr>
                <w:sz w:val="15"/>
                <w:szCs w:val="15"/>
                <w:color w:val="auto"/>
              </w:rPr>
            </w:pPr>
          </w:p>
        </w:tc>
        <w:tc>
          <w:tcPr>
            <w:tcW w:w="2220" w:type="dxa"/>
            <w:vAlign w:val="bottom"/>
            <w:gridSpan w:val="2"/>
            <w:shd w:val="clear" w:color="auto" w:fill="F2F3F2"/>
          </w:tcPr>
          <w:p>
            <w:pPr>
              <w:ind w:left="60"/>
              <w:spacing w:after="0"/>
              <w:rPr>
                <w:sz w:val="20"/>
                <w:szCs w:val="20"/>
                <w:color w:val="auto"/>
              </w:rPr>
            </w:pPr>
            <w:r>
              <w:rPr>
                <w:rFonts w:ascii="Arial" w:cs="Arial" w:eastAsia="Arial" w:hAnsi="Arial"/>
                <w:sz w:val="14"/>
                <w:szCs w:val="14"/>
                <w:color w:val="auto"/>
              </w:rPr>
              <w:t>that mitigate risk and</w:t>
            </w:r>
          </w:p>
        </w:tc>
        <w:tc>
          <w:tcPr>
            <w:tcW w:w="0" w:type="dxa"/>
            <w:vAlign w:val="bottom"/>
          </w:tcPr>
          <w:p>
            <w:pPr>
              <w:spacing w:after="0"/>
              <w:rPr>
                <w:sz w:val="1"/>
                <w:szCs w:val="1"/>
                <w:color w:val="auto"/>
              </w:rPr>
            </w:pPr>
          </w:p>
        </w:tc>
      </w:tr>
      <w:tr>
        <w:trPr>
          <w:trHeight w:val="176"/>
        </w:trPr>
        <w:tc>
          <w:tcPr>
            <w:tcW w:w="100" w:type="dxa"/>
            <w:vAlign w:val="bottom"/>
            <w:shd w:val="clear" w:color="auto" w:fill="F2F3F2"/>
          </w:tcPr>
          <w:p>
            <w:pPr>
              <w:spacing w:after="0"/>
              <w:rPr>
                <w:sz w:val="15"/>
                <w:szCs w:val="15"/>
                <w:color w:val="auto"/>
              </w:rPr>
            </w:pPr>
          </w:p>
        </w:tc>
        <w:tc>
          <w:tcPr>
            <w:tcW w:w="2060" w:type="dxa"/>
            <w:vAlign w:val="bottom"/>
            <w:shd w:val="clear" w:color="auto" w:fill="F2F3F2"/>
          </w:tcPr>
          <w:p>
            <w:pPr>
              <w:spacing w:after="0"/>
              <w:rPr>
                <w:sz w:val="15"/>
                <w:szCs w:val="15"/>
                <w:color w:val="auto"/>
              </w:rPr>
            </w:pPr>
          </w:p>
        </w:tc>
        <w:tc>
          <w:tcPr>
            <w:tcW w:w="120" w:type="dxa"/>
            <w:vAlign w:val="bottom"/>
            <w:tcBorders>
              <w:right w:val="single" w:sz="8" w:color="B2B3B6"/>
            </w:tcBorders>
            <w:shd w:val="clear" w:color="auto" w:fill="F2F3F2"/>
          </w:tcPr>
          <w:p>
            <w:pPr>
              <w:spacing w:after="0"/>
              <w:rPr>
                <w:sz w:val="15"/>
                <w:szCs w:val="15"/>
                <w:color w:val="auto"/>
              </w:rPr>
            </w:pPr>
          </w:p>
        </w:tc>
        <w:tc>
          <w:tcPr>
            <w:tcW w:w="80" w:type="dxa"/>
            <w:vAlign w:val="bottom"/>
            <w:shd w:val="clear" w:color="auto" w:fill="F2F3F2"/>
          </w:tcPr>
          <w:p>
            <w:pPr>
              <w:spacing w:after="0"/>
              <w:rPr>
                <w:sz w:val="15"/>
                <w:szCs w:val="15"/>
                <w:color w:val="auto"/>
              </w:rPr>
            </w:pPr>
          </w:p>
        </w:tc>
        <w:tc>
          <w:tcPr>
            <w:tcW w:w="2060" w:type="dxa"/>
            <w:vAlign w:val="bottom"/>
            <w:shd w:val="clear" w:color="auto" w:fill="F2F3F2"/>
          </w:tcPr>
          <w:p>
            <w:pPr>
              <w:ind w:left="40"/>
              <w:spacing w:after="0"/>
              <w:rPr>
                <w:sz w:val="20"/>
                <w:szCs w:val="20"/>
                <w:color w:val="auto"/>
              </w:rPr>
            </w:pPr>
            <w:r>
              <w:rPr>
                <w:rFonts w:ascii="Arial" w:cs="Arial" w:eastAsia="Arial" w:hAnsi="Arial"/>
                <w:sz w:val="14"/>
                <w:szCs w:val="14"/>
                <w:color w:val="auto"/>
              </w:rPr>
              <w:t>compete for business and</w:t>
            </w:r>
          </w:p>
        </w:tc>
        <w:tc>
          <w:tcPr>
            <w:tcW w:w="120" w:type="dxa"/>
            <w:vAlign w:val="bottom"/>
            <w:tcBorders>
              <w:right w:val="single" w:sz="8" w:color="B2B3B6"/>
            </w:tcBorders>
            <w:shd w:val="clear" w:color="auto" w:fill="F2F3F2"/>
          </w:tcPr>
          <w:p>
            <w:pPr>
              <w:spacing w:after="0"/>
              <w:rPr>
                <w:sz w:val="15"/>
                <w:szCs w:val="15"/>
                <w:color w:val="auto"/>
              </w:rPr>
            </w:pPr>
          </w:p>
        </w:tc>
        <w:tc>
          <w:tcPr>
            <w:tcW w:w="80" w:type="dxa"/>
            <w:vAlign w:val="bottom"/>
            <w:shd w:val="clear" w:color="auto" w:fill="F2F3F2"/>
          </w:tcPr>
          <w:p>
            <w:pPr>
              <w:spacing w:after="0"/>
              <w:rPr>
                <w:sz w:val="15"/>
                <w:szCs w:val="15"/>
                <w:color w:val="auto"/>
              </w:rPr>
            </w:pPr>
          </w:p>
        </w:tc>
        <w:tc>
          <w:tcPr>
            <w:tcW w:w="2060" w:type="dxa"/>
            <w:vAlign w:val="bottom"/>
            <w:shd w:val="clear" w:color="auto" w:fill="F2F3F2"/>
          </w:tcPr>
          <w:p>
            <w:pPr>
              <w:spacing w:after="0"/>
              <w:rPr>
                <w:sz w:val="15"/>
                <w:szCs w:val="15"/>
                <w:color w:val="auto"/>
              </w:rPr>
            </w:pPr>
          </w:p>
        </w:tc>
        <w:tc>
          <w:tcPr>
            <w:tcW w:w="120" w:type="dxa"/>
            <w:vAlign w:val="bottom"/>
            <w:tcBorders>
              <w:right w:val="single" w:sz="8" w:color="B2B3B6"/>
            </w:tcBorders>
            <w:shd w:val="clear" w:color="auto" w:fill="F2F3F2"/>
          </w:tcPr>
          <w:p>
            <w:pPr>
              <w:spacing w:after="0"/>
              <w:rPr>
                <w:sz w:val="15"/>
                <w:szCs w:val="15"/>
                <w:color w:val="auto"/>
              </w:rPr>
            </w:pPr>
          </w:p>
        </w:tc>
        <w:tc>
          <w:tcPr>
            <w:tcW w:w="60" w:type="dxa"/>
            <w:vAlign w:val="bottom"/>
            <w:shd w:val="clear" w:color="auto" w:fill="F2F3F2"/>
          </w:tcPr>
          <w:p>
            <w:pPr>
              <w:spacing w:after="0"/>
              <w:rPr>
                <w:sz w:val="15"/>
                <w:szCs w:val="15"/>
                <w:color w:val="auto"/>
              </w:rPr>
            </w:pPr>
          </w:p>
        </w:tc>
        <w:tc>
          <w:tcPr>
            <w:tcW w:w="2220" w:type="dxa"/>
            <w:vAlign w:val="bottom"/>
            <w:gridSpan w:val="2"/>
            <w:shd w:val="clear" w:color="auto" w:fill="F2F3F2"/>
          </w:tcPr>
          <w:p>
            <w:pPr>
              <w:ind w:left="60"/>
              <w:spacing w:after="0"/>
              <w:rPr>
                <w:sz w:val="20"/>
                <w:szCs w:val="20"/>
                <w:color w:val="auto"/>
              </w:rPr>
            </w:pPr>
            <w:r>
              <w:rPr>
                <w:rFonts w:ascii="Arial" w:cs="Arial" w:eastAsia="Arial" w:hAnsi="Arial"/>
                <w:sz w:val="14"/>
                <w:szCs w:val="14"/>
                <w:color w:val="auto"/>
              </w:rPr>
              <w:t>incentivize long-term results.</w:t>
            </w:r>
          </w:p>
        </w:tc>
        <w:tc>
          <w:tcPr>
            <w:tcW w:w="0" w:type="dxa"/>
            <w:vAlign w:val="bottom"/>
          </w:tcPr>
          <w:p>
            <w:pPr>
              <w:spacing w:after="0"/>
              <w:rPr>
                <w:sz w:val="1"/>
                <w:szCs w:val="1"/>
                <w:color w:val="auto"/>
              </w:rPr>
            </w:pPr>
          </w:p>
        </w:tc>
      </w:tr>
      <w:tr>
        <w:trPr>
          <w:trHeight w:val="162"/>
        </w:trPr>
        <w:tc>
          <w:tcPr>
            <w:tcW w:w="100" w:type="dxa"/>
            <w:vAlign w:val="bottom"/>
            <w:shd w:val="clear" w:color="auto" w:fill="F2F3F2"/>
          </w:tcPr>
          <w:p>
            <w:pPr>
              <w:spacing w:after="0"/>
              <w:rPr>
                <w:sz w:val="14"/>
                <w:szCs w:val="14"/>
                <w:color w:val="auto"/>
              </w:rPr>
            </w:pPr>
          </w:p>
        </w:tc>
        <w:tc>
          <w:tcPr>
            <w:tcW w:w="2060" w:type="dxa"/>
            <w:vAlign w:val="bottom"/>
            <w:shd w:val="clear" w:color="auto" w:fill="F2F3F2"/>
          </w:tcPr>
          <w:p>
            <w:pPr>
              <w:spacing w:after="0"/>
              <w:rPr>
                <w:sz w:val="14"/>
                <w:szCs w:val="14"/>
                <w:color w:val="auto"/>
              </w:rPr>
            </w:pPr>
          </w:p>
        </w:tc>
        <w:tc>
          <w:tcPr>
            <w:tcW w:w="120" w:type="dxa"/>
            <w:vAlign w:val="bottom"/>
            <w:tcBorders>
              <w:right w:val="single" w:sz="8" w:color="B2B3B6"/>
            </w:tcBorders>
            <w:shd w:val="clear" w:color="auto" w:fill="F2F3F2"/>
          </w:tcPr>
          <w:p>
            <w:pPr>
              <w:spacing w:after="0"/>
              <w:rPr>
                <w:sz w:val="14"/>
                <w:szCs w:val="14"/>
                <w:color w:val="auto"/>
              </w:rPr>
            </w:pPr>
          </w:p>
        </w:tc>
        <w:tc>
          <w:tcPr>
            <w:tcW w:w="80" w:type="dxa"/>
            <w:vAlign w:val="bottom"/>
            <w:shd w:val="clear" w:color="auto" w:fill="F2F3F2"/>
          </w:tcPr>
          <w:p>
            <w:pPr>
              <w:spacing w:after="0"/>
              <w:rPr>
                <w:sz w:val="14"/>
                <w:szCs w:val="14"/>
                <w:color w:val="auto"/>
              </w:rPr>
            </w:pPr>
          </w:p>
        </w:tc>
        <w:tc>
          <w:tcPr>
            <w:tcW w:w="2060" w:type="dxa"/>
            <w:vAlign w:val="bottom"/>
            <w:shd w:val="clear" w:color="auto" w:fill="F2F3F2"/>
          </w:tcPr>
          <w:p>
            <w:pPr>
              <w:ind w:left="40"/>
              <w:spacing w:after="0"/>
              <w:rPr>
                <w:sz w:val="20"/>
                <w:szCs w:val="20"/>
                <w:color w:val="auto"/>
              </w:rPr>
            </w:pPr>
            <w:r>
              <w:rPr>
                <w:rFonts w:ascii="Arial" w:cs="Arial" w:eastAsia="Arial" w:hAnsi="Arial"/>
                <w:sz w:val="14"/>
                <w:szCs w:val="14"/>
                <w:color w:val="auto"/>
              </w:rPr>
              <w:t>talent including, but not limited</w:t>
            </w:r>
          </w:p>
        </w:tc>
        <w:tc>
          <w:tcPr>
            <w:tcW w:w="120" w:type="dxa"/>
            <w:vAlign w:val="bottom"/>
            <w:tcBorders>
              <w:right w:val="single" w:sz="8" w:color="B2B3B6"/>
            </w:tcBorders>
            <w:shd w:val="clear" w:color="auto" w:fill="F2F3F2"/>
          </w:tcPr>
          <w:p>
            <w:pPr>
              <w:spacing w:after="0"/>
              <w:rPr>
                <w:sz w:val="14"/>
                <w:szCs w:val="14"/>
                <w:color w:val="auto"/>
              </w:rPr>
            </w:pPr>
          </w:p>
        </w:tc>
        <w:tc>
          <w:tcPr>
            <w:tcW w:w="80" w:type="dxa"/>
            <w:vAlign w:val="bottom"/>
            <w:shd w:val="clear" w:color="auto" w:fill="F2F3F2"/>
          </w:tcPr>
          <w:p>
            <w:pPr>
              <w:spacing w:after="0"/>
              <w:rPr>
                <w:sz w:val="14"/>
                <w:szCs w:val="14"/>
                <w:color w:val="auto"/>
              </w:rPr>
            </w:pPr>
          </w:p>
        </w:tc>
        <w:tc>
          <w:tcPr>
            <w:tcW w:w="2060" w:type="dxa"/>
            <w:vAlign w:val="bottom"/>
            <w:shd w:val="clear" w:color="auto" w:fill="F2F3F2"/>
          </w:tcPr>
          <w:p>
            <w:pPr>
              <w:spacing w:after="0"/>
              <w:rPr>
                <w:sz w:val="14"/>
                <w:szCs w:val="14"/>
                <w:color w:val="auto"/>
              </w:rPr>
            </w:pPr>
          </w:p>
        </w:tc>
        <w:tc>
          <w:tcPr>
            <w:tcW w:w="120" w:type="dxa"/>
            <w:vAlign w:val="bottom"/>
            <w:tcBorders>
              <w:right w:val="single" w:sz="8" w:color="B2B3B6"/>
            </w:tcBorders>
            <w:shd w:val="clear" w:color="auto" w:fill="F2F3F2"/>
          </w:tcPr>
          <w:p>
            <w:pPr>
              <w:spacing w:after="0"/>
              <w:rPr>
                <w:sz w:val="14"/>
                <w:szCs w:val="14"/>
                <w:color w:val="auto"/>
              </w:rPr>
            </w:pPr>
          </w:p>
        </w:tc>
        <w:tc>
          <w:tcPr>
            <w:tcW w:w="60" w:type="dxa"/>
            <w:vAlign w:val="bottom"/>
            <w:shd w:val="clear" w:color="auto" w:fill="F2F3F2"/>
          </w:tcPr>
          <w:p>
            <w:pPr>
              <w:spacing w:after="0"/>
              <w:rPr>
                <w:sz w:val="14"/>
                <w:szCs w:val="14"/>
                <w:color w:val="auto"/>
              </w:rPr>
            </w:pPr>
          </w:p>
        </w:tc>
        <w:tc>
          <w:tcPr>
            <w:tcW w:w="2120" w:type="dxa"/>
            <w:vAlign w:val="bottom"/>
            <w:shd w:val="clear" w:color="auto" w:fill="F2F3F2"/>
          </w:tcPr>
          <w:p>
            <w:pPr>
              <w:spacing w:after="0"/>
              <w:rPr>
                <w:sz w:val="14"/>
                <w:szCs w:val="14"/>
                <w:color w:val="auto"/>
              </w:rPr>
            </w:pPr>
          </w:p>
        </w:tc>
        <w:tc>
          <w:tcPr>
            <w:tcW w:w="100" w:type="dxa"/>
            <w:vAlign w:val="bottom"/>
            <w:shd w:val="clear" w:color="auto" w:fill="F2F3F2"/>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00" w:type="dxa"/>
            <w:vAlign w:val="bottom"/>
            <w:shd w:val="clear" w:color="auto" w:fill="F2F3F2"/>
          </w:tcPr>
          <w:p>
            <w:pPr>
              <w:spacing w:after="0"/>
              <w:rPr>
                <w:sz w:val="15"/>
                <w:szCs w:val="15"/>
                <w:color w:val="auto"/>
              </w:rPr>
            </w:pPr>
          </w:p>
        </w:tc>
        <w:tc>
          <w:tcPr>
            <w:tcW w:w="2060" w:type="dxa"/>
            <w:vAlign w:val="bottom"/>
            <w:shd w:val="clear" w:color="auto" w:fill="F2F3F2"/>
          </w:tcPr>
          <w:p>
            <w:pPr>
              <w:spacing w:after="0"/>
              <w:rPr>
                <w:sz w:val="15"/>
                <w:szCs w:val="15"/>
                <w:color w:val="auto"/>
              </w:rPr>
            </w:pPr>
          </w:p>
        </w:tc>
        <w:tc>
          <w:tcPr>
            <w:tcW w:w="120" w:type="dxa"/>
            <w:vAlign w:val="bottom"/>
            <w:tcBorders>
              <w:right w:val="single" w:sz="8" w:color="B2B3B6"/>
            </w:tcBorders>
            <w:shd w:val="clear" w:color="auto" w:fill="F2F3F2"/>
          </w:tcPr>
          <w:p>
            <w:pPr>
              <w:spacing w:after="0"/>
              <w:rPr>
                <w:sz w:val="15"/>
                <w:szCs w:val="15"/>
                <w:color w:val="auto"/>
              </w:rPr>
            </w:pPr>
          </w:p>
        </w:tc>
        <w:tc>
          <w:tcPr>
            <w:tcW w:w="80" w:type="dxa"/>
            <w:vAlign w:val="bottom"/>
            <w:shd w:val="clear" w:color="auto" w:fill="F2F3F2"/>
          </w:tcPr>
          <w:p>
            <w:pPr>
              <w:spacing w:after="0"/>
              <w:rPr>
                <w:sz w:val="15"/>
                <w:szCs w:val="15"/>
                <w:color w:val="auto"/>
              </w:rPr>
            </w:pPr>
          </w:p>
        </w:tc>
        <w:tc>
          <w:tcPr>
            <w:tcW w:w="2060" w:type="dxa"/>
            <w:vAlign w:val="bottom"/>
            <w:shd w:val="clear" w:color="auto" w:fill="F2F3F2"/>
          </w:tcPr>
          <w:p>
            <w:pPr>
              <w:ind w:left="40"/>
              <w:spacing w:after="0"/>
              <w:rPr>
                <w:sz w:val="20"/>
                <w:szCs w:val="20"/>
                <w:color w:val="auto"/>
              </w:rPr>
            </w:pPr>
            <w:r>
              <w:rPr>
                <w:rFonts w:ascii="Arial" w:cs="Arial" w:eastAsia="Arial" w:hAnsi="Arial"/>
                <w:sz w:val="14"/>
                <w:szCs w:val="14"/>
                <w:color w:val="auto"/>
              </w:rPr>
              <w:t>to, our compensation peer</w:t>
            </w:r>
          </w:p>
        </w:tc>
        <w:tc>
          <w:tcPr>
            <w:tcW w:w="120" w:type="dxa"/>
            <w:vAlign w:val="bottom"/>
            <w:tcBorders>
              <w:right w:val="single" w:sz="8" w:color="B2B3B6"/>
            </w:tcBorders>
            <w:shd w:val="clear" w:color="auto" w:fill="F2F3F2"/>
          </w:tcPr>
          <w:p>
            <w:pPr>
              <w:spacing w:after="0"/>
              <w:rPr>
                <w:sz w:val="15"/>
                <w:szCs w:val="15"/>
                <w:color w:val="auto"/>
              </w:rPr>
            </w:pPr>
          </w:p>
        </w:tc>
        <w:tc>
          <w:tcPr>
            <w:tcW w:w="80" w:type="dxa"/>
            <w:vAlign w:val="bottom"/>
            <w:shd w:val="clear" w:color="auto" w:fill="F2F3F2"/>
          </w:tcPr>
          <w:p>
            <w:pPr>
              <w:spacing w:after="0"/>
              <w:rPr>
                <w:sz w:val="15"/>
                <w:szCs w:val="15"/>
                <w:color w:val="auto"/>
              </w:rPr>
            </w:pPr>
          </w:p>
        </w:tc>
        <w:tc>
          <w:tcPr>
            <w:tcW w:w="2060" w:type="dxa"/>
            <w:vAlign w:val="bottom"/>
            <w:shd w:val="clear" w:color="auto" w:fill="F2F3F2"/>
          </w:tcPr>
          <w:p>
            <w:pPr>
              <w:spacing w:after="0"/>
              <w:rPr>
                <w:sz w:val="15"/>
                <w:szCs w:val="15"/>
                <w:color w:val="auto"/>
              </w:rPr>
            </w:pPr>
          </w:p>
        </w:tc>
        <w:tc>
          <w:tcPr>
            <w:tcW w:w="120" w:type="dxa"/>
            <w:vAlign w:val="bottom"/>
            <w:tcBorders>
              <w:right w:val="single" w:sz="8" w:color="B2B3B6"/>
            </w:tcBorders>
            <w:shd w:val="clear" w:color="auto" w:fill="F2F3F2"/>
          </w:tcPr>
          <w:p>
            <w:pPr>
              <w:spacing w:after="0"/>
              <w:rPr>
                <w:sz w:val="15"/>
                <w:szCs w:val="15"/>
                <w:color w:val="auto"/>
              </w:rPr>
            </w:pPr>
          </w:p>
        </w:tc>
        <w:tc>
          <w:tcPr>
            <w:tcW w:w="60" w:type="dxa"/>
            <w:vAlign w:val="bottom"/>
            <w:shd w:val="clear" w:color="auto" w:fill="F2F3F2"/>
          </w:tcPr>
          <w:p>
            <w:pPr>
              <w:spacing w:after="0"/>
              <w:rPr>
                <w:sz w:val="15"/>
                <w:szCs w:val="15"/>
                <w:color w:val="auto"/>
              </w:rPr>
            </w:pPr>
          </w:p>
        </w:tc>
        <w:tc>
          <w:tcPr>
            <w:tcW w:w="2120" w:type="dxa"/>
            <w:vAlign w:val="bottom"/>
            <w:shd w:val="clear" w:color="auto" w:fill="F2F3F2"/>
          </w:tcPr>
          <w:p>
            <w:pPr>
              <w:spacing w:after="0"/>
              <w:rPr>
                <w:sz w:val="15"/>
                <w:szCs w:val="15"/>
                <w:color w:val="auto"/>
              </w:rPr>
            </w:pPr>
          </w:p>
        </w:tc>
        <w:tc>
          <w:tcPr>
            <w:tcW w:w="100" w:type="dxa"/>
            <w:vAlign w:val="bottom"/>
            <w:shd w:val="clear" w:color="auto" w:fill="F2F3F2"/>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00" w:type="dxa"/>
            <w:vAlign w:val="bottom"/>
            <w:tcBorders>
              <w:bottom w:val="single" w:sz="8" w:color="F2F3F2"/>
            </w:tcBorders>
            <w:shd w:val="clear" w:color="auto" w:fill="F2F3F2"/>
          </w:tcPr>
          <w:p>
            <w:pPr>
              <w:spacing w:after="0"/>
              <w:rPr>
                <w:sz w:val="16"/>
                <w:szCs w:val="16"/>
                <w:color w:val="auto"/>
              </w:rPr>
            </w:pPr>
          </w:p>
        </w:tc>
        <w:tc>
          <w:tcPr>
            <w:tcW w:w="2060" w:type="dxa"/>
            <w:vAlign w:val="bottom"/>
            <w:tcBorders>
              <w:bottom w:val="single" w:sz="8" w:color="F2F3F2"/>
            </w:tcBorders>
            <w:shd w:val="clear" w:color="auto" w:fill="F2F3F2"/>
          </w:tcPr>
          <w:p>
            <w:pPr>
              <w:spacing w:after="0"/>
              <w:rPr>
                <w:sz w:val="16"/>
                <w:szCs w:val="16"/>
                <w:color w:val="auto"/>
              </w:rPr>
            </w:pPr>
          </w:p>
        </w:tc>
        <w:tc>
          <w:tcPr>
            <w:tcW w:w="120" w:type="dxa"/>
            <w:vAlign w:val="bottom"/>
            <w:tcBorders>
              <w:bottom w:val="single" w:sz="8" w:color="F2F3F2"/>
              <w:right w:val="single" w:sz="8" w:color="B2B3B6"/>
            </w:tcBorders>
            <w:shd w:val="clear" w:color="auto" w:fill="F2F3F2"/>
          </w:tcPr>
          <w:p>
            <w:pPr>
              <w:spacing w:after="0"/>
              <w:rPr>
                <w:sz w:val="16"/>
                <w:szCs w:val="16"/>
                <w:color w:val="auto"/>
              </w:rPr>
            </w:pPr>
          </w:p>
        </w:tc>
        <w:tc>
          <w:tcPr>
            <w:tcW w:w="80" w:type="dxa"/>
            <w:vAlign w:val="bottom"/>
            <w:tcBorders>
              <w:bottom w:val="single" w:sz="8" w:color="F2F3F2"/>
            </w:tcBorders>
            <w:shd w:val="clear" w:color="auto" w:fill="F2F3F2"/>
          </w:tcPr>
          <w:p>
            <w:pPr>
              <w:spacing w:after="0"/>
              <w:rPr>
                <w:sz w:val="16"/>
                <w:szCs w:val="16"/>
                <w:color w:val="auto"/>
              </w:rPr>
            </w:pPr>
          </w:p>
        </w:tc>
        <w:tc>
          <w:tcPr>
            <w:tcW w:w="2060" w:type="dxa"/>
            <w:vAlign w:val="bottom"/>
            <w:tcBorders>
              <w:bottom w:val="single" w:sz="8" w:color="F2F3F2"/>
            </w:tcBorders>
            <w:shd w:val="clear" w:color="auto" w:fill="F2F3F2"/>
          </w:tcPr>
          <w:p>
            <w:pPr>
              <w:ind w:left="40"/>
              <w:spacing w:after="0"/>
              <w:rPr>
                <w:sz w:val="20"/>
                <w:szCs w:val="20"/>
                <w:color w:val="auto"/>
              </w:rPr>
            </w:pPr>
            <w:r>
              <w:rPr>
                <w:rFonts w:ascii="Arial" w:cs="Arial" w:eastAsia="Arial" w:hAnsi="Arial"/>
                <w:sz w:val="14"/>
                <w:szCs w:val="14"/>
                <w:color w:val="auto"/>
              </w:rPr>
              <w:t>group.</w:t>
            </w:r>
          </w:p>
        </w:tc>
        <w:tc>
          <w:tcPr>
            <w:tcW w:w="120" w:type="dxa"/>
            <w:vAlign w:val="bottom"/>
            <w:tcBorders>
              <w:bottom w:val="single" w:sz="8" w:color="F2F3F2"/>
              <w:right w:val="single" w:sz="8" w:color="B2B3B6"/>
            </w:tcBorders>
            <w:shd w:val="clear" w:color="auto" w:fill="F2F3F2"/>
          </w:tcPr>
          <w:p>
            <w:pPr>
              <w:spacing w:after="0"/>
              <w:rPr>
                <w:sz w:val="16"/>
                <w:szCs w:val="16"/>
                <w:color w:val="auto"/>
              </w:rPr>
            </w:pPr>
          </w:p>
        </w:tc>
        <w:tc>
          <w:tcPr>
            <w:tcW w:w="80" w:type="dxa"/>
            <w:vAlign w:val="bottom"/>
            <w:tcBorders>
              <w:bottom w:val="single" w:sz="8" w:color="F2F3F2"/>
            </w:tcBorders>
            <w:shd w:val="clear" w:color="auto" w:fill="F2F3F2"/>
          </w:tcPr>
          <w:p>
            <w:pPr>
              <w:spacing w:after="0"/>
              <w:rPr>
                <w:sz w:val="16"/>
                <w:szCs w:val="16"/>
                <w:color w:val="auto"/>
              </w:rPr>
            </w:pPr>
          </w:p>
        </w:tc>
        <w:tc>
          <w:tcPr>
            <w:tcW w:w="2060" w:type="dxa"/>
            <w:vAlign w:val="bottom"/>
            <w:tcBorders>
              <w:bottom w:val="single" w:sz="8" w:color="F2F3F2"/>
            </w:tcBorders>
            <w:shd w:val="clear" w:color="auto" w:fill="F2F3F2"/>
          </w:tcPr>
          <w:p>
            <w:pPr>
              <w:spacing w:after="0"/>
              <w:rPr>
                <w:sz w:val="16"/>
                <w:szCs w:val="16"/>
                <w:color w:val="auto"/>
              </w:rPr>
            </w:pPr>
          </w:p>
        </w:tc>
        <w:tc>
          <w:tcPr>
            <w:tcW w:w="120" w:type="dxa"/>
            <w:vAlign w:val="bottom"/>
            <w:tcBorders>
              <w:bottom w:val="single" w:sz="8" w:color="F2F3F2"/>
              <w:right w:val="single" w:sz="8" w:color="B2B3B6"/>
            </w:tcBorders>
            <w:shd w:val="clear" w:color="auto" w:fill="F2F3F2"/>
          </w:tcPr>
          <w:p>
            <w:pPr>
              <w:spacing w:after="0"/>
              <w:rPr>
                <w:sz w:val="16"/>
                <w:szCs w:val="16"/>
                <w:color w:val="auto"/>
              </w:rPr>
            </w:pPr>
          </w:p>
        </w:tc>
        <w:tc>
          <w:tcPr>
            <w:tcW w:w="60" w:type="dxa"/>
            <w:vAlign w:val="bottom"/>
            <w:tcBorders>
              <w:bottom w:val="single" w:sz="8" w:color="F2F3F2"/>
            </w:tcBorders>
            <w:shd w:val="clear" w:color="auto" w:fill="F2F3F2"/>
          </w:tcPr>
          <w:p>
            <w:pPr>
              <w:spacing w:after="0"/>
              <w:rPr>
                <w:sz w:val="16"/>
                <w:szCs w:val="16"/>
                <w:color w:val="auto"/>
              </w:rPr>
            </w:pPr>
          </w:p>
        </w:tc>
        <w:tc>
          <w:tcPr>
            <w:tcW w:w="2120" w:type="dxa"/>
            <w:vAlign w:val="bottom"/>
            <w:tcBorders>
              <w:bottom w:val="single" w:sz="8" w:color="F2F3F2"/>
            </w:tcBorders>
            <w:shd w:val="clear" w:color="auto" w:fill="F2F3F2"/>
          </w:tcPr>
          <w:p>
            <w:pPr>
              <w:spacing w:after="0"/>
              <w:rPr>
                <w:sz w:val="16"/>
                <w:szCs w:val="16"/>
                <w:color w:val="auto"/>
              </w:rPr>
            </w:pPr>
          </w:p>
        </w:tc>
        <w:tc>
          <w:tcPr>
            <w:tcW w:w="100" w:type="dxa"/>
            <w:vAlign w:val="bottom"/>
            <w:tcBorders>
              <w:bottom w:val="single" w:sz="8" w:color="F2F3F2"/>
            </w:tcBorders>
            <w:shd w:val="clear" w:color="auto" w:fill="F2F3F2"/>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00" w:type="dxa"/>
            <w:vAlign w:val="bottom"/>
            <w:shd w:val="clear" w:color="auto" w:fill="F2F3F2"/>
          </w:tcPr>
          <w:p>
            <w:pPr>
              <w:spacing w:after="0"/>
              <w:rPr>
                <w:sz w:val="15"/>
                <w:szCs w:val="15"/>
                <w:color w:val="auto"/>
              </w:rPr>
            </w:pPr>
          </w:p>
        </w:tc>
        <w:tc>
          <w:tcPr>
            <w:tcW w:w="2060" w:type="dxa"/>
            <w:vAlign w:val="bottom"/>
            <w:shd w:val="clear" w:color="auto" w:fill="F2F3F2"/>
          </w:tcPr>
          <w:p>
            <w:pPr>
              <w:spacing w:after="0"/>
              <w:rPr>
                <w:sz w:val="15"/>
                <w:szCs w:val="15"/>
                <w:color w:val="auto"/>
              </w:rPr>
            </w:pPr>
          </w:p>
        </w:tc>
        <w:tc>
          <w:tcPr>
            <w:tcW w:w="120" w:type="dxa"/>
            <w:vAlign w:val="bottom"/>
            <w:tcBorders>
              <w:right w:val="single" w:sz="8" w:color="F2F3F2"/>
            </w:tcBorders>
            <w:shd w:val="clear" w:color="auto" w:fill="F2F3F2"/>
          </w:tcPr>
          <w:p>
            <w:pPr>
              <w:spacing w:after="0"/>
              <w:rPr>
                <w:sz w:val="15"/>
                <w:szCs w:val="15"/>
                <w:color w:val="auto"/>
              </w:rPr>
            </w:pPr>
          </w:p>
        </w:tc>
        <w:tc>
          <w:tcPr>
            <w:tcW w:w="80" w:type="dxa"/>
            <w:vAlign w:val="bottom"/>
            <w:shd w:val="clear" w:color="auto" w:fill="F2F3F2"/>
          </w:tcPr>
          <w:p>
            <w:pPr>
              <w:spacing w:after="0"/>
              <w:rPr>
                <w:sz w:val="15"/>
                <w:szCs w:val="15"/>
                <w:color w:val="auto"/>
              </w:rPr>
            </w:pPr>
          </w:p>
        </w:tc>
        <w:tc>
          <w:tcPr>
            <w:tcW w:w="2060" w:type="dxa"/>
            <w:vAlign w:val="bottom"/>
            <w:shd w:val="clear" w:color="auto" w:fill="F2F3F2"/>
          </w:tcPr>
          <w:p>
            <w:pPr>
              <w:spacing w:after="0"/>
              <w:rPr>
                <w:sz w:val="15"/>
                <w:szCs w:val="15"/>
                <w:color w:val="auto"/>
              </w:rPr>
            </w:pPr>
          </w:p>
        </w:tc>
        <w:tc>
          <w:tcPr>
            <w:tcW w:w="120" w:type="dxa"/>
            <w:vAlign w:val="bottom"/>
            <w:tcBorders>
              <w:right w:val="single" w:sz="8" w:color="F2F3F2"/>
            </w:tcBorders>
            <w:shd w:val="clear" w:color="auto" w:fill="F2F3F2"/>
          </w:tcPr>
          <w:p>
            <w:pPr>
              <w:spacing w:after="0"/>
              <w:rPr>
                <w:sz w:val="15"/>
                <w:szCs w:val="15"/>
                <w:color w:val="auto"/>
              </w:rPr>
            </w:pPr>
          </w:p>
        </w:tc>
        <w:tc>
          <w:tcPr>
            <w:tcW w:w="80" w:type="dxa"/>
            <w:vAlign w:val="bottom"/>
            <w:shd w:val="clear" w:color="auto" w:fill="F2F3F2"/>
          </w:tcPr>
          <w:p>
            <w:pPr>
              <w:spacing w:after="0"/>
              <w:rPr>
                <w:sz w:val="15"/>
                <w:szCs w:val="15"/>
                <w:color w:val="auto"/>
              </w:rPr>
            </w:pPr>
          </w:p>
        </w:tc>
        <w:tc>
          <w:tcPr>
            <w:tcW w:w="2060" w:type="dxa"/>
            <w:vAlign w:val="bottom"/>
            <w:shd w:val="clear" w:color="auto" w:fill="F2F3F2"/>
          </w:tcPr>
          <w:p>
            <w:pPr>
              <w:spacing w:after="0"/>
              <w:rPr>
                <w:sz w:val="15"/>
                <w:szCs w:val="15"/>
                <w:color w:val="auto"/>
              </w:rPr>
            </w:pPr>
          </w:p>
        </w:tc>
        <w:tc>
          <w:tcPr>
            <w:tcW w:w="120" w:type="dxa"/>
            <w:vAlign w:val="bottom"/>
            <w:tcBorders>
              <w:right w:val="single" w:sz="8" w:color="F2F3F2"/>
            </w:tcBorders>
            <w:shd w:val="clear" w:color="auto" w:fill="F2F3F2"/>
          </w:tcPr>
          <w:p>
            <w:pPr>
              <w:spacing w:after="0"/>
              <w:rPr>
                <w:sz w:val="15"/>
                <w:szCs w:val="15"/>
                <w:color w:val="auto"/>
              </w:rPr>
            </w:pPr>
          </w:p>
        </w:tc>
        <w:tc>
          <w:tcPr>
            <w:tcW w:w="60" w:type="dxa"/>
            <w:vAlign w:val="bottom"/>
            <w:shd w:val="clear" w:color="auto" w:fill="F2F3F2"/>
          </w:tcPr>
          <w:p>
            <w:pPr>
              <w:spacing w:after="0"/>
              <w:rPr>
                <w:sz w:val="15"/>
                <w:szCs w:val="15"/>
                <w:color w:val="auto"/>
              </w:rPr>
            </w:pPr>
          </w:p>
        </w:tc>
        <w:tc>
          <w:tcPr>
            <w:tcW w:w="2120" w:type="dxa"/>
            <w:vAlign w:val="bottom"/>
            <w:shd w:val="clear" w:color="auto" w:fill="F2F3F2"/>
          </w:tcPr>
          <w:p>
            <w:pPr>
              <w:spacing w:after="0"/>
              <w:rPr>
                <w:sz w:val="15"/>
                <w:szCs w:val="15"/>
                <w:color w:val="auto"/>
              </w:rPr>
            </w:pPr>
          </w:p>
        </w:tc>
        <w:tc>
          <w:tcPr>
            <w:tcW w:w="100" w:type="dxa"/>
            <w:vAlign w:val="bottom"/>
            <w:shd w:val="clear" w:color="auto" w:fill="F2F3F2"/>
          </w:tcPr>
          <w:p>
            <w:pPr>
              <w:spacing w:after="0"/>
              <w:rPr>
                <w:sz w:val="15"/>
                <w:szCs w:val="15"/>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Use of Equity</w:t>
      </w:r>
    </w:p>
    <w:p>
      <w:pPr>
        <w:spacing w:after="0" w:line="113"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Equity, which vests over three or four years, is a key component of our compensation programs, especially for our executive officers and revenue-generating managing directors and principals, in order to foster an ownership mindset and to align those employees' interests with the Company and stockholders. As shown below, the majority of our leaders’ compensation opportunities are at-risk and performance-based, of which a significant portion is provided in equity; and, over the last three years, 84% of total shares granted under our Amended and Restated 2012 Omnibus Incentive Plan was granted to our revenue-generating managing directors and principals.</w:t>
      </w:r>
    </w:p>
    <w:p>
      <w:pPr>
        <w:spacing w:after="0" w:line="169" w:lineRule="exact"/>
        <w:rPr>
          <w:sz w:val="20"/>
          <w:szCs w:val="20"/>
          <w:color w:val="auto"/>
        </w:rPr>
      </w:pPr>
    </w:p>
    <w:tbl>
      <w:tblPr>
        <w:tblLayout w:type="fixed"/>
        <w:tblInd w:w="160" w:type="dxa"/>
        <w:tblCellMar>
          <w:top w:w="0" w:type="dxa"/>
          <w:left w:w="0" w:type="dxa"/>
          <w:bottom w:w="0" w:type="dxa"/>
          <w:right w:w="0" w:type="dxa"/>
        </w:tblCellMar>
      </w:tblPr>
      <w:tr>
        <w:trPr>
          <w:trHeight w:val="175"/>
        </w:trPr>
        <w:tc>
          <w:tcPr>
            <w:tcW w:w="2220" w:type="dxa"/>
            <w:vAlign w:val="bottom"/>
          </w:tcPr>
          <w:p>
            <w:pPr>
              <w:jc w:val="center"/>
              <w:ind w:right="248"/>
              <w:spacing w:after="0"/>
              <w:rPr>
                <w:sz w:val="20"/>
                <w:szCs w:val="20"/>
                <w:color w:val="auto"/>
              </w:rPr>
            </w:pPr>
            <w:r>
              <w:rPr>
                <w:rFonts w:ascii="Arial" w:cs="Arial" w:eastAsia="Arial" w:hAnsi="Arial"/>
                <w:sz w:val="14"/>
                <w:szCs w:val="14"/>
                <w:b w:val="1"/>
                <w:bCs w:val="1"/>
                <w:color w:val="6AAA37"/>
              </w:rPr>
              <w:t>TOTAL SHARES GRANTED</w:t>
            </w:r>
          </w:p>
        </w:tc>
        <w:tc>
          <w:tcPr>
            <w:tcW w:w="2080" w:type="dxa"/>
            <w:vAlign w:val="bottom"/>
          </w:tcPr>
          <w:p>
            <w:pPr>
              <w:spacing w:after="0"/>
              <w:rPr>
                <w:sz w:val="15"/>
                <w:szCs w:val="15"/>
                <w:color w:val="auto"/>
              </w:rPr>
            </w:pPr>
          </w:p>
        </w:tc>
        <w:tc>
          <w:tcPr>
            <w:tcW w:w="2240" w:type="dxa"/>
            <w:vAlign w:val="bottom"/>
          </w:tcPr>
          <w:p>
            <w:pPr>
              <w:jc w:val="center"/>
              <w:ind w:left="28"/>
              <w:spacing w:after="0"/>
              <w:rPr>
                <w:sz w:val="20"/>
                <w:szCs w:val="20"/>
                <w:color w:val="auto"/>
              </w:rPr>
            </w:pPr>
            <w:r>
              <w:rPr>
                <w:rFonts w:ascii="Arial" w:cs="Arial" w:eastAsia="Arial" w:hAnsi="Arial"/>
                <w:sz w:val="14"/>
                <w:szCs w:val="14"/>
                <w:b w:val="1"/>
                <w:bCs w:val="1"/>
                <w:color w:val="6AAA37"/>
              </w:rPr>
              <w:t>2024 OTHER NEOS</w:t>
            </w:r>
          </w:p>
        </w:tc>
        <w:tc>
          <w:tcPr>
            <w:tcW w:w="2000" w:type="dxa"/>
            <w:vAlign w:val="bottom"/>
          </w:tcPr>
          <w:p>
            <w:pPr>
              <w:jc w:val="right"/>
              <w:spacing w:after="0"/>
              <w:rPr>
                <w:sz w:val="20"/>
                <w:szCs w:val="20"/>
                <w:color w:val="auto"/>
              </w:rPr>
            </w:pPr>
            <w:r>
              <w:rPr>
                <w:rFonts w:ascii="Arial" w:cs="Arial" w:eastAsia="Arial" w:hAnsi="Arial"/>
                <w:sz w:val="14"/>
                <w:szCs w:val="14"/>
                <w:b w:val="1"/>
                <w:bCs w:val="1"/>
                <w:color w:val="6AAA37"/>
              </w:rPr>
              <w:t>MANAGING DIRECTOR</w:t>
            </w:r>
          </w:p>
        </w:tc>
      </w:tr>
      <w:tr>
        <w:trPr>
          <w:trHeight w:val="162"/>
        </w:trPr>
        <w:tc>
          <w:tcPr>
            <w:tcW w:w="2220" w:type="dxa"/>
            <w:vAlign w:val="bottom"/>
          </w:tcPr>
          <w:p>
            <w:pPr>
              <w:jc w:val="center"/>
              <w:ind w:right="248"/>
              <w:spacing w:after="0"/>
              <w:rPr>
                <w:sz w:val="20"/>
                <w:szCs w:val="20"/>
                <w:color w:val="auto"/>
              </w:rPr>
            </w:pPr>
            <w:r>
              <w:rPr>
                <w:rFonts w:ascii="Arial" w:cs="Arial" w:eastAsia="Arial" w:hAnsi="Arial"/>
                <w:sz w:val="14"/>
                <w:szCs w:val="14"/>
                <w:b w:val="1"/>
                <w:bCs w:val="1"/>
                <w:color w:val="6AAA37"/>
              </w:rPr>
              <w:t>(THREE-YEAR HISTORICAL</w:t>
            </w:r>
          </w:p>
        </w:tc>
        <w:tc>
          <w:tcPr>
            <w:tcW w:w="2080" w:type="dxa"/>
            <w:vAlign w:val="bottom"/>
          </w:tcPr>
          <w:p>
            <w:pPr>
              <w:ind w:left="320"/>
              <w:spacing w:after="0"/>
              <w:rPr>
                <w:sz w:val="20"/>
                <w:szCs w:val="20"/>
                <w:color w:val="auto"/>
              </w:rPr>
            </w:pPr>
            <w:r>
              <w:rPr>
                <w:rFonts w:ascii="Arial" w:cs="Arial" w:eastAsia="Arial" w:hAnsi="Arial"/>
                <w:sz w:val="14"/>
                <w:szCs w:val="14"/>
                <w:b w:val="1"/>
                <w:bCs w:val="1"/>
                <w:color w:val="6AAA37"/>
              </w:rPr>
              <w:t>2024 CEO PAY MIX</w:t>
            </w:r>
          </w:p>
        </w:tc>
        <w:tc>
          <w:tcPr>
            <w:tcW w:w="2240" w:type="dxa"/>
            <w:vAlign w:val="bottom"/>
          </w:tcPr>
          <w:p>
            <w:pPr>
              <w:jc w:val="center"/>
              <w:ind w:left="8"/>
              <w:spacing w:after="0"/>
              <w:rPr>
                <w:sz w:val="20"/>
                <w:szCs w:val="20"/>
                <w:color w:val="auto"/>
              </w:rPr>
            </w:pPr>
            <w:r>
              <w:rPr>
                <w:rFonts w:ascii="Arial" w:cs="Arial" w:eastAsia="Arial" w:hAnsi="Arial"/>
                <w:sz w:val="14"/>
                <w:szCs w:val="14"/>
                <w:b w:val="1"/>
                <w:bCs w:val="1"/>
                <w:color w:val="6AAA37"/>
                <w:w w:val="99"/>
              </w:rPr>
              <w:t>(AVERAGE) PAY MIX</w:t>
            </w:r>
          </w:p>
        </w:tc>
        <w:tc>
          <w:tcPr>
            <w:tcW w:w="2000" w:type="dxa"/>
            <w:vAlign w:val="bottom"/>
          </w:tcPr>
          <w:p>
            <w:pPr>
              <w:jc w:val="right"/>
              <w:spacing w:after="0"/>
              <w:rPr>
                <w:sz w:val="20"/>
                <w:szCs w:val="20"/>
                <w:color w:val="auto"/>
              </w:rPr>
            </w:pPr>
            <w:r>
              <w:rPr>
                <w:rFonts w:ascii="Arial" w:cs="Arial" w:eastAsia="Arial" w:hAnsi="Arial"/>
                <w:sz w:val="14"/>
                <w:szCs w:val="14"/>
                <w:b w:val="1"/>
                <w:bCs w:val="1"/>
                <w:color w:val="6AAA37"/>
              </w:rPr>
              <w:t>(AVERAGE) PAY MIX AT</w:t>
            </w:r>
          </w:p>
        </w:tc>
      </w:tr>
      <w:tr>
        <w:trPr>
          <w:trHeight w:val="196"/>
        </w:trPr>
        <w:tc>
          <w:tcPr>
            <w:tcW w:w="2220" w:type="dxa"/>
            <w:vAlign w:val="bottom"/>
          </w:tcPr>
          <w:p>
            <w:pPr>
              <w:jc w:val="center"/>
              <w:ind w:right="228"/>
              <w:spacing w:after="0"/>
              <w:rPr>
                <w:sz w:val="20"/>
                <w:szCs w:val="20"/>
                <w:color w:val="auto"/>
              </w:rPr>
            </w:pPr>
            <w:r>
              <w:rPr>
                <w:rFonts w:ascii="Arial" w:cs="Arial" w:eastAsia="Arial" w:hAnsi="Arial"/>
                <w:sz w:val="14"/>
                <w:szCs w:val="14"/>
                <w:b w:val="1"/>
                <w:bCs w:val="1"/>
                <w:color w:val="6AAA37"/>
              </w:rPr>
              <w:t>AVERAGE)</w:t>
            </w:r>
          </w:p>
        </w:tc>
        <w:tc>
          <w:tcPr>
            <w:tcW w:w="2080" w:type="dxa"/>
            <w:vAlign w:val="bottom"/>
          </w:tcPr>
          <w:p>
            <w:pPr>
              <w:ind w:left="600"/>
              <w:spacing w:after="0"/>
              <w:rPr>
                <w:sz w:val="20"/>
                <w:szCs w:val="20"/>
                <w:color w:val="auto"/>
              </w:rPr>
            </w:pPr>
            <w:r>
              <w:rPr>
                <w:rFonts w:ascii="Arial" w:cs="Arial" w:eastAsia="Arial" w:hAnsi="Arial"/>
                <w:sz w:val="14"/>
                <w:szCs w:val="14"/>
                <w:b w:val="1"/>
                <w:bCs w:val="1"/>
                <w:color w:val="6AAA37"/>
              </w:rPr>
              <w:t>AT TARGET</w:t>
            </w:r>
          </w:p>
        </w:tc>
        <w:tc>
          <w:tcPr>
            <w:tcW w:w="2240" w:type="dxa"/>
            <w:vAlign w:val="bottom"/>
          </w:tcPr>
          <w:p>
            <w:pPr>
              <w:ind w:left="800"/>
              <w:spacing w:after="0"/>
              <w:rPr>
                <w:sz w:val="20"/>
                <w:szCs w:val="20"/>
                <w:color w:val="auto"/>
              </w:rPr>
            </w:pPr>
            <w:r>
              <w:rPr>
                <w:rFonts w:ascii="Arial" w:cs="Arial" w:eastAsia="Arial" w:hAnsi="Arial"/>
                <w:sz w:val="14"/>
                <w:szCs w:val="14"/>
                <w:b w:val="1"/>
                <w:bCs w:val="1"/>
                <w:color w:val="6AAA37"/>
              </w:rPr>
              <w:t>AT TARGET</w:t>
            </w:r>
          </w:p>
        </w:tc>
        <w:tc>
          <w:tcPr>
            <w:tcW w:w="2000" w:type="dxa"/>
            <w:vAlign w:val="bottom"/>
          </w:tcPr>
          <w:p>
            <w:pPr>
              <w:jc w:val="right"/>
              <w:ind w:right="408"/>
              <w:spacing w:after="0"/>
              <w:rPr>
                <w:sz w:val="20"/>
                <w:szCs w:val="20"/>
                <w:color w:val="auto"/>
              </w:rPr>
            </w:pPr>
            <w:r>
              <w:rPr>
                <w:rFonts w:ascii="Arial" w:cs="Arial" w:eastAsia="Arial" w:hAnsi="Arial"/>
                <w:sz w:val="14"/>
                <w:szCs w:val="14"/>
                <w:b w:val="1"/>
                <w:bCs w:val="1"/>
                <w:color w:val="6AAA37"/>
              </w:rPr>
              <w:t>TARGET</w:t>
            </w:r>
          </w:p>
        </w:tc>
      </w:tr>
    </w:tbl>
    <w:p>
      <w:pPr>
        <w:sectPr>
          <w:pgSz w:w="11900" w:h="16838" w:orient="portrait"/>
          <w:cols w:equalWidth="0" w:num="1">
            <w:col w:w="9080"/>
          </w:cols>
          <w:pgMar w:left="1400" w:top="1440" w:right="1419" w:bottom="1440" w:gutter="0" w:footer="0" w:header="0"/>
          <w:type w:val="continuous"/>
        </w:sectPr>
      </w:pPr>
    </w:p>
    <w:bookmarkStart w:id="11" w:name="page12"/>
    <w:bookmarkEnd w:id="11"/>
    <w:p>
      <w:pPr>
        <w:ind w:left="60"/>
        <w:spacing w:after="0"/>
        <w:tabs>
          <w:tab w:leader="none" w:pos="4460" w:val="left"/>
          <w:tab w:leader="none" w:pos="776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550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10375" cy="550545"/>
                    </a:xfrm>
                    <a:prstGeom prst="rect">
                      <a:avLst/>
                    </a:prstGeom>
                    <a:noFill/>
                  </pic:spPr>
                </pic:pic>
              </a:graphicData>
            </a:graphic>
          </wp:anchor>
        </w:drawing>
        <w:t>Huron Consulting Group Inc.</w:t>
      </w:r>
      <w:r>
        <w:rPr>
          <w:sz w:val="20"/>
          <w:szCs w:val="20"/>
          <w:color w:val="auto"/>
        </w:rPr>
        <w:tab/>
      </w:r>
      <w:r>
        <w:rPr>
          <w:rFonts w:ascii="Arial" w:cs="Arial" w:eastAsia="Arial" w:hAnsi="Arial"/>
          <w:sz w:val="13"/>
          <w:szCs w:val="13"/>
          <w:b w:val="1"/>
          <w:bCs w:val="1"/>
          <w:color w:val="00558C"/>
        </w:rPr>
        <w:t>iv</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351790</wp:posOffset>
            </wp:positionV>
            <wp:extent cx="6810375" cy="88677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540" w:val="left"/>
          <w:tab w:leader="none" w:pos="7360" w:val="left"/>
          <w:tab w:leader="none" w:pos="8400" w:val="left"/>
        </w:tabs>
        <w:rPr>
          <w:sz w:val="20"/>
          <w:szCs w:val="20"/>
          <w:color w:val="auto"/>
        </w:rPr>
      </w:pPr>
      <w:r>
        <w:rPr>
          <w:rFonts w:ascii="Arial" w:cs="Arial" w:eastAsia="Arial" w:hAnsi="Arial"/>
          <w:sz w:val="13"/>
          <w:szCs w:val="13"/>
          <w:b w:val="1"/>
          <w:bCs w:val="1"/>
          <w:color w:val="6AAA37"/>
        </w:rPr>
        <w:t>General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Corporate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Executive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Stockholder</w:t>
      </w:r>
      <w:r>
        <w:rPr>
          <w:sz w:val="20"/>
          <w:szCs w:val="20"/>
          <w:color w:val="auto"/>
        </w:rPr>
        <w:tab/>
      </w:r>
      <w:r>
        <w:rPr>
          <w:rFonts w:ascii="Arial" w:cs="Arial" w:eastAsia="Arial" w:hAnsi="Arial"/>
          <w:sz w:val="12"/>
          <w:szCs w:val="12"/>
          <w:b w:val="1"/>
          <w:bCs w:val="1"/>
          <w:color w:val="B2B3B6"/>
        </w:rPr>
        <w:t>Other</w:t>
      </w:r>
    </w:p>
    <w:p>
      <w:pPr>
        <w:spacing w:after="0" w:line="11"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540" w:val="left"/>
          <w:tab w:leader="none" w:pos="7360" w:val="left"/>
          <w:tab w:leader="none" w:pos="8400" w:val="left"/>
        </w:tabs>
        <w:rPr>
          <w:sz w:val="20"/>
          <w:szCs w:val="20"/>
          <w:color w:val="auto"/>
        </w:rPr>
      </w:pPr>
      <w:r>
        <w:rPr>
          <w:rFonts w:ascii="Arial" w:cs="Arial" w:eastAsia="Arial" w:hAnsi="Arial"/>
          <w:sz w:val="13"/>
          <w:szCs w:val="13"/>
          <w:b w:val="1"/>
          <w:bCs w:val="1"/>
          <w:color w:val="6AAA37"/>
        </w:rPr>
        <w:t>Information</w:t>
      </w:r>
      <w:r>
        <w:rPr>
          <w:sz w:val="20"/>
          <w:szCs w:val="20"/>
          <w:color w:val="auto"/>
        </w:rPr>
        <w:tab/>
      </w:r>
      <w:r>
        <w:rPr>
          <w:rFonts w:ascii="Arial" w:cs="Arial" w:eastAsia="Arial" w:hAnsi="Arial"/>
          <w:sz w:val="13"/>
          <w:szCs w:val="13"/>
          <w:b w:val="1"/>
          <w:bCs w:val="1"/>
          <w:color w:val="B2B3B6"/>
        </w:rPr>
        <w:t>One</w:t>
      </w:r>
      <w:r>
        <w:rPr>
          <w:sz w:val="20"/>
          <w:szCs w:val="20"/>
          <w:color w:val="auto"/>
        </w:rPr>
        <w:tab/>
      </w:r>
      <w:r>
        <w:rPr>
          <w:rFonts w:ascii="Arial" w:cs="Arial" w:eastAsia="Arial" w:hAnsi="Arial"/>
          <w:sz w:val="13"/>
          <w:szCs w:val="13"/>
          <w:b w:val="1"/>
          <w:bCs w:val="1"/>
          <w:color w:val="B2B3B6"/>
        </w:rPr>
        <w:t>Governance</w:t>
      </w:r>
      <w:r>
        <w:rPr>
          <w:sz w:val="20"/>
          <w:szCs w:val="20"/>
          <w:color w:val="auto"/>
        </w:rPr>
        <w:tab/>
      </w:r>
      <w:r>
        <w:rPr>
          <w:rFonts w:ascii="Arial" w:cs="Arial" w:eastAsia="Arial" w:hAnsi="Arial"/>
          <w:sz w:val="13"/>
          <w:szCs w:val="13"/>
          <w:b w:val="1"/>
          <w:bCs w:val="1"/>
          <w:color w:val="B2B3B6"/>
        </w:rPr>
        <w:t>Two</w:t>
      </w:r>
      <w:r>
        <w:rPr>
          <w:sz w:val="20"/>
          <w:szCs w:val="20"/>
          <w:color w:val="auto"/>
        </w:rPr>
        <w:tab/>
      </w:r>
      <w:r>
        <w:rPr>
          <w:rFonts w:ascii="Arial" w:cs="Arial" w:eastAsia="Arial" w:hAnsi="Arial"/>
          <w:sz w:val="13"/>
          <w:szCs w:val="13"/>
          <w:b w:val="1"/>
          <w:bCs w:val="1"/>
          <w:color w:val="B2B3B6"/>
        </w:rPr>
        <w:t>Compensation</w:t>
      </w:r>
      <w:r>
        <w:rPr>
          <w:sz w:val="20"/>
          <w:szCs w:val="20"/>
          <w:color w:val="auto"/>
        </w:rPr>
        <w:tab/>
      </w:r>
      <w:r>
        <w:rPr>
          <w:rFonts w:ascii="Arial" w:cs="Arial" w:eastAsia="Arial" w:hAnsi="Arial"/>
          <w:sz w:val="13"/>
          <w:szCs w:val="13"/>
          <w:b w:val="1"/>
          <w:bCs w:val="1"/>
          <w:color w:val="B2B3B6"/>
        </w:rPr>
        <w:t>Three</w:t>
      </w:r>
      <w:r>
        <w:rPr>
          <w:sz w:val="20"/>
          <w:szCs w:val="20"/>
          <w:color w:val="auto"/>
        </w:rPr>
        <w:tab/>
      </w:r>
      <w:r>
        <w:rPr>
          <w:rFonts w:ascii="Arial" w:cs="Arial" w:eastAsia="Arial" w:hAnsi="Arial"/>
          <w:sz w:val="13"/>
          <w:szCs w:val="13"/>
          <w:b w:val="1"/>
          <w:bCs w:val="1"/>
          <w:color w:val="B2B3B6"/>
        </w:rPr>
        <w:t>Four</w:t>
      </w:r>
      <w:r>
        <w:rPr>
          <w:sz w:val="20"/>
          <w:szCs w:val="20"/>
          <w:color w:val="auto"/>
        </w:rPr>
        <w:tab/>
      </w:r>
      <w:r>
        <w:rPr>
          <w:rFonts w:ascii="Arial" w:cs="Arial" w:eastAsia="Arial" w:hAnsi="Arial"/>
          <w:sz w:val="13"/>
          <w:szCs w:val="13"/>
          <w:b w:val="1"/>
          <w:bCs w:val="1"/>
          <w:color w:val="B2B3B6"/>
        </w:rPr>
        <w:t>Five</w:t>
      </w:r>
      <w:r>
        <w:rPr>
          <w:sz w:val="20"/>
          <w:szCs w:val="20"/>
          <w:color w:val="auto"/>
        </w:rPr>
        <w:tab/>
      </w:r>
      <w:r>
        <w:rPr>
          <w:rFonts w:ascii="Arial" w:cs="Arial" w:eastAsia="Arial" w:hAnsi="Arial"/>
          <w:sz w:val="13"/>
          <w:szCs w:val="13"/>
          <w:b w:val="1"/>
          <w:bCs w:val="1"/>
          <w:color w:val="B2B3B6"/>
        </w:rPr>
        <w:t>Proposals</w:t>
      </w:r>
      <w:r>
        <w:rPr>
          <w:sz w:val="20"/>
          <w:szCs w:val="20"/>
          <w:color w:val="auto"/>
        </w:rPr>
        <w:tab/>
      </w:r>
      <w:r>
        <w:rPr>
          <w:rFonts w:ascii="Arial" w:cs="Arial" w:eastAsia="Arial" w:hAnsi="Arial"/>
          <w:sz w:val="12"/>
          <w:szCs w:val="12"/>
          <w:b w:val="1"/>
          <w:bCs w:val="1"/>
          <w:color w:val="B2B3B6"/>
        </w:rPr>
        <w:t>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right="400"/>
        <w:spacing w:after="0" w:line="245" w:lineRule="auto"/>
        <w:rPr>
          <w:sz w:val="20"/>
          <w:szCs w:val="20"/>
          <w:color w:val="auto"/>
        </w:rPr>
      </w:pPr>
      <w:r>
        <w:rPr>
          <w:rFonts w:ascii="Arial" w:cs="Arial" w:eastAsia="Arial" w:hAnsi="Arial"/>
          <w:sz w:val="54"/>
          <w:szCs w:val="54"/>
          <w:color w:val="00558C"/>
        </w:rPr>
        <w:t>Proxy Statement for Annual Meeting of Stockholders</w:t>
      </w:r>
    </w:p>
    <w:p>
      <w:pPr>
        <w:spacing w:after="0" w:line="64" w:lineRule="exact"/>
        <w:rPr>
          <w:sz w:val="20"/>
          <w:szCs w:val="20"/>
          <w:color w:val="auto"/>
        </w:rPr>
      </w:pPr>
    </w:p>
    <w:p>
      <w:pPr>
        <w:spacing w:after="0"/>
        <w:rPr>
          <w:sz w:val="20"/>
          <w:szCs w:val="20"/>
          <w:color w:val="auto"/>
        </w:rPr>
      </w:pPr>
      <w:r>
        <w:rPr>
          <w:rFonts w:ascii="Arial" w:cs="Arial" w:eastAsia="Arial" w:hAnsi="Arial"/>
          <w:sz w:val="29"/>
          <w:szCs w:val="29"/>
          <w:b w:val="1"/>
          <w:bCs w:val="1"/>
          <w:color w:val="B2B3B6"/>
        </w:rPr>
        <w:t>To be held May 9, 2025</w:t>
      </w:r>
    </w:p>
    <w:p>
      <w:pPr>
        <w:spacing w:after="0" w:line="36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are taking advantage of the Securities and Exchange Commission (“SEC”) rules that allow companies to furnish proxy materials to their stockholders over the Internet. On or about March 28, 2025, we mailed to stockholders of record on the record date a Notice of Internet Availability of Proxy Materials (the “Notice”) containing instructions on how to access this Proxy Statement and our Annual Report to Stockholders online. If you received a Notice by mail, you will not automatically receive a printed copy of our proxy materials in the mail. You may request a paper copy of our proxy materials by mail or an electronic copy by e-mail by following the instructions listed on the Notice. The Notice also contains instructions for voting over the Internet.</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00558C"/>
        </w:rPr>
        <w:t>General Information About the Meeting</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and Voting Requirements</w:t>
      </w:r>
    </w:p>
    <w:p>
      <w:pPr>
        <w:spacing w:after="0" w:line="68" w:lineRule="exact"/>
        <w:rPr>
          <w:sz w:val="20"/>
          <w:szCs w:val="20"/>
          <w:color w:val="auto"/>
        </w:rPr>
      </w:pPr>
    </w:p>
    <w:p>
      <w:pPr>
        <w:ind w:right="20"/>
        <w:spacing w:after="0" w:line="300" w:lineRule="auto"/>
        <w:rPr>
          <w:sz w:val="20"/>
          <w:szCs w:val="20"/>
          <w:color w:val="auto"/>
        </w:rPr>
      </w:pPr>
      <w:r>
        <w:rPr>
          <w:rFonts w:ascii="Arial" w:cs="Arial" w:eastAsia="Arial" w:hAnsi="Arial"/>
          <w:sz w:val="16"/>
          <w:szCs w:val="16"/>
          <w:color w:val="auto"/>
        </w:rPr>
        <w:t>The Company has one class of common stock. Each share of common stock is entitled to one vote on each matter to be voted upon at the Annual Meeting. Stockholders do not have the right to cumulate votes in the election of directors. Only stockholders of record at the close of business on March 10, 2025 (the “Record Date”) will be entitled to vote at the Annual Meeting. As of the Record Date, there were 17,921,212 shares of common stock issued and outstanding.</w:t>
      </w:r>
    </w:p>
    <w:p>
      <w:pPr>
        <w:spacing w:after="0" w:line="106" w:lineRule="exact"/>
        <w:rPr>
          <w:sz w:val="20"/>
          <w:szCs w:val="20"/>
          <w:color w:val="auto"/>
        </w:rPr>
      </w:pPr>
    </w:p>
    <w:p>
      <w:pPr>
        <w:jc w:val="both"/>
        <w:ind w:right="140"/>
        <w:spacing w:after="0" w:line="300" w:lineRule="auto"/>
        <w:rPr>
          <w:sz w:val="20"/>
          <w:szCs w:val="20"/>
          <w:color w:val="auto"/>
        </w:rPr>
      </w:pPr>
      <w:r>
        <w:rPr>
          <w:rFonts w:ascii="Arial" w:cs="Arial" w:eastAsia="Arial" w:hAnsi="Arial"/>
          <w:sz w:val="16"/>
          <w:szCs w:val="16"/>
          <w:color w:val="auto"/>
        </w:rPr>
        <w:t>The proxy is solicited from the holders of record of the common stock on behalf of the board of directors of the Company and is revocable at any time by giving written notice of revocation to the Secretary of the Company prior to the Annual Meeting or by executing and delivering a later-dated proxy by mail prior to the Annual Meeting. Furthermore, the stockholders of record who are present at the Annual Meeting may revoke their proxies and vote at the Annual Meeting.</w:t>
      </w:r>
    </w:p>
    <w:p>
      <w:pPr>
        <w:spacing w:after="0" w:line="93"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If your shares are held in a bank or brokerage account, you will receive proxy materials from your bank or broker, which will include a voting instruction form. If you would like to revoke voting instructions given to your bank or broker, you must follow its instructions. If you would like to attend the Annual Meeting and vote these shares at the Annual Meeting, you must obtain a proxy from your bank or broker. You must request the proxy from your bank or broker; it will not automatically provide one to you.</w:t>
      </w:r>
    </w:p>
    <w:p>
      <w:pPr>
        <w:spacing w:after="0" w:line="107"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All shares of the Company’s common stock represented by properly executed and unrevoked proxies will be voted by the proxies in accordance with the directions given therein. Where no instructions are indicated, properly executed proxies will be voted “FOR” the proposals set forth in this Proxy Statement for consideration at the Annual Meeting.</w:t>
      </w:r>
    </w:p>
    <w:p>
      <w:pPr>
        <w:spacing w:after="0" w:line="104"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A quorum, consisting of at least one-third of shares of common stock issued and outstanding, must be present at the Annual Meeting for any business to be conducted. Shares of common stock entitled to vote and represented by properly executed, returned and unrevoked proxies, including shares with respect to which votes are withheld, abstentions are cast or there are broker non-votes resulting from uninstructed shares on some proposals but not others, will be considered present at the Annual Meeting for purposes of determining a quorum.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0"/>
        <w:spacing w:after="0"/>
        <w:tabs>
          <w:tab w:leader="none" w:pos="450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13"/>
          <w:szCs w:val="13"/>
          <w:b w:val="1"/>
          <w:bCs w:val="1"/>
          <w:color w:val="00558C"/>
        </w:rPr>
        <w:t>1</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420370</wp:posOffset>
            </wp:positionV>
            <wp:extent cx="6810375" cy="933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10375" cy="933450"/>
                    </a:xfrm>
                    <a:prstGeom prst="rect">
                      <a:avLst/>
                    </a:prstGeom>
                    <a:noFill/>
                  </pic:spPr>
                </pic:pic>
              </a:graphicData>
            </a:graphic>
          </wp:anchor>
        </w:drawing>
      </w:r>
    </w:p>
    <w:p>
      <w:pPr>
        <w:sectPr>
          <w:pgSz w:w="11900" w:h="16838" w:orient="portrait"/>
          <w:cols w:equalWidth="0" w:num="1">
            <w:col w:w="9080"/>
          </w:cols>
          <w:pgMar w:left="1400" w:top="432" w:right="1419" w:bottom="2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540" w:val="left"/>
          <w:tab w:leader="none" w:pos="7360" w:val="left"/>
          <w:tab w:leader="none" w:pos="8400" w:val="left"/>
        </w:tabs>
        <w:rPr>
          <w:sz w:val="20"/>
          <w:szCs w:val="20"/>
          <w:color w:val="auto"/>
        </w:rPr>
      </w:pPr>
      <w:r>
        <w:rPr>
          <w:rFonts w:ascii="Arial" w:cs="Arial" w:eastAsia="Arial" w:hAnsi="Arial"/>
          <w:sz w:val="13"/>
          <w:szCs w:val="13"/>
          <w:b w:val="1"/>
          <w:bCs w:val="1"/>
          <w:color w:val="B2B3B6"/>
        </w:rPr>
        <w:t>General</w:t>
      </w:r>
      <w:r>
        <w:rPr>
          <w:sz w:val="20"/>
          <w:szCs w:val="20"/>
          <w:color w:val="auto"/>
        </w:rPr>
        <w:tab/>
      </w:r>
      <w:r>
        <w:rPr>
          <w:rFonts w:ascii="Arial" w:cs="Arial" w:eastAsia="Arial" w:hAnsi="Arial"/>
          <w:sz w:val="13"/>
          <w:szCs w:val="13"/>
          <w:b w:val="1"/>
          <w:bCs w:val="1"/>
          <w:color w:val="6AAA37"/>
        </w:rPr>
        <w:t>Proposal</w:t>
      </w:r>
      <w:r>
        <w:rPr>
          <w:sz w:val="20"/>
          <w:szCs w:val="20"/>
          <w:color w:val="auto"/>
        </w:rPr>
        <w:tab/>
      </w:r>
      <w:r>
        <w:rPr>
          <w:rFonts w:ascii="Arial" w:cs="Arial" w:eastAsia="Arial" w:hAnsi="Arial"/>
          <w:sz w:val="13"/>
          <w:szCs w:val="13"/>
          <w:b w:val="1"/>
          <w:bCs w:val="1"/>
          <w:color w:val="B2B3B6"/>
        </w:rPr>
        <w:t>Corporate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Executive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Stockholder</w:t>
      </w:r>
      <w:r>
        <w:rPr>
          <w:sz w:val="20"/>
          <w:szCs w:val="20"/>
          <w:color w:val="auto"/>
        </w:rPr>
        <w:tab/>
      </w:r>
      <w:r>
        <w:rPr>
          <w:rFonts w:ascii="Arial" w:cs="Arial" w:eastAsia="Arial" w:hAnsi="Arial"/>
          <w:sz w:val="12"/>
          <w:szCs w:val="12"/>
          <w:b w:val="1"/>
          <w:bCs w:val="1"/>
          <w:color w:val="B2B3B6"/>
        </w:rPr>
        <w:t>Other</w:t>
      </w:r>
    </w:p>
    <w:p>
      <w:pPr>
        <w:spacing w:after="0" w:line="11"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540" w:val="left"/>
          <w:tab w:leader="none" w:pos="7360" w:val="left"/>
          <w:tab w:leader="none" w:pos="8400" w:val="left"/>
        </w:tabs>
        <w:rPr>
          <w:sz w:val="20"/>
          <w:szCs w:val="20"/>
          <w:color w:val="auto"/>
        </w:rPr>
      </w:pPr>
      <w:r>
        <w:rPr>
          <w:rFonts w:ascii="Arial" w:cs="Arial" w:eastAsia="Arial" w:hAnsi="Arial"/>
          <w:sz w:val="13"/>
          <w:szCs w:val="13"/>
          <w:b w:val="1"/>
          <w:bCs w:val="1"/>
          <w:color w:val="B2B3B6"/>
        </w:rPr>
        <w:t>Information</w:t>
      </w:r>
      <w:r>
        <w:rPr>
          <w:sz w:val="20"/>
          <w:szCs w:val="20"/>
          <w:color w:val="auto"/>
        </w:rPr>
        <w:tab/>
      </w:r>
      <w:r>
        <w:rPr>
          <w:rFonts w:ascii="Arial" w:cs="Arial" w:eastAsia="Arial" w:hAnsi="Arial"/>
          <w:sz w:val="13"/>
          <w:szCs w:val="13"/>
          <w:b w:val="1"/>
          <w:bCs w:val="1"/>
          <w:color w:val="6AAA37"/>
        </w:rPr>
        <w:t>One</w:t>
      </w:r>
      <w:r>
        <w:rPr>
          <w:sz w:val="20"/>
          <w:szCs w:val="20"/>
          <w:color w:val="auto"/>
        </w:rPr>
        <w:tab/>
      </w:r>
      <w:r>
        <w:rPr>
          <w:rFonts w:ascii="Arial" w:cs="Arial" w:eastAsia="Arial" w:hAnsi="Arial"/>
          <w:sz w:val="13"/>
          <w:szCs w:val="13"/>
          <w:b w:val="1"/>
          <w:bCs w:val="1"/>
          <w:color w:val="B2B3B6"/>
        </w:rPr>
        <w:t>Governance</w:t>
      </w:r>
      <w:r>
        <w:rPr>
          <w:sz w:val="20"/>
          <w:szCs w:val="20"/>
          <w:color w:val="auto"/>
        </w:rPr>
        <w:tab/>
      </w:r>
      <w:r>
        <w:rPr>
          <w:rFonts w:ascii="Arial" w:cs="Arial" w:eastAsia="Arial" w:hAnsi="Arial"/>
          <w:sz w:val="13"/>
          <w:szCs w:val="13"/>
          <w:b w:val="1"/>
          <w:bCs w:val="1"/>
          <w:color w:val="B2B3B6"/>
        </w:rPr>
        <w:t>Two</w:t>
      </w:r>
      <w:r>
        <w:rPr>
          <w:sz w:val="20"/>
          <w:szCs w:val="20"/>
          <w:color w:val="auto"/>
        </w:rPr>
        <w:tab/>
      </w:r>
      <w:r>
        <w:rPr>
          <w:rFonts w:ascii="Arial" w:cs="Arial" w:eastAsia="Arial" w:hAnsi="Arial"/>
          <w:sz w:val="13"/>
          <w:szCs w:val="13"/>
          <w:b w:val="1"/>
          <w:bCs w:val="1"/>
          <w:color w:val="B2B3B6"/>
        </w:rPr>
        <w:t>Compensation</w:t>
      </w:r>
      <w:r>
        <w:rPr>
          <w:sz w:val="20"/>
          <w:szCs w:val="20"/>
          <w:color w:val="auto"/>
        </w:rPr>
        <w:tab/>
      </w:r>
      <w:r>
        <w:rPr>
          <w:rFonts w:ascii="Arial" w:cs="Arial" w:eastAsia="Arial" w:hAnsi="Arial"/>
          <w:sz w:val="13"/>
          <w:szCs w:val="13"/>
          <w:b w:val="1"/>
          <w:bCs w:val="1"/>
          <w:color w:val="B2B3B6"/>
        </w:rPr>
        <w:t>Three</w:t>
      </w:r>
      <w:r>
        <w:rPr>
          <w:sz w:val="20"/>
          <w:szCs w:val="20"/>
          <w:color w:val="auto"/>
        </w:rPr>
        <w:tab/>
      </w:r>
      <w:r>
        <w:rPr>
          <w:rFonts w:ascii="Arial" w:cs="Arial" w:eastAsia="Arial" w:hAnsi="Arial"/>
          <w:sz w:val="13"/>
          <w:szCs w:val="13"/>
          <w:b w:val="1"/>
          <w:bCs w:val="1"/>
          <w:color w:val="B2B3B6"/>
        </w:rPr>
        <w:t>Four</w:t>
      </w:r>
      <w:r>
        <w:rPr>
          <w:sz w:val="20"/>
          <w:szCs w:val="20"/>
          <w:color w:val="auto"/>
        </w:rPr>
        <w:tab/>
      </w:r>
      <w:r>
        <w:rPr>
          <w:rFonts w:ascii="Arial" w:cs="Arial" w:eastAsia="Arial" w:hAnsi="Arial"/>
          <w:sz w:val="13"/>
          <w:szCs w:val="13"/>
          <w:b w:val="1"/>
          <w:bCs w:val="1"/>
          <w:color w:val="B2B3B6"/>
        </w:rPr>
        <w:t>Five</w:t>
      </w:r>
      <w:r>
        <w:rPr>
          <w:sz w:val="20"/>
          <w:szCs w:val="20"/>
          <w:color w:val="auto"/>
        </w:rPr>
        <w:tab/>
      </w:r>
      <w:r>
        <w:rPr>
          <w:rFonts w:ascii="Arial" w:cs="Arial" w:eastAsia="Arial" w:hAnsi="Arial"/>
          <w:sz w:val="13"/>
          <w:szCs w:val="13"/>
          <w:b w:val="1"/>
          <w:bCs w:val="1"/>
          <w:color w:val="B2B3B6"/>
        </w:rPr>
        <w:t>Proposals</w:t>
      </w:r>
      <w:r>
        <w:rPr>
          <w:sz w:val="20"/>
          <w:szCs w:val="20"/>
          <w:color w:val="auto"/>
        </w:rPr>
        <w:tab/>
      </w:r>
      <w:r>
        <w:rPr>
          <w:rFonts w:ascii="Arial" w:cs="Arial" w:eastAsia="Arial" w:hAnsi="Arial"/>
          <w:sz w:val="12"/>
          <w:szCs w:val="12"/>
          <w:b w:val="1"/>
          <w:bCs w:val="1"/>
          <w:color w:val="B2B3B6"/>
        </w:rPr>
        <w:t>Matters</w:t>
      </w:r>
    </w:p>
    <w:p>
      <w:pPr>
        <w:sectPr>
          <w:pgSz w:w="11900" w:h="16838" w:orient="portrait"/>
          <w:cols w:equalWidth="0" w:num="1">
            <w:col w:w="9080"/>
          </w:cols>
          <w:pgMar w:left="1400" w:top="432" w:right="1419" w:bottom="249" w:gutter="0" w:footer="0" w:header="0"/>
          <w:type w:val="continuous"/>
        </w:sectPr>
      </w:pPr>
    </w:p>
    <w:bookmarkStart w:id="12" w:name="page13"/>
    <w:bookmarkEnd w:id="12"/>
    <w:p>
      <w:pPr>
        <w:spacing w:after="0"/>
        <w:rPr>
          <w:sz w:val="20"/>
          <w:szCs w:val="20"/>
          <w:color w:val="auto"/>
        </w:rPr>
      </w:pPr>
      <w:r>
        <w:rPr>
          <w:rFonts w:ascii="Arial" w:cs="Arial" w:eastAsia="Arial" w:hAnsi="Arial"/>
          <w:sz w:val="54"/>
          <w:szCs w:val="54"/>
          <w:color w:val="00558C"/>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79228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10375" cy="7922895"/>
                    </a:xfrm>
                    <a:prstGeom prst="rect">
                      <a:avLst/>
                    </a:prstGeom>
                    <a:noFill/>
                  </pic:spPr>
                </pic:pic>
              </a:graphicData>
            </a:graphic>
          </wp:anchor>
        </w:drawing>
        <w:t>Proposal One</w:t>
      </w:r>
    </w:p>
    <w:p>
      <w:pPr>
        <w:spacing w:after="0" w:line="171" w:lineRule="exact"/>
        <w:rPr>
          <w:sz w:val="20"/>
          <w:szCs w:val="20"/>
          <w:color w:val="auto"/>
        </w:rPr>
      </w:pPr>
    </w:p>
    <w:p>
      <w:pPr>
        <w:spacing w:after="0"/>
        <w:rPr>
          <w:sz w:val="20"/>
          <w:szCs w:val="20"/>
          <w:color w:val="auto"/>
        </w:rPr>
      </w:pPr>
      <w:r>
        <w:rPr>
          <w:rFonts w:ascii="Arial" w:cs="Arial" w:eastAsia="Arial" w:hAnsi="Arial"/>
          <w:sz w:val="29"/>
          <w:szCs w:val="29"/>
          <w:b w:val="1"/>
          <w:bCs w:val="1"/>
          <w:color w:val="B2B3B6"/>
        </w:rPr>
        <w:t>Election of Directors</w:t>
      </w:r>
    </w:p>
    <w:p>
      <w:pPr>
        <w:spacing w:after="0" w:line="374" w:lineRule="exact"/>
        <w:rPr>
          <w:sz w:val="20"/>
          <w:szCs w:val="20"/>
          <w:color w:val="auto"/>
        </w:rPr>
      </w:pPr>
    </w:p>
    <w:p>
      <w:pPr>
        <w:spacing w:after="0"/>
        <w:rPr>
          <w:sz w:val="20"/>
          <w:szCs w:val="20"/>
          <w:color w:val="auto"/>
        </w:rPr>
      </w:pPr>
      <w:r>
        <w:rPr>
          <w:rFonts w:ascii="Arial" w:cs="Arial" w:eastAsia="Arial" w:hAnsi="Arial"/>
          <w:sz w:val="22"/>
          <w:szCs w:val="22"/>
          <w:b w:val="1"/>
          <w:bCs w:val="1"/>
          <w:color w:val="00558C"/>
        </w:rPr>
        <w:t>Board of Directors</w:t>
      </w:r>
    </w:p>
    <w:p>
      <w:pPr>
        <w:spacing w:after="0" w:line="112"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The Company’s Restated Certificate of Incorporation previously divided the Company’s board of directors into three classes, with each class being elected to a three-year term. At the 2023 Annual Meeting of Stockholders, the stockholders approved an amendment to the Company's certificate of incorporation to declassify the board of directors.Therefore, the directors nominated to stand for election at the 2025 Annual Meeting will serve a one-year term if elected.</w:t>
      </w:r>
    </w:p>
    <w:p>
      <w:pPr>
        <w:spacing w:after="0" w:line="56"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The board of directors has nominated C. Mark Hussey, Hugh E. Sawyer and Debra Zumwalt as Class II Directors and Peter K. Markell, John McCartney, and Ekta Singh-Bushell as Class III Directors to be voted upon at the 2025 Annual Meeting. Joy T. Brown, H. Eugene Lockhart and James H. Roth are Class I Directors serving terms ending at the 2026 Annual Meeting and until such director’s successor is duly elected and qualified, or until such director’s earlier death, resignation, retirement, disqualification or removal, at which time the board will be declassified and all directors who are nominated and elected will serve a one-year term.</w:t>
      </w:r>
    </w:p>
    <w:p>
      <w:pPr>
        <w:spacing w:after="0" w:line="44" w:lineRule="exact"/>
        <w:rPr>
          <w:sz w:val="20"/>
          <w:szCs w:val="20"/>
          <w:color w:val="auto"/>
        </w:rPr>
      </w:pPr>
    </w:p>
    <w:p>
      <w:pPr>
        <w:ind w:right="260"/>
        <w:spacing w:after="0" w:line="290" w:lineRule="auto"/>
        <w:rPr>
          <w:sz w:val="20"/>
          <w:szCs w:val="20"/>
          <w:color w:val="auto"/>
        </w:rPr>
      </w:pPr>
      <w:r>
        <w:rPr>
          <w:rFonts w:ascii="Arial" w:cs="Arial" w:eastAsia="Arial" w:hAnsi="Arial"/>
          <w:sz w:val="16"/>
          <w:szCs w:val="16"/>
          <w:color w:val="auto"/>
        </w:rPr>
        <w:t>This Proxy Statement relates only to the solicitation of proxies from the stockholders with respect to the election of the six nominees as Class II or Class</w:t>
      </w:r>
    </w:p>
    <w:p>
      <w:pPr>
        <w:spacing w:after="0" w:line="1" w:lineRule="exact"/>
        <w:rPr>
          <w:sz w:val="20"/>
          <w:szCs w:val="20"/>
          <w:color w:val="auto"/>
        </w:rPr>
      </w:pPr>
    </w:p>
    <w:p>
      <w:pPr>
        <w:ind w:right="240" w:firstLine="8"/>
        <w:spacing w:after="0" w:line="288" w:lineRule="auto"/>
        <w:tabs>
          <w:tab w:leader="none" w:pos="180" w:val="left"/>
        </w:tabs>
        <w:numPr>
          <w:ilvl w:val="0"/>
          <w:numId w:val="9"/>
        </w:numPr>
        <w:rPr>
          <w:rFonts w:ascii="Arial" w:cs="Arial" w:eastAsia="Arial" w:hAnsi="Arial"/>
          <w:sz w:val="16"/>
          <w:szCs w:val="16"/>
          <w:color w:val="auto"/>
        </w:rPr>
      </w:pPr>
      <w:r>
        <w:rPr>
          <w:rFonts w:ascii="Arial" w:cs="Arial" w:eastAsia="Arial" w:hAnsi="Arial"/>
          <w:sz w:val="16"/>
          <w:szCs w:val="16"/>
          <w:color w:val="auto"/>
        </w:rPr>
        <w:t>Directors and the other matters described herein. The board of directors is not aware of any reason that the six nominees might be unavailable to serve as Class II or Class III Directors, and each has expressed an intention to serve, if elected. If any of the six nominees is unable to serve, the shares represented by all valid proxies will be voted “FOR” the election of such substitute nominee as the board of directors may recommend. There are no arrangements or understandings between any of the persons nominated to be a Class II or Class III Director and any other person pursuant to which any of such nominees were selected.</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Approval Required</w:t>
      </w:r>
    </w:p>
    <w:p>
      <w:pPr>
        <w:spacing w:after="0" w:line="113" w:lineRule="exact"/>
        <w:rPr>
          <w:sz w:val="20"/>
          <w:szCs w:val="20"/>
          <w:color w:val="auto"/>
        </w:rPr>
      </w:pPr>
    </w:p>
    <w:p>
      <w:pPr>
        <w:ind w:right="240"/>
        <w:spacing w:after="0" w:line="289" w:lineRule="auto"/>
        <w:rPr>
          <w:sz w:val="20"/>
          <w:szCs w:val="20"/>
          <w:color w:val="auto"/>
        </w:rPr>
      </w:pPr>
      <w:r>
        <w:rPr>
          <w:rFonts w:ascii="Arial" w:cs="Arial" w:eastAsia="Arial" w:hAnsi="Arial"/>
          <w:sz w:val="16"/>
          <w:szCs w:val="16"/>
          <w:color w:val="auto"/>
        </w:rPr>
        <w:t>The election of a director requires the affirmative vote of a plurality of the shares of common stock present in person or represented by proxy at the Annual Meeting that are voted, provided that a quorum is represented at the Annual Meeting. A “plurality” means that the individuals who receive the largest number of votes are elected as directors up to the maximum number of directors to be elected at the Annual Meeting. Therefore, votes to withhold and “broker non-votes” will have no impact on the election of directors. Properly executed proxies submitted pursuant to this solicitation will be voted “FOR” the election of Mr. Hussey, Mr. Sawyer and Ms. Zumwalt as Class II Directors and Mr. Markell, Mr. McCartney and Ms. Singh-Bushell as Class III Directors, unless specified otherwise.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499"/>
        <w:spacing w:after="0" w:line="377" w:lineRule="auto"/>
        <w:rPr>
          <w:sz w:val="20"/>
          <w:szCs w:val="20"/>
          <w:color w:val="auto"/>
        </w:rPr>
      </w:pPr>
      <w:r>
        <w:rPr>
          <w:rFonts w:ascii="Arial" w:cs="Arial" w:eastAsia="Arial" w:hAnsi="Arial"/>
          <w:sz w:val="21"/>
          <w:szCs w:val="21"/>
          <w:b w:val="1"/>
          <w:bCs w:val="1"/>
          <w:color w:val="FFFFFF"/>
        </w:rPr>
        <w:t>Recommendation of the Board</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279"/>
        <w:spacing w:after="0" w:line="254" w:lineRule="auto"/>
        <w:rPr>
          <w:sz w:val="20"/>
          <w:szCs w:val="20"/>
          <w:color w:val="auto"/>
        </w:rPr>
      </w:pPr>
      <w:r>
        <w:rPr>
          <w:rFonts w:ascii="Arial" w:cs="Arial" w:eastAsia="Arial" w:hAnsi="Arial"/>
          <w:sz w:val="18"/>
          <w:szCs w:val="18"/>
          <w:color w:val="FFFFFF"/>
        </w:rPr>
        <w:t xml:space="preserve">The Board of Directors recommends that stockholders vote </w:t>
      </w:r>
      <w:r>
        <w:rPr>
          <w:rFonts w:ascii="Arial" w:cs="Arial" w:eastAsia="Arial" w:hAnsi="Arial"/>
          <w:sz w:val="18"/>
          <w:szCs w:val="18"/>
          <w:b w:val="1"/>
          <w:bCs w:val="1"/>
          <w:color w:val="FFFFFF"/>
        </w:rPr>
        <w:t>FOR</w:t>
      </w:r>
      <w:r>
        <w:rPr>
          <w:rFonts w:ascii="Arial" w:cs="Arial" w:eastAsia="Arial" w:hAnsi="Arial"/>
          <w:sz w:val="18"/>
          <w:szCs w:val="18"/>
          <w:color w:val="FFFFFF"/>
        </w:rPr>
        <w:t xml:space="preserve"> the election of Mr. Hussey, Mr. Sawyer and Ms. Zumwalt as Class II and Mr. Markell, Mr. McCartney and Ms. Singh-Bushell as Class III Directors.</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22"/>
          <w:szCs w:val="22"/>
          <w:b w:val="1"/>
          <w:bCs w:val="1"/>
          <w:color w:val="B2B3B6"/>
        </w:rPr>
        <w:t>Independence</w:t>
      </w:r>
    </w:p>
    <w:p>
      <w:pPr>
        <w:spacing w:after="0" w:line="45" w:lineRule="exact"/>
        <w:rPr>
          <w:sz w:val="20"/>
          <w:szCs w:val="20"/>
          <w:color w:val="auto"/>
        </w:rPr>
      </w:pPr>
    </w:p>
    <w:p>
      <w:pPr>
        <w:spacing w:after="0"/>
        <w:rPr>
          <w:sz w:val="20"/>
          <w:szCs w:val="20"/>
          <w:color w:val="auto"/>
        </w:rPr>
      </w:pPr>
      <w:r>
        <w:rPr>
          <w:rFonts w:ascii="Arial" w:cs="Arial" w:eastAsia="Arial" w:hAnsi="Arial"/>
          <w:sz w:val="54"/>
          <w:szCs w:val="54"/>
          <w:color w:val="6AAA37"/>
        </w:rPr>
        <w:t>78%</w:t>
      </w:r>
    </w:p>
    <w:p>
      <w:pPr>
        <w:spacing w:after="0" w:line="84" w:lineRule="exact"/>
        <w:rPr>
          <w:sz w:val="20"/>
          <w:szCs w:val="20"/>
          <w:color w:val="auto"/>
        </w:rPr>
      </w:pPr>
    </w:p>
    <w:p>
      <w:pPr>
        <w:ind w:right="659"/>
        <w:spacing w:after="0" w:line="283" w:lineRule="auto"/>
        <w:rPr>
          <w:sz w:val="20"/>
          <w:szCs w:val="20"/>
          <w:color w:val="auto"/>
        </w:rPr>
      </w:pPr>
      <w:r>
        <w:rPr>
          <w:rFonts w:ascii="Arial" w:cs="Arial" w:eastAsia="Arial" w:hAnsi="Arial"/>
          <w:sz w:val="16"/>
          <w:szCs w:val="16"/>
          <w:color w:val="auto"/>
        </w:rPr>
        <w:t>7 of our 9 Directors are Independent</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B2B3B6"/>
        </w:rPr>
        <w:t>Attendance</w:t>
      </w:r>
    </w:p>
    <w:p>
      <w:pPr>
        <w:spacing w:after="0" w:line="56" w:lineRule="exact"/>
        <w:rPr>
          <w:sz w:val="20"/>
          <w:szCs w:val="20"/>
          <w:color w:val="auto"/>
        </w:rPr>
      </w:pPr>
    </w:p>
    <w:p>
      <w:pPr>
        <w:spacing w:after="0"/>
        <w:rPr>
          <w:sz w:val="20"/>
          <w:szCs w:val="20"/>
          <w:color w:val="auto"/>
        </w:rPr>
      </w:pPr>
      <w:r>
        <w:rPr>
          <w:rFonts w:ascii="Arial" w:cs="Arial" w:eastAsia="Arial" w:hAnsi="Arial"/>
          <w:sz w:val="54"/>
          <w:szCs w:val="54"/>
          <w:color w:val="6AAA37"/>
        </w:rPr>
        <w:t>99%</w:t>
      </w:r>
    </w:p>
    <w:p>
      <w:pPr>
        <w:spacing w:after="0" w:line="86" w:lineRule="exact"/>
        <w:rPr>
          <w:sz w:val="20"/>
          <w:szCs w:val="20"/>
          <w:color w:val="auto"/>
        </w:rPr>
      </w:pPr>
    </w:p>
    <w:p>
      <w:pPr>
        <w:ind w:right="339"/>
        <w:spacing w:after="0" w:line="258" w:lineRule="auto"/>
        <w:rPr>
          <w:sz w:val="20"/>
          <w:szCs w:val="20"/>
          <w:color w:val="auto"/>
        </w:rPr>
      </w:pPr>
      <w:r>
        <w:rPr>
          <w:rFonts w:ascii="Arial" w:cs="Arial" w:eastAsia="Arial" w:hAnsi="Arial"/>
          <w:sz w:val="16"/>
          <w:szCs w:val="16"/>
          <w:color w:val="auto"/>
        </w:rPr>
        <w:t>We had 99% overall attendance at all Board and Committee Meetings throughout 2024</w:t>
      </w:r>
    </w:p>
    <w:p>
      <w:pPr>
        <w:spacing w:after="0" w:line="1033" w:lineRule="exact"/>
        <w:rPr>
          <w:sz w:val="20"/>
          <w:szCs w:val="20"/>
          <w:color w:val="auto"/>
        </w:rPr>
      </w:pPr>
    </w:p>
    <w:p>
      <w:pPr>
        <w:sectPr>
          <w:pgSz w:w="11900" w:h="16838" w:orient="portrait"/>
          <w:cols w:equalWidth="0" w:num="2">
            <w:col w:w="6020" w:space="720"/>
            <w:col w:w="2319"/>
          </w:cols>
          <w:pgMar w:left="1400" w:top="1041" w:right="1440" w:bottom="0" w:gutter="0" w:footer="0" w:header="0"/>
        </w:sectPr>
      </w:pPr>
    </w:p>
    <w:p>
      <w:pPr>
        <w:spacing w:after="0" w:line="113" w:lineRule="exact"/>
        <w:rPr>
          <w:sz w:val="20"/>
          <w:szCs w:val="20"/>
          <w:color w:val="auto"/>
        </w:rPr>
      </w:pPr>
    </w:p>
    <w:p>
      <w:pPr>
        <w:ind w:left="60"/>
        <w:spacing w:after="0"/>
        <w:tabs>
          <w:tab w:leader="none" w:pos="448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13"/>
          <w:szCs w:val="13"/>
          <w:b w:val="1"/>
          <w:bCs w:val="1"/>
          <w:color w:val="00558C"/>
        </w:rPr>
        <w:t>2</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420370</wp:posOffset>
            </wp:positionV>
            <wp:extent cx="6810375" cy="25107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10375" cy="2510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20" w:type="dxa"/>
            <w:vAlign w:val="bottom"/>
          </w:tcPr>
          <w:p>
            <w:pPr>
              <w:ind w:left="60"/>
              <w:spacing w:after="0"/>
              <w:rPr>
                <w:sz w:val="20"/>
                <w:szCs w:val="20"/>
                <w:color w:val="auto"/>
              </w:rPr>
            </w:pPr>
            <w:r>
              <w:rPr>
                <w:rFonts w:ascii="Arial" w:cs="Arial" w:eastAsia="Arial" w:hAnsi="Arial"/>
                <w:sz w:val="13"/>
                <w:szCs w:val="13"/>
                <w:b w:val="1"/>
                <w:bCs w:val="1"/>
                <w:color w:val="B2B3B6"/>
              </w:rPr>
              <w:t>General</w:t>
            </w:r>
          </w:p>
        </w:tc>
        <w:tc>
          <w:tcPr>
            <w:tcW w:w="920" w:type="dxa"/>
            <w:vAlign w:val="bottom"/>
          </w:tcPr>
          <w:p>
            <w:pPr>
              <w:ind w:left="240"/>
              <w:spacing w:after="0"/>
              <w:rPr>
                <w:sz w:val="20"/>
                <w:szCs w:val="20"/>
                <w:color w:val="auto"/>
              </w:rPr>
            </w:pPr>
            <w:r>
              <w:rPr>
                <w:rFonts w:ascii="Arial" w:cs="Arial" w:eastAsia="Arial" w:hAnsi="Arial"/>
                <w:sz w:val="13"/>
                <w:szCs w:val="13"/>
                <w:b w:val="1"/>
                <w:bCs w:val="1"/>
                <w:color w:val="6AAA37"/>
              </w:rPr>
              <w:t>Proposal</w:t>
            </w:r>
          </w:p>
        </w:tc>
        <w:tc>
          <w:tcPr>
            <w:tcW w:w="1100" w:type="dxa"/>
            <w:vAlign w:val="bottom"/>
            <w:gridSpan w:val="2"/>
          </w:tcPr>
          <w:p>
            <w:pPr>
              <w:ind w:left="160"/>
              <w:spacing w:after="0"/>
              <w:rPr>
                <w:sz w:val="20"/>
                <w:szCs w:val="20"/>
                <w:color w:val="auto"/>
              </w:rPr>
            </w:pPr>
            <w:r>
              <w:rPr>
                <w:rFonts w:ascii="Arial" w:cs="Arial" w:eastAsia="Arial" w:hAnsi="Arial"/>
                <w:sz w:val="13"/>
                <w:szCs w:val="13"/>
                <w:b w:val="1"/>
                <w:bCs w:val="1"/>
                <w:color w:val="B2B3B6"/>
              </w:rPr>
              <w:t>Corporate</w:t>
            </w:r>
          </w:p>
        </w:tc>
        <w:tc>
          <w:tcPr>
            <w:tcW w:w="740" w:type="dxa"/>
            <w:vAlign w:val="bottom"/>
          </w:tcPr>
          <w:p>
            <w:pPr>
              <w:ind w:left="60"/>
              <w:spacing w:after="0"/>
              <w:rPr>
                <w:sz w:val="20"/>
                <w:szCs w:val="20"/>
                <w:color w:val="auto"/>
              </w:rPr>
            </w:pPr>
            <w:r>
              <w:rPr>
                <w:rFonts w:ascii="Arial" w:cs="Arial" w:eastAsia="Arial" w:hAnsi="Arial"/>
                <w:sz w:val="13"/>
                <w:szCs w:val="13"/>
                <w:b w:val="1"/>
                <w:bCs w:val="1"/>
                <w:color w:val="B2B3B6"/>
              </w:rPr>
              <w:t>Proposal</w:t>
            </w:r>
          </w:p>
        </w:tc>
        <w:tc>
          <w:tcPr>
            <w:tcW w:w="1280" w:type="dxa"/>
            <w:vAlign w:val="bottom"/>
          </w:tcPr>
          <w:p>
            <w:pPr>
              <w:ind w:left="140"/>
              <w:spacing w:after="0"/>
              <w:rPr>
                <w:sz w:val="20"/>
                <w:szCs w:val="20"/>
                <w:color w:val="auto"/>
              </w:rPr>
            </w:pPr>
            <w:r>
              <w:rPr>
                <w:rFonts w:ascii="Arial" w:cs="Arial" w:eastAsia="Arial" w:hAnsi="Arial"/>
                <w:sz w:val="13"/>
                <w:szCs w:val="13"/>
                <w:b w:val="1"/>
                <w:bCs w:val="1"/>
                <w:color w:val="B2B3B6"/>
              </w:rPr>
              <w:t>Executive</w:t>
            </w:r>
          </w:p>
        </w:tc>
        <w:tc>
          <w:tcPr>
            <w:tcW w:w="740" w:type="dxa"/>
            <w:vAlign w:val="bottom"/>
          </w:tcPr>
          <w:p>
            <w:pPr>
              <w:ind w:left="60"/>
              <w:spacing w:after="0"/>
              <w:rPr>
                <w:sz w:val="20"/>
                <w:szCs w:val="20"/>
                <w:color w:val="auto"/>
              </w:rPr>
            </w:pPr>
            <w:r>
              <w:rPr>
                <w:rFonts w:ascii="Arial" w:cs="Arial" w:eastAsia="Arial" w:hAnsi="Arial"/>
                <w:sz w:val="13"/>
                <w:szCs w:val="13"/>
                <w:b w:val="1"/>
                <w:bCs w:val="1"/>
                <w:color w:val="B2B3B6"/>
              </w:rPr>
              <w:t>Proposal</w:t>
            </w:r>
          </w:p>
        </w:tc>
        <w:tc>
          <w:tcPr>
            <w:tcW w:w="820" w:type="dxa"/>
            <w:vAlign w:val="bottom"/>
          </w:tcPr>
          <w:p>
            <w:pPr>
              <w:ind w:left="140"/>
              <w:spacing w:after="0"/>
              <w:rPr>
                <w:sz w:val="20"/>
                <w:szCs w:val="20"/>
                <w:color w:val="auto"/>
              </w:rPr>
            </w:pPr>
            <w:r>
              <w:rPr>
                <w:rFonts w:ascii="Arial" w:cs="Arial" w:eastAsia="Arial" w:hAnsi="Arial"/>
                <w:sz w:val="13"/>
                <w:szCs w:val="13"/>
                <w:b w:val="1"/>
                <w:bCs w:val="1"/>
                <w:color w:val="B2B3B6"/>
              </w:rPr>
              <w:t>Proposal</w:t>
            </w:r>
          </w:p>
        </w:tc>
        <w:tc>
          <w:tcPr>
            <w:tcW w:w="700" w:type="dxa"/>
            <w:vAlign w:val="bottom"/>
          </w:tcPr>
          <w:p>
            <w:pPr>
              <w:ind w:left="140"/>
              <w:spacing w:after="0"/>
              <w:rPr>
                <w:sz w:val="20"/>
                <w:szCs w:val="20"/>
                <w:color w:val="auto"/>
              </w:rPr>
            </w:pPr>
            <w:r>
              <w:rPr>
                <w:rFonts w:ascii="Arial" w:cs="Arial" w:eastAsia="Arial" w:hAnsi="Arial"/>
                <w:sz w:val="13"/>
                <w:szCs w:val="13"/>
                <w:b w:val="1"/>
                <w:bCs w:val="1"/>
                <w:color w:val="B2B3B6"/>
                <w:w w:val="96"/>
              </w:rPr>
              <w:t>Proposal</w:t>
            </w:r>
          </w:p>
        </w:tc>
        <w:tc>
          <w:tcPr>
            <w:tcW w:w="200" w:type="dxa"/>
            <w:vAlign w:val="bottom"/>
          </w:tcPr>
          <w:p>
            <w:pPr>
              <w:spacing w:after="0"/>
              <w:rPr>
                <w:sz w:val="12"/>
                <w:szCs w:val="12"/>
                <w:color w:val="auto"/>
              </w:rPr>
            </w:pPr>
          </w:p>
        </w:tc>
        <w:tc>
          <w:tcPr>
            <w:tcW w:w="1100" w:type="dxa"/>
            <w:vAlign w:val="bottom"/>
          </w:tcPr>
          <w:p>
            <w:pPr>
              <w:ind w:left="60"/>
              <w:spacing w:after="0"/>
              <w:rPr>
                <w:sz w:val="20"/>
                <w:szCs w:val="20"/>
                <w:color w:val="auto"/>
              </w:rPr>
            </w:pPr>
            <w:r>
              <w:rPr>
                <w:rFonts w:ascii="Arial" w:cs="Arial" w:eastAsia="Arial" w:hAnsi="Arial"/>
                <w:sz w:val="13"/>
                <w:szCs w:val="13"/>
                <w:b w:val="1"/>
                <w:bCs w:val="1"/>
                <w:color w:val="B2B3B6"/>
              </w:rPr>
              <w:t>Stockholder</w:t>
            </w:r>
          </w:p>
        </w:tc>
        <w:tc>
          <w:tcPr>
            <w:tcW w:w="580" w:type="dxa"/>
            <w:vAlign w:val="bottom"/>
          </w:tcPr>
          <w:p>
            <w:pPr>
              <w:spacing w:after="0"/>
              <w:rPr>
                <w:sz w:val="20"/>
                <w:szCs w:val="20"/>
                <w:color w:val="auto"/>
              </w:rPr>
            </w:pPr>
            <w:r>
              <w:rPr>
                <w:rFonts w:ascii="Arial" w:cs="Arial" w:eastAsia="Arial" w:hAnsi="Arial"/>
                <w:sz w:val="13"/>
                <w:szCs w:val="13"/>
                <w:b w:val="1"/>
                <w:bCs w:val="1"/>
                <w:color w:val="B2B3B6"/>
              </w:rPr>
              <w:t>Other</w:t>
            </w:r>
          </w:p>
        </w:tc>
        <w:tc>
          <w:tcPr>
            <w:tcW w:w="0" w:type="dxa"/>
            <w:vAlign w:val="bottom"/>
          </w:tcPr>
          <w:p>
            <w:pPr>
              <w:spacing w:after="0"/>
              <w:rPr>
                <w:sz w:val="1"/>
                <w:szCs w:val="1"/>
                <w:color w:val="auto"/>
              </w:rPr>
            </w:pPr>
          </w:p>
        </w:tc>
      </w:tr>
      <w:tr>
        <w:trPr>
          <w:trHeight w:val="172"/>
        </w:trPr>
        <w:tc>
          <w:tcPr>
            <w:tcW w:w="820" w:type="dxa"/>
            <w:vAlign w:val="bottom"/>
          </w:tcPr>
          <w:p>
            <w:pPr>
              <w:ind w:left="60"/>
              <w:spacing w:after="0"/>
              <w:rPr>
                <w:sz w:val="20"/>
                <w:szCs w:val="20"/>
                <w:color w:val="auto"/>
              </w:rPr>
            </w:pPr>
            <w:r>
              <w:rPr>
                <w:rFonts w:ascii="Arial" w:cs="Arial" w:eastAsia="Arial" w:hAnsi="Arial"/>
                <w:sz w:val="13"/>
                <w:szCs w:val="13"/>
                <w:b w:val="1"/>
                <w:bCs w:val="1"/>
                <w:color w:val="B2B3B6"/>
              </w:rPr>
              <w:t>Information</w:t>
            </w:r>
          </w:p>
        </w:tc>
        <w:tc>
          <w:tcPr>
            <w:tcW w:w="920" w:type="dxa"/>
            <w:vAlign w:val="bottom"/>
          </w:tcPr>
          <w:p>
            <w:pPr>
              <w:ind w:left="240"/>
              <w:spacing w:after="0"/>
              <w:rPr>
                <w:sz w:val="20"/>
                <w:szCs w:val="20"/>
                <w:color w:val="auto"/>
              </w:rPr>
            </w:pPr>
            <w:r>
              <w:rPr>
                <w:rFonts w:ascii="Arial" w:cs="Arial" w:eastAsia="Arial" w:hAnsi="Arial"/>
                <w:sz w:val="13"/>
                <w:szCs w:val="13"/>
                <w:b w:val="1"/>
                <w:bCs w:val="1"/>
                <w:color w:val="6AAA37"/>
              </w:rPr>
              <w:t>One</w:t>
            </w:r>
          </w:p>
        </w:tc>
        <w:tc>
          <w:tcPr>
            <w:tcW w:w="1100" w:type="dxa"/>
            <w:vAlign w:val="bottom"/>
            <w:gridSpan w:val="2"/>
          </w:tcPr>
          <w:p>
            <w:pPr>
              <w:ind w:left="160"/>
              <w:spacing w:after="0"/>
              <w:rPr>
                <w:sz w:val="20"/>
                <w:szCs w:val="20"/>
                <w:color w:val="auto"/>
              </w:rPr>
            </w:pPr>
            <w:r>
              <w:rPr>
                <w:rFonts w:ascii="Arial" w:cs="Arial" w:eastAsia="Arial" w:hAnsi="Arial"/>
                <w:sz w:val="13"/>
                <w:szCs w:val="13"/>
                <w:b w:val="1"/>
                <w:bCs w:val="1"/>
                <w:color w:val="B2B3B6"/>
              </w:rPr>
              <w:t>Governance</w:t>
            </w:r>
          </w:p>
        </w:tc>
        <w:tc>
          <w:tcPr>
            <w:tcW w:w="740" w:type="dxa"/>
            <w:vAlign w:val="bottom"/>
          </w:tcPr>
          <w:p>
            <w:pPr>
              <w:ind w:left="60"/>
              <w:spacing w:after="0"/>
              <w:rPr>
                <w:sz w:val="20"/>
                <w:szCs w:val="20"/>
                <w:color w:val="auto"/>
              </w:rPr>
            </w:pPr>
            <w:r>
              <w:rPr>
                <w:rFonts w:ascii="Arial" w:cs="Arial" w:eastAsia="Arial" w:hAnsi="Arial"/>
                <w:sz w:val="13"/>
                <w:szCs w:val="13"/>
                <w:b w:val="1"/>
                <w:bCs w:val="1"/>
                <w:color w:val="B2B3B6"/>
              </w:rPr>
              <w:t>Two</w:t>
            </w:r>
          </w:p>
        </w:tc>
        <w:tc>
          <w:tcPr>
            <w:tcW w:w="1280" w:type="dxa"/>
            <w:vAlign w:val="bottom"/>
          </w:tcPr>
          <w:p>
            <w:pPr>
              <w:ind w:left="140"/>
              <w:spacing w:after="0"/>
              <w:rPr>
                <w:sz w:val="20"/>
                <w:szCs w:val="20"/>
                <w:color w:val="auto"/>
              </w:rPr>
            </w:pPr>
            <w:r>
              <w:rPr>
                <w:rFonts w:ascii="Arial" w:cs="Arial" w:eastAsia="Arial" w:hAnsi="Arial"/>
                <w:sz w:val="13"/>
                <w:szCs w:val="13"/>
                <w:b w:val="1"/>
                <w:bCs w:val="1"/>
                <w:color w:val="B2B3B6"/>
              </w:rPr>
              <w:t>Compensation</w:t>
            </w:r>
          </w:p>
        </w:tc>
        <w:tc>
          <w:tcPr>
            <w:tcW w:w="740" w:type="dxa"/>
            <w:vAlign w:val="bottom"/>
          </w:tcPr>
          <w:p>
            <w:pPr>
              <w:ind w:left="60"/>
              <w:spacing w:after="0"/>
              <w:rPr>
                <w:sz w:val="20"/>
                <w:szCs w:val="20"/>
                <w:color w:val="auto"/>
              </w:rPr>
            </w:pPr>
            <w:r>
              <w:rPr>
                <w:rFonts w:ascii="Arial" w:cs="Arial" w:eastAsia="Arial" w:hAnsi="Arial"/>
                <w:sz w:val="13"/>
                <w:szCs w:val="13"/>
                <w:b w:val="1"/>
                <w:bCs w:val="1"/>
                <w:color w:val="B2B3B6"/>
              </w:rPr>
              <w:t>Three</w:t>
            </w:r>
          </w:p>
        </w:tc>
        <w:tc>
          <w:tcPr>
            <w:tcW w:w="820" w:type="dxa"/>
            <w:vAlign w:val="bottom"/>
          </w:tcPr>
          <w:p>
            <w:pPr>
              <w:ind w:left="140"/>
              <w:spacing w:after="0"/>
              <w:rPr>
                <w:sz w:val="20"/>
                <w:szCs w:val="20"/>
                <w:color w:val="auto"/>
              </w:rPr>
            </w:pPr>
            <w:r>
              <w:rPr>
                <w:rFonts w:ascii="Arial" w:cs="Arial" w:eastAsia="Arial" w:hAnsi="Arial"/>
                <w:sz w:val="13"/>
                <w:szCs w:val="13"/>
                <w:b w:val="1"/>
                <w:bCs w:val="1"/>
                <w:color w:val="B2B3B6"/>
              </w:rPr>
              <w:t>Four</w:t>
            </w:r>
          </w:p>
        </w:tc>
        <w:tc>
          <w:tcPr>
            <w:tcW w:w="700" w:type="dxa"/>
            <w:vAlign w:val="bottom"/>
          </w:tcPr>
          <w:p>
            <w:pPr>
              <w:ind w:left="140"/>
              <w:spacing w:after="0"/>
              <w:rPr>
                <w:sz w:val="20"/>
                <w:szCs w:val="20"/>
                <w:color w:val="auto"/>
              </w:rPr>
            </w:pPr>
            <w:r>
              <w:rPr>
                <w:rFonts w:ascii="Arial" w:cs="Arial" w:eastAsia="Arial" w:hAnsi="Arial"/>
                <w:sz w:val="13"/>
                <w:szCs w:val="13"/>
                <w:b w:val="1"/>
                <w:bCs w:val="1"/>
                <w:color w:val="B2B3B6"/>
              </w:rPr>
              <w:t>Five</w:t>
            </w:r>
          </w:p>
        </w:tc>
        <w:tc>
          <w:tcPr>
            <w:tcW w:w="200" w:type="dxa"/>
            <w:vAlign w:val="bottom"/>
          </w:tcPr>
          <w:p>
            <w:pPr>
              <w:spacing w:after="0"/>
              <w:rPr>
                <w:sz w:val="14"/>
                <w:szCs w:val="14"/>
                <w:color w:val="auto"/>
              </w:rPr>
            </w:pPr>
          </w:p>
        </w:tc>
        <w:tc>
          <w:tcPr>
            <w:tcW w:w="1100" w:type="dxa"/>
            <w:vAlign w:val="bottom"/>
          </w:tcPr>
          <w:p>
            <w:pPr>
              <w:ind w:left="60"/>
              <w:spacing w:after="0"/>
              <w:rPr>
                <w:sz w:val="20"/>
                <w:szCs w:val="20"/>
                <w:color w:val="auto"/>
              </w:rPr>
            </w:pPr>
            <w:r>
              <w:rPr>
                <w:rFonts w:ascii="Arial" w:cs="Arial" w:eastAsia="Arial" w:hAnsi="Arial"/>
                <w:sz w:val="13"/>
                <w:szCs w:val="13"/>
                <w:b w:val="1"/>
                <w:bCs w:val="1"/>
                <w:color w:val="B2B3B6"/>
              </w:rPr>
              <w:t>Proposals</w:t>
            </w:r>
          </w:p>
        </w:tc>
        <w:tc>
          <w:tcPr>
            <w:tcW w:w="580" w:type="dxa"/>
            <w:vAlign w:val="bottom"/>
          </w:tcPr>
          <w:p>
            <w:pPr>
              <w:spacing w:after="0"/>
              <w:rPr>
                <w:sz w:val="20"/>
                <w:szCs w:val="20"/>
                <w:color w:val="auto"/>
              </w:rPr>
            </w:pPr>
            <w:r>
              <w:rPr>
                <w:rFonts w:ascii="Arial" w:cs="Arial" w:eastAsia="Arial" w:hAnsi="Arial"/>
                <w:sz w:val="13"/>
                <w:szCs w:val="13"/>
                <w:b w:val="1"/>
                <w:bCs w:val="1"/>
                <w:color w:val="B2B3B6"/>
              </w:rPr>
              <w:t>Matters</w:t>
            </w:r>
          </w:p>
        </w:tc>
        <w:tc>
          <w:tcPr>
            <w:tcW w:w="0" w:type="dxa"/>
            <w:vAlign w:val="bottom"/>
          </w:tcPr>
          <w:p>
            <w:pPr>
              <w:spacing w:after="0"/>
              <w:rPr>
                <w:sz w:val="1"/>
                <w:szCs w:val="1"/>
                <w:color w:val="auto"/>
              </w:rPr>
            </w:pPr>
          </w:p>
        </w:tc>
      </w:tr>
      <w:tr>
        <w:trPr>
          <w:trHeight w:val="601"/>
        </w:trPr>
        <w:tc>
          <w:tcPr>
            <w:tcW w:w="1740" w:type="dxa"/>
            <w:vAlign w:val="bottom"/>
            <w:gridSpan w:val="2"/>
          </w:tcPr>
          <w:p>
            <w:pPr>
              <w:spacing w:after="0"/>
              <w:rPr>
                <w:sz w:val="20"/>
                <w:szCs w:val="20"/>
                <w:color w:val="auto"/>
              </w:rPr>
            </w:pPr>
            <w:r>
              <w:rPr>
                <w:rFonts w:ascii="Arial" w:cs="Arial" w:eastAsia="Arial" w:hAnsi="Arial"/>
                <w:sz w:val="22"/>
                <w:szCs w:val="22"/>
                <w:b w:val="1"/>
                <w:bCs w:val="1"/>
                <w:color w:val="00558C"/>
                <w:w w:val="99"/>
              </w:rPr>
              <w:t>About the Board</w:t>
            </w: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4"/>
        </w:trPr>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FFFFFF"/>
              </w:rPr>
              <w:t>Director</w:t>
            </w:r>
          </w:p>
        </w:tc>
        <w:tc>
          <w:tcPr>
            <w:tcW w:w="7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ind w:left="140"/>
              <w:spacing w:after="0"/>
              <w:rPr>
                <w:sz w:val="20"/>
                <w:szCs w:val="20"/>
                <w:color w:val="auto"/>
              </w:rPr>
            </w:pPr>
            <w:r>
              <w:rPr>
                <w:rFonts w:ascii="Arial" w:cs="Arial" w:eastAsia="Arial" w:hAnsi="Arial"/>
                <w:sz w:val="14"/>
                <w:szCs w:val="14"/>
                <w:b w:val="1"/>
                <w:bCs w:val="1"/>
                <w:color w:val="FFFFFF"/>
              </w:rPr>
              <w:t>Name</w:t>
            </w:r>
          </w:p>
        </w:tc>
        <w:tc>
          <w:tcPr>
            <w:tcW w:w="920" w:type="dxa"/>
            <w:vAlign w:val="bottom"/>
          </w:tcPr>
          <w:p>
            <w:pPr>
              <w:spacing w:after="0"/>
              <w:rPr>
                <w:sz w:val="17"/>
                <w:szCs w:val="17"/>
                <w:color w:val="auto"/>
              </w:rPr>
            </w:pPr>
          </w:p>
        </w:tc>
        <w:tc>
          <w:tcPr>
            <w:tcW w:w="400" w:type="dxa"/>
            <w:vAlign w:val="bottom"/>
          </w:tcPr>
          <w:p>
            <w:pPr>
              <w:jc w:val="center"/>
              <w:spacing w:after="0"/>
              <w:rPr>
                <w:sz w:val="20"/>
                <w:szCs w:val="20"/>
                <w:color w:val="auto"/>
              </w:rPr>
            </w:pPr>
            <w:r>
              <w:rPr>
                <w:rFonts w:ascii="Arial" w:cs="Arial" w:eastAsia="Arial" w:hAnsi="Arial"/>
                <w:sz w:val="14"/>
                <w:szCs w:val="14"/>
                <w:b w:val="1"/>
                <w:bCs w:val="1"/>
                <w:color w:val="FFFFFF"/>
                <w:w w:val="98"/>
              </w:rPr>
              <w:t>Age</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FFFFFF"/>
              </w:rPr>
              <w:t>Since</w:t>
            </w:r>
          </w:p>
        </w:tc>
        <w:tc>
          <w:tcPr>
            <w:tcW w:w="2020" w:type="dxa"/>
            <w:vAlign w:val="bottom"/>
            <w:gridSpan w:val="2"/>
          </w:tcPr>
          <w:p>
            <w:pPr>
              <w:ind w:left="180"/>
              <w:spacing w:after="0"/>
              <w:rPr>
                <w:sz w:val="20"/>
                <w:szCs w:val="20"/>
                <w:color w:val="auto"/>
              </w:rPr>
            </w:pPr>
            <w:r>
              <w:rPr>
                <w:rFonts w:ascii="Arial" w:cs="Arial" w:eastAsia="Arial" w:hAnsi="Arial"/>
                <w:sz w:val="14"/>
                <w:szCs w:val="14"/>
                <w:b w:val="1"/>
                <w:bCs w:val="1"/>
                <w:color w:val="FFFFFF"/>
              </w:rPr>
              <w:t>Principal Occupation</w:t>
            </w:r>
          </w:p>
        </w:tc>
        <w:tc>
          <w:tcPr>
            <w:tcW w:w="1560" w:type="dxa"/>
            <w:vAlign w:val="bottom"/>
            <w:gridSpan w:val="2"/>
          </w:tcPr>
          <w:p>
            <w:pPr>
              <w:ind w:left="500"/>
              <w:spacing w:after="0"/>
              <w:rPr>
                <w:sz w:val="20"/>
                <w:szCs w:val="20"/>
                <w:color w:val="auto"/>
              </w:rPr>
            </w:pPr>
            <w:r>
              <w:rPr>
                <w:rFonts w:ascii="Arial" w:cs="Arial" w:eastAsia="Arial" w:hAnsi="Arial"/>
                <w:sz w:val="14"/>
                <w:szCs w:val="14"/>
                <w:b w:val="1"/>
                <w:bCs w:val="1"/>
                <w:color w:val="FFFFFF"/>
              </w:rPr>
              <w:t>Independent</w:t>
            </w:r>
          </w:p>
        </w:tc>
        <w:tc>
          <w:tcPr>
            <w:tcW w:w="700" w:type="dxa"/>
            <w:vAlign w:val="bottom"/>
          </w:tcPr>
          <w:p>
            <w:pPr>
              <w:ind w:left="180"/>
              <w:spacing w:after="0"/>
              <w:rPr>
                <w:sz w:val="20"/>
                <w:szCs w:val="20"/>
                <w:color w:val="auto"/>
              </w:rPr>
            </w:pPr>
            <w:r>
              <w:rPr>
                <w:rFonts w:ascii="Arial" w:cs="Arial" w:eastAsia="Arial" w:hAnsi="Arial"/>
                <w:sz w:val="14"/>
                <w:szCs w:val="14"/>
                <w:b w:val="1"/>
                <w:bCs w:val="1"/>
                <w:color w:val="FFFFFF"/>
              </w:rPr>
              <w:t>A</w:t>
            </w:r>
          </w:p>
        </w:tc>
        <w:tc>
          <w:tcPr>
            <w:tcW w:w="200" w:type="dxa"/>
            <w:vAlign w:val="bottom"/>
          </w:tcPr>
          <w:p>
            <w:pPr>
              <w:ind w:left="20"/>
              <w:spacing w:after="0"/>
              <w:rPr>
                <w:sz w:val="20"/>
                <w:szCs w:val="20"/>
                <w:color w:val="auto"/>
              </w:rPr>
            </w:pPr>
            <w:r>
              <w:rPr>
                <w:rFonts w:ascii="Arial" w:cs="Arial" w:eastAsia="Arial" w:hAnsi="Arial"/>
                <w:sz w:val="14"/>
                <w:szCs w:val="14"/>
                <w:b w:val="1"/>
                <w:bCs w:val="1"/>
                <w:color w:val="FFFFFF"/>
              </w:rPr>
              <w:t>C</w:t>
            </w:r>
          </w:p>
        </w:tc>
        <w:tc>
          <w:tcPr>
            <w:tcW w:w="1100" w:type="dxa"/>
            <w:vAlign w:val="bottom"/>
          </w:tcPr>
          <w:p>
            <w:pPr>
              <w:ind w:left="200"/>
              <w:spacing w:after="0"/>
              <w:rPr>
                <w:sz w:val="20"/>
                <w:szCs w:val="20"/>
                <w:color w:val="auto"/>
              </w:rPr>
            </w:pPr>
            <w:r>
              <w:rPr>
                <w:rFonts w:ascii="Arial" w:cs="Arial" w:eastAsia="Arial" w:hAnsi="Arial"/>
                <w:sz w:val="14"/>
                <w:szCs w:val="14"/>
                <w:b w:val="1"/>
                <w:bCs w:val="1"/>
                <w:color w:val="FFFFFF"/>
              </w:rPr>
              <w:t>N&amp;CG  Tech</w:t>
            </w:r>
          </w:p>
        </w:tc>
        <w:tc>
          <w:tcPr>
            <w:tcW w:w="580" w:type="dxa"/>
            <w:vAlign w:val="bottom"/>
          </w:tcPr>
          <w:p>
            <w:pPr>
              <w:ind w:left="180"/>
              <w:spacing w:after="0"/>
              <w:rPr>
                <w:sz w:val="20"/>
                <w:szCs w:val="20"/>
                <w:color w:val="auto"/>
              </w:rPr>
            </w:pPr>
            <w:r>
              <w:rPr>
                <w:rFonts w:ascii="Arial" w:cs="Arial" w:eastAsia="Arial" w:hAnsi="Arial"/>
                <w:sz w:val="14"/>
                <w:szCs w:val="14"/>
                <w:b w:val="1"/>
                <w:bCs w:val="1"/>
                <w:color w:val="FFFFFF"/>
                <w:w w:val="97"/>
              </w:rPr>
              <w:t>F&amp;CA</w:t>
            </w:r>
          </w:p>
        </w:tc>
        <w:tc>
          <w:tcPr>
            <w:tcW w:w="0" w:type="dxa"/>
            <w:vAlign w:val="bottom"/>
          </w:tcPr>
          <w:p>
            <w:pPr>
              <w:spacing w:after="0"/>
              <w:rPr>
                <w:sz w:val="1"/>
                <w:szCs w:val="1"/>
                <w:color w:val="auto"/>
              </w:rPr>
            </w:pPr>
          </w:p>
        </w:tc>
      </w:tr>
      <w:tr>
        <w:trPr>
          <w:trHeight w:val="405"/>
        </w:trPr>
        <w:tc>
          <w:tcPr>
            <w:tcW w:w="2840" w:type="dxa"/>
            <w:vAlign w:val="bottom"/>
            <w:gridSpan w:val="4"/>
          </w:tcPr>
          <w:p>
            <w:pPr>
              <w:ind w:left="140"/>
              <w:spacing w:after="0"/>
              <w:rPr>
                <w:sz w:val="20"/>
                <w:szCs w:val="20"/>
                <w:color w:val="auto"/>
              </w:rPr>
            </w:pPr>
            <w:r>
              <w:rPr>
                <w:rFonts w:ascii="Arial" w:cs="Arial" w:eastAsia="Arial" w:hAnsi="Arial"/>
                <w:sz w:val="14"/>
                <w:szCs w:val="14"/>
                <w:b w:val="1"/>
                <w:bCs w:val="1"/>
                <w:color w:val="FFFFFF"/>
              </w:rPr>
              <w:t>Nominees To the Board of Directors</w:t>
            </w:r>
          </w:p>
        </w:tc>
        <w:tc>
          <w:tcPr>
            <w:tcW w:w="7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2"/>
        </w:trPr>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20" w:type="dxa"/>
            <w:vAlign w:val="bottom"/>
            <w:gridSpan w:val="2"/>
          </w:tcPr>
          <w:p>
            <w:pPr>
              <w:ind w:left="180"/>
              <w:spacing w:after="0"/>
              <w:rPr>
                <w:sz w:val="20"/>
                <w:szCs w:val="20"/>
                <w:color w:val="auto"/>
              </w:rPr>
            </w:pPr>
            <w:r>
              <w:rPr>
                <w:rFonts w:ascii="Arial" w:cs="Arial" w:eastAsia="Arial" w:hAnsi="Arial"/>
                <w:sz w:val="14"/>
                <w:szCs w:val="14"/>
                <w:color w:val="auto"/>
              </w:rPr>
              <w:t>Chief Executive Officer and</w:t>
            </w: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920" w:type="dxa"/>
            <w:vAlign w:val="bottom"/>
            <w:vMerge w:val="restart"/>
          </w:tcPr>
          <w:p>
            <w:pPr>
              <w:ind w:left="80"/>
              <w:spacing w:after="0"/>
              <w:rPr>
                <w:sz w:val="20"/>
                <w:szCs w:val="20"/>
                <w:color w:val="auto"/>
              </w:rPr>
            </w:pPr>
            <w:r>
              <w:rPr>
                <w:rFonts w:ascii="Arial" w:cs="Arial" w:eastAsia="Arial" w:hAnsi="Arial"/>
                <w:sz w:val="14"/>
                <w:szCs w:val="14"/>
                <w:b w:val="1"/>
                <w:bCs w:val="1"/>
                <w:color w:val="00558C"/>
              </w:rPr>
              <w:t>C. Mark</w:t>
            </w: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20" w:type="dxa"/>
            <w:vAlign w:val="bottom"/>
            <w:gridSpan w:val="2"/>
          </w:tcPr>
          <w:p>
            <w:pPr>
              <w:ind w:left="180"/>
              <w:spacing w:after="0"/>
              <w:rPr>
                <w:sz w:val="20"/>
                <w:szCs w:val="20"/>
                <w:color w:val="auto"/>
              </w:rPr>
            </w:pPr>
            <w:r>
              <w:rPr>
                <w:rFonts w:ascii="Arial" w:cs="Arial" w:eastAsia="Arial" w:hAnsi="Arial"/>
                <w:sz w:val="14"/>
                <w:szCs w:val="14"/>
                <w:color w:val="auto"/>
              </w:rPr>
              <w:t>President, Huron Consulting</w:t>
            </w: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82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400" w:type="dxa"/>
            <w:vAlign w:val="bottom"/>
            <w:vMerge w:val="restart"/>
          </w:tcPr>
          <w:p>
            <w:pPr>
              <w:jc w:val="right"/>
              <w:ind w:right="53"/>
              <w:spacing w:after="0"/>
              <w:rPr>
                <w:sz w:val="20"/>
                <w:szCs w:val="20"/>
                <w:color w:val="auto"/>
              </w:rPr>
            </w:pPr>
            <w:r>
              <w:rPr>
                <w:rFonts w:ascii="Arial" w:cs="Arial" w:eastAsia="Arial" w:hAnsi="Arial"/>
                <w:sz w:val="14"/>
                <w:szCs w:val="14"/>
                <w:color w:val="auto"/>
              </w:rPr>
              <w:t>64</w:t>
            </w:r>
          </w:p>
        </w:tc>
        <w:tc>
          <w:tcPr>
            <w:tcW w:w="700" w:type="dxa"/>
            <w:vAlign w:val="bottom"/>
            <w:vMerge w:val="restart"/>
          </w:tcPr>
          <w:p>
            <w:pPr>
              <w:jc w:val="right"/>
              <w:ind w:right="88"/>
              <w:spacing w:after="0"/>
              <w:rPr>
                <w:sz w:val="20"/>
                <w:szCs w:val="20"/>
                <w:color w:val="auto"/>
              </w:rPr>
            </w:pPr>
            <w:r>
              <w:rPr>
                <w:rFonts w:ascii="Arial" w:cs="Arial" w:eastAsia="Arial" w:hAnsi="Arial"/>
                <w:sz w:val="14"/>
                <w:szCs w:val="14"/>
                <w:color w:val="auto"/>
              </w:rPr>
              <w:t>2023</w:t>
            </w:r>
          </w:p>
        </w:tc>
        <w:tc>
          <w:tcPr>
            <w:tcW w:w="2760" w:type="dxa"/>
            <w:vAlign w:val="bottom"/>
            <w:gridSpan w:val="3"/>
            <w:vMerge w:val="restart"/>
          </w:tcPr>
          <w:p>
            <w:pPr>
              <w:ind w:left="180"/>
              <w:spacing w:after="0"/>
              <w:rPr>
                <w:sz w:val="20"/>
                <w:szCs w:val="20"/>
                <w:color w:val="auto"/>
              </w:rPr>
            </w:pPr>
            <w:r>
              <w:rPr>
                <w:rFonts w:ascii="Arial" w:cs="Arial" w:eastAsia="Arial" w:hAnsi="Arial"/>
                <w:sz w:val="14"/>
                <w:szCs w:val="14"/>
                <w:color w:val="auto"/>
              </w:rPr>
              <w:t>Group Inc. and Huron Consulting</w:t>
            </w:r>
          </w:p>
        </w:tc>
        <w:tc>
          <w:tcPr>
            <w:tcW w:w="8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820" w:type="dxa"/>
            <w:vAlign w:val="bottom"/>
          </w:tcPr>
          <w:p>
            <w:pPr>
              <w:spacing w:after="0"/>
              <w:rPr>
                <w:sz w:val="7"/>
                <w:szCs w:val="7"/>
                <w:color w:val="auto"/>
              </w:rPr>
            </w:pPr>
          </w:p>
        </w:tc>
        <w:tc>
          <w:tcPr>
            <w:tcW w:w="920" w:type="dxa"/>
            <w:vAlign w:val="bottom"/>
            <w:vMerge w:val="restart"/>
          </w:tcPr>
          <w:p>
            <w:pPr>
              <w:ind w:left="80"/>
              <w:spacing w:after="0"/>
              <w:rPr>
                <w:sz w:val="20"/>
                <w:szCs w:val="20"/>
                <w:color w:val="auto"/>
              </w:rPr>
            </w:pPr>
            <w:r>
              <w:rPr>
                <w:rFonts w:ascii="Arial" w:cs="Arial" w:eastAsia="Arial" w:hAnsi="Arial"/>
                <w:sz w:val="14"/>
                <w:szCs w:val="14"/>
                <w:b w:val="1"/>
                <w:bCs w:val="1"/>
                <w:color w:val="00558C"/>
              </w:rPr>
              <w:t>Hussey</w:t>
            </w:r>
          </w:p>
        </w:tc>
        <w:tc>
          <w:tcPr>
            <w:tcW w:w="4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2760" w:type="dxa"/>
            <w:vAlign w:val="bottom"/>
            <w:gridSpan w:val="3"/>
            <w:vMerge w:val="continue"/>
          </w:tcPr>
          <w:p>
            <w:pPr>
              <w:spacing w:after="0"/>
              <w:rPr>
                <w:sz w:val="7"/>
                <w:szCs w:val="7"/>
                <w:color w:val="auto"/>
              </w:rPr>
            </w:pPr>
          </w:p>
        </w:tc>
        <w:tc>
          <w:tcPr>
            <w:tcW w:w="8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82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760" w:type="dxa"/>
            <w:vAlign w:val="bottom"/>
            <w:gridSpan w:val="3"/>
            <w:vMerge w:val="restart"/>
          </w:tcPr>
          <w:p>
            <w:pPr>
              <w:ind w:left="180"/>
              <w:spacing w:after="0"/>
              <w:rPr>
                <w:sz w:val="20"/>
                <w:szCs w:val="20"/>
                <w:color w:val="auto"/>
              </w:rPr>
            </w:pPr>
            <w:r>
              <w:rPr>
                <w:rFonts w:ascii="Arial" w:cs="Arial" w:eastAsia="Arial" w:hAnsi="Arial"/>
                <w:sz w:val="14"/>
                <w:szCs w:val="14"/>
                <w:color w:val="auto"/>
              </w:rPr>
              <w:t>Services, our principal operating</w:t>
            </w:r>
          </w:p>
        </w:tc>
        <w:tc>
          <w:tcPr>
            <w:tcW w:w="8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820" w:type="dxa"/>
            <w:vAlign w:val="bottom"/>
          </w:tcPr>
          <w:p>
            <w:pPr>
              <w:spacing w:after="0"/>
              <w:rPr>
                <w:sz w:val="6"/>
                <w:szCs w:val="6"/>
                <w:color w:val="auto"/>
              </w:rPr>
            </w:pPr>
          </w:p>
        </w:tc>
        <w:tc>
          <w:tcPr>
            <w:tcW w:w="92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760" w:type="dxa"/>
            <w:vAlign w:val="bottom"/>
            <w:gridSpan w:val="3"/>
            <w:vMerge w:val="continue"/>
          </w:tcPr>
          <w:p>
            <w:pPr>
              <w:spacing w:after="0"/>
              <w:rPr>
                <w:sz w:val="6"/>
                <w:szCs w:val="6"/>
                <w:color w:val="auto"/>
              </w:rPr>
            </w:pPr>
          </w:p>
        </w:tc>
        <w:tc>
          <w:tcPr>
            <w:tcW w:w="8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3020"/>
        <w:spacing w:after="0"/>
        <w:rPr>
          <w:sz w:val="20"/>
          <w:szCs w:val="20"/>
          <w:color w:val="auto"/>
        </w:rPr>
      </w:pPr>
      <w:r>
        <w:rPr>
          <w:rFonts w:ascii="Arial" w:cs="Arial" w:eastAsia="Arial" w:hAnsi="Arial"/>
          <w:sz w:val="14"/>
          <w:szCs w:val="14"/>
          <w:color w:val="auto"/>
        </w:rPr>
        <w:t>subsidiary</w:t>
      </w:r>
    </w:p>
    <w:p>
      <w:pPr>
        <w:sectPr>
          <w:pgSz w:w="11900" w:h="16838" w:orient="portrait"/>
          <w:cols w:equalWidth="0" w:num="1">
            <w:col w:w="9059"/>
          </w:cols>
          <w:pgMar w:left="1400" w:top="1041" w:right="1440" w:bottom="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193"/>
        </w:trPr>
        <w:tc>
          <w:tcPr>
            <w:tcW w:w="1860" w:type="dxa"/>
            <w:vAlign w:val="bottom"/>
            <w:vMerge w:val="restart"/>
            <w:shd w:val="clear" w:color="auto" w:fill="00558C"/>
          </w:tcPr>
          <w:p>
            <w:pPr>
              <w:ind w:left="900"/>
              <w:spacing w:after="0"/>
              <w:rPr>
                <w:sz w:val="20"/>
                <w:szCs w:val="20"/>
                <w:color w:val="auto"/>
              </w:rPr>
            </w:pPr>
            <w:r>
              <w:rPr>
                <w:rFonts w:ascii="Arial" w:cs="Arial" w:eastAsia="Arial" w:hAnsi="Arial"/>
                <w:sz w:val="14"/>
                <w:szCs w:val="14"/>
                <w:b w:val="1"/>
                <w:bCs w:val="1"/>
                <w:color w:val="00558C"/>
              </w:rPr>
              <w:t>Peter K.</w:t>
            </w:r>
          </w:p>
        </w:tc>
        <w:tc>
          <w:tcPr>
            <w:tcW w:w="340" w:type="dxa"/>
            <w:vAlign w:val="bottom"/>
            <w:shd w:val="clear" w:color="auto" w:fill="00558C"/>
          </w:tcPr>
          <w:p>
            <w:pPr>
              <w:spacing w:after="0"/>
              <w:rPr>
                <w:sz w:val="16"/>
                <w:szCs w:val="16"/>
                <w:color w:val="auto"/>
              </w:rPr>
            </w:pPr>
          </w:p>
        </w:tc>
        <w:tc>
          <w:tcPr>
            <w:tcW w:w="660" w:type="dxa"/>
            <w:vAlign w:val="bottom"/>
            <w:shd w:val="clear" w:color="auto" w:fill="00558C"/>
          </w:tcPr>
          <w:p>
            <w:pPr>
              <w:spacing w:after="0"/>
              <w:rPr>
                <w:sz w:val="16"/>
                <w:szCs w:val="16"/>
                <w:color w:val="auto"/>
              </w:rPr>
            </w:pPr>
          </w:p>
        </w:tc>
        <w:tc>
          <w:tcPr>
            <w:tcW w:w="2940" w:type="dxa"/>
            <w:vAlign w:val="bottom"/>
            <w:shd w:val="clear" w:color="auto" w:fill="00558C"/>
          </w:tcPr>
          <w:p>
            <w:pPr>
              <w:ind w:left="160"/>
              <w:spacing w:after="0"/>
              <w:rPr>
                <w:sz w:val="20"/>
                <w:szCs w:val="20"/>
                <w:color w:val="auto"/>
              </w:rPr>
            </w:pPr>
            <w:r>
              <w:rPr>
                <w:rFonts w:ascii="Arial" w:cs="Arial" w:eastAsia="Arial" w:hAnsi="Arial"/>
                <w:sz w:val="14"/>
                <w:szCs w:val="14"/>
                <w:color w:val="auto"/>
              </w:rPr>
              <w:t>Executive Vice President and</w:t>
            </w:r>
          </w:p>
        </w:tc>
        <w:tc>
          <w:tcPr>
            <w:tcW w:w="1120" w:type="dxa"/>
            <w:vAlign w:val="bottom"/>
            <w:shd w:val="clear" w:color="auto" w:fill="00558C"/>
          </w:tcPr>
          <w:p>
            <w:pPr>
              <w:spacing w:after="0"/>
              <w:rPr>
                <w:sz w:val="16"/>
                <w:szCs w:val="16"/>
                <w:color w:val="auto"/>
              </w:rPr>
            </w:pPr>
          </w:p>
        </w:tc>
        <w:tc>
          <w:tcPr>
            <w:tcW w:w="540" w:type="dxa"/>
            <w:vAlign w:val="bottom"/>
            <w:shd w:val="clear" w:color="auto" w:fill="00558C"/>
          </w:tcPr>
          <w:p>
            <w:pPr>
              <w:spacing w:after="0"/>
              <w:rPr>
                <w:sz w:val="16"/>
                <w:szCs w:val="16"/>
                <w:color w:val="auto"/>
              </w:rPr>
            </w:pPr>
          </w:p>
        </w:tc>
        <w:tc>
          <w:tcPr>
            <w:tcW w:w="540" w:type="dxa"/>
            <w:vAlign w:val="bottom"/>
            <w:shd w:val="clear" w:color="auto" w:fill="00558C"/>
          </w:tcPr>
          <w:p>
            <w:pPr>
              <w:spacing w:after="0"/>
              <w:rPr>
                <w:sz w:val="16"/>
                <w:szCs w:val="16"/>
                <w:color w:val="auto"/>
              </w:rPr>
            </w:pPr>
          </w:p>
        </w:tc>
        <w:tc>
          <w:tcPr>
            <w:tcW w:w="540" w:type="dxa"/>
            <w:vAlign w:val="bottom"/>
            <w:shd w:val="clear" w:color="auto" w:fill="00558C"/>
          </w:tcPr>
          <w:p>
            <w:pPr>
              <w:spacing w:after="0"/>
              <w:rPr>
                <w:sz w:val="16"/>
                <w:szCs w:val="16"/>
                <w:color w:val="auto"/>
              </w:rPr>
            </w:pPr>
          </w:p>
        </w:tc>
        <w:tc>
          <w:tcPr>
            <w:tcW w:w="540" w:type="dxa"/>
            <w:vAlign w:val="bottom"/>
            <w:shd w:val="clear" w:color="auto" w:fill="00558C"/>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1860" w:type="dxa"/>
            <w:vAlign w:val="bottom"/>
            <w:vMerge w:val="continue"/>
            <w:shd w:val="clear" w:color="auto" w:fill="00558C"/>
          </w:tcPr>
          <w:p>
            <w:pPr>
              <w:spacing w:after="0"/>
              <w:rPr>
                <w:sz w:val="7"/>
                <w:szCs w:val="7"/>
                <w:color w:val="auto"/>
              </w:rPr>
            </w:pPr>
          </w:p>
        </w:tc>
        <w:tc>
          <w:tcPr>
            <w:tcW w:w="340" w:type="dxa"/>
            <w:vAlign w:val="bottom"/>
            <w:vMerge w:val="restart"/>
            <w:shd w:val="clear" w:color="auto" w:fill="00558C"/>
          </w:tcPr>
          <w:p>
            <w:pPr>
              <w:jc w:val="right"/>
              <w:ind w:right="108"/>
              <w:spacing w:after="0"/>
              <w:rPr>
                <w:sz w:val="20"/>
                <w:szCs w:val="20"/>
                <w:color w:val="auto"/>
              </w:rPr>
            </w:pPr>
            <w:r>
              <w:rPr>
                <w:rFonts w:ascii="Arial" w:cs="Arial" w:eastAsia="Arial" w:hAnsi="Arial"/>
                <w:sz w:val="14"/>
                <w:szCs w:val="14"/>
                <w:color w:val="auto"/>
                <w:w w:val="89"/>
              </w:rPr>
              <w:t>69</w:t>
            </w:r>
          </w:p>
        </w:tc>
        <w:tc>
          <w:tcPr>
            <w:tcW w:w="660" w:type="dxa"/>
            <w:vAlign w:val="bottom"/>
            <w:vMerge w:val="restart"/>
            <w:shd w:val="clear" w:color="auto" w:fill="00558C"/>
          </w:tcPr>
          <w:p>
            <w:pPr>
              <w:jc w:val="right"/>
              <w:ind w:right="108"/>
              <w:spacing w:after="0"/>
              <w:rPr>
                <w:sz w:val="20"/>
                <w:szCs w:val="20"/>
                <w:color w:val="auto"/>
              </w:rPr>
            </w:pPr>
            <w:r>
              <w:rPr>
                <w:rFonts w:ascii="Arial" w:cs="Arial" w:eastAsia="Arial" w:hAnsi="Arial"/>
                <w:sz w:val="14"/>
                <w:szCs w:val="14"/>
                <w:color w:val="auto"/>
              </w:rPr>
              <w:t>2022</w:t>
            </w:r>
          </w:p>
        </w:tc>
        <w:tc>
          <w:tcPr>
            <w:tcW w:w="2940" w:type="dxa"/>
            <w:vAlign w:val="bottom"/>
            <w:vMerge w:val="restart"/>
            <w:shd w:val="clear" w:color="auto" w:fill="00558C"/>
          </w:tcPr>
          <w:p>
            <w:pPr>
              <w:ind w:left="160"/>
              <w:spacing w:after="0"/>
              <w:rPr>
                <w:sz w:val="20"/>
                <w:szCs w:val="20"/>
                <w:color w:val="auto"/>
              </w:rPr>
            </w:pPr>
            <w:r>
              <w:rPr>
                <w:rFonts w:ascii="Arial" w:cs="Arial" w:eastAsia="Arial" w:hAnsi="Arial"/>
                <w:sz w:val="14"/>
                <w:szCs w:val="14"/>
                <w:color w:val="auto"/>
              </w:rPr>
              <w:t>CFO, Brown University Health</w:t>
            </w:r>
          </w:p>
        </w:tc>
        <w:tc>
          <w:tcPr>
            <w:tcW w:w="1120" w:type="dxa"/>
            <w:vAlign w:val="bottom"/>
            <w:vMerge w:val="restart"/>
            <w:shd w:val="clear" w:color="auto" w:fill="00558C"/>
          </w:tcPr>
          <w:p>
            <w:pPr>
              <w:jc w:val="center"/>
              <w:ind w:left="488"/>
              <w:spacing w:after="0"/>
              <w:rPr>
                <w:sz w:val="20"/>
                <w:szCs w:val="20"/>
                <w:color w:val="auto"/>
              </w:rPr>
            </w:pPr>
            <w:r>
              <w:rPr>
                <w:rFonts w:ascii="Webdings" w:cs="Webdings" w:eastAsia="Webdings" w:hAnsi="Webdings"/>
                <w:sz w:val="14"/>
                <w:szCs w:val="14"/>
                <w:b w:val="1"/>
                <w:bCs w:val="1"/>
                <w:color w:val="00558C"/>
              </w:rPr>
              <w:t xml:space="preserve">n </w:t>
            </w:r>
            <w:r>
              <w:rPr>
                <w:rFonts w:ascii="Webdings" w:cs="Webdings" w:eastAsia="Webdings" w:hAnsi="Webdings"/>
                <w:sz w:val="14"/>
                <w:szCs w:val="14"/>
                <w:b w:val="1"/>
                <w:bCs w:val="1"/>
                <w:color w:val="6AAA37"/>
              </w:rPr>
              <w:t>n</w:t>
            </w:r>
          </w:p>
        </w:tc>
        <w:tc>
          <w:tcPr>
            <w:tcW w:w="540" w:type="dxa"/>
            <w:vAlign w:val="bottom"/>
            <w:shd w:val="clear" w:color="auto" w:fill="00558C"/>
          </w:tcPr>
          <w:p>
            <w:pPr>
              <w:spacing w:after="0"/>
              <w:rPr>
                <w:sz w:val="7"/>
                <w:szCs w:val="7"/>
                <w:color w:val="auto"/>
              </w:rPr>
            </w:pPr>
          </w:p>
        </w:tc>
        <w:tc>
          <w:tcPr>
            <w:tcW w:w="540" w:type="dxa"/>
            <w:vAlign w:val="bottom"/>
            <w:vMerge w:val="restart"/>
            <w:shd w:val="clear" w:color="auto" w:fill="00558C"/>
          </w:tcPr>
          <w:p>
            <w:pPr>
              <w:jc w:val="center"/>
              <w:spacing w:after="0"/>
              <w:rPr>
                <w:sz w:val="20"/>
                <w:szCs w:val="20"/>
                <w:color w:val="auto"/>
              </w:rPr>
            </w:pPr>
            <w:r>
              <w:rPr>
                <w:rFonts w:ascii="Webdings" w:cs="Webdings" w:eastAsia="Webdings" w:hAnsi="Webdings"/>
                <w:sz w:val="14"/>
                <w:szCs w:val="14"/>
                <w:b w:val="1"/>
                <w:bCs w:val="1"/>
                <w:color w:val="00558C"/>
                <w:w w:val="99"/>
              </w:rPr>
              <w:t>n</w:t>
            </w:r>
          </w:p>
        </w:tc>
        <w:tc>
          <w:tcPr>
            <w:tcW w:w="540" w:type="dxa"/>
            <w:vAlign w:val="bottom"/>
            <w:vMerge w:val="restart"/>
            <w:shd w:val="clear" w:color="auto" w:fill="00558C"/>
          </w:tcPr>
          <w:p>
            <w:pPr>
              <w:jc w:val="center"/>
              <w:spacing w:after="0"/>
              <w:rPr>
                <w:sz w:val="20"/>
                <w:szCs w:val="20"/>
                <w:color w:val="auto"/>
              </w:rPr>
            </w:pPr>
            <w:r>
              <w:rPr>
                <w:rFonts w:ascii="Webdings" w:cs="Webdings" w:eastAsia="Webdings" w:hAnsi="Webdings"/>
                <w:sz w:val="14"/>
                <w:szCs w:val="14"/>
                <w:b w:val="1"/>
                <w:bCs w:val="1"/>
                <w:color w:val="00558C"/>
                <w:w w:val="99"/>
              </w:rPr>
              <w:t>n</w:t>
            </w:r>
          </w:p>
        </w:tc>
        <w:tc>
          <w:tcPr>
            <w:tcW w:w="540" w:type="dxa"/>
            <w:vAlign w:val="bottom"/>
            <w:shd w:val="clear" w:color="auto" w:fill="00558C"/>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1860" w:type="dxa"/>
            <w:vAlign w:val="bottom"/>
            <w:vMerge w:val="restart"/>
            <w:shd w:val="clear" w:color="auto" w:fill="00558C"/>
          </w:tcPr>
          <w:p>
            <w:pPr>
              <w:ind w:left="900"/>
              <w:spacing w:after="0"/>
              <w:rPr>
                <w:sz w:val="20"/>
                <w:szCs w:val="20"/>
                <w:color w:val="auto"/>
              </w:rPr>
            </w:pPr>
            <w:r>
              <w:rPr>
                <w:rFonts w:ascii="Arial" w:cs="Arial" w:eastAsia="Arial" w:hAnsi="Arial"/>
                <w:sz w:val="14"/>
                <w:szCs w:val="14"/>
                <w:b w:val="1"/>
                <w:bCs w:val="1"/>
                <w:color w:val="00558C"/>
              </w:rPr>
              <w:t>Markell</w:t>
            </w:r>
          </w:p>
        </w:tc>
        <w:tc>
          <w:tcPr>
            <w:tcW w:w="340" w:type="dxa"/>
            <w:vAlign w:val="bottom"/>
            <w:vMerge w:val="continue"/>
            <w:shd w:val="clear" w:color="auto" w:fill="00558C"/>
          </w:tcPr>
          <w:p>
            <w:pPr>
              <w:spacing w:after="0"/>
              <w:rPr>
                <w:sz w:val="8"/>
                <w:szCs w:val="8"/>
                <w:color w:val="auto"/>
              </w:rPr>
            </w:pPr>
          </w:p>
        </w:tc>
        <w:tc>
          <w:tcPr>
            <w:tcW w:w="660" w:type="dxa"/>
            <w:vAlign w:val="bottom"/>
            <w:vMerge w:val="continue"/>
            <w:shd w:val="clear" w:color="auto" w:fill="00558C"/>
          </w:tcPr>
          <w:p>
            <w:pPr>
              <w:spacing w:after="0"/>
              <w:rPr>
                <w:sz w:val="8"/>
                <w:szCs w:val="8"/>
                <w:color w:val="auto"/>
              </w:rPr>
            </w:pPr>
          </w:p>
        </w:tc>
        <w:tc>
          <w:tcPr>
            <w:tcW w:w="2940" w:type="dxa"/>
            <w:vAlign w:val="bottom"/>
            <w:vMerge w:val="continue"/>
            <w:shd w:val="clear" w:color="auto" w:fill="00558C"/>
          </w:tcPr>
          <w:p>
            <w:pPr>
              <w:spacing w:after="0"/>
              <w:rPr>
                <w:sz w:val="8"/>
                <w:szCs w:val="8"/>
                <w:color w:val="auto"/>
              </w:rPr>
            </w:pPr>
          </w:p>
        </w:tc>
        <w:tc>
          <w:tcPr>
            <w:tcW w:w="1120" w:type="dxa"/>
            <w:vAlign w:val="bottom"/>
            <w:vMerge w:val="continue"/>
            <w:shd w:val="clear" w:color="auto" w:fill="00558C"/>
          </w:tcPr>
          <w:p>
            <w:pPr>
              <w:spacing w:after="0"/>
              <w:rPr>
                <w:sz w:val="8"/>
                <w:szCs w:val="8"/>
                <w:color w:val="auto"/>
              </w:rPr>
            </w:pPr>
          </w:p>
        </w:tc>
        <w:tc>
          <w:tcPr>
            <w:tcW w:w="540" w:type="dxa"/>
            <w:vAlign w:val="bottom"/>
            <w:shd w:val="clear" w:color="auto" w:fill="00558C"/>
          </w:tcPr>
          <w:p>
            <w:pPr>
              <w:spacing w:after="0"/>
              <w:rPr>
                <w:sz w:val="8"/>
                <w:szCs w:val="8"/>
                <w:color w:val="auto"/>
              </w:rPr>
            </w:pPr>
          </w:p>
        </w:tc>
        <w:tc>
          <w:tcPr>
            <w:tcW w:w="540" w:type="dxa"/>
            <w:vAlign w:val="bottom"/>
            <w:vMerge w:val="continue"/>
            <w:shd w:val="clear" w:color="auto" w:fill="00558C"/>
          </w:tcPr>
          <w:p>
            <w:pPr>
              <w:spacing w:after="0"/>
              <w:rPr>
                <w:sz w:val="8"/>
                <w:szCs w:val="8"/>
                <w:color w:val="auto"/>
              </w:rPr>
            </w:pPr>
          </w:p>
        </w:tc>
        <w:tc>
          <w:tcPr>
            <w:tcW w:w="540" w:type="dxa"/>
            <w:vAlign w:val="bottom"/>
            <w:vMerge w:val="continue"/>
            <w:shd w:val="clear" w:color="auto" w:fill="00558C"/>
          </w:tcPr>
          <w:p>
            <w:pPr>
              <w:spacing w:after="0"/>
              <w:rPr>
                <w:sz w:val="8"/>
                <w:szCs w:val="8"/>
                <w:color w:val="auto"/>
              </w:rPr>
            </w:pPr>
          </w:p>
        </w:tc>
        <w:tc>
          <w:tcPr>
            <w:tcW w:w="540" w:type="dxa"/>
            <w:vAlign w:val="bottom"/>
            <w:shd w:val="clear" w:color="auto" w:fill="00558C"/>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860" w:type="dxa"/>
            <w:vAlign w:val="bottom"/>
            <w:vMerge w:val="continue"/>
            <w:shd w:val="clear" w:color="auto" w:fill="00558C"/>
          </w:tcPr>
          <w:p>
            <w:pPr>
              <w:spacing w:after="0"/>
              <w:rPr>
                <w:sz w:val="8"/>
                <w:szCs w:val="8"/>
                <w:color w:val="auto"/>
              </w:rPr>
            </w:pPr>
          </w:p>
        </w:tc>
        <w:tc>
          <w:tcPr>
            <w:tcW w:w="340" w:type="dxa"/>
            <w:vAlign w:val="bottom"/>
            <w:shd w:val="clear" w:color="auto" w:fill="00558C"/>
          </w:tcPr>
          <w:p>
            <w:pPr>
              <w:spacing w:after="0"/>
              <w:rPr>
                <w:sz w:val="8"/>
                <w:szCs w:val="8"/>
                <w:color w:val="auto"/>
              </w:rPr>
            </w:pPr>
          </w:p>
        </w:tc>
        <w:tc>
          <w:tcPr>
            <w:tcW w:w="660" w:type="dxa"/>
            <w:vAlign w:val="bottom"/>
            <w:shd w:val="clear" w:color="auto" w:fill="00558C"/>
          </w:tcPr>
          <w:p>
            <w:pPr>
              <w:spacing w:after="0"/>
              <w:rPr>
                <w:sz w:val="8"/>
                <w:szCs w:val="8"/>
                <w:color w:val="auto"/>
              </w:rPr>
            </w:pPr>
          </w:p>
        </w:tc>
        <w:tc>
          <w:tcPr>
            <w:tcW w:w="2940" w:type="dxa"/>
            <w:vAlign w:val="bottom"/>
            <w:vMerge w:val="restart"/>
            <w:shd w:val="clear" w:color="auto" w:fill="00558C"/>
          </w:tcPr>
          <w:p>
            <w:pPr>
              <w:ind w:left="160"/>
              <w:spacing w:after="0"/>
              <w:rPr>
                <w:sz w:val="20"/>
                <w:szCs w:val="20"/>
                <w:color w:val="auto"/>
              </w:rPr>
            </w:pPr>
            <w:r>
              <w:rPr>
                <w:rFonts w:ascii="Arial" w:cs="Arial" w:eastAsia="Arial" w:hAnsi="Arial"/>
                <w:sz w:val="14"/>
                <w:szCs w:val="14"/>
                <w:color w:val="auto"/>
              </w:rPr>
              <w:t>(f/k/a Lifespan Health System)</w:t>
            </w:r>
          </w:p>
        </w:tc>
        <w:tc>
          <w:tcPr>
            <w:tcW w:w="1120" w:type="dxa"/>
            <w:vAlign w:val="bottom"/>
            <w:shd w:val="clear" w:color="auto" w:fill="00558C"/>
          </w:tcPr>
          <w:p>
            <w:pPr>
              <w:spacing w:after="0"/>
              <w:rPr>
                <w:sz w:val="8"/>
                <w:szCs w:val="8"/>
                <w:color w:val="auto"/>
              </w:rPr>
            </w:pPr>
          </w:p>
        </w:tc>
        <w:tc>
          <w:tcPr>
            <w:tcW w:w="540" w:type="dxa"/>
            <w:vAlign w:val="bottom"/>
            <w:shd w:val="clear" w:color="auto" w:fill="00558C"/>
          </w:tcPr>
          <w:p>
            <w:pPr>
              <w:spacing w:after="0"/>
              <w:rPr>
                <w:sz w:val="8"/>
                <w:szCs w:val="8"/>
                <w:color w:val="auto"/>
              </w:rPr>
            </w:pPr>
          </w:p>
        </w:tc>
        <w:tc>
          <w:tcPr>
            <w:tcW w:w="540" w:type="dxa"/>
            <w:vAlign w:val="bottom"/>
            <w:shd w:val="clear" w:color="auto" w:fill="00558C"/>
          </w:tcPr>
          <w:p>
            <w:pPr>
              <w:spacing w:after="0"/>
              <w:rPr>
                <w:sz w:val="8"/>
                <w:szCs w:val="8"/>
                <w:color w:val="auto"/>
              </w:rPr>
            </w:pPr>
          </w:p>
        </w:tc>
        <w:tc>
          <w:tcPr>
            <w:tcW w:w="540" w:type="dxa"/>
            <w:vAlign w:val="bottom"/>
            <w:shd w:val="clear" w:color="auto" w:fill="00558C"/>
          </w:tcPr>
          <w:p>
            <w:pPr>
              <w:spacing w:after="0"/>
              <w:rPr>
                <w:sz w:val="8"/>
                <w:szCs w:val="8"/>
                <w:color w:val="auto"/>
              </w:rPr>
            </w:pPr>
          </w:p>
        </w:tc>
        <w:tc>
          <w:tcPr>
            <w:tcW w:w="540" w:type="dxa"/>
            <w:vAlign w:val="bottom"/>
            <w:shd w:val="clear" w:color="auto" w:fill="00558C"/>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1860" w:type="dxa"/>
            <w:vAlign w:val="bottom"/>
            <w:shd w:val="clear" w:color="auto" w:fill="00558C"/>
          </w:tcPr>
          <w:p>
            <w:pPr>
              <w:spacing w:after="0"/>
              <w:rPr>
                <w:sz w:val="7"/>
                <w:szCs w:val="7"/>
                <w:color w:val="auto"/>
              </w:rPr>
            </w:pPr>
          </w:p>
        </w:tc>
        <w:tc>
          <w:tcPr>
            <w:tcW w:w="340" w:type="dxa"/>
            <w:vAlign w:val="bottom"/>
            <w:shd w:val="clear" w:color="auto" w:fill="00558C"/>
          </w:tcPr>
          <w:p>
            <w:pPr>
              <w:spacing w:after="0"/>
              <w:rPr>
                <w:sz w:val="7"/>
                <w:szCs w:val="7"/>
                <w:color w:val="auto"/>
              </w:rPr>
            </w:pPr>
          </w:p>
        </w:tc>
        <w:tc>
          <w:tcPr>
            <w:tcW w:w="660" w:type="dxa"/>
            <w:vAlign w:val="bottom"/>
            <w:shd w:val="clear" w:color="auto" w:fill="00558C"/>
          </w:tcPr>
          <w:p>
            <w:pPr>
              <w:spacing w:after="0"/>
              <w:rPr>
                <w:sz w:val="7"/>
                <w:szCs w:val="7"/>
                <w:color w:val="auto"/>
              </w:rPr>
            </w:pPr>
          </w:p>
        </w:tc>
        <w:tc>
          <w:tcPr>
            <w:tcW w:w="2940" w:type="dxa"/>
            <w:vAlign w:val="bottom"/>
            <w:vMerge w:val="continue"/>
            <w:shd w:val="clear" w:color="auto" w:fill="00558C"/>
          </w:tcPr>
          <w:p>
            <w:pPr>
              <w:spacing w:after="0"/>
              <w:rPr>
                <w:sz w:val="7"/>
                <w:szCs w:val="7"/>
                <w:color w:val="auto"/>
              </w:rPr>
            </w:pPr>
          </w:p>
        </w:tc>
        <w:tc>
          <w:tcPr>
            <w:tcW w:w="1120" w:type="dxa"/>
            <w:vAlign w:val="bottom"/>
            <w:shd w:val="clear" w:color="auto" w:fill="00558C"/>
          </w:tcPr>
          <w:p>
            <w:pPr>
              <w:spacing w:after="0"/>
              <w:rPr>
                <w:sz w:val="7"/>
                <w:szCs w:val="7"/>
                <w:color w:val="auto"/>
              </w:rPr>
            </w:pPr>
          </w:p>
        </w:tc>
        <w:tc>
          <w:tcPr>
            <w:tcW w:w="540" w:type="dxa"/>
            <w:vAlign w:val="bottom"/>
            <w:shd w:val="clear" w:color="auto" w:fill="00558C"/>
          </w:tcPr>
          <w:p>
            <w:pPr>
              <w:spacing w:after="0"/>
              <w:rPr>
                <w:sz w:val="7"/>
                <w:szCs w:val="7"/>
                <w:color w:val="auto"/>
              </w:rPr>
            </w:pPr>
          </w:p>
        </w:tc>
        <w:tc>
          <w:tcPr>
            <w:tcW w:w="540" w:type="dxa"/>
            <w:vAlign w:val="bottom"/>
            <w:shd w:val="clear" w:color="auto" w:fill="00558C"/>
          </w:tcPr>
          <w:p>
            <w:pPr>
              <w:spacing w:after="0"/>
              <w:rPr>
                <w:sz w:val="7"/>
                <w:szCs w:val="7"/>
                <w:color w:val="auto"/>
              </w:rPr>
            </w:pPr>
          </w:p>
        </w:tc>
        <w:tc>
          <w:tcPr>
            <w:tcW w:w="540" w:type="dxa"/>
            <w:vAlign w:val="bottom"/>
            <w:shd w:val="clear" w:color="auto" w:fill="00558C"/>
          </w:tcPr>
          <w:p>
            <w:pPr>
              <w:spacing w:after="0"/>
              <w:rPr>
                <w:sz w:val="7"/>
                <w:szCs w:val="7"/>
                <w:color w:val="auto"/>
              </w:rPr>
            </w:pPr>
          </w:p>
        </w:tc>
        <w:tc>
          <w:tcPr>
            <w:tcW w:w="540" w:type="dxa"/>
            <w:vAlign w:val="bottom"/>
            <w:shd w:val="clear" w:color="auto" w:fill="00558C"/>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1860" w:type="dxa"/>
            <w:vAlign w:val="bottom"/>
            <w:shd w:val="clear" w:color="auto" w:fill="00558C"/>
          </w:tcPr>
          <w:p>
            <w:pPr>
              <w:spacing w:after="0"/>
              <w:rPr>
                <w:sz w:val="6"/>
                <w:szCs w:val="6"/>
                <w:color w:val="auto"/>
              </w:rPr>
            </w:pPr>
          </w:p>
        </w:tc>
        <w:tc>
          <w:tcPr>
            <w:tcW w:w="340" w:type="dxa"/>
            <w:vAlign w:val="bottom"/>
            <w:shd w:val="clear" w:color="auto" w:fill="00558C"/>
          </w:tcPr>
          <w:p>
            <w:pPr>
              <w:spacing w:after="0"/>
              <w:rPr>
                <w:sz w:val="6"/>
                <w:szCs w:val="6"/>
                <w:color w:val="auto"/>
              </w:rPr>
            </w:pPr>
          </w:p>
        </w:tc>
        <w:tc>
          <w:tcPr>
            <w:tcW w:w="660" w:type="dxa"/>
            <w:vAlign w:val="bottom"/>
            <w:shd w:val="clear" w:color="auto" w:fill="00558C"/>
          </w:tcPr>
          <w:p>
            <w:pPr>
              <w:spacing w:after="0"/>
              <w:rPr>
                <w:sz w:val="6"/>
                <w:szCs w:val="6"/>
                <w:color w:val="auto"/>
              </w:rPr>
            </w:pPr>
          </w:p>
        </w:tc>
        <w:tc>
          <w:tcPr>
            <w:tcW w:w="2940" w:type="dxa"/>
            <w:vAlign w:val="bottom"/>
            <w:shd w:val="clear" w:color="auto" w:fill="00558C"/>
          </w:tcPr>
          <w:p>
            <w:pPr>
              <w:spacing w:after="0"/>
              <w:rPr>
                <w:sz w:val="6"/>
                <w:szCs w:val="6"/>
                <w:color w:val="auto"/>
              </w:rPr>
            </w:pPr>
          </w:p>
        </w:tc>
        <w:tc>
          <w:tcPr>
            <w:tcW w:w="1120" w:type="dxa"/>
            <w:vAlign w:val="bottom"/>
            <w:shd w:val="clear" w:color="auto" w:fill="00558C"/>
          </w:tcPr>
          <w:p>
            <w:pPr>
              <w:spacing w:after="0"/>
              <w:rPr>
                <w:sz w:val="6"/>
                <w:szCs w:val="6"/>
                <w:color w:val="auto"/>
              </w:rPr>
            </w:pPr>
          </w:p>
        </w:tc>
        <w:tc>
          <w:tcPr>
            <w:tcW w:w="540" w:type="dxa"/>
            <w:vAlign w:val="bottom"/>
            <w:shd w:val="clear" w:color="auto" w:fill="00558C"/>
          </w:tcPr>
          <w:p>
            <w:pPr>
              <w:spacing w:after="0"/>
              <w:rPr>
                <w:sz w:val="6"/>
                <w:szCs w:val="6"/>
                <w:color w:val="auto"/>
              </w:rPr>
            </w:pPr>
          </w:p>
        </w:tc>
        <w:tc>
          <w:tcPr>
            <w:tcW w:w="540" w:type="dxa"/>
            <w:vAlign w:val="bottom"/>
            <w:shd w:val="clear" w:color="auto" w:fill="00558C"/>
          </w:tcPr>
          <w:p>
            <w:pPr>
              <w:spacing w:after="0"/>
              <w:rPr>
                <w:sz w:val="6"/>
                <w:szCs w:val="6"/>
                <w:color w:val="auto"/>
              </w:rPr>
            </w:pPr>
          </w:p>
        </w:tc>
        <w:tc>
          <w:tcPr>
            <w:tcW w:w="540" w:type="dxa"/>
            <w:vAlign w:val="bottom"/>
            <w:shd w:val="clear" w:color="auto" w:fill="00558C"/>
          </w:tcPr>
          <w:p>
            <w:pPr>
              <w:spacing w:after="0"/>
              <w:rPr>
                <w:sz w:val="6"/>
                <w:szCs w:val="6"/>
                <w:color w:val="auto"/>
              </w:rPr>
            </w:pPr>
          </w:p>
        </w:tc>
        <w:tc>
          <w:tcPr>
            <w:tcW w:w="540" w:type="dxa"/>
            <w:vAlign w:val="bottom"/>
            <w:shd w:val="clear" w:color="auto" w:fill="00558C"/>
          </w:tcPr>
          <w:p>
            <w:pPr>
              <w:spacing w:after="0"/>
              <w:rPr>
                <w:sz w:val="6"/>
                <w:szCs w:val="6"/>
                <w:color w:val="auto"/>
              </w:rPr>
            </w:pPr>
          </w:p>
        </w:tc>
        <w:tc>
          <w:tcPr>
            <w:tcW w:w="0" w:type="dxa"/>
            <w:vAlign w:val="bottom"/>
          </w:tcPr>
          <w:p>
            <w:pPr>
              <w:spacing w:after="0"/>
              <w:rPr>
                <w:sz w:val="1"/>
                <w:szCs w:val="1"/>
                <w:color w:val="auto"/>
              </w:rPr>
            </w:pPr>
          </w:p>
        </w:tc>
      </w:tr>
      <w:tr>
        <w:trPr>
          <w:trHeight w:val="369"/>
        </w:trPr>
        <w:tc>
          <w:tcPr>
            <w:tcW w:w="1860" w:type="dxa"/>
            <w:vAlign w:val="bottom"/>
            <w:vMerge w:val="restart"/>
          </w:tcPr>
          <w:p>
            <w:pPr>
              <w:ind w:left="900"/>
              <w:spacing w:after="0"/>
              <w:rPr>
                <w:sz w:val="20"/>
                <w:szCs w:val="20"/>
                <w:color w:val="auto"/>
              </w:rPr>
            </w:pPr>
            <w:r>
              <w:rPr>
                <w:rFonts w:ascii="Arial" w:cs="Arial" w:eastAsia="Arial" w:hAnsi="Arial"/>
                <w:sz w:val="14"/>
                <w:szCs w:val="14"/>
                <w:b w:val="1"/>
                <w:bCs w:val="1"/>
                <w:color w:val="00558C"/>
              </w:rPr>
              <w:t>John</w:t>
            </w: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940" w:type="dxa"/>
            <w:vAlign w:val="bottom"/>
          </w:tcPr>
          <w:p>
            <w:pPr>
              <w:ind w:left="160"/>
              <w:spacing w:after="0"/>
              <w:rPr>
                <w:sz w:val="20"/>
                <w:szCs w:val="20"/>
                <w:color w:val="auto"/>
              </w:rPr>
            </w:pPr>
            <w:r>
              <w:rPr>
                <w:rFonts w:ascii="Arial" w:cs="Arial" w:eastAsia="Arial" w:hAnsi="Arial"/>
                <w:sz w:val="14"/>
                <w:szCs w:val="14"/>
                <w:color w:val="auto"/>
              </w:rPr>
              <w:t>Non-Executive Chairman, Huron</w:t>
            </w:r>
          </w:p>
        </w:tc>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1860" w:type="dxa"/>
            <w:vAlign w:val="bottom"/>
            <w:vMerge w:val="continue"/>
          </w:tcPr>
          <w:p>
            <w:pPr>
              <w:spacing w:after="0"/>
              <w:rPr>
                <w:sz w:val="6"/>
                <w:szCs w:val="6"/>
                <w:color w:val="auto"/>
              </w:rPr>
            </w:pPr>
          </w:p>
        </w:tc>
        <w:tc>
          <w:tcPr>
            <w:tcW w:w="340" w:type="dxa"/>
            <w:vAlign w:val="bottom"/>
            <w:vMerge w:val="restart"/>
          </w:tcPr>
          <w:p>
            <w:pPr>
              <w:jc w:val="right"/>
              <w:ind w:right="108"/>
              <w:spacing w:after="0" w:line="159" w:lineRule="exact"/>
              <w:rPr>
                <w:sz w:val="20"/>
                <w:szCs w:val="20"/>
                <w:color w:val="auto"/>
              </w:rPr>
            </w:pPr>
            <w:r>
              <w:rPr>
                <w:rFonts w:ascii="Arial" w:cs="Arial" w:eastAsia="Arial" w:hAnsi="Arial"/>
                <w:sz w:val="14"/>
                <w:szCs w:val="14"/>
                <w:color w:val="auto"/>
                <w:w w:val="89"/>
              </w:rPr>
              <w:t>72</w:t>
            </w:r>
          </w:p>
        </w:tc>
        <w:tc>
          <w:tcPr>
            <w:tcW w:w="660" w:type="dxa"/>
            <w:vAlign w:val="bottom"/>
            <w:vMerge w:val="restart"/>
          </w:tcPr>
          <w:p>
            <w:pPr>
              <w:jc w:val="right"/>
              <w:ind w:right="108"/>
              <w:spacing w:after="0" w:line="159" w:lineRule="exact"/>
              <w:rPr>
                <w:sz w:val="20"/>
                <w:szCs w:val="20"/>
                <w:color w:val="auto"/>
              </w:rPr>
            </w:pPr>
            <w:r>
              <w:rPr>
                <w:rFonts w:ascii="Arial" w:cs="Arial" w:eastAsia="Arial" w:hAnsi="Arial"/>
                <w:sz w:val="14"/>
                <w:szCs w:val="14"/>
                <w:color w:val="auto"/>
              </w:rPr>
              <w:t>2004</w:t>
            </w:r>
          </w:p>
        </w:tc>
        <w:tc>
          <w:tcPr>
            <w:tcW w:w="2940" w:type="dxa"/>
            <w:vAlign w:val="bottom"/>
            <w:vMerge w:val="restart"/>
          </w:tcPr>
          <w:p>
            <w:pPr>
              <w:ind w:left="160"/>
              <w:spacing w:after="0" w:line="159" w:lineRule="exact"/>
              <w:rPr>
                <w:sz w:val="20"/>
                <w:szCs w:val="20"/>
                <w:color w:val="auto"/>
              </w:rPr>
            </w:pPr>
            <w:r>
              <w:rPr>
                <w:rFonts w:ascii="Arial" w:cs="Arial" w:eastAsia="Arial" w:hAnsi="Arial"/>
                <w:sz w:val="14"/>
                <w:szCs w:val="14"/>
                <w:color w:val="auto"/>
              </w:rPr>
              <w:t>Consulting Group Inc. through</w:t>
            </w:r>
          </w:p>
        </w:tc>
        <w:tc>
          <w:tcPr>
            <w:tcW w:w="1120" w:type="dxa"/>
            <w:vAlign w:val="bottom"/>
            <w:vMerge w:val="restart"/>
          </w:tcPr>
          <w:p>
            <w:pPr>
              <w:jc w:val="center"/>
              <w:ind w:left="508"/>
              <w:spacing w:after="0"/>
              <w:rPr>
                <w:sz w:val="20"/>
                <w:szCs w:val="20"/>
                <w:color w:val="auto"/>
              </w:rPr>
            </w:pPr>
            <w:r>
              <w:rPr>
                <w:rFonts w:ascii="Webdings" w:cs="Webdings" w:eastAsia="Webdings" w:hAnsi="Webdings"/>
                <w:sz w:val="14"/>
                <w:szCs w:val="14"/>
                <w:b w:val="1"/>
                <w:bCs w:val="1"/>
                <w:color w:val="00558C"/>
                <w:w w:val="99"/>
              </w:rPr>
              <w:t>n</w:t>
            </w:r>
          </w:p>
        </w:tc>
        <w:tc>
          <w:tcPr>
            <w:tcW w:w="540" w:type="dxa"/>
            <w:vAlign w:val="bottom"/>
          </w:tcPr>
          <w:p>
            <w:pPr>
              <w:spacing w:after="0"/>
              <w:rPr>
                <w:sz w:val="6"/>
                <w:szCs w:val="6"/>
                <w:color w:val="auto"/>
              </w:rPr>
            </w:pPr>
          </w:p>
        </w:tc>
        <w:tc>
          <w:tcPr>
            <w:tcW w:w="540" w:type="dxa"/>
            <w:vAlign w:val="bottom"/>
            <w:vMerge w:val="restart"/>
          </w:tcPr>
          <w:p>
            <w:pPr>
              <w:jc w:val="center"/>
              <w:spacing w:after="0"/>
              <w:rPr>
                <w:sz w:val="20"/>
                <w:szCs w:val="20"/>
                <w:color w:val="auto"/>
              </w:rPr>
            </w:pPr>
            <w:r>
              <w:rPr>
                <w:rFonts w:ascii="Webdings" w:cs="Webdings" w:eastAsia="Webdings" w:hAnsi="Webdings"/>
                <w:sz w:val="14"/>
                <w:szCs w:val="14"/>
                <w:b w:val="1"/>
                <w:bCs w:val="1"/>
                <w:color w:val="00558C"/>
                <w:w w:val="99"/>
              </w:rPr>
              <w:t>n</w:t>
            </w: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1860" w:type="dxa"/>
            <w:vAlign w:val="bottom"/>
            <w:vMerge w:val="restart"/>
          </w:tcPr>
          <w:p>
            <w:pPr>
              <w:ind w:left="900"/>
              <w:spacing w:after="0"/>
              <w:rPr>
                <w:sz w:val="20"/>
                <w:szCs w:val="20"/>
                <w:color w:val="auto"/>
              </w:rPr>
            </w:pPr>
            <w:r>
              <w:rPr>
                <w:rFonts w:ascii="Arial" w:cs="Arial" w:eastAsia="Arial" w:hAnsi="Arial"/>
                <w:sz w:val="14"/>
                <w:szCs w:val="14"/>
                <w:b w:val="1"/>
                <w:bCs w:val="1"/>
                <w:color w:val="00558C"/>
              </w:rPr>
              <w:t>McCartney</w:t>
            </w:r>
          </w:p>
        </w:tc>
        <w:tc>
          <w:tcPr>
            <w:tcW w:w="34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294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186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940" w:type="dxa"/>
            <w:vAlign w:val="bottom"/>
          </w:tcPr>
          <w:p>
            <w:pPr>
              <w:ind w:left="160"/>
              <w:spacing w:after="0"/>
              <w:rPr>
                <w:sz w:val="20"/>
                <w:szCs w:val="20"/>
                <w:color w:val="auto"/>
              </w:rPr>
            </w:pPr>
            <w:r>
              <w:rPr>
                <w:rFonts w:ascii="Arial" w:cs="Arial" w:eastAsia="Arial" w:hAnsi="Arial"/>
                <w:sz w:val="14"/>
                <w:szCs w:val="14"/>
                <w:color w:val="auto"/>
              </w:rPr>
              <w:t>December 31, 2024; Director</w:t>
            </w:r>
            <w:r>
              <w:rPr>
                <w:rFonts w:ascii="Arial" w:cs="Arial" w:eastAsia="Arial" w:hAnsi="Arial"/>
                <w:sz w:val="18"/>
                <w:szCs w:val="18"/>
                <w:color w:val="auto"/>
                <w:vertAlign w:val="superscript"/>
              </w:rPr>
              <w:t>3</w:t>
            </w:r>
          </w:p>
        </w:tc>
        <w:tc>
          <w:tcPr>
            <w:tcW w:w="1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2"/>
        </w:trPr>
        <w:tc>
          <w:tcPr>
            <w:tcW w:w="1860" w:type="dxa"/>
            <w:vAlign w:val="bottom"/>
            <w:vMerge w:val="restart"/>
          </w:tcPr>
          <w:p>
            <w:pPr>
              <w:ind w:left="900"/>
              <w:spacing w:after="0"/>
              <w:rPr>
                <w:sz w:val="20"/>
                <w:szCs w:val="20"/>
                <w:color w:val="auto"/>
              </w:rPr>
            </w:pPr>
            <w:r>
              <w:rPr>
                <w:rFonts w:ascii="Arial" w:cs="Arial" w:eastAsia="Arial" w:hAnsi="Arial"/>
                <w:sz w:val="14"/>
                <w:szCs w:val="14"/>
                <w:b w:val="1"/>
                <w:bCs w:val="1"/>
                <w:color w:val="00558C"/>
              </w:rPr>
              <w:t>Hugh E.</w:t>
            </w: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940" w:type="dxa"/>
            <w:vAlign w:val="bottom"/>
          </w:tcPr>
          <w:p>
            <w:pPr>
              <w:ind w:left="160"/>
              <w:spacing w:after="0"/>
              <w:rPr>
                <w:sz w:val="20"/>
                <w:szCs w:val="20"/>
                <w:color w:val="auto"/>
              </w:rPr>
            </w:pPr>
            <w:r>
              <w:rPr>
                <w:rFonts w:ascii="Arial" w:cs="Arial" w:eastAsia="Arial" w:hAnsi="Arial"/>
                <w:sz w:val="14"/>
                <w:szCs w:val="14"/>
                <w:color w:val="auto"/>
              </w:rPr>
              <w:t>Retired Chairman, President and</w:t>
            </w:r>
          </w:p>
        </w:tc>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1860" w:type="dxa"/>
            <w:vAlign w:val="bottom"/>
            <w:vMerge w:val="continue"/>
          </w:tcPr>
          <w:p>
            <w:pPr>
              <w:spacing w:after="0"/>
              <w:rPr>
                <w:sz w:val="8"/>
                <w:szCs w:val="8"/>
                <w:color w:val="auto"/>
              </w:rPr>
            </w:pPr>
          </w:p>
        </w:tc>
        <w:tc>
          <w:tcPr>
            <w:tcW w:w="340" w:type="dxa"/>
            <w:vAlign w:val="bottom"/>
            <w:vMerge w:val="restart"/>
          </w:tcPr>
          <w:p>
            <w:pPr>
              <w:jc w:val="right"/>
              <w:ind w:right="108"/>
              <w:spacing w:after="0"/>
              <w:rPr>
                <w:sz w:val="20"/>
                <w:szCs w:val="20"/>
                <w:color w:val="auto"/>
              </w:rPr>
            </w:pPr>
            <w:r>
              <w:rPr>
                <w:rFonts w:ascii="Arial" w:cs="Arial" w:eastAsia="Arial" w:hAnsi="Arial"/>
                <w:sz w:val="14"/>
                <w:szCs w:val="14"/>
                <w:color w:val="auto"/>
                <w:w w:val="89"/>
              </w:rPr>
              <w:t>70</w:t>
            </w:r>
          </w:p>
        </w:tc>
        <w:tc>
          <w:tcPr>
            <w:tcW w:w="660" w:type="dxa"/>
            <w:vAlign w:val="bottom"/>
            <w:vMerge w:val="restart"/>
          </w:tcPr>
          <w:p>
            <w:pPr>
              <w:jc w:val="right"/>
              <w:ind w:right="108"/>
              <w:spacing w:after="0"/>
              <w:rPr>
                <w:sz w:val="20"/>
                <w:szCs w:val="20"/>
                <w:color w:val="auto"/>
              </w:rPr>
            </w:pPr>
            <w:r>
              <w:rPr>
                <w:rFonts w:ascii="Arial" w:cs="Arial" w:eastAsia="Arial" w:hAnsi="Arial"/>
                <w:sz w:val="14"/>
                <w:szCs w:val="14"/>
                <w:color w:val="auto"/>
              </w:rPr>
              <w:t>2018</w:t>
            </w:r>
          </w:p>
        </w:tc>
        <w:tc>
          <w:tcPr>
            <w:tcW w:w="2940" w:type="dxa"/>
            <w:vAlign w:val="bottom"/>
            <w:vMerge w:val="restart"/>
          </w:tcPr>
          <w:p>
            <w:pPr>
              <w:ind w:left="160"/>
              <w:spacing w:after="0"/>
              <w:rPr>
                <w:sz w:val="20"/>
                <w:szCs w:val="20"/>
                <w:color w:val="auto"/>
              </w:rPr>
            </w:pPr>
            <w:r>
              <w:rPr>
                <w:rFonts w:ascii="Arial" w:cs="Arial" w:eastAsia="Arial" w:hAnsi="Arial"/>
                <w:sz w:val="14"/>
                <w:szCs w:val="14"/>
                <w:color w:val="auto"/>
              </w:rPr>
              <w:t>Chief Executive Officer, Regis</w:t>
            </w:r>
          </w:p>
        </w:tc>
        <w:tc>
          <w:tcPr>
            <w:tcW w:w="1120" w:type="dxa"/>
            <w:vAlign w:val="bottom"/>
            <w:vMerge w:val="restart"/>
          </w:tcPr>
          <w:p>
            <w:pPr>
              <w:jc w:val="center"/>
              <w:ind w:left="508"/>
              <w:spacing w:after="0"/>
              <w:rPr>
                <w:sz w:val="20"/>
                <w:szCs w:val="20"/>
                <w:color w:val="auto"/>
              </w:rPr>
            </w:pPr>
            <w:r>
              <w:rPr>
                <w:rFonts w:ascii="Webdings" w:cs="Webdings" w:eastAsia="Webdings" w:hAnsi="Webdings"/>
                <w:sz w:val="14"/>
                <w:szCs w:val="14"/>
                <w:b w:val="1"/>
                <w:bCs w:val="1"/>
                <w:color w:val="00558C"/>
                <w:w w:val="99"/>
              </w:rPr>
              <w:t>n</w:t>
            </w:r>
          </w:p>
        </w:tc>
        <w:tc>
          <w:tcPr>
            <w:tcW w:w="540" w:type="dxa"/>
            <w:vAlign w:val="bottom"/>
            <w:vMerge w:val="restart"/>
          </w:tcPr>
          <w:p>
            <w:pPr>
              <w:jc w:val="center"/>
              <w:spacing w:after="0"/>
              <w:rPr>
                <w:sz w:val="20"/>
                <w:szCs w:val="20"/>
                <w:color w:val="auto"/>
              </w:rPr>
            </w:pPr>
            <w:r>
              <w:rPr>
                <w:rFonts w:ascii="Webdings" w:cs="Webdings" w:eastAsia="Webdings" w:hAnsi="Webdings"/>
                <w:sz w:val="14"/>
                <w:szCs w:val="14"/>
                <w:b w:val="1"/>
                <w:bCs w:val="1"/>
                <w:color w:val="00558C"/>
              </w:rPr>
              <w:t xml:space="preserve">n </w:t>
            </w:r>
            <w:r>
              <w:rPr>
                <w:rFonts w:ascii="Webdings" w:cs="Webdings" w:eastAsia="Webdings" w:hAnsi="Webdings"/>
                <w:sz w:val="14"/>
                <w:szCs w:val="14"/>
                <w:b w:val="1"/>
                <w:bCs w:val="1"/>
                <w:color w:val="6AAA37"/>
              </w:rPr>
              <w:t>n</w:t>
            </w: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vMerge w:val="restart"/>
          </w:tcPr>
          <w:p>
            <w:pPr>
              <w:jc w:val="center"/>
              <w:spacing w:after="0"/>
              <w:rPr>
                <w:sz w:val="20"/>
                <w:szCs w:val="20"/>
                <w:color w:val="auto"/>
              </w:rPr>
            </w:pPr>
            <w:r>
              <w:rPr>
                <w:rFonts w:ascii="Webdings" w:cs="Webdings" w:eastAsia="Webdings" w:hAnsi="Webdings"/>
                <w:sz w:val="14"/>
                <w:szCs w:val="14"/>
                <w:b w:val="1"/>
                <w:bCs w:val="1"/>
                <w:color w:val="00558C"/>
                <w:w w:val="99"/>
              </w:rPr>
              <w:t>n</w:t>
            </w:r>
          </w:p>
        </w:tc>
        <w:tc>
          <w:tcPr>
            <w:tcW w:w="0" w:type="dxa"/>
            <w:vAlign w:val="bottom"/>
          </w:tcPr>
          <w:p>
            <w:pPr>
              <w:spacing w:after="0"/>
              <w:rPr>
                <w:sz w:val="1"/>
                <w:szCs w:val="1"/>
                <w:color w:val="auto"/>
              </w:rPr>
            </w:pPr>
          </w:p>
        </w:tc>
      </w:tr>
      <w:tr>
        <w:trPr>
          <w:trHeight w:val="81"/>
        </w:trPr>
        <w:tc>
          <w:tcPr>
            <w:tcW w:w="1860" w:type="dxa"/>
            <w:vAlign w:val="bottom"/>
            <w:vMerge w:val="restart"/>
          </w:tcPr>
          <w:p>
            <w:pPr>
              <w:ind w:left="900"/>
              <w:spacing w:after="0"/>
              <w:rPr>
                <w:sz w:val="20"/>
                <w:szCs w:val="20"/>
                <w:color w:val="auto"/>
              </w:rPr>
            </w:pPr>
            <w:r>
              <w:rPr>
                <w:rFonts w:ascii="Arial" w:cs="Arial" w:eastAsia="Arial" w:hAnsi="Arial"/>
                <w:sz w:val="14"/>
                <w:szCs w:val="14"/>
                <w:b w:val="1"/>
                <w:bCs w:val="1"/>
                <w:color w:val="00558C"/>
              </w:rPr>
              <w:t>Sawyer</w:t>
            </w:r>
          </w:p>
        </w:tc>
        <w:tc>
          <w:tcPr>
            <w:tcW w:w="34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294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54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186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940" w:type="dxa"/>
            <w:vAlign w:val="bottom"/>
            <w:vMerge w:val="restart"/>
          </w:tcPr>
          <w:p>
            <w:pPr>
              <w:ind w:left="160"/>
              <w:spacing w:after="0"/>
              <w:rPr>
                <w:sz w:val="20"/>
                <w:szCs w:val="20"/>
                <w:color w:val="auto"/>
              </w:rPr>
            </w:pPr>
            <w:r>
              <w:rPr>
                <w:rFonts w:ascii="Arial" w:cs="Arial" w:eastAsia="Arial" w:hAnsi="Arial"/>
                <w:sz w:val="14"/>
                <w:szCs w:val="14"/>
                <w:color w:val="auto"/>
              </w:rPr>
              <w:t>Corporation</w:t>
            </w:r>
          </w:p>
        </w:tc>
        <w:tc>
          <w:tcPr>
            <w:tcW w:w="1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18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9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0"/>
        </w:trPr>
        <w:tc>
          <w:tcPr>
            <w:tcW w:w="1860" w:type="dxa"/>
            <w:vAlign w:val="bottom"/>
          </w:tcPr>
          <w:p>
            <w:pPr>
              <w:ind w:left="900"/>
              <w:spacing w:after="0"/>
              <w:rPr>
                <w:sz w:val="20"/>
                <w:szCs w:val="20"/>
                <w:color w:val="auto"/>
              </w:rPr>
            </w:pPr>
            <w:r>
              <w:rPr>
                <w:rFonts w:ascii="Arial" w:cs="Arial" w:eastAsia="Arial" w:hAnsi="Arial"/>
                <w:sz w:val="14"/>
                <w:szCs w:val="14"/>
                <w:b w:val="1"/>
                <w:bCs w:val="1"/>
                <w:color w:val="00558C"/>
              </w:rPr>
              <w:t>Ekta Singh-</w:t>
            </w:r>
          </w:p>
        </w:tc>
        <w:tc>
          <w:tcPr>
            <w:tcW w:w="340" w:type="dxa"/>
            <w:vAlign w:val="bottom"/>
            <w:vMerge w:val="restart"/>
          </w:tcPr>
          <w:p>
            <w:pPr>
              <w:jc w:val="right"/>
              <w:ind w:right="108"/>
              <w:spacing w:after="0"/>
              <w:rPr>
                <w:sz w:val="20"/>
                <w:szCs w:val="20"/>
                <w:color w:val="auto"/>
              </w:rPr>
            </w:pPr>
            <w:r>
              <w:rPr>
                <w:rFonts w:ascii="Arial" w:cs="Arial" w:eastAsia="Arial" w:hAnsi="Arial"/>
                <w:sz w:val="14"/>
                <w:szCs w:val="14"/>
                <w:color w:val="auto"/>
                <w:w w:val="89"/>
              </w:rPr>
              <w:t>53</w:t>
            </w:r>
          </w:p>
        </w:tc>
        <w:tc>
          <w:tcPr>
            <w:tcW w:w="660" w:type="dxa"/>
            <w:vAlign w:val="bottom"/>
            <w:vMerge w:val="restart"/>
          </w:tcPr>
          <w:p>
            <w:pPr>
              <w:jc w:val="right"/>
              <w:ind w:right="108"/>
              <w:spacing w:after="0"/>
              <w:rPr>
                <w:sz w:val="20"/>
                <w:szCs w:val="20"/>
                <w:color w:val="auto"/>
              </w:rPr>
            </w:pPr>
            <w:r>
              <w:rPr>
                <w:rFonts w:ascii="Arial" w:cs="Arial" w:eastAsia="Arial" w:hAnsi="Arial"/>
                <w:sz w:val="14"/>
                <w:szCs w:val="14"/>
                <w:color w:val="auto"/>
              </w:rPr>
              <w:t>2019</w:t>
            </w:r>
          </w:p>
        </w:tc>
        <w:tc>
          <w:tcPr>
            <w:tcW w:w="2940" w:type="dxa"/>
            <w:vAlign w:val="bottom"/>
          </w:tcPr>
          <w:p>
            <w:pPr>
              <w:ind w:left="160"/>
              <w:spacing w:after="0"/>
              <w:rPr>
                <w:sz w:val="20"/>
                <w:szCs w:val="20"/>
                <w:color w:val="auto"/>
              </w:rPr>
            </w:pPr>
            <w:r>
              <w:rPr>
                <w:rFonts w:ascii="Arial" w:cs="Arial" w:eastAsia="Arial" w:hAnsi="Arial"/>
                <w:sz w:val="14"/>
                <w:szCs w:val="14"/>
                <w:color w:val="auto"/>
              </w:rPr>
              <w:t>Chief Operating Officer, Dragos</w:t>
            </w:r>
          </w:p>
        </w:tc>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vMerge w:val="restart"/>
          </w:tcPr>
          <w:p>
            <w:pPr>
              <w:jc w:val="center"/>
              <w:spacing w:after="0"/>
              <w:rPr>
                <w:sz w:val="20"/>
                <w:szCs w:val="20"/>
                <w:color w:val="auto"/>
              </w:rPr>
            </w:pPr>
            <w:r>
              <w:rPr>
                <w:rFonts w:ascii="Webdings" w:cs="Webdings" w:eastAsia="Webdings" w:hAnsi="Webdings"/>
                <w:sz w:val="14"/>
                <w:szCs w:val="14"/>
                <w:b w:val="1"/>
                <w:bCs w:val="1"/>
                <w:color w:val="00558C"/>
              </w:rPr>
              <w:t xml:space="preserve">n </w:t>
            </w:r>
            <w:r>
              <w:rPr>
                <w:rFonts w:ascii="Webdings" w:cs="Webdings" w:eastAsia="Webdings" w:hAnsi="Webdings"/>
                <w:sz w:val="14"/>
                <w:szCs w:val="14"/>
                <w:b w:val="1"/>
                <w:bCs w:val="1"/>
                <w:color w:val="6AAA37"/>
              </w:rPr>
              <w:t>n</w:t>
            </w:r>
          </w:p>
        </w:tc>
        <w:tc>
          <w:tcPr>
            <w:tcW w:w="540" w:type="dxa"/>
            <w:vAlign w:val="bottom"/>
            <w:vMerge w:val="restart"/>
          </w:tcPr>
          <w:p>
            <w:pPr>
              <w:jc w:val="center"/>
              <w:spacing w:after="0"/>
              <w:rPr>
                <w:sz w:val="20"/>
                <w:szCs w:val="20"/>
                <w:color w:val="auto"/>
              </w:rPr>
            </w:pPr>
            <w:r>
              <w:rPr>
                <w:rFonts w:ascii="Webdings" w:cs="Webdings" w:eastAsia="Webdings" w:hAnsi="Webdings"/>
                <w:sz w:val="14"/>
                <w:szCs w:val="14"/>
                <w:b w:val="1"/>
                <w:bCs w:val="1"/>
                <w:color w:val="00558C"/>
                <w:w w:val="99"/>
              </w:rPr>
              <w:t>n</w:t>
            </w:r>
          </w:p>
        </w:tc>
        <w:tc>
          <w:tcPr>
            <w:tcW w:w="540" w:type="dxa"/>
            <w:vAlign w:val="bottom"/>
            <w:vMerge w:val="restart"/>
          </w:tcPr>
          <w:p>
            <w:pPr>
              <w:jc w:val="center"/>
              <w:spacing w:after="0"/>
              <w:rPr>
                <w:sz w:val="20"/>
                <w:szCs w:val="20"/>
                <w:color w:val="auto"/>
              </w:rPr>
            </w:pPr>
            <w:r>
              <w:rPr>
                <w:rFonts w:ascii="Webdings" w:cs="Webdings" w:eastAsia="Webdings" w:hAnsi="Webdings"/>
                <w:sz w:val="14"/>
                <w:szCs w:val="14"/>
                <w:b w:val="1"/>
                <w:bCs w:val="1"/>
                <w:color w:val="00558C"/>
                <w:w w:val="99"/>
              </w:rPr>
              <w:t>n</w:t>
            </w:r>
          </w:p>
        </w:tc>
        <w:tc>
          <w:tcPr>
            <w:tcW w:w="0" w:type="dxa"/>
            <w:vAlign w:val="bottom"/>
          </w:tcPr>
          <w:p>
            <w:pPr>
              <w:spacing w:after="0"/>
              <w:rPr>
                <w:sz w:val="1"/>
                <w:szCs w:val="1"/>
                <w:color w:val="auto"/>
              </w:rPr>
            </w:pPr>
          </w:p>
        </w:tc>
      </w:tr>
      <w:tr>
        <w:trPr>
          <w:trHeight w:val="109"/>
        </w:trPr>
        <w:tc>
          <w:tcPr>
            <w:tcW w:w="1860" w:type="dxa"/>
            <w:vAlign w:val="bottom"/>
            <w:vMerge w:val="restart"/>
          </w:tcPr>
          <w:p>
            <w:pPr>
              <w:ind w:left="900"/>
              <w:spacing w:after="0"/>
              <w:rPr>
                <w:sz w:val="20"/>
                <w:szCs w:val="20"/>
                <w:color w:val="auto"/>
              </w:rPr>
            </w:pPr>
            <w:r>
              <w:rPr>
                <w:rFonts w:ascii="Arial" w:cs="Arial" w:eastAsia="Arial" w:hAnsi="Arial"/>
                <w:sz w:val="14"/>
                <w:szCs w:val="14"/>
                <w:b w:val="1"/>
                <w:bCs w:val="1"/>
                <w:color w:val="00558C"/>
              </w:rPr>
              <w:t>Bushell</w:t>
            </w:r>
          </w:p>
        </w:tc>
        <w:tc>
          <w:tcPr>
            <w:tcW w:w="34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2940" w:type="dxa"/>
            <w:vAlign w:val="bottom"/>
            <w:vMerge w:val="restart"/>
          </w:tcPr>
          <w:p>
            <w:pPr>
              <w:ind w:left="160"/>
              <w:spacing w:after="0"/>
              <w:rPr>
                <w:sz w:val="20"/>
                <w:szCs w:val="20"/>
                <w:color w:val="auto"/>
              </w:rPr>
            </w:pPr>
            <w:r>
              <w:rPr>
                <w:rFonts w:ascii="Arial" w:cs="Arial" w:eastAsia="Arial" w:hAnsi="Arial"/>
                <w:sz w:val="14"/>
                <w:szCs w:val="14"/>
                <w:color w:val="auto"/>
              </w:rPr>
              <w:t>Inc.</w:t>
            </w:r>
          </w:p>
        </w:tc>
        <w:tc>
          <w:tcPr>
            <w:tcW w:w="1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86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940" w:type="dxa"/>
            <w:vAlign w:val="bottom"/>
            <w:vMerge w:val="continue"/>
          </w:tcPr>
          <w:p>
            <w:pPr>
              <w:spacing w:after="0"/>
              <w:rPr>
                <w:sz w:val="7"/>
                <w:szCs w:val="7"/>
                <w:color w:val="auto"/>
              </w:rPr>
            </w:pPr>
          </w:p>
        </w:tc>
        <w:tc>
          <w:tcPr>
            <w:tcW w:w="1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540" w:type="dxa"/>
            <w:vAlign w:val="bottom"/>
          </w:tcPr>
          <w:p>
            <w:pPr>
              <w:spacing w:after="0"/>
              <w:rPr>
                <w:sz w:val="7"/>
                <w:szCs w:val="7"/>
                <w:color w:val="auto"/>
              </w:rPr>
            </w:pPr>
          </w:p>
        </w:tc>
        <w:tc>
          <w:tcPr>
            <w:tcW w:w="540" w:type="dxa"/>
            <w:vAlign w:val="bottom"/>
          </w:tcPr>
          <w:p>
            <w:pPr>
              <w:spacing w:after="0"/>
              <w:rPr>
                <w:sz w:val="7"/>
                <w:szCs w:val="7"/>
                <w:color w:val="auto"/>
              </w:rPr>
            </w:pPr>
          </w:p>
        </w:tc>
        <w:tc>
          <w:tcPr>
            <w:tcW w:w="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0"/>
        </w:trPr>
        <w:tc>
          <w:tcPr>
            <w:tcW w:w="18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9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44"/>
        </w:trPr>
        <w:tc>
          <w:tcPr>
            <w:tcW w:w="1860" w:type="dxa"/>
            <w:vAlign w:val="bottom"/>
            <w:shd w:val="clear" w:color="auto" w:fill="F2F3F2"/>
          </w:tcPr>
          <w:p>
            <w:pPr>
              <w:ind w:left="900"/>
              <w:spacing w:after="0"/>
              <w:rPr>
                <w:sz w:val="20"/>
                <w:szCs w:val="20"/>
                <w:color w:val="auto"/>
              </w:rPr>
            </w:pPr>
            <w:r>
              <w:rPr>
                <w:rFonts w:ascii="Arial" w:cs="Arial" w:eastAsia="Arial" w:hAnsi="Arial"/>
                <w:sz w:val="14"/>
                <w:szCs w:val="14"/>
                <w:b w:val="1"/>
                <w:bCs w:val="1"/>
                <w:color w:val="00558C"/>
              </w:rPr>
              <w:t>Debra</w:t>
            </w:r>
          </w:p>
        </w:tc>
        <w:tc>
          <w:tcPr>
            <w:tcW w:w="340" w:type="dxa"/>
            <w:vAlign w:val="bottom"/>
            <w:vMerge w:val="restart"/>
            <w:shd w:val="clear" w:color="auto" w:fill="F2F3F2"/>
          </w:tcPr>
          <w:p>
            <w:pPr>
              <w:jc w:val="right"/>
              <w:ind w:right="108"/>
              <w:spacing w:after="0"/>
              <w:rPr>
                <w:sz w:val="20"/>
                <w:szCs w:val="20"/>
                <w:color w:val="auto"/>
              </w:rPr>
            </w:pPr>
            <w:r>
              <w:rPr>
                <w:rFonts w:ascii="Arial" w:cs="Arial" w:eastAsia="Arial" w:hAnsi="Arial"/>
                <w:sz w:val="14"/>
                <w:szCs w:val="14"/>
                <w:color w:val="auto"/>
                <w:w w:val="89"/>
              </w:rPr>
              <w:t>69</w:t>
            </w:r>
          </w:p>
        </w:tc>
        <w:tc>
          <w:tcPr>
            <w:tcW w:w="660" w:type="dxa"/>
            <w:vAlign w:val="bottom"/>
            <w:vMerge w:val="restart"/>
            <w:shd w:val="clear" w:color="auto" w:fill="F2F3F2"/>
          </w:tcPr>
          <w:p>
            <w:pPr>
              <w:jc w:val="right"/>
              <w:ind w:right="108"/>
              <w:spacing w:after="0"/>
              <w:rPr>
                <w:sz w:val="20"/>
                <w:szCs w:val="20"/>
                <w:color w:val="auto"/>
              </w:rPr>
            </w:pPr>
            <w:r>
              <w:rPr>
                <w:rFonts w:ascii="Arial" w:cs="Arial" w:eastAsia="Arial" w:hAnsi="Arial"/>
                <w:sz w:val="14"/>
                <w:szCs w:val="14"/>
                <w:color w:val="auto"/>
              </w:rPr>
              <w:t>2014</w:t>
            </w:r>
          </w:p>
        </w:tc>
        <w:tc>
          <w:tcPr>
            <w:tcW w:w="2940" w:type="dxa"/>
            <w:vAlign w:val="bottom"/>
            <w:shd w:val="clear" w:color="auto" w:fill="F2F3F2"/>
          </w:tcPr>
          <w:p>
            <w:pPr>
              <w:ind w:left="160"/>
              <w:spacing w:after="0"/>
              <w:rPr>
                <w:sz w:val="20"/>
                <w:szCs w:val="20"/>
                <w:color w:val="auto"/>
              </w:rPr>
            </w:pPr>
            <w:r>
              <w:rPr>
                <w:rFonts w:ascii="Arial" w:cs="Arial" w:eastAsia="Arial" w:hAnsi="Arial"/>
                <w:sz w:val="14"/>
                <w:szCs w:val="14"/>
                <w:color w:val="auto"/>
              </w:rPr>
              <w:t>Vice President and General</w:t>
            </w:r>
          </w:p>
        </w:tc>
        <w:tc>
          <w:tcPr>
            <w:tcW w:w="1120" w:type="dxa"/>
            <w:vAlign w:val="bottom"/>
            <w:shd w:val="clear" w:color="auto" w:fill="F2F3F2"/>
          </w:tcPr>
          <w:p>
            <w:pPr>
              <w:spacing w:after="0"/>
              <w:rPr>
                <w:sz w:val="24"/>
                <w:szCs w:val="24"/>
                <w:color w:val="auto"/>
              </w:rPr>
            </w:pPr>
          </w:p>
        </w:tc>
        <w:tc>
          <w:tcPr>
            <w:tcW w:w="540" w:type="dxa"/>
            <w:vAlign w:val="bottom"/>
            <w:vMerge w:val="restart"/>
            <w:shd w:val="clear" w:color="auto" w:fill="F2F3F2"/>
          </w:tcPr>
          <w:p>
            <w:pPr>
              <w:jc w:val="center"/>
              <w:spacing w:after="0"/>
              <w:rPr>
                <w:sz w:val="20"/>
                <w:szCs w:val="20"/>
                <w:color w:val="auto"/>
              </w:rPr>
            </w:pPr>
            <w:r>
              <w:rPr>
                <w:rFonts w:ascii="Webdings" w:cs="Webdings" w:eastAsia="Webdings" w:hAnsi="Webdings"/>
                <w:sz w:val="14"/>
                <w:szCs w:val="14"/>
                <w:b w:val="1"/>
                <w:bCs w:val="1"/>
                <w:color w:val="00558C"/>
                <w:w w:val="99"/>
              </w:rPr>
              <w:t>n</w:t>
            </w:r>
          </w:p>
        </w:tc>
        <w:tc>
          <w:tcPr>
            <w:tcW w:w="540" w:type="dxa"/>
            <w:vAlign w:val="bottom"/>
            <w:vMerge w:val="restart"/>
            <w:shd w:val="clear" w:color="auto" w:fill="F2F3F2"/>
          </w:tcPr>
          <w:p>
            <w:pPr>
              <w:jc w:val="center"/>
              <w:spacing w:after="0"/>
              <w:rPr>
                <w:sz w:val="20"/>
                <w:szCs w:val="20"/>
                <w:color w:val="auto"/>
              </w:rPr>
            </w:pPr>
            <w:r>
              <w:rPr>
                <w:rFonts w:ascii="Webdings" w:cs="Webdings" w:eastAsia="Webdings" w:hAnsi="Webdings"/>
                <w:sz w:val="14"/>
                <w:szCs w:val="14"/>
                <w:b w:val="1"/>
                <w:bCs w:val="1"/>
                <w:color w:val="00558C"/>
                <w:w w:val="99"/>
              </w:rPr>
              <w:t>n</w:t>
            </w:r>
          </w:p>
        </w:tc>
        <w:tc>
          <w:tcPr>
            <w:tcW w:w="540" w:type="dxa"/>
            <w:vAlign w:val="bottom"/>
            <w:vMerge w:val="restart"/>
            <w:shd w:val="clear" w:color="auto" w:fill="F2F3F2"/>
          </w:tcPr>
          <w:p>
            <w:pPr>
              <w:jc w:val="center"/>
              <w:spacing w:after="0"/>
              <w:rPr>
                <w:sz w:val="20"/>
                <w:szCs w:val="20"/>
                <w:color w:val="auto"/>
              </w:rPr>
            </w:pPr>
            <w:r>
              <w:rPr>
                <w:rFonts w:ascii="Webdings" w:cs="Webdings" w:eastAsia="Webdings" w:hAnsi="Webdings"/>
                <w:sz w:val="14"/>
                <w:szCs w:val="14"/>
                <w:b w:val="1"/>
                <w:bCs w:val="1"/>
                <w:color w:val="00558C"/>
                <w:w w:val="99"/>
              </w:rPr>
              <w:t>n</w:t>
            </w:r>
          </w:p>
        </w:tc>
        <w:tc>
          <w:tcPr>
            <w:tcW w:w="540" w:type="dxa"/>
            <w:vAlign w:val="bottom"/>
            <w:shd w:val="clear" w:color="auto" w:fill="F2F3F2"/>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1860" w:type="dxa"/>
            <w:vAlign w:val="bottom"/>
            <w:vMerge w:val="restart"/>
            <w:shd w:val="clear" w:color="auto" w:fill="F2F3F2"/>
          </w:tcPr>
          <w:p>
            <w:pPr>
              <w:ind w:left="900"/>
              <w:spacing w:after="0"/>
              <w:rPr>
                <w:sz w:val="20"/>
                <w:szCs w:val="20"/>
                <w:color w:val="auto"/>
              </w:rPr>
            </w:pPr>
            <w:r>
              <w:rPr>
                <w:rFonts w:ascii="Arial" w:cs="Arial" w:eastAsia="Arial" w:hAnsi="Arial"/>
                <w:sz w:val="14"/>
                <w:szCs w:val="14"/>
                <w:b w:val="1"/>
                <w:bCs w:val="1"/>
                <w:color w:val="00558C"/>
              </w:rPr>
              <w:t>Zumwalt</w:t>
            </w:r>
          </w:p>
        </w:tc>
        <w:tc>
          <w:tcPr>
            <w:tcW w:w="340" w:type="dxa"/>
            <w:vAlign w:val="bottom"/>
            <w:vMerge w:val="continue"/>
            <w:shd w:val="clear" w:color="auto" w:fill="F2F3F2"/>
          </w:tcPr>
          <w:p>
            <w:pPr>
              <w:spacing w:after="0"/>
              <w:rPr>
                <w:sz w:val="9"/>
                <w:szCs w:val="9"/>
                <w:color w:val="auto"/>
              </w:rPr>
            </w:pPr>
          </w:p>
        </w:tc>
        <w:tc>
          <w:tcPr>
            <w:tcW w:w="660" w:type="dxa"/>
            <w:vAlign w:val="bottom"/>
            <w:vMerge w:val="continue"/>
            <w:shd w:val="clear" w:color="auto" w:fill="F2F3F2"/>
          </w:tcPr>
          <w:p>
            <w:pPr>
              <w:spacing w:after="0"/>
              <w:rPr>
                <w:sz w:val="9"/>
                <w:szCs w:val="9"/>
                <w:color w:val="auto"/>
              </w:rPr>
            </w:pPr>
          </w:p>
        </w:tc>
        <w:tc>
          <w:tcPr>
            <w:tcW w:w="2940" w:type="dxa"/>
            <w:vAlign w:val="bottom"/>
            <w:vMerge w:val="restart"/>
            <w:shd w:val="clear" w:color="auto" w:fill="F2F3F2"/>
          </w:tcPr>
          <w:p>
            <w:pPr>
              <w:ind w:left="160"/>
              <w:spacing w:after="0"/>
              <w:rPr>
                <w:sz w:val="20"/>
                <w:szCs w:val="20"/>
                <w:color w:val="auto"/>
              </w:rPr>
            </w:pPr>
            <w:r>
              <w:rPr>
                <w:rFonts w:ascii="Arial" w:cs="Arial" w:eastAsia="Arial" w:hAnsi="Arial"/>
                <w:sz w:val="14"/>
                <w:szCs w:val="14"/>
                <w:color w:val="auto"/>
              </w:rPr>
              <w:t>Counsel, Stanford University</w:t>
            </w:r>
          </w:p>
        </w:tc>
        <w:tc>
          <w:tcPr>
            <w:tcW w:w="1120" w:type="dxa"/>
            <w:vAlign w:val="bottom"/>
            <w:shd w:val="clear" w:color="auto" w:fill="F2F3F2"/>
          </w:tcPr>
          <w:p>
            <w:pPr>
              <w:spacing w:after="0"/>
              <w:rPr>
                <w:sz w:val="9"/>
                <w:szCs w:val="9"/>
                <w:color w:val="auto"/>
              </w:rPr>
            </w:pPr>
          </w:p>
        </w:tc>
        <w:tc>
          <w:tcPr>
            <w:tcW w:w="540" w:type="dxa"/>
            <w:vAlign w:val="bottom"/>
            <w:vMerge w:val="continue"/>
            <w:shd w:val="clear" w:color="auto" w:fill="F2F3F2"/>
          </w:tcPr>
          <w:p>
            <w:pPr>
              <w:spacing w:after="0"/>
              <w:rPr>
                <w:sz w:val="9"/>
                <w:szCs w:val="9"/>
                <w:color w:val="auto"/>
              </w:rPr>
            </w:pPr>
          </w:p>
        </w:tc>
        <w:tc>
          <w:tcPr>
            <w:tcW w:w="540" w:type="dxa"/>
            <w:vAlign w:val="bottom"/>
            <w:vMerge w:val="continue"/>
            <w:shd w:val="clear" w:color="auto" w:fill="F2F3F2"/>
          </w:tcPr>
          <w:p>
            <w:pPr>
              <w:spacing w:after="0"/>
              <w:rPr>
                <w:sz w:val="9"/>
                <w:szCs w:val="9"/>
                <w:color w:val="auto"/>
              </w:rPr>
            </w:pPr>
          </w:p>
        </w:tc>
        <w:tc>
          <w:tcPr>
            <w:tcW w:w="540" w:type="dxa"/>
            <w:vAlign w:val="bottom"/>
            <w:vMerge w:val="continue"/>
            <w:shd w:val="clear" w:color="auto" w:fill="F2F3F2"/>
          </w:tcPr>
          <w:p>
            <w:pPr>
              <w:spacing w:after="0"/>
              <w:rPr>
                <w:sz w:val="9"/>
                <w:szCs w:val="9"/>
                <w:color w:val="auto"/>
              </w:rPr>
            </w:pPr>
          </w:p>
        </w:tc>
        <w:tc>
          <w:tcPr>
            <w:tcW w:w="540" w:type="dxa"/>
            <w:vAlign w:val="bottom"/>
            <w:shd w:val="clear" w:color="auto" w:fill="F2F3F2"/>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860" w:type="dxa"/>
            <w:vAlign w:val="bottom"/>
            <w:vMerge w:val="continue"/>
            <w:shd w:val="clear" w:color="auto" w:fill="F2F3F2"/>
          </w:tcPr>
          <w:p>
            <w:pPr>
              <w:spacing w:after="0"/>
              <w:rPr>
                <w:sz w:val="7"/>
                <w:szCs w:val="7"/>
                <w:color w:val="auto"/>
              </w:rPr>
            </w:pPr>
          </w:p>
        </w:tc>
        <w:tc>
          <w:tcPr>
            <w:tcW w:w="340" w:type="dxa"/>
            <w:vAlign w:val="bottom"/>
            <w:shd w:val="clear" w:color="auto" w:fill="F2F3F2"/>
          </w:tcPr>
          <w:p>
            <w:pPr>
              <w:spacing w:after="0"/>
              <w:rPr>
                <w:sz w:val="7"/>
                <w:szCs w:val="7"/>
                <w:color w:val="auto"/>
              </w:rPr>
            </w:pPr>
          </w:p>
        </w:tc>
        <w:tc>
          <w:tcPr>
            <w:tcW w:w="660" w:type="dxa"/>
            <w:vAlign w:val="bottom"/>
            <w:shd w:val="clear" w:color="auto" w:fill="F2F3F2"/>
          </w:tcPr>
          <w:p>
            <w:pPr>
              <w:spacing w:after="0"/>
              <w:rPr>
                <w:sz w:val="7"/>
                <w:szCs w:val="7"/>
                <w:color w:val="auto"/>
              </w:rPr>
            </w:pPr>
          </w:p>
        </w:tc>
        <w:tc>
          <w:tcPr>
            <w:tcW w:w="2940" w:type="dxa"/>
            <w:vAlign w:val="bottom"/>
            <w:vMerge w:val="continue"/>
            <w:shd w:val="clear" w:color="auto" w:fill="F2F3F2"/>
          </w:tcPr>
          <w:p>
            <w:pPr>
              <w:spacing w:after="0"/>
              <w:rPr>
                <w:sz w:val="7"/>
                <w:szCs w:val="7"/>
                <w:color w:val="auto"/>
              </w:rPr>
            </w:pPr>
          </w:p>
        </w:tc>
        <w:tc>
          <w:tcPr>
            <w:tcW w:w="1120" w:type="dxa"/>
            <w:vAlign w:val="bottom"/>
            <w:shd w:val="clear" w:color="auto" w:fill="F2F3F2"/>
          </w:tcPr>
          <w:p>
            <w:pPr>
              <w:spacing w:after="0"/>
              <w:rPr>
                <w:sz w:val="7"/>
                <w:szCs w:val="7"/>
                <w:color w:val="auto"/>
              </w:rPr>
            </w:pPr>
          </w:p>
        </w:tc>
        <w:tc>
          <w:tcPr>
            <w:tcW w:w="540" w:type="dxa"/>
            <w:vAlign w:val="bottom"/>
            <w:shd w:val="clear" w:color="auto" w:fill="F2F3F2"/>
          </w:tcPr>
          <w:p>
            <w:pPr>
              <w:spacing w:after="0"/>
              <w:rPr>
                <w:sz w:val="7"/>
                <w:szCs w:val="7"/>
                <w:color w:val="auto"/>
              </w:rPr>
            </w:pPr>
          </w:p>
        </w:tc>
        <w:tc>
          <w:tcPr>
            <w:tcW w:w="540" w:type="dxa"/>
            <w:vAlign w:val="bottom"/>
            <w:shd w:val="clear" w:color="auto" w:fill="F2F3F2"/>
          </w:tcPr>
          <w:p>
            <w:pPr>
              <w:spacing w:after="0"/>
              <w:rPr>
                <w:sz w:val="7"/>
                <w:szCs w:val="7"/>
                <w:color w:val="auto"/>
              </w:rPr>
            </w:pPr>
          </w:p>
        </w:tc>
        <w:tc>
          <w:tcPr>
            <w:tcW w:w="540" w:type="dxa"/>
            <w:vAlign w:val="bottom"/>
            <w:shd w:val="clear" w:color="auto" w:fill="F2F3F2"/>
          </w:tcPr>
          <w:p>
            <w:pPr>
              <w:spacing w:after="0"/>
              <w:rPr>
                <w:sz w:val="7"/>
                <w:szCs w:val="7"/>
                <w:color w:val="auto"/>
              </w:rPr>
            </w:pPr>
          </w:p>
        </w:tc>
        <w:tc>
          <w:tcPr>
            <w:tcW w:w="540" w:type="dxa"/>
            <w:vAlign w:val="bottom"/>
            <w:shd w:val="clear" w:color="auto" w:fill="F2F3F2"/>
          </w:tcPr>
          <w:p>
            <w:pPr>
              <w:spacing w:after="0"/>
              <w:rPr>
                <w:sz w:val="7"/>
                <w:szCs w:val="7"/>
                <w:color w:val="auto"/>
              </w:rPr>
            </w:pPr>
          </w:p>
        </w:tc>
        <w:tc>
          <w:tcPr>
            <w:tcW w:w="0" w:type="dxa"/>
            <w:vAlign w:val="bottom"/>
          </w:tcPr>
          <w:p>
            <w:pPr>
              <w:spacing w:after="0"/>
              <w:rPr>
                <w:sz w:val="1"/>
                <w:szCs w:val="1"/>
                <w:color w:val="auto"/>
              </w:rPr>
            </w:pPr>
          </w:p>
        </w:tc>
      </w:tr>
      <w:tr>
        <w:trPr>
          <w:trHeight w:val="70"/>
        </w:trPr>
        <w:tc>
          <w:tcPr>
            <w:tcW w:w="1860" w:type="dxa"/>
            <w:vAlign w:val="bottom"/>
            <w:shd w:val="clear" w:color="auto" w:fill="F2F3F2"/>
          </w:tcPr>
          <w:p>
            <w:pPr>
              <w:spacing w:after="0"/>
              <w:rPr>
                <w:sz w:val="6"/>
                <w:szCs w:val="6"/>
                <w:color w:val="auto"/>
              </w:rPr>
            </w:pPr>
          </w:p>
        </w:tc>
        <w:tc>
          <w:tcPr>
            <w:tcW w:w="340" w:type="dxa"/>
            <w:vAlign w:val="bottom"/>
            <w:shd w:val="clear" w:color="auto" w:fill="F2F3F2"/>
          </w:tcPr>
          <w:p>
            <w:pPr>
              <w:spacing w:after="0"/>
              <w:rPr>
                <w:sz w:val="6"/>
                <w:szCs w:val="6"/>
                <w:color w:val="auto"/>
              </w:rPr>
            </w:pPr>
          </w:p>
        </w:tc>
        <w:tc>
          <w:tcPr>
            <w:tcW w:w="660" w:type="dxa"/>
            <w:vAlign w:val="bottom"/>
            <w:shd w:val="clear" w:color="auto" w:fill="F2F3F2"/>
          </w:tcPr>
          <w:p>
            <w:pPr>
              <w:spacing w:after="0"/>
              <w:rPr>
                <w:sz w:val="6"/>
                <w:szCs w:val="6"/>
                <w:color w:val="auto"/>
              </w:rPr>
            </w:pPr>
          </w:p>
        </w:tc>
        <w:tc>
          <w:tcPr>
            <w:tcW w:w="2940" w:type="dxa"/>
            <w:vAlign w:val="bottom"/>
            <w:shd w:val="clear" w:color="auto" w:fill="F2F3F2"/>
          </w:tcPr>
          <w:p>
            <w:pPr>
              <w:spacing w:after="0"/>
              <w:rPr>
                <w:sz w:val="6"/>
                <w:szCs w:val="6"/>
                <w:color w:val="auto"/>
              </w:rPr>
            </w:pPr>
          </w:p>
        </w:tc>
        <w:tc>
          <w:tcPr>
            <w:tcW w:w="1120" w:type="dxa"/>
            <w:vAlign w:val="bottom"/>
            <w:shd w:val="clear" w:color="auto" w:fill="F2F3F2"/>
          </w:tcPr>
          <w:p>
            <w:pPr>
              <w:spacing w:after="0"/>
              <w:rPr>
                <w:sz w:val="6"/>
                <w:szCs w:val="6"/>
                <w:color w:val="auto"/>
              </w:rPr>
            </w:pPr>
          </w:p>
        </w:tc>
        <w:tc>
          <w:tcPr>
            <w:tcW w:w="540" w:type="dxa"/>
            <w:vAlign w:val="bottom"/>
            <w:shd w:val="clear" w:color="auto" w:fill="F2F3F2"/>
          </w:tcPr>
          <w:p>
            <w:pPr>
              <w:spacing w:after="0"/>
              <w:rPr>
                <w:sz w:val="6"/>
                <w:szCs w:val="6"/>
                <w:color w:val="auto"/>
              </w:rPr>
            </w:pPr>
          </w:p>
        </w:tc>
        <w:tc>
          <w:tcPr>
            <w:tcW w:w="540" w:type="dxa"/>
            <w:vAlign w:val="bottom"/>
            <w:shd w:val="clear" w:color="auto" w:fill="F2F3F2"/>
          </w:tcPr>
          <w:p>
            <w:pPr>
              <w:spacing w:after="0"/>
              <w:rPr>
                <w:sz w:val="6"/>
                <w:szCs w:val="6"/>
                <w:color w:val="auto"/>
              </w:rPr>
            </w:pPr>
          </w:p>
        </w:tc>
        <w:tc>
          <w:tcPr>
            <w:tcW w:w="540" w:type="dxa"/>
            <w:vAlign w:val="bottom"/>
            <w:shd w:val="clear" w:color="auto" w:fill="F2F3F2"/>
          </w:tcPr>
          <w:p>
            <w:pPr>
              <w:spacing w:after="0"/>
              <w:rPr>
                <w:sz w:val="6"/>
                <w:szCs w:val="6"/>
                <w:color w:val="auto"/>
              </w:rPr>
            </w:pPr>
          </w:p>
        </w:tc>
        <w:tc>
          <w:tcPr>
            <w:tcW w:w="540" w:type="dxa"/>
            <w:vAlign w:val="bottom"/>
            <w:shd w:val="clear" w:color="auto" w:fill="F2F3F2"/>
          </w:tcPr>
          <w:p>
            <w:pPr>
              <w:spacing w:after="0"/>
              <w:rPr>
                <w:sz w:val="6"/>
                <w:szCs w:val="6"/>
                <w:color w:val="auto"/>
              </w:rPr>
            </w:pPr>
          </w:p>
        </w:tc>
        <w:tc>
          <w:tcPr>
            <w:tcW w:w="0" w:type="dxa"/>
            <w:vAlign w:val="bottom"/>
          </w:tcPr>
          <w:p>
            <w:pPr>
              <w:spacing w:after="0"/>
              <w:rPr>
                <w:sz w:val="1"/>
                <w:szCs w:val="1"/>
                <w:color w:val="auto"/>
              </w:rPr>
            </w:pPr>
          </w:p>
        </w:tc>
      </w:tr>
      <w:tr>
        <w:trPr>
          <w:trHeight w:val="470"/>
        </w:trPr>
        <w:tc>
          <w:tcPr>
            <w:tcW w:w="1860" w:type="dxa"/>
            <w:vAlign w:val="bottom"/>
          </w:tcPr>
          <w:p>
            <w:pPr>
              <w:ind w:left="140"/>
              <w:spacing w:after="0"/>
              <w:rPr>
                <w:sz w:val="20"/>
                <w:szCs w:val="20"/>
                <w:color w:val="auto"/>
              </w:rPr>
            </w:pPr>
            <w:r>
              <w:rPr>
                <w:rFonts w:ascii="Arial" w:cs="Arial" w:eastAsia="Arial" w:hAnsi="Arial"/>
                <w:sz w:val="14"/>
                <w:szCs w:val="14"/>
                <w:b w:val="1"/>
                <w:bCs w:val="1"/>
                <w:color w:val="FFFFFF"/>
              </w:rPr>
              <w:t>Not Standing for Election</w:t>
            </w: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5"/>
        </w:trPr>
        <w:tc>
          <w:tcPr>
            <w:tcW w:w="1860" w:type="dxa"/>
            <w:vAlign w:val="bottom"/>
            <w:vMerge w:val="restart"/>
          </w:tcPr>
          <w:p>
            <w:pPr>
              <w:ind w:left="900"/>
              <w:spacing w:after="0"/>
              <w:rPr>
                <w:sz w:val="20"/>
                <w:szCs w:val="20"/>
                <w:color w:val="auto"/>
              </w:rPr>
            </w:pPr>
            <w:r>
              <w:rPr>
                <w:rFonts w:ascii="Arial" w:cs="Arial" w:eastAsia="Arial" w:hAnsi="Arial"/>
                <w:sz w:val="14"/>
                <w:szCs w:val="14"/>
                <w:b w:val="1"/>
                <w:bCs w:val="1"/>
                <w:color w:val="00558C"/>
              </w:rPr>
              <w:t>Joy T.</w:t>
            </w: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940" w:type="dxa"/>
            <w:vAlign w:val="bottom"/>
          </w:tcPr>
          <w:p>
            <w:pPr>
              <w:ind w:left="160"/>
              <w:spacing w:after="0"/>
              <w:rPr>
                <w:sz w:val="20"/>
                <w:szCs w:val="20"/>
                <w:color w:val="auto"/>
              </w:rPr>
            </w:pPr>
            <w:r>
              <w:rPr>
                <w:rFonts w:ascii="Arial" w:cs="Arial" w:eastAsia="Arial" w:hAnsi="Arial"/>
                <w:sz w:val="14"/>
                <w:szCs w:val="14"/>
                <w:color w:val="auto"/>
              </w:rPr>
              <w:t>SVP, Chief Digital Information</w:t>
            </w:r>
          </w:p>
        </w:tc>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1860" w:type="dxa"/>
            <w:vAlign w:val="bottom"/>
            <w:vMerge w:val="continue"/>
          </w:tcPr>
          <w:p>
            <w:pPr>
              <w:spacing w:after="0"/>
              <w:rPr>
                <w:sz w:val="8"/>
                <w:szCs w:val="8"/>
                <w:color w:val="auto"/>
              </w:rPr>
            </w:pPr>
          </w:p>
        </w:tc>
        <w:tc>
          <w:tcPr>
            <w:tcW w:w="340" w:type="dxa"/>
            <w:vAlign w:val="bottom"/>
            <w:vMerge w:val="restart"/>
          </w:tcPr>
          <w:p>
            <w:pPr>
              <w:jc w:val="right"/>
              <w:ind w:right="108"/>
              <w:spacing w:after="0"/>
              <w:rPr>
                <w:sz w:val="20"/>
                <w:szCs w:val="20"/>
                <w:color w:val="auto"/>
              </w:rPr>
            </w:pPr>
            <w:r>
              <w:rPr>
                <w:rFonts w:ascii="Arial" w:cs="Arial" w:eastAsia="Arial" w:hAnsi="Arial"/>
                <w:sz w:val="14"/>
                <w:szCs w:val="14"/>
                <w:color w:val="auto"/>
                <w:w w:val="89"/>
              </w:rPr>
              <w:t>46</w:t>
            </w:r>
          </w:p>
        </w:tc>
        <w:tc>
          <w:tcPr>
            <w:tcW w:w="660" w:type="dxa"/>
            <w:vAlign w:val="bottom"/>
            <w:vMerge w:val="restart"/>
          </w:tcPr>
          <w:p>
            <w:pPr>
              <w:jc w:val="right"/>
              <w:ind w:right="108"/>
              <w:spacing w:after="0"/>
              <w:rPr>
                <w:sz w:val="20"/>
                <w:szCs w:val="20"/>
                <w:color w:val="auto"/>
              </w:rPr>
            </w:pPr>
            <w:r>
              <w:rPr>
                <w:rFonts w:ascii="Arial" w:cs="Arial" w:eastAsia="Arial" w:hAnsi="Arial"/>
                <w:sz w:val="14"/>
                <w:szCs w:val="14"/>
                <w:color w:val="auto"/>
              </w:rPr>
              <w:t>2022</w:t>
            </w:r>
          </w:p>
        </w:tc>
        <w:tc>
          <w:tcPr>
            <w:tcW w:w="2940" w:type="dxa"/>
            <w:vAlign w:val="bottom"/>
            <w:vMerge w:val="restart"/>
          </w:tcPr>
          <w:p>
            <w:pPr>
              <w:ind w:left="160"/>
              <w:spacing w:after="0"/>
              <w:rPr>
                <w:sz w:val="20"/>
                <w:szCs w:val="20"/>
                <w:color w:val="auto"/>
              </w:rPr>
            </w:pPr>
            <w:r>
              <w:rPr>
                <w:rFonts w:ascii="Arial" w:cs="Arial" w:eastAsia="Arial" w:hAnsi="Arial"/>
                <w:sz w:val="14"/>
                <w:szCs w:val="14"/>
                <w:color w:val="auto"/>
              </w:rPr>
              <w:t>Officer, Boston Medical Center</w:t>
            </w:r>
          </w:p>
        </w:tc>
        <w:tc>
          <w:tcPr>
            <w:tcW w:w="1120" w:type="dxa"/>
            <w:vAlign w:val="bottom"/>
          </w:tcPr>
          <w:p>
            <w:pPr>
              <w:spacing w:after="0"/>
              <w:rPr>
                <w:sz w:val="8"/>
                <w:szCs w:val="8"/>
                <w:color w:val="auto"/>
              </w:rPr>
            </w:pPr>
          </w:p>
        </w:tc>
        <w:tc>
          <w:tcPr>
            <w:tcW w:w="540" w:type="dxa"/>
            <w:vAlign w:val="bottom"/>
            <w:vMerge w:val="restart"/>
          </w:tcPr>
          <w:p>
            <w:pPr>
              <w:jc w:val="center"/>
              <w:spacing w:after="0"/>
              <w:rPr>
                <w:sz w:val="20"/>
                <w:szCs w:val="20"/>
                <w:color w:val="auto"/>
              </w:rPr>
            </w:pPr>
            <w:r>
              <w:rPr>
                <w:rFonts w:ascii="Webdings" w:cs="Webdings" w:eastAsia="Webdings" w:hAnsi="Webdings"/>
                <w:sz w:val="14"/>
                <w:szCs w:val="14"/>
                <w:b w:val="1"/>
                <w:bCs w:val="1"/>
                <w:color w:val="00558C"/>
                <w:w w:val="99"/>
              </w:rPr>
              <w:t>n</w:t>
            </w:r>
          </w:p>
        </w:tc>
        <w:tc>
          <w:tcPr>
            <w:tcW w:w="540" w:type="dxa"/>
            <w:vAlign w:val="bottom"/>
          </w:tcPr>
          <w:p>
            <w:pPr>
              <w:spacing w:after="0"/>
              <w:rPr>
                <w:sz w:val="8"/>
                <w:szCs w:val="8"/>
                <w:color w:val="auto"/>
              </w:rPr>
            </w:pPr>
          </w:p>
        </w:tc>
        <w:tc>
          <w:tcPr>
            <w:tcW w:w="540" w:type="dxa"/>
            <w:vAlign w:val="bottom"/>
            <w:vMerge w:val="restart"/>
          </w:tcPr>
          <w:p>
            <w:pPr>
              <w:jc w:val="center"/>
              <w:spacing w:after="0"/>
              <w:rPr>
                <w:sz w:val="20"/>
                <w:szCs w:val="20"/>
                <w:color w:val="auto"/>
              </w:rPr>
            </w:pPr>
            <w:r>
              <w:rPr>
                <w:rFonts w:ascii="Webdings" w:cs="Webdings" w:eastAsia="Webdings" w:hAnsi="Webdings"/>
                <w:sz w:val="14"/>
                <w:szCs w:val="14"/>
                <w:b w:val="1"/>
                <w:bCs w:val="1"/>
                <w:color w:val="00558C"/>
              </w:rPr>
              <w:t xml:space="preserve">n </w:t>
            </w:r>
            <w:r>
              <w:rPr>
                <w:rFonts w:ascii="Webdings" w:cs="Webdings" w:eastAsia="Webdings" w:hAnsi="Webdings"/>
                <w:sz w:val="14"/>
                <w:szCs w:val="14"/>
                <w:b w:val="1"/>
                <w:bCs w:val="1"/>
                <w:color w:val="6AAA37"/>
              </w:rPr>
              <w:t>n</w:t>
            </w:r>
          </w:p>
        </w:tc>
        <w:tc>
          <w:tcPr>
            <w:tcW w:w="540" w:type="dxa"/>
            <w:vAlign w:val="bottom"/>
            <w:vMerge w:val="restart"/>
          </w:tcPr>
          <w:p>
            <w:pPr>
              <w:jc w:val="center"/>
              <w:spacing w:after="0"/>
              <w:rPr>
                <w:sz w:val="20"/>
                <w:szCs w:val="20"/>
                <w:color w:val="auto"/>
              </w:rPr>
            </w:pPr>
            <w:r>
              <w:rPr>
                <w:rFonts w:ascii="Webdings" w:cs="Webdings" w:eastAsia="Webdings" w:hAnsi="Webdings"/>
                <w:sz w:val="14"/>
                <w:szCs w:val="14"/>
                <w:b w:val="1"/>
                <w:bCs w:val="1"/>
                <w:color w:val="00558C"/>
                <w:w w:val="99"/>
              </w:rPr>
              <w:t>n</w:t>
            </w:r>
          </w:p>
        </w:tc>
        <w:tc>
          <w:tcPr>
            <w:tcW w:w="0" w:type="dxa"/>
            <w:vAlign w:val="bottom"/>
          </w:tcPr>
          <w:p>
            <w:pPr>
              <w:spacing w:after="0"/>
              <w:rPr>
                <w:sz w:val="1"/>
                <w:szCs w:val="1"/>
                <w:color w:val="auto"/>
              </w:rPr>
            </w:pPr>
          </w:p>
        </w:tc>
      </w:tr>
      <w:tr>
        <w:trPr>
          <w:trHeight w:val="81"/>
        </w:trPr>
        <w:tc>
          <w:tcPr>
            <w:tcW w:w="1860" w:type="dxa"/>
            <w:vAlign w:val="bottom"/>
            <w:vMerge w:val="restart"/>
          </w:tcPr>
          <w:p>
            <w:pPr>
              <w:ind w:left="900"/>
              <w:spacing w:after="0"/>
              <w:rPr>
                <w:sz w:val="20"/>
                <w:szCs w:val="20"/>
                <w:color w:val="auto"/>
              </w:rPr>
            </w:pPr>
            <w:r>
              <w:rPr>
                <w:rFonts w:ascii="Arial" w:cs="Arial" w:eastAsia="Arial" w:hAnsi="Arial"/>
                <w:sz w:val="14"/>
                <w:szCs w:val="14"/>
                <w:b w:val="1"/>
                <w:bCs w:val="1"/>
                <w:color w:val="00558C"/>
              </w:rPr>
              <w:t>Brown</w:t>
            </w:r>
          </w:p>
        </w:tc>
        <w:tc>
          <w:tcPr>
            <w:tcW w:w="34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2940" w:type="dxa"/>
            <w:vAlign w:val="bottom"/>
            <w:vMerge w:val="continue"/>
          </w:tcPr>
          <w:p>
            <w:pPr>
              <w:spacing w:after="0"/>
              <w:rPr>
                <w:sz w:val="7"/>
                <w:szCs w:val="7"/>
                <w:color w:val="auto"/>
              </w:rPr>
            </w:pPr>
          </w:p>
        </w:tc>
        <w:tc>
          <w:tcPr>
            <w:tcW w:w="11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186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940" w:type="dxa"/>
            <w:vAlign w:val="bottom"/>
            <w:vMerge w:val="restart"/>
          </w:tcPr>
          <w:p>
            <w:pPr>
              <w:ind w:left="160"/>
              <w:spacing w:after="0"/>
              <w:rPr>
                <w:sz w:val="20"/>
                <w:szCs w:val="20"/>
                <w:color w:val="auto"/>
              </w:rPr>
            </w:pPr>
            <w:r>
              <w:rPr>
                <w:rFonts w:ascii="Arial" w:cs="Arial" w:eastAsia="Arial" w:hAnsi="Arial"/>
                <w:sz w:val="14"/>
                <w:szCs w:val="14"/>
                <w:color w:val="auto"/>
              </w:rPr>
              <w:t>Health System</w:t>
            </w:r>
          </w:p>
        </w:tc>
        <w:tc>
          <w:tcPr>
            <w:tcW w:w="1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18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9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0"/>
        </w:trPr>
        <w:tc>
          <w:tcPr>
            <w:tcW w:w="1860" w:type="dxa"/>
            <w:vAlign w:val="bottom"/>
          </w:tcPr>
          <w:p>
            <w:pPr>
              <w:ind w:left="900"/>
              <w:spacing w:after="0"/>
              <w:rPr>
                <w:sz w:val="20"/>
                <w:szCs w:val="20"/>
                <w:color w:val="auto"/>
              </w:rPr>
            </w:pPr>
            <w:r>
              <w:rPr>
                <w:rFonts w:ascii="Arial" w:cs="Arial" w:eastAsia="Arial" w:hAnsi="Arial"/>
                <w:sz w:val="14"/>
                <w:szCs w:val="14"/>
                <w:b w:val="1"/>
                <w:bCs w:val="1"/>
                <w:color w:val="00558C"/>
              </w:rPr>
              <w:t>H. Eugene</w:t>
            </w:r>
          </w:p>
        </w:tc>
        <w:tc>
          <w:tcPr>
            <w:tcW w:w="340" w:type="dxa"/>
            <w:vAlign w:val="bottom"/>
            <w:vMerge w:val="restart"/>
          </w:tcPr>
          <w:p>
            <w:pPr>
              <w:jc w:val="right"/>
              <w:ind w:right="108"/>
              <w:spacing w:after="0"/>
              <w:rPr>
                <w:sz w:val="20"/>
                <w:szCs w:val="20"/>
                <w:color w:val="auto"/>
              </w:rPr>
            </w:pPr>
            <w:r>
              <w:rPr>
                <w:rFonts w:ascii="Arial" w:cs="Arial" w:eastAsia="Arial" w:hAnsi="Arial"/>
                <w:sz w:val="14"/>
                <w:szCs w:val="14"/>
                <w:color w:val="auto"/>
                <w:w w:val="89"/>
              </w:rPr>
              <w:t>75</w:t>
            </w:r>
          </w:p>
        </w:tc>
        <w:tc>
          <w:tcPr>
            <w:tcW w:w="660" w:type="dxa"/>
            <w:vAlign w:val="bottom"/>
            <w:vMerge w:val="restart"/>
          </w:tcPr>
          <w:p>
            <w:pPr>
              <w:jc w:val="right"/>
              <w:ind w:right="108"/>
              <w:spacing w:after="0"/>
              <w:rPr>
                <w:sz w:val="20"/>
                <w:szCs w:val="20"/>
                <w:color w:val="auto"/>
              </w:rPr>
            </w:pPr>
            <w:r>
              <w:rPr>
                <w:rFonts w:ascii="Arial" w:cs="Arial" w:eastAsia="Arial" w:hAnsi="Arial"/>
                <w:sz w:val="14"/>
                <w:szCs w:val="14"/>
                <w:color w:val="auto"/>
              </w:rPr>
              <w:t>2006</w:t>
            </w:r>
          </w:p>
        </w:tc>
        <w:tc>
          <w:tcPr>
            <w:tcW w:w="2940" w:type="dxa"/>
            <w:vAlign w:val="bottom"/>
          </w:tcPr>
          <w:p>
            <w:pPr>
              <w:ind w:left="160"/>
              <w:spacing w:after="0"/>
              <w:rPr>
                <w:sz w:val="20"/>
                <w:szCs w:val="20"/>
                <w:color w:val="auto"/>
              </w:rPr>
            </w:pPr>
            <w:r>
              <w:rPr>
                <w:rFonts w:ascii="Arial" w:cs="Arial" w:eastAsia="Arial" w:hAnsi="Arial"/>
                <w:sz w:val="14"/>
                <w:szCs w:val="14"/>
                <w:color w:val="auto"/>
              </w:rPr>
              <w:t>Chairman Emeritus &amp; General</w:t>
            </w:r>
          </w:p>
        </w:tc>
        <w:tc>
          <w:tcPr>
            <w:tcW w:w="1120" w:type="dxa"/>
            <w:vAlign w:val="bottom"/>
            <w:vMerge w:val="restart"/>
          </w:tcPr>
          <w:p>
            <w:pPr>
              <w:jc w:val="center"/>
              <w:ind w:left="508"/>
              <w:spacing w:after="0"/>
              <w:rPr>
                <w:sz w:val="20"/>
                <w:szCs w:val="20"/>
                <w:color w:val="auto"/>
              </w:rPr>
            </w:pPr>
            <w:r>
              <w:rPr>
                <w:rFonts w:ascii="Webdings" w:cs="Webdings" w:eastAsia="Webdings" w:hAnsi="Webdings"/>
                <w:sz w:val="14"/>
                <w:szCs w:val="14"/>
                <w:b w:val="1"/>
                <w:bCs w:val="1"/>
                <w:color w:val="00558C"/>
                <w:w w:val="99"/>
              </w:rPr>
              <w:t>n</w:t>
            </w:r>
          </w:p>
        </w:tc>
        <w:tc>
          <w:tcPr>
            <w:tcW w:w="540" w:type="dxa"/>
            <w:vAlign w:val="bottom"/>
            <w:vMerge w:val="restart"/>
          </w:tcPr>
          <w:p>
            <w:pPr>
              <w:jc w:val="center"/>
              <w:spacing w:after="0"/>
              <w:rPr>
                <w:sz w:val="20"/>
                <w:szCs w:val="20"/>
                <w:color w:val="auto"/>
              </w:rPr>
            </w:pPr>
            <w:r>
              <w:rPr>
                <w:rFonts w:ascii="Webdings" w:cs="Webdings" w:eastAsia="Webdings" w:hAnsi="Webdings"/>
                <w:sz w:val="14"/>
                <w:szCs w:val="14"/>
                <w:b w:val="1"/>
                <w:bCs w:val="1"/>
                <w:color w:val="00558C"/>
                <w:w w:val="99"/>
              </w:rPr>
              <w:t>n</w:t>
            </w: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vMerge w:val="restart"/>
          </w:tcPr>
          <w:p>
            <w:pPr>
              <w:jc w:val="center"/>
              <w:spacing w:after="0"/>
              <w:rPr>
                <w:sz w:val="20"/>
                <w:szCs w:val="20"/>
                <w:color w:val="auto"/>
              </w:rPr>
            </w:pPr>
            <w:r>
              <w:rPr>
                <w:rFonts w:ascii="Webdings" w:cs="Webdings" w:eastAsia="Webdings" w:hAnsi="Webdings"/>
                <w:sz w:val="14"/>
                <w:szCs w:val="14"/>
                <w:b w:val="1"/>
                <w:bCs w:val="1"/>
                <w:color w:val="00558C"/>
              </w:rPr>
              <w:t xml:space="preserve">n </w:t>
            </w:r>
            <w:r>
              <w:rPr>
                <w:rFonts w:ascii="Webdings" w:cs="Webdings" w:eastAsia="Webdings" w:hAnsi="Webdings"/>
                <w:sz w:val="14"/>
                <w:szCs w:val="14"/>
                <w:b w:val="1"/>
                <w:bCs w:val="1"/>
                <w:color w:val="6AAA37"/>
              </w:rPr>
              <w:t>n</w:t>
            </w:r>
          </w:p>
        </w:tc>
        <w:tc>
          <w:tcPr>
            <w:tcW w:w="0" w:type="dxa"/>
            <w:vAlign w:val="bottom"/>
          </w:tcPr>
          <w:p>
            <w:pPr>
              <w:spacing w:after="0"/>
              <w:rPr>
                <w:sz w:val="1"/>
                <w:szCs w:val="1"/>
                <w:color w:val="auto"/>
              </w:rPr>
            </w:pPr>
          </w:p>
        </w:tc>
      </w:tr>
      <w:tr>
        <w:trPr>
          <w:trHeight w:val="109"/>
        </w:trPr>
        <w:tc>
          <w:tcPr>
            <w:tcW w:w="1860" w:type="dxa"/>
            <w:vAlign w:val="bottom"/>
            <w:vMerge w:val="restart"/>
          </w:tcPr>
          <w:p>
            <w:pPr>
              <w:ind w:left="900"/>
              <w:spacing w:after="0"/>
              <w:rPr>
                <w:sz w:val="20"/>
                <w:szCs w:val="20"/>
                <w:color w:val="auto"/>
              </w:rPr>
            </w:pPr>
            <w:r>
              <w:rPr>
                <w:rFonts w:ascii="Arial" w:cs="Arial" w:eastAsia="Arial" w:hAnsi="Arial"/>
                <w:sz w:val="14"/>
                <w:szCs w:val="14"/>
                <w:b w:val="1"/>
                <w:bCs w:val="1"/>
                <w:color w:val="00558C"/>
              </w:rPr>
              <w:t>Lockhart</w:t>
            </w:r>
          </w:p>
        </w:tc>
        <w:tc>
          <w:tcPr>
            <w:tcW w:w="34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2940" w:type="dxa"/>
            <w:vAlign w:val="bottom"/>
            <w:vMerge w:val="restart"/>
          </w:tcPr>
          <w:p>
            <w:pPr>
              <w:ind w:left="160"/>
              <w:spacing w:after="0"/>
              <w:rPr>
                <w:sz w:val="20"/>
                <w:szCs w:val="20"/>
                <w:color w:val="auto"/>
              </w:rPr>
            </w:pPr>
            <w:r>
              <w:rPr>
                <w:rFonts w:ascii="Arial" w:cs="Arial" w:eastAsia="Arial" w:hAnsi="Arial"/>
                <w:sz w:val="14"/>
                <w:szCs w:val="14"/>
                <w:color w:val="auto"/>
              </w:rPr>
              <w:t>Partner, MissionOG LLC</w:t>
            </w:r>
          </w:p>
        </w:tc>
        <w:tc>
          <w:tcPr>
            <w:tcW w:w="112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86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940" w:type="dxa"/>
            <w:vAlign w:val="bottom"/>
            <w:vMerge w:val="continue"/>
          </w:tcPr>
          <w:p>
            <w:pPr>
              <w:spacing w:after="0"/>
              <w:rPr>
                <w:sz w:val="7"/>
                <w:szCs w:val="7"/>
                <w:color w:val="auto"/>
              </w:rPr>
            </w:pPr>
          </w:p>
        </w:tc>
        <w:tc>
          <w:tcPr>
            <w:tcW w:w="1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540" w:type="dxa"/>
            <w:vAlign w:val="bottom"/>
          </w:tcPr>
          <w:p>
            <w:pPr>
              <w:spacing w:after="0"/>
              <w:rPr>
                <w:sz w:val="7"/>
                <w:szCs w:val="7"/>
                <w:color w:val="auto"/>
              </w:rPr>
            </w:pPr>
          </w:p>
        </w:tc>
        <w:tc>
          <w:tcPr>
            <w:tcW w:w="540" w:type="dxa"/>
            <w:vAlign w:val="bottom"/>
          </w:tcPr>
          <w:p>
            <w:pPr>
              <w:spacing w:after="0"/>
              <w:rPr>
                <w:sz w:val="7"/>
                <w:szCs w:val="7"/>
                <w:color w:val="auto"/>
              </w:rPr>
            </w:pPr>
          </w:p>
        </w:tc>
        <w:tc>
          <w:tcPr>
            <w:tcW w:w="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34"/>
        </w:trPr>
        <w:tc>
          <w:tcPr>
            <w:tcW w:w="1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1860" w:type="dxa"/>
            <w:vAlign w:val="bottom"/>
            <w:shd w:val="clear" w:color="auto" w:fill="6AAA37"/>
          </w:tcPr>
          <w:p>
            <w:pPr>
              <w:ind w:left="900"/>
              <w:spacing w:after="0"/>
              <w:rPr>
                <w:sz w:val="20"/>
                <w:szCs w:val="20"/>
                <w:color w:val="auto"/>
              </w:rPr>
            </w:pPr>
            <w:r>
              <w:rPr>
                <w:rFonts w:ascii="Arial" w:cs="Arial" w:eastAsia="Arial" w:hAnsi="Arial"/>
                <w:sz w:val="14"/>
                <w:szCs w:val="14"/>
                <w:b w:val="1"/>
                <w:bCs w:val="1"/>
                <w:color w:val="00558C"/>
              </w:rPr>
              <w:t>James H.</w:t>
            </w:r>
          </w:p>
        </w:tc>
        <w:tc>
          <w:tcPr>
            <w:tcW w:w="340" w:type="dxa"/>
            <w:vAlign w:val="bottom"/>
            <w:vMerge w:val="restart"/>
            <w:shd w:val="clear" w:color="auto" w:fill="6AAA37"/>
          </w:tcPr>
          <w:p>
            <w:pPr>
              <w:jc w:val="right"/>
              <w:ind w:right="108"/>
              <w:spacing w:after="0"/>
              <w:rPr>
                <w:sz w:val="20"/>
                <w:szCs w:val="20"/>
                <w:color w:val="auto"/>
              </w:rPr>
            </w:pPr>
            <w:r>
              <w:rPr>
                <w:rFonts w:ascii="Arial" w:cs="Arial" w:eastAsia="Arial" w:hAnsi="Arial"/>
                <w:sz w:val="14"/>
                <w:szCs w:val="14"/>
                <w:color w:val="auto"/>
                <w:w w:val="89"/>
              </w:rPr>
              <w:t>67</w:t>
            </w:r>
          </w:p>
        </w:tc>
        <w:tc>
          <w:tcPr>
            <w:tcW w:w="660" w:type="dxa"/>
            <w:vAlign w:val="bottom"/>
            <w:vMerge w:val="restart"/>
            <w:shd w:val="clear" w:color="auto" w:fill="6AAA37"/>
          </w:tcPr>
          <w:p>
            <w:pPr>
              <w:jc w:val="right"/>
              <w:ind w:right="108"/>
              <w:spacing w:after="0"/>
              <w:rPr>
                <w:sz w:val="20"/>
                <w:szCs w:val="20"/>
                <w:color w:val="auto"/>
              </w:rPr>
            </w:pPr>
            <w:r>
              <w:rPr>
                <w:rFonts w:ascii="Arial" w:cs="Arial" w:eastAsia="Arial" w:hAnsi="Arial"/>
                <w:sz w:val="14"/>
                <w:szCs w:val="14"/>
                <w:color w:val="auto"/>
              </w:rPr>
              <w:t>2009</w:t>
            </w:r>
          </w:p>
        </w:tc>
        <w:tc>
          <w:tcPr>
            <w:tcW w:w="2940" w:type="dxa"/>
            <w:vAlign w:val="bottom"/>
            <w:shd w:val="clear" w:color="auto" w:fill="6AAA37"/>
          </w:tcPr>
          <w:p>
            <w:pPr>
              <w:ind w:left="160"/>
              <w:spacing w:after="0"/>
              <w:rPr>
                <w:sz w:val="20"/>
                <w:szCs w:val="20"/>
                <w:color w:val="auto"/>
              </w:rPr>
            </w:pPr>
            <w:r>
              <w:rPr>
                <w:rFonts w:ascii="Arial" w:cs="Arial" w:eastAsia="Arial" w:hAnsi="Arial"/>
                <w:sz w:val="14"/>
                <w:szCs w:val="14"/>
                <w:color w:val="auto"/>
              </w:rPr>
              <w:t>Vice Chairman, Client Services,</w:t>
            </w:r>
          </w:p>
        </w:tc>
        <w:tc>
          <w:tcPr>
            <w:tcW w:w="1120" w:type="dxa"/>
            <w:vAlign w:val="bottom"/>
            <w:shd w:val="clear" w:color="auto" w:fill="6AAA37"/>
          </w:tcPr>
          <w:p>
            <w:pPr>
              <w:spacing w:after="0"/>
              <w:rPr>
                <w:sz w:val="15"/>
                <w:szCs w:val="15"/>
                <w:color w:val="auto"/>
              </w:rPr>
            </w:pPr>
          </w:p>
        </w:tc>
        <w:tc>
          <w:tcPr>
            <w:tcW w:w="540" w:type="dxa"/>
            <w:vAlign w:val="bottom"/>
            <w:shd w:val="clear" w:color="auto" w:fill="6AAA37"/>
          </w:tcPr>
          <w:p>
            <w:pPr>
              <w:spacing w:after="0"/>
              <w:rPr>
                <w:sz w:val="15"/>
                <w:szCs w:val="15"/>
                <w:color w:val="auto"/>
              </w:rPr>
            </w:pPr>
          </w:p>
        </w:tc>
        <w:tc>
          <w:tcPr>
            <w:tcW w:w="540" w:type="dxa"/>
            <w:vAlign w:val="bottom"/>
            <w:shd w:val="clear" w:color="auto" w:fill="6AAA37"/>
          </w:tcPr>
          <w:p>
            <w:pPr>
              <w:spacing w:after="0"/>
              <w:rPr>
                <w:sz w:val="15"/>
                <w:szCs w:val="15"/>
                <w:color w:val="auto"/>
              </w:rPr>
            </w:pPr>
          </w:p>
        </w:tc>
        <w:tc>
          <w:tcPr>
            <w:tcW w:w="540" w:type="dxa"/>
            <w:vAlign w:val="bottom"/>
            <w:shd w:val="clear" w:color="auto" w:fill="6AAA37"/>
          </w:tcPr>
          <w:p>
            <w:pPr>
              <w:spacing w:after="0"/>
              <w:rPr>
                <w:sz w:val="15"/>
                <w:szCs w:val="15"/>
                <w:color w:val="auto"/>
              </w:rPr>
            </w:pPr>
          </w:p>
        </w:tc>
        <w:tc>
          <w:tcPr>
            <w:tcW w:w="540" w:type="dxa"/>
            <w:vAlign w:val="bottom"/>
            <w:shd w:val="clear" w:color="auto" w:fill="6AAA37"/>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1860" w:type="dxa"/>
            <w:vAlign w:val="bottom"/>
            <w:vMerge w:val="restart"/>
            <w:shd w:val="clear" w:color="auto" w:fill="6AAA37"/>
          </w:tcPr>
          <w:p>
            <w:pPr>
              <w:ind w:left="900"/>
              <w:spacing w:after="0"/>
              <w:rPr>
                <w:sz w:val="20"/>
                <w:szCs w:val="20"/>
                <w:color w:val="auto"/>
              </w:rPr>
            </w:pPr>
            <w:r>
              <w:rPr>
                <w:rFonts w:ascii="Arial" w:cs="Arial" w:eastAsia="Arial" w:hAnsi="Arial"/>
                <w:sz w:val="14"/>
                <w:szCs w:val="14"/>
                <w:b w:val="1"/>
                <w:bCs w:val="1"/>
                <w:color w:val="00558C"/>
              </w:rPr>
              <w:t>Roth</w:t>
            </w:r>
          </w:p>
        </w:tc>
        <w:tc>
          <w:tcPr>
            <w:tcW w:w="340" w:type="dxa"/>
            <w:vAlign w:val="bottom"/>
            <w:vMerge w:val="continue"/>
            <w:shd w:val="clear" w:color="auto" w:fill="6AAA37"/>
          </w:tcPr>
          <w:p>
            <w:pPr>
              <w:spacing w:after="0"/>
              <w:rPr>
                <w:sz w:val="9"/>
                <w:szCs w:val="9"/>
                <w:color w:val="auto"/>
              </w:rPr>
            </w:pPr>
          </w:p>
        </w:tc>
        <w:tc>
          <w:tcPr>
            <w:tcW w:w="660" w:type="dxa"/>
            <w:vAlign w:val="bottom"/>
            <w:vMerge w:val="continue"/>
            <w:shd w:val="clear" w:color="auto" w:fill="6AAA37"/>
          </w:tcPr>
          <w:p>
            <w:pPr>
              <w:spacing w:after="0"/>
              <w:rPr>
                <w:sz w:val="9"/>
                <w:szCs w:val="9"/>
                <w:color w:val="auto"/>
              </w:rPr>
            </w:pPr>
          </w:p>
        </w:tc>
        <w:tc>
          <w:tcPr>
            <w:tcW w:w="2940" w:type="dxa"/>
            <w:vAlign w:val="bottom"/>
            <w:vMerge w:val="restart"/>
            <w:shd w:val="clear" w:color="auto" w:fill="6AAA37"/>
          </w:tcPr>
          <w:p>
            <w:pPr>
              <w:ind w:left="160"/>
              <w:spacing w:after="0"/>
              <w:rPr>
                <w:sz w:val="20"/>
                <w:szCs w:val="20"/>
                <w:color w:val="auto"/>
              </w:rPr>
            </w:pPr>
            <w:r>
              <w:rPr>
                <w:rFonts w:ascii="Arial" w:cs="Arial" w:eastAsia="Arial" w:hAnsi="Arial"/>
                <w:sz w:val="14"/>
                <w:szCs w:val="14"/>
                <w:color w:val="auto"/>
              </w:rPr>
              <w:t>Huron Consulting Group Inc.</w:t>
            </w:r>
          </w:p>
        </w:tc>
        <w:tc>
          <w:tcPr>
            <w:tcW w:w="1120" w:type="dxa"/>
            <w:vAlign w:val="bottom"/>
            <w:shd w:val="clear" w:color="auto" w:fill="6AAA37"/>
          </w:tcPr>
          <w:p>
            <w:pPr>
              <w:spacing w:after="0"/>
              <w:rPr>
                <w:sz w:val="9"/>
                <w:szCs w:val="9"/>
                <w:color w:val="auto"/>
              </w:rPr>
            </w:pPr>
          </w:p>
        </w:tc>
        <w:tc>
          <w:tcPr>
            <w:tcW w:w="540" w:type="dxa"/>
            <w:vAlign w:val="bottom"/>
            <w:shd w:val="clear" w:color="auto" w:fill="6AAA37"/>
          </w:tcPr>
          <w:p>
            <w:pPr>
              <w:spacing w:after="0"/>
              <w:rPr>
                <w:sz w:val="9"/>
                <w:szCs w:val="9"/>
                <w:color w:val="auto"/>
              </w:rPr>
            </w:pPr>
          </w:p>
        </w:tc>
        <w:tc>
          <w:tcPr>
            <w:tcW w:w="540" w:type="dxa"/>
            <w:vAlign w:val="bottom"/>
            <w:shd w:val="clear" w:color="auto" w:fill="6AAA37"/>
          </w:tcPr>
          <w:p>
            <w:pPr>
              <w:spacing w:after="0"/>
              <w:rPr>
                <w:sz w:val="9"/>
                <w:szCs w:val="9"/>
                <w:color w:val="auto"/>
              </w:rPr>
            </w:pPr>
          </w:p>
        </w:tc>
        <w:tc>
          <w:tcPr>
            <w:tcW w:w="540" w:type="dxa"/>
            <w:vAlign w:val="bottom"/>
            <w:shd w:val="clear" w:color="auto" w:fill="6AAA37"/>
          </w:tcPr>
          <w:p>
            <w:pPr>
              <w:spacing w:after="0"/>
              <w:rPr>
                <w:sz w:val="9"/>
                <w:szCs w:val="9"/>
                <w:color w:val="auto"/>
              </w:rPr>
            </w:pPr>
          </w:p>
        </w:tc>
        <w:tc>
          <w:tcPr>
            <w:tcW w:w="540" w:type="dxa"/>
            <w:vAlign w:val="bottom"/>
            <w:shd w:val="clear" w:color="auto" w:fill="6AAA37"/>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860" w:type="dxa"/>
            <w:vAlign w:val="bottom"/>
            <w:vMerge w:val="continue"/>
            <w:shd w:val="clear" w:color="auto" w:fill="6AAA37"/>
          </w:tcPr>
          <w:p>
            <w:pPr>
              <w:spacing w:after="0"/>
              <w:rPr>
                <w:sz w:val="7"/>
                <w:szCs w:val="7"/>
                <w:color w:val="auto"/>
              </w:rPr>
            </w:pPr>
          </w:p>
        </w:tc>
        <w:tc>
          <w:tcPr>
            <w:tcW w:w="340" w:type="dxa"/>
            <w:vAlign w:val="bottom"/>
            <w:shd w:val="clear" w:color="auto" w:fill="6AAA37"/>
          </w:tcPr>
          <w:p>
            <w:pPr>
              <w:spacing w:after="0"/>
              <w:rPr>
                <w:sz w:val="7"/>
                <w:szCs w:val="7"/>
                <w:color w:val="auto"/>
              </w:rPr>
            </w:pPr>
          </w:p>
        </w:tc>
        <w:tc>
          <w:tcPr>
            <w:tcW w:w="660" w:type="dxa"/>
            <w:vAlign w:val="bottom"/>
            <w:shd w:val="clear" w:color="auto" w:fill="6AAA37"/>
          </w:tcPr>
          <w:p>
            <w:pPr>
              <w:spacing w:after="0"/>
              <w:rPr>
                <w:sz w:val="7"/>
                <w:szCs w:val="7"/>
                <w:color w:val="auto"/>
              </w:rPr>
            </w:pPr>
          </w:p>
        </w:tc>
        <w:tc>
          <w:tcPr>
            <w:tcW w:w="2940" w:type="dxa"/>
            <w:vAlign w:val="bottom"/>
            <w:vMerge w:val="continue"/>
            <w:shd w:val="clear" w:color="auto" w:fill="6AAA37"/>
          </w:tcPr>
          <w:p>
            <w:pPr>
              <w:spacing w:after="0"/>
              <w:rPr>
                <w:sz w:val="7"/>
                <w:szCs w:val="7"/>
                <w:color w:val="auto"/>
              </w:rPr>
            </w:pPr>
          </w:p>
        </w:tc>
        <w:tc>
          <w:tcPr>
            <w:tcW w:w="1120" w:type="dxa"/>
            <w:vAlign w:val="bottom"/>
            <w:shd w:val="clear" w:color="auto" w:fill="6AAA37"/>
          </w:tcPr>
          <w:p>
            <w:pPr>
              <w:spacing w:after="0"/>
              <w:rPr>
                <w:sz w:val="7"/>
                <w:szCs w:val="7"/>
                <w:color w:val="auto"/>
              </w:rPr>
            </w:pPr>
          </w:p>
        </w:tc>
        <w:tc>
          <w:tcPr>
            <w:tcW w:w="540" w:type="dxa"/>
            <w:vAlign w:val="bottom"/>
            <w:shd w:val="clear" w:color="auto" w:fill="6AAA37"/>
          </w:tcPr>
          <w:p>
            <w:pPr>
              <w:spacing w:after="0"/>
              <w:rPr>
                <w:sz w:val="7"/>
                <w:szCs w:val="7"/>
                <w:color w:val="auto"/>
              </w:rPr>
            </w:pPr>
          </w:p>
        </w:tc>
        <w:tc>
          <w:tcPr>
            <w:tcW w:w="540" w:type="dxa"/>
            <w:vAlign w:val="bottom"/>
            <w:shd w:val="clear" w:color="auto" w:fill="6AAA37"/>
          </w:tcPr>
          <w:p>
            <w:pPr>
              <w:spacing w:after="0"/>
              <w:rPr>
                <w:sz w:val="7"/>
                <w:szCs w:val="7"/>
                <w:color w:val="auto"/>
              </w:rPr>
            </w:pPr>
          </w:p>
        </w:tc>
        <w:tc>
          <w:tcPr>
            <w:tcW w:w="540" w:type="dxa"/>
            <w:vAlign w:val="bottom"/>
            <w:shd w:val="clear" w:color="auto" w:fill="6AAA37"/>
          </w:tcPr>
          <w:p>
            <w:pPr>
              <w:spacing w:after="0"/>
              <w:rPr>
                <w:sz w:val="7"/>
                <w:szCs w:val="7"/>
                <w:color w:val="auto"/>
              </w:rPr>
            </w:pPr>
          </w:p>
        </w:tc>
        <w:tc>
          <w:tcPr>
            <w:tcW w:w="540" w:type="dxa"/>
            <w:vAlign w:val="bottom"/>
            <w:shd w:val="clear" w:color="auto" w:fill="6AAA37"/>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1860" w:type="dxa"/>
            <w:vAlign w:val="bottom"/>
            <w:shd w:val="clear" w:color="auto" w:fill="6AAA37"/>
          </w:tcPr>
          <w:p>
            <w:pPr>
              <w:spacing w:after="0"/>
              <w:rPr>
                <w:sz w:val="6"/>
                <w:szCs w:val="6"/>
                <w:color w:val="auto"/>
              </w:rPr>
            </w:pPr>
          </w:p>
        </w:tc>
        <w:tc>
          <w:tcPr>
            <w:tcW w:w="340" w:type="dxa"/>
            <w:vAlign w:val="bottom"/>
            <w:shd w:val="clear" w:color="auto" w:fill="6AAA37"/>
          </w:tcPr>
          <w:p>
            <w:pPr>
              <w:spacing w:after="0"/>
              <w:rPr>
                <w:sz w:val="6"/>
                <w:szCs w:val="6"/>
                <w:color w:val="auto"/>
              </w:rPr>
            </w:pPr>
          </w:p>
        </w:tc>
        <w:tc>
          <w:tcPr>
            <w:tcW w:w="660" w:type="dxa"/>
            <w:vAlign w:val="bottom"/>
            <w:shd w:val="clear" w:color="auto" w:fill="6AAA37"/>
          </w:tcPr>
          <w:p>
            <w:pPr>
              <w:spacing w:after="0"/>
              <w:rPr>
                <w:sz w:val="6"/>
                <w:szCs w:val="6"/>
                <w:color w:val="auto"/>
              </w:rPr>
            </w:pPr>
          </w:p>
        </w:tc>
        <w:tc>
          <w:tcPr>
            <w:tcW w:w="2940" w:type="dxa"/>
            <w:vAlign w:val="bottom"/>
            <w:shd w:val="clear" w:color="auto" w:fill="6AAA37"/>
          </w:tcPr>
          <w:p>
            <w:pPr>
              <w:spacing w:after="0"/>
              <w:rPr>
                <w:sz w:val="6"/>
                <w:szCs w:val="6"/>
                <w:color w:val="auto"/>
              </w:rPr>
            </w:pPr>
          </w:p>
        </w:tc>
        <w:tc>
          <w:tcPr>
            <w:tcW w:w="1120" w:type="dxa"/>
            <w:vAlign w:val="bottom"/>
            <w:shd w:val="clear" w:color="auto" w:fill="6AAA37"/>
          </w:tcPr>
          <w:p>
            <w:pPr>
              <w:spacing w:after="0"/>
              <w:rPr>
                <w:sz w:val="6"/>
                <w:szCs w:val="6"/>
                <w:color w:val="auto"/>
              </w:rPr>
            </w:pPr>
          </w:p>
        </w:tc>
        <w:tc>
          <w:tcPr>
            <w:tcW w:w="540" w:type="dxa"/>
            <w:vAlign w:val="bottom"/>
            <w:shd w:val="clear" w:color="auto" w:fill="6AAA37"/>
          </w:tcPr>
          <w:p>
            <w:pPr>
              <w:spacing w:after="0"/>
              <w:rPr>
                <w:sz w:val="6"/>
                <w:szCs w:val="6"/>
                <w:color w:val="auto"/>
              </w:rPr>
            </w:pPr>
          </w:p>
        </w:tc>
        <w:tc>
          <w:tcPr>
            <w:tcW w:w="540" w:type="dxa"/>
            <w:vAlign w:val="bottom"/>
            <w:shd w:val="clear" w:color="auto" w:fill="6AAA37"/>
          </w:tcPr>
          <w:p>
            <w:pPr>
              <w:spacing w:after="0"/>
              <w:rPr>
                <w:sz w:val="6"/>
                <w:szCs w:val="6"/>
                <w:color w:val="auto"/>
              </w:rPr>
            </w:pPr>
          </w:p>
        </w:tc>
        <w:tc>
          <w:tcPr>
            <w:tcW w:w="540" w:type="dxa"/>
            <w:vAlign w:val="bottom"/>
            <w:shd w:val="clear" w:color="auto" w:fill="6AAA37"/>
          </w:tcPr>
          <w:p>
            <w:pPr>
              <w:spacing w:after="0"/>
              <w:rPr>
                <w:sz w:val="6"/>
                <w:szCs w:val="6"/>
                <w:color w:val="auto"/>
              </w:rPr>
            </w:pPr>
          </w:p>
        </w:tc>
        <w:tc>
          <w:tcPr>
            <w:tcW w:w="540" w:type="dxa"/>
            <w:vAlign w:val="bottom"/>
            <w:shd w:val="clear" w:color="auto" w:fill="6AAA37"/>
          </w:tcPr>
          <w:p>
            <w:pPr>
              <w:spacing w:after="0"/>
              <w:rPr>
                <w:sz w:val="6"/>
                <w:szCs w:val="6"/>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63455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10375" cy="6345555"/>
                    </a:xfrm>
                    <a:prstGeom prst="rect">
                      <a:avLst/>
                    </a:prstGeom>
                    <a:noFill/>
                  </pic:spPr>
                </pic:pic>
              </a:graphicData>
            </a:graphic>
          </wp:anchor>
        </w:drawing>
      </w:r>
    </w:p>
    <w:p>
      <w:pPr>
        <w:ind w:left="80" w:right="1720"/>
        <w:spacing w:after="0" w:line="338" w:lineRule="auto"/>
        <w:rPr>
          <w:sz w:val="20"/>
          <w:szCs w:val="20"/>
          <w:color w:val="auto"/>
        </w:rPr>
      </w:pPr>
      <w:r>
        <w:rPr>
          <w:rFonts w:ascii="Arial" w:cs="Arial" w:eastAsia="Arial" w:hAnsi="Arial"/>
          <w:sz w:val="14"/>
          <w:szCs w:val="14"/>
          <w:color w:val="auto"/>
        </w:rPr>
        <w:t>A – Audit Committee; C – Compensation Committee; N&amp;CG – Nominating and Corporate Governance Committee; Tech – Technology and Information Security Committee; F&amp;CA – Finance and Capital Allocation Committee</w:t>
      </w:r>
    </w:p>
    <w:p>
      <w:pPr>
        <w:ind w:left="60"/>
        <w:spacing w:after="0"/>
        <w:rPr>
          <w:sz w:val="20"/>
          <w:szCs w:val="20"/>
          <w:color w:val="auto"/>
        </w:rPr>
      </w:pPr>
      <w:r>
        <w:rPr>
          <w:sz w:val="1"/>
          <w:szCs w:val="1"/>
          <w:color w:val="auto"/>
        </w:rPr>
        <w:drawing>
          <wp:inline distT="0" distB="0" distL="0" distR="0">
            <wp:extent cx="120015" cy="10477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0015" cy="104775"/>
                    </a:xfrm>
                    <a:prstGeom prst="rect">
                      <a:avLst/>
                    </a:prstGeom>
                    <a:noFill/>
                    <a:ln>
                      <a:noFill/>
                    </a:ln>
                  </pic:spPr>
                </pic:pic>
              </a:graphicData>
            </a:graphic>
          </wp:inline>
        </w:drawing>
      </w:r>
      <w:r>
        <w:rPr>
          <w:rFonts w:ascii="Arial" w:cs="Arial" w:eastAsia="Arial" w:hAnsi="Arial"/>
          <w:sz w:val="14"/>
          <w:szCs w:val="14"/>
          <w:color w:val="auto"/>
        </w:rPr>
        <w:t xml:space="preserve"> – Chairperson </w:t>
      </w:r>
      <w:r>
        <w:rPr>
          <w:rFonts w:ascii="Webdings" w:cs="Webdings" w:eastAsia="Webdings" w:hAnsi="Webdings"/>
          <w:sz w:val="14"/>
          <w:szCs w:val="14"/>
          <w:b w:val="1"/>
          <w:bCs w:val="1"/>
          <w:color w:val="00558C"/>
        </w:rPr>
        <w:t>n</w:t>
      </w:r>
      <w:r>
        <w:rPr>
          <w:rFonts w:ascii="Arial" w:cs="Arial" w:eastAsia="Arial" w:hAnsi="Arial"/>
          <w:sz w:val="14"/>
          <w:szCs w:val="14"/>
          <w:color w:val="auto"/>
        </w:rPr>
        <w:t xml:space="preserve"> – Member</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vertAlign w:val="superscript"/>
        </w:rPr>
        <w:t>3</w:t>
      </w:r>
      <w:r>
        <w:rPr>
          <w:rFonts w:ascii="Arial" w:cs="Arial" w:eastAsia="Arial" w:hAnsi="Arial"/>
          <w:sz w:val="13"/>
          <w:szCs w:val="13"/>
          <w:i w:val="1"/>
          <w:iCs w:val="1"/>
          <w:color w:val="auto"/>
        </w:rPr>
        <w:t xml:space="preserve"> Effective January 1, 2025, Mr. McCartney stepped down as non-executive chairman of the board, and the board appointed Hugh E. Sawyer to succeed Mr.</w:t>
      </w:r>
    </w:p>
    <w:p>
      <w:pPr>
        <w:spacing w:after="0"/>
        <w:rPr>
          <w:sz w:val="20"/>
          <w:szCs w:val="20"/>
          <w:color w:val="auto"/>
        </w:rPr>
      </w:pPr>
      <w:r>
        <w:rPr>
          <w:rFonts w:ascii="Arial" w:cs="Arial" w:eastAsia="Arial" w:hAnsi="Arial"/>
          <w:sz w:val="13"/>
          <w:szCs w:val="13"/>
          <w:i w:val="1"/>
          <w:iCs w:val="1"/>
          <w:color w:val="auto"/>
        </w:rPr>
        <w:t>McCartney.</w:t>
      </w:r>
    </w:p>
    <w:p>
      <w:pPr>
        <w:spacing w:after="0" w:line="325" w:lineRule="exact"/>
        <w:rPr>
          <w:sz w:val="20"/>
          <w:szCs w:val="20"/>
          <w:color w:val="auto"/>
        </w:rPr>
      </w:pPr>
    </w:p>
    <w:p>
      <w:pPr>
        <w:ind w:left="60"/>
        <w:spacing w:after="0"/>
        <w:tabs>
          <w:tab w:leader="none" w:pos="448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13"/>
          <w:szCs w:val="13"/>
          <w:b w:val="1"/>
          <w:bCs w:val="1"/>
          <w:color w:val="00558C"/>
        </w:rPr>
        <w:t>3</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420370</wp:posOffset>
            </wp:positionV>
            <wp:extent cx="6810375" cy="40881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10375" cy="4088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540" w:val="left"/>
          <w:tab w:leader="none" w:pos="7360" w:val="left"/>
          <w:tab w:leader="none" w:pos="8400" w:val="left"/>
        </w:tabs>
        <w:rPr>
          <w:sz w:val="20"/>
          <w:szCs w:val="20"/>
          <w:color w:val="auto"/>
        </w:rPr>
      </w:pPr>
      <w:r>
        <w:rPr>
          <w:rFonts w:ascii="Arial" w:cs="Arial" w:eastAsia="Arial" w:hAnsi="Arial"/>
          <w:sz w:val="13"/>
          <w:szCs w:val="13"/>
          <w:b w:val="1"/>
          <w:bCs w:val="1"/>
          <w:color w:val="B2B3B6"/>
        </w:rPr>
        <w:t>General</w:t>
      </w:r>
      <w:r>
        <w:rPr>
          <w:sz w:val="20"/>
          <w:szCs w:val="20"/>
          <w:color w:val="auto"/>
        </w:rPr>
        <w:tab/>
      </w:r>
      <w:r>
        <w:rPr>
          <w:rFonts w:ascii="Arial" w:cs="Arial" w:eastAsia="Arial" w:hAnsi="Arial"/>
          <w:sz w:val="13"/>
          <w:szCs w:val="13"/>
          <w:b w:val="1"/>
          <w:bCs w:val="1"/>
          <w:color w:val="6AAA37"/>
        </w:rPr>
        <w:t>Proposal</w:t>
      </w:r>
      <w:r>
        <w:rPr>
          <w:sz w:val="20"/>
          <w:szCs w:val="20"/>
          <w:color w:val="auto"/>
        </w:rPr>
        <w:tab/>
      </w:r>
      <w:r>
        <w:rPr>
          <w:rFonts w:ascii="Arial" w:cs="Arial" w:eastAsia="Arial" w:hAnsi="Arial"/>
          <w:sz w:val="13"/>
          <w:szCs w:val="13"/>
          <w:b w:val="1"/>
          <w:bCs w:val="1"/>
          <w:color w:val="B2B3B6"/>
        </w:rPr>
        <w:t>Corporate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Executive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Stockholder</w:t>
      </w:r>
      <w:r>
        <w:rPr>
          <w:sz w:val="20"/>
          <w:szCs w:val="20"/>
          <w:color w:val="auto"/>
        </w:rPr>
        <w:tab/>
      </w:r>
      <w:r>
        <w:rPr>
          <w:rFonts w:ascii="Arial" w:cs="Arial" w:eastAsia="Arial" w:hAnsi="Arial"/>
          <w:sz w:val="12"/>
          <w:szCs w:val="12"/>
          <w:b w:val="1"/>
          <w:bCs w:val="1"/>
          <w:color w:val="B2B3B6"/>
        </w:rPr>
        <w:t>Other</w:t>
      </w:r>
    </w:p>
    <w:p>
      <w:pPr>
        <w:spacing w:after="0" w:line="11"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540" w:val="left"/>
          <w:tab w:leader="none" w:pos="7360" w:val="left"/>
          <w:tab w:leader="none" w:pos="8400" w:val="left"/>
        </w:tabs>
        <w:rPr>
          <w:sz w:val="20"/>
          <w:szCs w:val="20"/>
          <w:color w:val="auto"/>
        </w:rPr>
      </w:pPr>
      <w:r>
        <w:rPr>
          <w:rFonts w:ascii="Arial" w:cs="Arial" w:eastAsia="Arial" w:hAnsi="Arial"/>
          <w:sz w:val="13"/>
          <w:szCs w:val="13"/>
          <w:b w:val="1"/>
          <w:bCs w:val="1"/>
          <w:color w:val="B2B3B6"/>
        </w:rPr>
        <w:t>Information</w:t>
      </w:r>
      <w:r>
        <w:rPr>
          <w:sz w:val="20"/>
          <w:szCs w:val="20"/>
          <w:color w:val="auto"/>
        </w:rPr>
        <w:tab/>
      </w:r>
      <w:r>
        <w:rPr>
          <w:rFonts w:ascii="Arial" w:cs="Arial" w:eastAsia="Arial" w:hAnsi="Arial"/>
          <w:sz w:val="13"/>
          <w:szCs w:val="13"/>
          <w:b w:val="1"/>
          <w:bCs w:val="1"/>
          <w:color w:val="6AAA37"/>
        </w:rPr>
        <w:t>One</w:t>
      </w:r>
      <w:r>
        <w:rPr>
          <w:sz w:val="20"/>
          <w:szCs w:val="20"/>
          <w:color w:val="auto"/>
        </w:rPr>
        <w:tab/>
      </w:r>
      <w:r>
        <w:rPr>
          <w:rFonts w:ascii="Arial" w:cs="Arial" w:eastAsia="Arial" w:hAnsi="Arial"/>
          <w:sz w:val="13"/>
          <w:szCs w:val="13"/>
          <w:b w:val="1"/>
          <w:bCs w:val="1"/>
          <w:color w:val="B2B3B6"/>
        </w:rPr>
        <w:t>Governance</w:t>
      </w:r>
      <w:r>
        <w:rPr>
          <w:sz w:val="20"/>
          <w:szCs w:val="20"/>
          <w:color w:val="auto"/>
        </w:rPr>
        <w:tab/>
      </w:r>
      <w:r>
        <w:rPr>
          <w:rFonts w:ascii="Arial" w:cs="Arial" w:eastAsia="Arial" w:hAnsi="Arial"/>
          <w:sz w:val="13"/>
          <w:szCs w:val="13"/>
          <w:b w:val="1"/>
          <w:bCs w:val="1"/>
          <w:color w:val="B2B3B6"/>
        </w:rPr>
        <w:t>Two</w:t>
      </w:r>
      <w:r>
        <w:rPr>
          <w:sz w:val="20"/>
          <w:szCs w:val="20"/>
          <w:color w:val="auto"/>
        </w:rPr>
        <w:tab/>
      </w:r>
      <w:r>
        <w:rPr>
          <w:rFonts w:ascii="Arial" w:cs="Arial" w:eastAsia="Arial" w:hAnsi="Arial"/>
          <w:sz w:val="13"/>
          <w:szCs w:val="13"/>
          <w:b w:val="1"/>
          <w:bCs w:val="1"/>
          <w:color w:val="B2B3B6"/>
        </w:rPr>
        <w:t>Compensation</w:t>
      </w:r>
      <w:r>
        <w:rPr>
          <w:sz w:val="20"/>
          <w:szCs w:val="20"/>
          <w:color w:val="auto"/>
        </w:rPr>
        <w:tab/>
      </w:r>
      <w:r>
        <w:rPr>
          <w:rFonts w:ascii="Arial" w:cs="Arial" w:eastAsia="Arial" w:hAnsi="Arial"/>
          <w:sz w:val="13"/>
          <w:szCs w:val="13"/>
          <w:b w:val="1"/>
          <w:bCs w:val="1"/>
          <w:color w:val="B2B3B6"/>
        </w:rPr>
        <w:t>Three</w:t>
      </w:r>
      <w:r>
        <w:rPr>
          <w:sz w:val="20"/>
          <w:szCs w:val="20"/>
          <w:color w:val="auto"/>
        </w:rPr>
        <w:tab/>
      </w:r>
      <w:r>
        <w:rPr>
          <w:rFonts w:ascii="Arial" w:cs="Arial" w:eastAsia="Arial" w:hAnsi="Arial"/>
          <w:sz w:val="13"/>
          <w:szCs w:val="13"/>
          <w:b w:val="1"/>
          <w:bCs w:val="1"/>
          <w:color w:val="B2B3B6"/>
        </w:rPr>
        <w:t>Four</w:t>
      </w:r>
      <w:r>
        <w:rPr>
          <w:sz w:val="20"/>
          <w:szCs w:val="20"/>
          <w:color w:val="auto"/>
        </w:rPr>
        <w:tab/>
      </w:r>
      <w:r>
        <w:rPr>
          <w:rFonts w:ascii="Arial" w:cs="Arial" w:eastAsia="Arial" w:hAnsi="Arial"/>
          <w:sz w:val="13"/>
          <w:szCs w:val="13"/>
          <w:b w:val="1"/>
          <w:bCs w:val="1"/>
          <w:color w:val="B2B3B6"/>
        </w:rPr>
        <w:t>Five</w:t>
      </w:r>
      <w:r>
        <w:rPr>
          <w:sz w:val="20"/>
          <w:szCs w:val="20"/>
          <w:color w:val="auto"/>
        </w:rPr>
        <w:tab/>
      </w:r>
      <w:r>
        <w:rPr>
          <w:rFonts w:ascii="Arial" w:cs="Arial" w:eastAsia="Arial" w:hAnsi="Arial"/>
          <w:sz w:val="13"/>
          <w:szCs w:val="13"/>
          <w:b w:val="1"/>
          <w:bCs w:val="1"/>
          <w:color w:val="B2B3B6"/>
        </w:rPr>
        <w:t>Proposals</w:t>
      </w:r>
      <w:r>
        <w:rPr>
          <w:sz w:val="20"/>
          <w:szCs w:val="20"/>
          <w:color w:val="auto"/>
        </w:rPr>
        <w:tab/>
      </w:r>
      <w:r>
        <w:rPr>
          <w:rFonts w:ascii="Arial" w:cs="Arial" w:eastAsia="Arial" w:hAnsi="Arial"/>
          <w:sz w:val="12"/>
          <w:szCs w:val="12"/>
          <w:b w:val="1"/>
          <w:bCs w:val="1"/>
          <w:color w:val="B2B3B6"/>
        </w:rPr>
        <w:t>Matters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Skills Matrix</w:t>
      </w:r>
    </w:p>
    <w:p>
      <w:pPr>
        <w:spacing w:after="0" w:line="68" w:lineRule="exact"/>
        <w:rPr>
          <w:sz w:val="20"/>
          <w:szCs w:val="20"/>
          <w:color w:val="auto"/>
        </w:rPr>
      </w:pPr>
    </w:p>
    <w:p>
      <w:pPr>
        <w:jc w:val="both"/>
        <w:ind w:right="180"/>
        <w:spacing w:after="0" w:line="310" w:lineRule="auto"/>
        <w:rPr>
          <w:sz w:val="20"/>
          <w:szCs w:val="20"/>
          <w:color w:val="auto"/>
        </w:rPr>
      </w:pPr>
      <w:r>
        <w:rPr>
          <w:rFonts w:ascii="Arial" w:cs="Arial" w:eastAsia="Arial" w:hAnsi="Arial"/>
          <w:sz w:val="16"/>
          <w:szCs w:val="16"/>
          <w:color w:val="auto"/>
        </w:rPr>
        <w:t>The below table summarizes the core competencies and relevant capabilities that our directors bring to the board. Additional detailed information on each of the director’s experience, qualifications, attributes and skills is more thoroughly described in the biographies following this table.</w:t>
      </w:r>
    </w:p>
    <w:p>
      <w:pPr>
        <w:sectPr>
          <w:pgSz w:w="11900" w:h="16838" w:orient="portrait"/>
          <w:cols w:equalWidth="0" w:num="1">
            <w:col w:w="9080"/>
          </w:cols>
          <w:pgMar w:left="1400" w:top="140" w:right="14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right"/>
        <w:spacing w:after="0"/>
        <w:tabs>
          <w:tab w:leader="none" w:pos="5000" w:val="left"/>
          <w:tab w:leader="none" w:pos="4360" w:val="left"/>
          <w:tab w:leader="none" w:pos="3660" w:val="left"/>
          <w:tab w:leader="none" w:pos="3080" w:val="left"/>
          <w:tab w:leader="none" w:pos="2500" w:val="left"/>
          <w:tab w:leader="none" w:pos="1660" w:val="left"/>
          <w:tab w:leader="none" w:pos="1140" w:val="left"/>
          <w:tab w:leader="none" w:pos="460" w:val="left"/>
        </w:tabs>
        <w:rPr>
          <w:sz w:val="20"/>
          <w:szCs w:val="20"/>
          <w:color w:val="auto"/>
        </w:rPr>
      </w:pPr>
      <w:r>
        <w:rPr>
          <w:rFonts w:ascii="Arial" w:cs="Arial" w:eastAsia="Arial" w:hAnsi="Arial"/>
          <w:sz w:val="11"/>
          <w:szCs w:val="11"/>
          <w:b w:val="1"/>
          <w:bCs w:val="1"/>
          <w:color w:val="00558C"/>
        </w:rPr>
        <w:t>C. Mark</w:t>
      </w:r>
      <w:r>
        <w:rPr>
          <w:sz w:val="20"/>
          <w:szCs w:val="20"/>
          <w:color w:val="auto"/>
        </w:rPr>
        <w:tab/>
      </w:r>
      <w:r>
        <w:rPr>
          <w:rFonts w:ascii="Arial" w:cs="Arial" w:eastAsia="Arial" w:hAnsi="Arial"/>
          <w:sz w:val="11"/>
          <w:szCs w:val="11"/>
          <w:b w:val="1"/>
          <w:bCs w:val="1"/>
          <w:color w:val="00558C"/>
        </w:rPr>
        <w:t>Hugh E.</w:t>
      </w:r>
      <w:r>
        <w:rPr>
          <w:sz w:val="20"/>
          <w:szCs w:val="20"/>
          <w:color w:val="auto"/>
        </w:rPr>
        <w:tab/>
      </w:r>
      <w:r>
        <w:rPr>
          <w:rFonts w:ascii="Arial" w:cs="Arial" w:eastAsia="Arial" w:hAnsi="Arial"/>
          <w:sz w:val="11"/>
          <w:szCs w:val="11"/>
          <w:b w:val="1"/>
          <w:bCs w:val="1"/>
          <w:color w:val="00558C"/>
        </w:rPr>
        <w:t>Debra</w:t>
      </w:r>
      <w:r>
        <w:rPr>
          <w:sz w:val="20"/>
          <w:szCs w:val="20"/>
          <w:color w:val="auto"/>
        </w:rPr>
        <w:tab/>
      </w:r>
      <w:r>
        <w:rPr>
          <w:rFonts w:ascii="Arial" w:cs="Arial" w:eastAsia="Arial" w:hAnsi="Arial"/>
          <w:sz w:val="11"/>
          <w:szCs w:val="11"/>
          <w:b w:val="1"/>
          <w:bCs w:val="1"/>
          <w:color w:val="00558C"/>
        </w:rPr>
        <w:t>John</w:t>
      </w:r>
      <w:r>
        <w:rPr>
          <w:sz w:val="20"/>
          <w:szCs w:val="20"/>
          <w:color w:val="auto"/>
        </w:rPr>
        <w:tab/>
      </w:r>
      <w:r>
        <w:rPr>
          <w:rFonts w:ascii="Arial" w:cs="Arial" w:eastAsia="Arial" w:hAnsi="Arial"/>
          <w:sz w:val="11"/>
          <w:szCs w:val="11"/>
          <w:b w:val="1"/>
          <w:bCs w:val="1"/>
          <w:color w:val="00558C"/>
        </w:rPr>
        <w:t>Peter K.</w:t>
        <w:tab/>
        <w:t>Ekta Singh-</w:t>
      </w:r>
      <w:r>
        <w:rPr>
          <w:sz w:val="20"/>
          <w:szCs w:val="20"/>
          <w:color w:val="auto"/>
        </w:rPr>
        <w:tab/>
      </w:r>
      <w:r>
        <w:rPr>
          <w:rFonts w:ascii="Arial" w:cs="Arial" w:eastAsia="Arial" w:hAnsi="Arial"/>
          <w:sz w:val="11"/>
          <w:szCs w:val="11"/>
          <w:b w:val="1"/>
          <w:bCs w:val="1"/>
          <w:color w:val="00558C"/>
        </w:rPr>
        <w:t>Joy T.</w:t>
      </w:r>
      <w:r>
        <w:rPr>
          <w:sz w:val="20"/>
          <w:szCs w:val="20"/>
          <w:color w:val="auto"/>
        </w:rPr>
        <w:tab/>
      </w:r>
      <w:r>
        <w:rPr>
          <w:rFonts w:ascii="Arial" w:cs="Arial" w:eastAsia="Arial" w:hAnsi="Arial"/>
          <w:sz w:val="11"/>
          <w:szCs w:val="11"/>
          <w:b w:val="1"/>
          <w:bCs w:val="1"/>
          <w:color w:val="00558C"/>
        </w:rPr>
        <w:t>H. Eugene</w:t>
      </w:r>
      <w:r>
        <w:rPr>
          <w:sz w:val="20"/>
          <w:szCs w:val="20"/>
          <w:color w:val="auto"/>
        </w:rPr>
        <w:tab/>
      </w:r>
      <w:r>
        <w:rPr>
          <w:rFonts w:ascii="Arial" w:cs="Arial" w:eastAsia="Arial" w:hAnsi="Arial"/>
          <w:sz w:val="10"/>
          <w:szCs w:val="10"/>
          <w:b w:val="1"/>
          <w:bCs w:val="1"/>
          <w:color w:val="00558C"/>
        </w:rPr>
        <w:t>James H.</w:t>
      </w:r>
    </w:p>
    <w:p>
      <w:pPr>
        <w:spacing w:after="0" w:line="19" w:lineRule="exact"/>
        <w:rPr>
          <w:sz w:val="20"/>
          <w:szCs w:val="20"/>
          <w:color w:val="auto"/>
        </w:rPr>
      </w:pPr>
    </w:p>
    <w:p>
      <w:pPr>
        <w:jc w:val="both"/>
        <w:ind w:left="2960"/>
        <w:spacing w:after="0"/>
        <w:tabs>
          <w:tab w:leader="none" w:pos="3520" w:val="left"/>
          <w:tab w:leader="none" w:pos="4080" w:val="left"/>
          <w:tab w:leader="none" w:pos="4700" w:val="left"/>
          <w:tab w:leader="none" w:pos="5460" w:val="left"/>
          <w:tab w:leader="none" w:pos="6140" w:val="left"/>
          <w:tab w:leader="none" w:pos="6840" w:val="left"/>
          <w:tab w:leader="none" w:pos="7420" w:val="left"/>
          <w:tab w:leader="none" w:pos="8180" w:val="left"/>
        </w:tabs>
        <w:rPr>
          <w:sz w:val="20"/>
          <w:szCs w:val="20"/>
          <w:color w:val="auto"/>
        </w:rPr>
      </w:pPr>
      <w:r>
        <w:rPr>
          <w:rFonts w:ascii="Arial" w:cs="Arial" w:eastAsia="Arial" w:hAnsi="Arial"/>
          <w:sz w:val="11"/>
          <w:szCs w:val="11"/>
          <w:b w:val="1"/>
          <w:bCs w:val="1"/>
          <w:color w:val="00558C"/>
        </w:rPr>
        <w:t>Hussey</w:t>
      </w:r>
      <w:r>
        <w:rPr>
          <w:sz w:val="20"/>
          <w:szCs w:val="20"/>
          <w:color w:val="auto"/>
        </w:rPr>
        <w:tab/>
      </w:r>
      <w:r>
        <w:rPr>
          <w:rFonts w:ascii="Arial" w:cs="Arial" w:eastAsia="Arial" w:hAnsi="Arial"/>
          <w:sz w:val="11"/>
          <w:szCs w:val="11"/>
          <w:b w:val="1"/>
          <w:bCs w:val="1"/>
          <w:color w:val="00558C"/>
        </w:rPr>
        <w:t>Sawyer</w:t>
        <w:tab/>
        <w:t>Zumwalt</w:t>
        <w:tab/>
        <w:t>McCartney</w:t>
      </w:r>
      <w:r>
        <w:rPr>
          <w:sz w:val="20"/>
          <w:szCs w:val="20"/>
          <w:color w:val="auto"/>
        </w:rPr>
        <w:tab/>
      </w:r>
      <w:r>
        <w:rPr>
          <w:rFonts w:ascii="Arial" w:cs="Arial" w:eastAsia="Arial" w:hAnsi="Arial"/>
          <w:sz w:val="11"/>
          <w:szCs w:val="11"/>
          <w:b w:val="1"/>
          <w:bCs w:val="1"/>
          <w:color w:val="00558C"/>
        </w:rPr>
        <w:t>Markell</w:t>
      </w:r>
      <w:r>
        <w:rPr>
          <w:sz w:val="20"/>
          <w:szCs w:val="20"/>
          <w:color w:val="auto"/>
        </w:rPr>
        <w:tab/>
      </w:r>
      <w:r>
        <w:rPr>
          <w:rFonts w:ascii="Arial" w:cs="Arial" w:eastAsia="Arial" w:hAnsi="Arial"/>
          <w:sz w:val="11"/>
          <w:szCs w:val="11"/>
          <w:b w:val="1"/>
          <w:bCs w:val="1"/>
          <w:color w:val="00558C"/>
        </w:rPr>
        <w:t>Bushell</w:t>
      </w:r>
      <w:r>
        <w:rPr>
          <w:sz w:val="20"/>
          <w:szCs w:val="20"/>
          <w:color w:val="auto"/>
        </w:rPr>
        <w:tab/>
      </w:r>
      <w:r>
        <w:rPr>
          <w:rFonts w:ascii="Arial" w:cs="Arial" w:eastAsia="Arial" w:hAnsi="Arial"/>
          <w:sz w:val="11"/>
          <w:szCs w:val="11"/>
          <w:b w:val="1"/>
          <w:bCs w:val="1"/>
          <w:color w:val="00558C"/>
        </w:rPr>
        <w:t>Brown</w:t>
      </w:r>
      <w:r>
        <w:rPr>
          <w:sz w:val="20"/>
          <w:szCs w:val="20"/>
          <w:color w:val="auto"/>
        </w:rPr>
        <w:tab/>
      </w:r>
      <w:r>
        <w:rPr>
          <w:rFonts w:ascii="Arial" w:cs="Arial" w:eastAsia="Arial" w:hAnsi="Arial"/>
          <w:sz w:val="11"/>
          <w:szCs w:val="11"/>
          <w:b w:val="1"/>
          <w:bCs w:val="1"/>
          <w:color w:val="00558C"/>
        </w:rPr>
        <w:t>Lockhart</w:t>
      </w:r>
      <w:r>
        <w:rPr>
          <w:sz w:val="20"/>
          <w:szCs w:val="20"/>
          <w:color w:val="auto"/>
        </w:rPr>
        <w:tab/>
      </w:r>
      <w:r>
        <w:rPr>
          <w:rFonts w:ascii="Arial" w:cs="Arial" w:eastAsia="Arial" w:hAnsi="Arial"/>
          <w:sz w:val="11"/>
          <w:szCs w:val="11"/>
          <w:b w:val="1"/>
          <w:bCs w:val="1"/>
          <w:color w:val="00558C"/>
        </w:rPr>
        <w:t>Roth</w:t>
      </w:r>
    </w:p>
    <w:p>
      <w:pPr>
        <w:spacing w:after="0" w:line="246" w:lineRule="exact"/>
        <w:rPr>
          <w:sz w:val="20"/>
          <w:szCs w:val="20"/>
          <w:color w:val="auto"/>
        </w:rPr>
      </w:pPr>
    </w:p>
    <w:p>
      <w:pPr>
        <w:ind w:left="820"/>
        <w:spacing w:after="0"/>
        <w:rPr>
          <w:sz w:val="20"/>
          <w:szCs w:val="20"/>
          <w:color w:val="auto"/>
        </w:rPr>
      </w:pPr>
      <w:r>
        <w:rPr>
          <w:rFonts w:ascii="Arial" w:cs="Arial" w:eastAsia="Arial" w:hAnsi="Arial"/>
          <w:sz w:val="14"/>
          <w:szCs w:val="14"/>
          <w:b w:val="1"/>
          <w:bCs w:val="1"/>
          <w:color w:val="auto"/>
        </w:rPr>
        <w:t>Accounting/Finance</w:t>
      </w:r>
    </w:p>
    <w:p>
      <w:pPr>
        <w:spacing w:after="0" w:line="31" w:lineRule="exact"/>
        <w:rPr>
          <w:sz w:val="20"/>
          <w:szCs w:val="20"/>
          <w:color w:val="auto"/>
        </w:rPr>
      </w:pPr>
    </w:p>
    <w:p>
      <w:pPr>
        <w:jc w:val="both"/>
        <w:ind w:left="820" w:right="6020"/>
        <w:spacing w:after="0" w:line="283" w:lineRule="auto"/>
        <w:rPr>
          <w:sz w:val="20"/>
          <w:szCs w:val="20"/>
          <w:color w:val="auto"/>
        </w:rPr>
      </w:pPr>
      <w:r>
        <w:rPr>
          <w:rFonts w:ascii="Arial" w:cs="Arial" w:eastAsia="Arial" w:hAnsi="Arial"/>
          <w:sz w:val="12"/>
          <w:szCs w:val="12"/>
          <w:color w:val="auto"/>
        </w:rPr>
        <w:t>Knowledge of accounting and financial reporting and auditing processes and standards</w:t>
      </w:r>
    </w:p>
    <w:p>
      <w:pPr>
        <w:spacing w:after="0" w:line="224" w:lineRule="exact"/>
        <w:rPr>
          <w:sz w:val="20"/>
          <w:szCs w:val="20"/>
          <w:color w:val="auto"/>
        </w:rPr>
      </w:pPr>
    </w:p>
    <w:p>
      <w:pPr>
        <w:ind w:left="820"/>
        <w:spacing w:after="0"/>
        <w:rPr>
          <w:sz w:val="20"/>
          <w:szCs w:val="20"/>
          <w:color w:val="auto"/>
        </w:rPr>
      </w:pPr>
      <w:r>
        <w:rPr>
          <w:rFonts w:ascii="Arial" w:cs="Arial" w:eastAsia="Arial" w:hAnsi="Arial"/>
          <w:sz w:val="14"/>
          <w:szCs w:val="14"/>
          <w:b w:val="1"/>
          <w:bCs w:val="1"/>
          <w:color w:val="auto"/>
        </w:rPr>
        <w:t>Corporate Governance/Law</w:t>
      </w:r>
    </w:p>
    <w:p>
      <w:pPr>
        <w:spacing w:after="0" w:line="31" w:lineRule="exact"/>
        <w:rPr>
          <w:sz w:val="20"/>
          <w:szCs w:val="20"/>
          <w:color w:val="auto"/>
        </w:rPr>
      </w:pPr>
    </w:p>
    <w:p>
      <w:pPr>
        <w:ind w:left="820" w:right="5980"/>
        <w:spacing w:after="0" w:line="255" w:lineRule="auto"/>
        <w:rPr>
          <w:sz w:val="20"/>
          <w:szCs w:val="20"/>
          <w:color w:val="auto"/>
        </w:rPr>
      </w:pPr>
      <w:r>
        <w:rPr>
          <w:rFonts w:ascii="Arial" w:cs="Arial" w:eastAsia="Arial" w:hAnsi="Arial"/>
          <w:sz w:val="13"/>
          <w:szCs w:val="13"/>
          <w:color w:val="auto"/>
        </w:rPr>
        <w:t>Experience understanding and evaluating legal risks and obligations and board oversight and effectiveness</w:t>
      </w:r>
    </w:p>
    <w:p>
      <w:pPr>
        <w:spacing w:after="0" w:line="279" w:lineRule="exact"/>
        <w:rPr>
          <w:sz w:val="20"/>
          <w:szCs w:val="20"/>
          <w:color w:val="auto"/>
        </w:rPr>
      </w:pPr>
    </w:p>
    <w:p>
      <w:pPr>
        <w:ind w:left="820"/>
        <w:spacing w:after="0"/>
        <w:rPr>
          <w:sz w:val="20"/>
          <w:szCs w:val="20"/>
          <w:color w:val="auto"/>
        </w:rPr>
      </w:pPr>
      <w:r>
        <w:rPr>
          <w:rFonts w:ascii="Arial" w:cs="Arial" w:eastAsia="Arial" w:hAnsi="Arial"/>
          <w:sz w:val="14"/>
          <w:szCs w:val="14"/>
          <w:b w:val="1"/>
          <w:bCs w:val="1"/>
          <w:color w:val="auto"/>
        </w:rPr>
        <w:t>Senior Executive Leadership</w:t>
      </w:r>
    </w:p>
    <w:p>
      <w:pPr>
        <w:spacing w:after="0" w:line="31" w:lineRule="exact"/>
        <w:rPr>
          <w:sz w:val="20"/>
          <w:szCs w:val="20"/>
          <w:color w:val="auto"/>
        </w:rPr>
      </w:pPr>
    </w:p>
    <w:p>
      <w:pPr>
        <w:ind w:left="820" w:right="6160"/>
        <w:spacing w:after="0" w:line="267" w:lineRule="auto"/>
        <w:rPr>
          <w:sz w:val="20"/>
          <w:szCs w:val="20"/>
          <w:color w:val="auto"/>
        </w:rPr>
      </w:pPr>
      <w:r>
        <w:rPr>
          <w:rFonts w:ascii="Arial" w:cs="Arial" w:eastAsia="Arial" w:hAnsi="Arial"/>
          <w:sz w:val="13"/>
          <w:szCs w:val="13"/>
          <w:color w:val="auto"/>
        </w:rPr>
        <w:t>Served as a senior leader at another organization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8"/>
          <w:szCs w:val="28"/>
          <w:b w:val="1"/>
          <w:bCs w:val="1"/>
          <w:color w:val="FFFFFF"/>
        </w:rPr>
        <w:t>9</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8"/>
          <w:szCs w:val="28"/>
          <w:b w:val="1"/>
          <w:bCs w:val="1"/>
          <w:color w:val="FFFFFF"/>
        </w:rPr>
        <w:t>9</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8"/>
          <w:szCs w:val="28"/>
          <w:b w:val="1"/>
          <w:bCs w:val="1"/>
          <w:color w:val="FFFFFF"/>
        </w:rPr>
        <w:t>9</w:t>
      </w:r>
    </w:p>
    <w:p>
      <w:pPr>
        <w:sectPr>
          <w:pgSz w:w="11900" w:h="16838" w:orient="portrait"/>
          <w:cols w:equalWidth="0" w:num="2">
            <w:col w:w="8560" w:space="220"/>
            <w:col w:w="300"/>
          </w:cols>
          <w:pgMar w:left="1400" w:top="140" w:right="1419" w:bottom="0" w:gutter="0" w:footer="0" w:header="0"/>
          <w:type w:val="continuous"/>
        </w:sectPr>
      </w:pPr>
    </w:p>
    <w:bookmarkStart w:id="14" w:name="page15"/>
    <w:bookmarkEnd w:id="14"/>
    <w:p>
      <w:pPr>
        <w:ind w:left="820" w:right="5300"/>
        <w:spacing w:after="0" w:line="217" w:lineRule="auto"/>
        <w:rPr>
          <w:sz w:val="20"/>
          <w:szCs w:val="20"/>
          <w:color w:val="auto"/>
        </w:rPr>
      </w:pPr>
      <w:r>
        <w:rPr>
          <w:rFonts w:ascii="Arial" w:cs="Arial" w:eastAsia="Arial" w:hAnsi="Arial"/>
          <w:sz w:val="14"/>
          <w:szCs w:val="14"/>
          <w:b w:val="1"/>
          <w:bCs w:val="1"/>
          <w:color w:val="auto"/>
        </w:rPr>
        <w:t xml:space="preserve">Risk Management Oversight </w:t>
      </w:r>
      <w:r>
        <w:rPr>
          <w:rFonts w:ascii="Arial" w:cs="Arial" w:eastAsia="Arial" w:hAnsi="Arial"/>
          <w:sz w:val="12"/>
          <w:szCs w:val="12"/>
          <w:color w:val="auto"/>
        </w:rPr>
        <w:t>Regulatory and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-170180</wp:posOffset>
            </wp:positionV>
            <wp:extent cx="6810375" cy="47682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10375" cy="4768215"/>
                    </a:xfrm>
                    <a:prstGeom prst="rect">
                      <a:avLst/>
                    </a:prstGeom>
                    <a:noFill/>
                  </pic:spPr>
                </pic:pic>
              </a:graphicData>
            </a:graphic>
          </wp:anchor>
        </w:drawing>
      </w:r>
    </w:p>
    <w:p>
      <w:pPr>
        <w:jc w:val="both"/>
        <w:ind w:left="820" w:right="5580"/>
        <w:spacing w:after="0" w:line="259" w:lineRule="auto"/>
        <w:rPr>
          <w:sz w:val="20"/>
          <w:szCs w:val="20"/>
          <w:color w:val="auto"/>
        </w:rPr>
      </w:pPr>
      <w:r>
        <w:rPr>
          <w:rFonts w:ascii="Arial" w:cs="Arial" w:eastAsia="Arial" w:hAnsi="Arial"/>
          <w:sz w:val="13"/>
          <w:szCs w:val="13"/>
          <w:color w:val="auto"/>
        </w:rPr>
        <w:t>expertise in assessment and management of business and financial risk factors</w:t>
      </w:r>
    </w:p>
    <w:p>
      <w:pPr>
        <w:spacing w:after="0" w:line="250" w:lineRule="exact"/>
        <w:rPr>
          <w:sz w:val="20"/>
          <w:szCs w:val="20"/>
          <w:color w:val="auto"/>
        </w:rPr>
      </w:pPr>
    </w:p>
    <w:p>
      <w:pPr>
        <w:ind w:left="820"/>
        <w:spacing w:after="0"/>
        <w:rPr>
          <w:sz w:val="20"/>
          <w:szCs w:val="20"/>
          <w:color w:val="auto"/>
        </w:rPr>
      </w:pPr>
      <w:r>
        <w:rPr>
          <w:rFonts w:ascii="Arial" w:cs="Arial" w:eastAsia="Arial" w:hAnsi="Arial"/>
          <w:sz w:val="14"/>
          <w:szCs w:val="14"/>
          <w:b w:val="1"/>
          <w:bCs w:val="1"/>
          <w:color w:val="auto"/>
        </w:rPr>
        <w:t>Technology</w:t>
      </w:r>
    </w:p>
    <w:p>
      <w:pPr>
        <w:spacing w:after="0" w:line="31" w:lineRule="exact"/>
        <w:rPr>
          <w:sz w:val="20"/>
          <w:szCs w:val="20"/>
          <w:color w:val="auto"/>
        </w:rPr>
      </w:pPr>
    </w:p>
    <w:p>
      <w:pPr>
        <w:ind w:left="820" w:right="5540"/>
        <w:spacing w:after="0" w:line="255" w:lineRule="auto"/>
        <w:rPr>
          <w:sz w:val="20"/>
          <w:szCs w:val="20"/>
          <w:color w:val="auto"/>
        </w:rPr>
      </w:pPr>
      <w:r>
        <w:rPr>
          <w:rFonts w:ascii="Arial" w:cs="Arial" w:eastAsia="Arial" w:hAnsi="Arial"/>
          <w:sz w:val="13"/>
          <w:szCs w:val="13"/>
          <w:color w:val="auto"/>
        </w:rPr>
        <w:t>Experience or oversight of innovative technology, privacy, information systems, or cybersecurity</w:t>
      </w:r>
    </w:p>
    <w:p>
      <w:pPr>
        <w:spacing w:after="0" w:line="279" w:lineRule="exact"/>
        <w:rPr>
          <w:sz w:val="20"/>
          <w:szCs w:val="20"/>
          <w:color w:val="auto"/>
        </w:rPr>
      </w:pPr>
    </w:p>
    <w:p>
      <w:pPr>
        <w:ind w:left="820"/>
        <w:spacing w:after="0"/>
        <w:rPr>
          <w:sz w:val="20"/>
          <w:szCs w:val="20"/>
          <w:color w:val="auto"/>
        </w:rPr>
      </w:pPr>
      <w:r>
        <w:rPr>
          <w:rFonts w:ascii="Arial" w:cs="Arial" w:eastAsia="Arial" w:hAnsi="Arial"/>
          <w:sz w:val="14"/>
          <w:szCs w:val="14"/>
          <w:b w:val="1"/>
          <w:bCs w:val="1"/>
          <w:color w:val="auto"/>
        </w:rPr>
        <w:t>Global Business</w:t>
      </w:r>
    </w:p>
    <w:p>
      <w:pPr>
        <w:spacing w:after="0" w:line="31" w:lineRule="exact"/>
        <w:rPr>
          <w:sz w:val="20"/>
          <w:szCs w:val="20"/>
          <w:color w:val="auto"/>
        </w:rPr>
      </w:pPr>
    </w:p>
    <w:p>
      <w:pPr>
        <w:ind w:left="820" w:right="5700"/>
        <w:spacing w:after="0" w:line="309" w:lineRule="auto"/>
        <w:rPr>
          <w:sz w:val="20"/>
          <w:szCs w:val="20"/>
          <w:color w:val="auto"/>
        </w:rPr>
      </w:pPr>
      <w:r>
        <w:rPr>
          <w:rFonts w:ascii="Arial" w:cs="Arial" w:eastAsia="Arial" w:hAnsi="Arial"/>
          <w:sz w:val="12"/>
          <w:szCs w:val="12"/>
          <w:color w:val="auto"/>
        </w:rPr>
        <w:t>Leadership experience with multinational companies</w:t>
      </w:r>
    </w:p>
    <w:p>
      <w:pPr>
        <w:spacing w:after="0" w:line="235" w:lineRule="exact"/>
        <w:rPr>
          <w:sz w:val="20"/>
          <w:szCs w:val="20"/>
          <w:color w:val="auto"/>
        </w:rPr>
      </w:pPr>
    </w:p>
    <w:p>
      <w:pPr>
        <w:ind w:left="820"/>
        <w:spacing w:after="0"/>
        <w:rPr>
          <w:sz w:val="20"/>
          <w:szCs w:val="20"/>
          <w:color w:val="auto"/>
        </w:rPr>
      </w:pPr>
      <w:r>
        <w:rPr>
          <w:rFonts w:ascii="Arial" w:cs="Arial" w:eastAsia="Arial" w:hAnsi="Arial"/>
          <w:sz w:val="14"/>
          <w:szCs w:val="14"/>
          <w:b w:val="1"/>
          <w:bCs w:val="1"/>
          <w:color w:val="auto"/>
        </w:rPr>
        <w:t>Healthcare</w:t>
      </w:r>
    </w:p>
    <w:p>
      <w:pPr>
        <w:spacing w:after="0" w:line="31" w:lineRule="exact"/>
        <w:rPr>
          <w:sz w:val="20"/>
          <w:szCs w:val="20"/>
          <w:color w:val="auto"/>
        </w:rPr>
      </w:pPr>
    </w:p>
    <w:p>
      <w:pPr>
        <w:ind w:left="820" w:right="5480"/>
        <w:spacing w:after="0" w:line="255" w:lineRule="auto"/>
        <w:rPr>
          <w:sz w:val="20"/>
          <w:szCs w:val="20"/>
          <w:color w:val="auto"/>
        </w:rPr>
      </w:pPr>
      <w:r>
        <w:rPr>
          <w:rFonts w:ascii="Arial" w:cs="Arial" w:eastAsia="Arial" w:hAnsi="Arial"/>
          <w:sz w:val="13"/>
          <w:szCs w:val="13"/>
          <w:color w:val="auto"/>
        </w:rPr>
        <w:t>Industry experience through board or leadership positions of organizations in the healthcare industry</w:t>
      </w:r>
    </w:p>
    <w:p>
      <w:pPr>
        <w:spacing w:after="0" w:line="266" w:lineRule="exact"/>
        <w:rPr>
          <w:sz w:val="20"/>
          <w:szCs w:val="20"/>
          <w:color w:val="auto"/>
        </w:rPr>
      </w:pPr>
    </w:p>
    <w:p>
      <w:pPr>
        <w:ind w:left="820"/>
        <w:spacing w:after="0"/>
        <w:rPr>
          <w:sz w:val="20"/>
          <w:szCs w:val="20"/>
          <w:color w:val="auto"/>
        </w:rPr>
      </w:pPr>
      <w:r>
        <w:rPr>
          <w:rFonts w:ascii="Arial" w:cs="Arial" w:eastAsia="Arial" w:hAnsi="Arial"/>
          <w:sz w:val="14"/>
          <w:szCs w:val="14"/>
          <w:b w:val="1"/>
          <w:bCs w:val="1"/>
          <w:color w:val="auto"/>
        </w:rPr>
        <w:t>Higher Education</w:t>
      </w:r>
    </w:p>
    <w:p>
      <w:pPr>
        <w:spacing w:after="0" w:line="31" w:lineRule="exact"/>
        <w:rPr>
          <w:sz w:val="20"/>
          <w:szCs w:val="20"/>
          <w:color w:val="auto"/>
        </w:rPr>
      </w:pPr>
    </w:p>
    <w:p>
      <w:pPr>
        <w:ind w:left="820" w:right="5480"/>
        <w:spacing w:after="0" w:line="256" w:lineRule="auto"/>
        <w:rPr>
          <w:sz w:val="20"/>
          <w:szCs w:val="20"/>
          <w:color w:val="auto"/>
        </w:rPr>
      </w:pPr>
      <w:r>
        <w:rPr>
          <w:rFonts w:ascii="Arial" w:cs="Arial" w:eastAsia="Arial" w:hAnsi="Arial"/>
          <w:sz w:val="13"/>
          <w:szCs w:val="13"/>
          <w:color w:val="auto"/>
        </w:rPr>
        <w:t>Industry experience through board or leadership positions of higher education institutions or organizations serving higher education institutions</w:t>
      </w:r>
    </w:p>
    <w:p>
      <w:pPr>
        <w:spacing w:after="0" w:line="279" w:lineRule="exact"/>
        <w:rPr>
          <w:sz w:val="20"/>
          <w:szCs w:val="20"/>
          <w:color w:val="auto"/>
        </w:rPr>
      </w:pPr>
    </w:p>
    <w:p>
      <w:pPr>
        <w:ind w:left="820"/>
        <w:spacing w:after="0"/>
        <w:rPr>
          <w:sz w:val="20"/>
          <w:szCs w:val="20"/>
          <w:color w:val="auto"/>
        </w:rPr>
      </w:pPr>
      <w:r>
        <w:rPr>
          <w:rFonts w:ascii="Arial" w:cs="Arial" w:eastAsia="Arial" w:hAnsi="Arial"/>
          <w:sz w:val="14"/>
          <w:szCs w:val="14"/>
          <w:b w:val="1"/>
          <w:bCs w:val="1"/>
          <w:color w:val="auto"/>
        </w:rPr>
        <w:t>Public Company Board</w:t>
      </w:r>
    </w:p>
    <w:p>
      <w:pPr>
        <w:spacing w:after="0" w:line="31" w:lineRule="exact"/>
        <w:rPr>
          <w:sz w:val="20"/>
          <w:szCs w:val="20"/>
          <w:color w:val="auto"/>
        </w:rPr>
      </w:pPr>
    </w:p>
    <w:p>
      <w:pPr>
        <w:ind w:left="820" w:right="5420"/>
        <w:spacing w:after="0" w:line="267" w:lineRule="auto"/>
        <w:rPr>
          <w:sz w:val="20"/>
          <w:szCs w:val="20"/>
          <w:color w:val="auto"/>
        </w:rPr>
      </w:pPr>
      <w:r>
        <w:rPr>
          <w:rFonts w:ascii="Arial" w:cs="Arial" w:eastAsia="Arial" w:hAnsi="Arial"/>
          <w:sz w:val="13"/>
          <w:szCs w:val="13"/>
          <w:color w:val="auto"/>
        </w:rPr>
        <w:t>Experience serving on boards of other public companies</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Arial" w:cs="Arial" w:eastAsia="Arial" w:hAnsi="Arial"/>
          <w:sz w:val="29"/>
          <w:szCs w:val="29"/>
          <w:b w:val="1"/>
          <w:bCs w:val="1"/>
          <w:color w:val="FFFFFF"/>
        </w:rPr>
        <w:t>9</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9"/>
          <w:szCs w:val="29"/>
          <w:b w:val="1"/>
          <w:bCs w:val="1"/>
          <w:color w:val="FFFFFF"/>
        </w:rPr>
        <w:t>8</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9"/>
          <w:szCs w:val="29"/>
          <w:b w:val="1"/>
          <w:bCs w:val="1"/>
          <w:color w:val="FFFFFF"/>
        </w:rPr>
        <w:t>8</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Arial" w:cs="Arial" w:eastAsia="Arial" w:hAnsi="Arial"/>
          <w:sz w:val="28"/>
          <w:szCs w:val="28"/>
          <w:b w:val="1"/>
          <w:bCs w:val="1"/>
          <w:color w:val="FFFFFF"/>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9"/>
          <w:szCs w:val="29"/>
          <w:b w:val="1"/>
          <w:bCs w:val="1"/>
          <w:color w:val="FFFFFF"/>
        </w:rPr>
        <w:t>6</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9"/>
          <w:szCs w:val="29"/>
          <w:b w:val="1"/>
          <w:bCs w:val="1"/>
          <w:color w:val="FFFFFF"/>
        </w:rPr>
        <w:t>8</w:t>
      </w:r>
    </w:p>
    <w:p>
      <w:pPr>
        <w:spacing w:after="0" w:line="321" w:lineRule="exact"/>
        <w:rPr>
          <w:sz w:val="20"/>
          <w:szCs w:val="20"/>
          <w:color w:val="auto"/>
        </w:rPr>
      </w:pPr>
    </w:p>
    <w:p>
      <w:pPr>
        <w:sectPr>
          <w:pgSz w:w="11900" w:h="16838" w:orient="portrait"/>
          <w:cols w:equalWidth="0" w:num="2">
            <w:col w:w="8060" w:space="720"/>
            <w:col w:w="279"/>
          </w:cols>
          <w:pgMar w:left="1400" w:top="11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0"/>
        <w:spacing w:after="0"/>
        <w:tabs>
          <w:tab w:leader="none" w:pos="448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13"/>
          <w:szCs w:val="13"/>
          <w:b w:val="1"/>
          <w:bCs w:val="1"/>
          <w:color w:val="00558C"/>
        </w:rPr>
        <w:t>4</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420370</wp:posOffset>
            </wp:positionV>
            <wp:extent cx="6810375" cy="56654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10375" cy="5665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00" w:type="dxa"/>
            <w:vAlign w:val="bottom"/>
          </w:tcPr>
          <w:p>
            <w:pPr>
              <w:ind w:left="60"/>
              <w:spacing w:after="0"/>
              <w:rPr>
                <w:sz w:val="20"/>
                <w:szCs w:val="20"/>
                <w:color w:val="auto"/>
              </w:rPr>
            </w:pPr>
            <w:r>
              <w:rPr>
                <w:rFonts w:ascii="Arial" w:cs="Arial" w:eastAsia="Arial" w:hAnsi="Arial"/>
                <w:sz w:val="13"/>
                <w:szCs w:val="13"/>
                <w:b w:val="1"/>
                <w:bCs w:val="1"/>
                <w:color w:val="B2B3B6"/>
              </w:rPr>
              <w:t>General</w:t>
            </w:r>
          </w:p>
        </w:tc>
        <w:tc>
          <w:tcPr>
            <w:tcW w:w="840" w:type="dxa"/>
            <w:vAlign w:val="bottom"/>
          </w:tcPr>
          <w:p>
            <w:pPr>
              <w:ind w:left="160"/>
              <w:spacing w:after="0"/>
              <w:rPr>
                <w:sz w:val="20"/>
                <w:szCs w:val="20"/>
                <w:color w:val="auto"/>
              </w:rPr>
            </w:pPr>
            <w:r>
              <w:rPr>
                <w:rFonts w:ascii="Arial" w:cs="Arial" w:eastAsia="Arial" w:hAnsi="Arial"/>
                <w:sz w:val="13"/>
                <w:szCs w:val="13"/>
                <w:b w:val="1"/>
                <w:bCs w:val="1"/>
                <w:color w:val="6AAA37"/>
              </w:rPr>
              <w:t>Proposal</w:t>
            </w:r>
          </w:p>
        </w:tc>
        <w:tc>
          <w:tcPr>
            <w:tcW w:w="940" w:type="dxa"/>
            <w:vAlign w:val="bottom"/>
          </w:tcPr>
          <w:p>
            <w:pPr>
              <w:ind w:left="160"/>
              <w:spacing w:after="0"/>
              <w:rPr>
                <w:sz w:val="20"/>
                <w:szCs w:val="20"/>
                <w:color w:val="auto"/>
              </w:rPr>
            </w:pPr>
            <w:r>
              <w:rPr>
                <w:rFonts w:ascii="Arial" w:cs="Arial" w:eastAsia="Arial" w:hAnsi="Arial"/>
                <w:sz w:val="13"/>
                <w:szCs w:val="13"/>
                <w:b w:val="1"/>
                <w:bCs w:val="1"/>
                <w:color w:val="B2B3B6"/>
              </w:rPr>
              <w:t>Corporate</w:t>
            </w:r>
          </w:p>
        </w:tc>
        <w:tc>
          <w:tcPr>
            <w:tcW w:w="1000" w:type="dxa"/>
            <w:vAlign w:val="bottom"/>
          </w:tcPr>
          <w:p>
            <w:pPr>
              <w:ind w:left="220"/>
              <w:spacing w:after="0"/>
              <w:rPr>
                <w:sz w:val="20"/>
                <w:szCs w:val="20"/>
                <w:color w:val="auto"/>
              </w:rPr>
            </w:pPr>
            <w:r>
              <w:rPr>
                <w:rFonts w:ascii="Arial" w:cs="Arial" w:eastAsia="Arial" w:hAnsi="Arial"/>
                <w:sz w:val="13"/>
                <w:szCs w:val="13"/>
                <w:b w:val="1"/>
                <w:bCs w:val="1"/>
                <w:color w:val="B2B3B6"/>
              </w:rPr>
              <w:t>Proposal</w:t>
            </w:r>
          </w:p>
        </w:tc>
        <w:tc>
          <w:tcPr>
            <w:tcW w:w="1080" w:type="dxa"/>
            <w:vAlign w:val="bottom"/>
          </w:tcPr>
          <w:p>
            <w:pPr>
              <w:ind w:left="40"/>
              <w:spacing w:after="0"/>
              <w:rPr>
                <w:sz w:val="20"/>
                <w:szCs w:val="20"/>
                <w:color w:val="auto"/>
              </w:rPr>
            </w:pPr>
            <w:r>
              <w:rPr>
                <w:rFonts w:ascii="Arial" w:cs="Arial" w:eastAsia="Arial" w:hAnsi="Arial"/>
                <w:sz w:val="13"/>
                <w:szCs w:val="13"/>
                <w:b w:val="1"/>
                <w:bCs w:val="1"/>
                <w:color w:val="B2B3B6"/>
              </w:rPr>
              <w:t>Executive</w:t>
            </w:r>
          </w:p>
        </w:tc>
        <w:tc>
          <w:tcPr>
            <w:tcW w:w="840" w:type="dxa"/>
            <w:vAlign w:val="bottom"/>
          </w:tcPr>
          <w:p>
            <w:pPr>
              <w:ind w:left="160"/>
              <w:spacing w:after="0"/>
              <w:rPr>
                <w:sz w:val="20"/>
                <w:szCs w:val="20"/>
                <w:color w:val="auto"/>
              </w:rPr>
            </w:pPr>
            <w:r>
              <w:rPr>
                <w:rFonts w:ascii="Arial" w:cs="Arial" w:eastAsia="Arial" w:hAnsi="Arial"/>
                <w:sz w:val="13"/>
                <w:szCs w:val="13"/>
                <w:b w:val="1"/>
                <w:bCs w:val="1"/>
                <w:color w:val="B2B3B6"/>
              </w:rPr>
              <w:t>Proposal</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B2B3B6"/>
              </w:rPr>
              <w:t>Proposal</w:t>
            </w:r>
          </w:p>
        </w:tc>
        <w:tc>
          <w:tcPr>
            <w:tcW w:w="740" w:type="dxa"/>
            <w:vAlign w:val="bottom"/>
          </w:tcPr>
          <w:p>
            <w:pPr>
              <w:ind w:left="60"/>
              <w:spacing w:after="0"/>
              <w:rPr>
                <w:sz w:val="20"/>
                <w:szCs w:val="20"/>
                <w:color w:val="auto"/>
              </w:rPr>
            </w:pPr>
            <w:r>
              <w:rPr>
                <w:rFonts w:ascii="Arial" w:cs="Arial" w:eastAsia="Arial" w:hAnsi="Arial"/>
                <w:sz w:val="13"/>
                <w:szCs w:val="13"/>
                <w:b w:val="1"/>
                <w:bCs w:val="1"/>
                <w:color w:val="B2B3B6"/>
              </w:rPr>
              <w:t>Proposal</w:t>
            </w:r>
          </w:p>
        </w:tc>
        <w:tc>
          <w:tcPr>
            <w:tcW w:w="1120" w:type="dxa"/>
            <w:vAlign w:val="bottom"/>
          </w:tcPr>
          <w:p>
            <w:pPr>
              <w:ind w:left="140"/>
              <w:spacing w:after="0"/>
              <w:rPr>
                <w:sz w:val="20"/>
                <w:szCs w:val="20"/>
                <w:color w:val="auto"/>
              </w:rPr>
            </w:pPr>
            <w:r>
              <w:rPr>
                <w:rFonts w:ascii="Arial" w:cs="Arial" w:eastAsia="Arial" w:hAnsi="Arial"/>
                <w:sz w:val="13"/>
                <w:szCs w:val="13"/>
                <w:b w:val="1"/>
                <w:bCs w:val="1"/>
                <w:color w:val="B2B3B6"/>
              </w:rPr>
              <w:t>Stockholder</w:t>
            </w:r>
          </w:p>
        </w:tc>
        <w:tc>
          <w:tcPr>
            <w:tcW w:w="520" w:type="dxa"/>
            <w:vAlign w:val="bottom"/>
          </w:tcPr>
          <w:p>
            <w:pPr>
              <w:ind w:left="60"/>
              <w:spacing w:after="0"/>
              <w:rPr>
                <w:sz w:val="20"/>
                <w:szCs w:val="20"/>
                <w:color w:val="auto"/>
              </w:rPr>
            </w:pPr>
            <w:r>
              <w:rPr>
                <w:rFonts w:ascii="Arial" w:cs="Arial" w:eastAsia="Arial" w:hAnsi="Arial"/>
                <w:sz w:val="13"/>
                <w:szCs w:val="13"/>
                <w:b w:val="1"/>
                <w:bCs w:val="1"/>
                <w:color w:val="B2B3B6"/>
              </w:rPr>
              <w:t>Other</w:t>
            </w:r>
          </w:p>
        </w:tc>
        <w:tc>
          <w:tcPr>
            <w:tcW w:w="0" w:type="dxa"/>
            <w:vAlign w:val="bottom"/>
          </w:tcPr>
          <w:p>
            <w:pPr>
              <w:spacing w:after="0"/>
              <w:rPr>
                <w:sz w:val="1"/>
                <w:szCs w:val="1"/>
                <w:color w:val="auto"/>
              </w:rPr>
            </w:pPr>
          </w:p>
        </w:tc>
      </w:tr>
      <w:tr>
        <w:trPr>
          <w:trHeight w:val="172"/>
        </w:trPr>
        <w:tc>
          <w:tcPr>
            <w:tcW w:w="900" w:type="dxa"/>
            <w:vAlign w:val="bottom"/>
          </w:tcPr>
          <w:p>
            <w:pPr>
              <w:ind w:left="60"/>
              <w:spacing w:after="0"/>
              <w:rPr>
                <w:sz w:val="20"/>
                <w:szCs w:val="20"/>
                <w:color w:val="auto"/>
              </w:rPr>
            </w:pPr>
            <w:r>
              <w:rPr>
                <w:rFonts w:ascii="Arial" w:cs="Arial" w:eastAsia="Arial" w:hAnsi="Arial"/>
                <w:sz w:val="13"/>
                <w:szCs w:val="13"/>
                <w:b w:val="1"/>
                <w:bCs w:val="1"/>
                <w:color w:val="B2B3B6"/>
              </w:rPr>
              <w:t>Information</w:t>
            </w:r>
          </w:p>
        </w:tc>
        <w:tc>
          <w:tcPr>
            <w:tcW w:w="840" w:type="dxa"/>
            <w:vAlign w:val="bottom"/>
          </w:tcPr>
          <w:p>
            <w:pPr>
              <w:ind w:left="160"/>
              <w:spacing w:after="0"/>
              <w:rPr>
                <w:sz w:val="20"/>
                <w:szCs w:val="20"/>
                <w:color w:val="auto"/>
              </w:rPr>
            </w:pPr>
            <w:r>
              <w:rPr>
                <w:rFonts w:ascii="Arial" w:cs="Arial" w:eastAsia="Arial" w:hAnsi="Arial"/>
                <w:sz w:val="13"/>
                <w:szCs w:val="13"/>
                <w:b w:val="1"/>
                <w:bCs w:val="1"/>
                <w:color w:val="6AAA37"/>
              </w:rPr>
              <w:t>One</w:t>
            </w:r>
          </w:p>
        </w:tc>
        <w:tc>
          <w:tcPr>
            <w:tcW w:w="940" w:type="dxa"/>
            <w:vAlign w:val="bottom"/>
          </w:tcPr>
          <w:p>
            <w:pPr>
              <w:ind w:left="160"/>
              <w:spacing w:after="0"/>
              <w:rPr>
                <w:sz w:val="20"/>
                <w:szCs w:val="20"/>
                <w:color w:val="auto"/>
              </w:rPr>
            </w:pPr>
            <w:r>
              <w:rPr>
                <w:rFonts w:ascii="Arial" w:cs="Arial" w:eastAsia="Arial" w:hAnsi="Arial"/>
                <w:sz w:val="13"/>
                <w:szCs w:val="13"/>
                <w:b w:val="1"/>
                <w:bCs w:val="1"/>
                <w:color w:val="B2B3B6"/>
              </w:rPr>
              <w:t>Governance</w:t>
            </w:r>
          </w:p>
        </w:tc>
        <w:tc>
          <w:tcPr>
            <w:tcW w:w="1000" w:type="dxa"/>
            <w:vAlign w:val="bottom"/>
          </w:tcPr>
          <w:p>
            <w:pPr>
              <w:ind w:left="220"/>
              <w:spacing w:after="0"/>
              <w:rPr>
                <w:sz w:val="20"/>
                <w:szCs w:val="20"/>
                <w:color w:val="auto"/>
              </w:rPr>
            </w:pPr>
            <w:r>
              <w:rPr>
                <w:rFonts w:ascii="Arial" w:cs="Arial" w:eastAsia="Arial" w:hAnsi="Arial"/>
                <w:sz w:val="13"/>
                <w:szCs w:val="13"/>
                <w:b w:val="1"/>
                <w:bCs w:val="1"/>
                <w:color w:val="B2B3B6"/>
              </w:rPr>
              <w:t>Two</w:t>
            </w:r>
          </w:p>
        </w:tc>
        <w:tc>
          <w:tcPr>
            <w:tcW w:w="1080" w:type="dxa"/>
            <w:vAlign w:val="bottom"/>
          </w:tcPr>
          <w:p>
            <w:pPr>
              <w:ind w:left="40"/>
              <w:spacing w:after="0"/>
              <w:rPr>
                <w:sz w:val="20"/>
                <w:szCs w:val="20"/>
                <w:color w:val="auto"/>
              </w:rPr>
            </w:pPr>
            <w:r>
              <w:rPr>
                <w:rFonts w:ascii="Arial" w:cs="Arial" w:eastAsia="Arial" w:hAnsi="Arial"/>
                <w:sz w:val="13"/>
                <w:szCs w:val="13"/>
                <w:b w:val="1"/>
                <w:bCs w:val="1"/>
                <w:color w:val="B2B3B6"/>
              </w:rPr>
              <w:t>Compensation</w:t>
            </w:r>
          </w:p>
        </w:tc>
        <w:tc>
          <w:tcPr>
            <w:tcW w:w="840" w:type="dxa"/>
            <w:vAlign w:val="bottom"/>
          </w:tcPr>
          <w:p>
            <w:pPr>
              <w:ind w:left="160"/>
              <w:spacing w:after="0"/>
              <w:rPr>
                <w:sz w:val="20"/>
                <w:szCs w:val="20"/>
                <w:color w:val="auto"/>
              </w:rPr>
            </w:pPr>
            <w:r>
              <w:rPr>
                <w:rFonts w:ascii="Arial" w:cs="Arial" w:eastAsia="Arial" w:hAnsi="Arial"/>
                <w:sz w:val="13"/>
                <w:szCs w:val="13"/>
                <w:b w:val="1"/>
                <w:bCs w:val="1"/>
                <w:color w:val="B2B3B6"/>
              </w:rPr>
              <w:t>Three</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B2B3B6"/>
              </w:rPr>
              <w:t>Four</w:t>
            </w:r>
          </w:p>
        </w:tc>
        <w:tc>
          <w:tcPr>
            <w:tcW w:w="740" w:type="dxa"/>
            <w:vAlign w:val="bottom"/>
          </w:tcPr>
          <w:p>
            <w:pPr>
              <w:ind w:left="60"/>
              <w:spacing w:after="0"/>
              <w:rPr>
                <w:sz w:val="20"/>
                <w:szCs w:val="20"/>
                <w:color w:val="auto"/>
              </w:rPr>
            </w:pPr>
            <w:r>
              <w:rPr>
                <w:rFonts w:ascii="Arial" w:cs="Arial" w:eastAsia="Arial" w:hAnsi="Arial"/>
                <w:sz w:val="13"/>
                <w:szCs w:val="13"/>
                <w:b w:val="1"/>
                <w:bCs w:val="1"/>
                <w:color w:val="B2B3B6"/>
              </w:rPr>
              <w:t>Five</w:t>
            </w:r>
          </w:p>
        </w:tc>
        <w:tc>
          <w:tcPr>
            <w:tcW w:w="1120" w:type="dxa"/>
            <w:vAlign w:val="bottom"/>
          </w:tcPr>
          <w:p>
            <w:pPr>
              <w:ind w:left="140"/>
              <w:spacing w:after="0"/>
              <w:rPr>
                <w:sz w:val="20"/>
                <w:szCs w:val="20"/>
                <w:color w:val="auto"/>
              </w:rPr>
            </w:pPr>
            <w:r>
              <w:rPr>
                <w:rFonts w:ascii="Arial" w:cs="Arial" w:eastAsia="Arial" w:hAnsi="Arial"/>
                <w:sz w:val="13"/>
                <w:szCs w:val="13"/>
                <w:b w:val="1"/>
                <w:bCs w:val="1"/>
                <w:color w:val="B2B3B6"/>
              </w:rPr>
              <w:t>Proposals</w:t>
            </w:r>
          </w:p>
        </w:tc>
        <w:tc>
          <w:tcPr>
            <w:tcW w:w="520" w:type="dxa"/>
            <w:vAlign w:val="bottom"/>
          </w:tcPr>
          <w:p>
            <w:pPr>
              <w:ind w:left="60"/>
              <w:spacing w:after="0"/>
              <w:rPr>
                <w:sz w:val="20"/>
                <w:szCs w:val="20"/>
                <w:color w:val="auto"/>
              </w:rPr>
            </w:pPr>
            <w:r>
              <w:rPr>
                <w:rFonts w:ascii="Arial" w:cs="Arial" w:eastAsia="Arial" w:hAnsi="Arial"/>
                <w:sz w:val="13"/>
                <w:szCs w:val="13"/>
                <w:b w:val="1"/>
                <w:bCs w:val="1"/>
                <w:color w:val="B2B3B6"/>
                <w:w w:val="95"/>
              </w:rPr>
              <w:t>Matters</w:t>
            </w:r>
          </w:p>
        </w:tc>
        <w:tc>
          <w:tcPr>
            <w:tcW w:w="0" w:type="dxa"/>
            <w:vAlign w:val="bottom"/>
          </w:tcPr>
          <w:p>
            <w:pPr>
              <w:spacing w:after="0"/>
              <w:rPr>
                <w:sz w:val="1"/>
                <w:szCs w:val="1"/>
                <w:color w:val="auto"/>
              </w:rPr>
            </w:pPr>
          </w:p>
        </w:tc>
      </w:tr>
      <w:tr>
        <w:trPr>
          <w:trHeight w:val="415"/>
        </w:trPr>
        <w:tc>
          <w:tcPr>
            <w:tcW w:w="26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Board of Directors Snapshot</w:t>
            </w:r>
          </w:p>
        </w:tc>
        <w:tc>
          <w:tcPr>
            <w:tcW w:w="1000" w:type="dxa"/>
            <w:vAlign w:val="bottom"/>
          </w:tcPr>
          <w:p>
            <w:pPr>
              <w:jc w:val="right"/>
              <w:ind w:right="736"/>
              <w:spacing w:after="0"/>
              <w:rPr>
                <w:sz w:val="20"/>
                <w:szCs w:val="20"/>
                <w:color w:val="auto"/>
              </w:rPr>
            </w:pPr>
            <w:r>
              <w:rPr>
                <w:rFonts w:ascii="Arial" w:cs="Arial" w:eastAsia="Arial" w:hAnsi="Arial"/>
                <w:sz w:val="12"/>
                <w:szCs w:val="12"/>
                <w:b w:val="1"/>
                <w:bCs w:val="1"/>
                <w:color w:val="auto"/>
              </w:rPr>
              <w:t>(1)</w:t>
            </w:r>
          </w:p>
        </w:tc>
        <w:tc>
          <w:tcPr>
            <w:tcW w:w="10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2680" w:type="dxa"/>
            <w:vAlign w:val="bottom"/>
            <w:gridSpan w:val="3"/>
            <w:vMerge w:val="continue"/>
          </w:tcPr>
          <w:p>
            <w:pPr>
              <w:spacing w:after="0"/>
              <w:rPr>
                <w:sz w:val="12"/>
                <w:szCs w:val="12"/>
                <w:color w:val="auto"/>
              </w:rPr>
            </w:pPr>
          </w:p>
        </w:tc>
        <w:tc>
          <w:tcPr>
            <w:tcW w:w="10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0"/>
        </w:trPr>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740" w:type="dxa"/>
            <w:vAlign w:val="bottom"/>
            <w:gridSpan w:val="2"/>
          </w:tcPr>
          <w:p>
            <w:pPr>
              <w:jc w:val="center"/>
              <w:ind w:left="53"/>
              <w:spacing w:after="0"/>
              <w:rPr>
                <w:sz w:val="20"/>
                <w:szCs w:val="20"/>
                <w:color w:val="auto"/>
              </w:rPr>
            </w:pPr>
            <w:r>
              <w:rPr>
                <w:rFonts w:ascii="Arial" w:cs="Arial" w:eastAsia="Arial" w:hAnsi="Arial"/>
                <w:sz w:val="14"/>
                <w:szCs w:val="14"/>
                <w:b w:val="1"/>
                <w:bCs w:val="1"/>
                <w:color w:val="6AAA37"/>
              </w:rPr>
              <w:t>COMMITTEE CHAIRS</w:t>
            </w:r>
          </w:p>
        </w:tc>
        <w:tc>
          <w:tcPr>
            <w:tcW w:w="7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740" w:type="dxa"/>
            <w:vAlign w:val="bottom"/>
            <w:gridSpan w:val="2"/>
          </w:tcPr>
          <w:p>
            <w:pPr>
              <w:ind w:left="680"/>
              <w:spacing w:after="0"/>
              <w:rPr>
                <w:sz w:val="20"/>
                <w:szCs w:val="20"/>
                <w:color w:val="auto"/>
              </w:rPr>
            </w:pPr>
            <w:r>
              <w:rPr>
                <w:rFonts w:ascii="Arial" w:cs="Arial" w:eastAsia="Arial" w:hAnsi="Arial"/>
                <w:sz w:val="14"/>
                <w:szCs w:val="14"/>
                <w:b w:val="1"/>
                <w:bCs w:val="1"/>
                <w:color w:val="6AAA37"/>
              </w:rPr>
              <w:t>GENDER</w:t>
            </w:r>
          </w:p>
        </w:tc>
        <w:tc>
          <w:tcPr>
            <w:tcW w:w="940" w:type="dxa"/>
            <w:vAlign w:val="bottom"/>
          </w:tcPr>
          <w:p>
            <w:pPr>
              <w:spacing w:after="0"/>
              <w:rPr>
                <w:sz w:val="17"/>
                <w:szCs w:val="17"/>
                <w:color w:val="auto"/>
              </w:rPr>
            </w:pPr>
          </w:p>
        </w:tc>
        <w:tc>
          <w:tcPr>
            <w:tcW w:w="1000" w:type="dxa"/>
            <w:vAlign w:val="bottom"/>
          </w:tcPr>
          <w:p>
            <w:pPr>
              <w:ind w:left="180"/>
              <w:spacing w:after="0"/>
              <w:rPr>
                <w:sz w:val="20"/>
                <w:szCs w:val="20"/>
                <w:color w:val="auto"/>
              </w:rPr>
            </w:pPr>
            <w:r>
              <w:rPr>
                <w:rFonts w:ascii="Arial" w:cs="Arial" w:eastAsia="Arial" w:hAnsi="Arial"/>
                <w:sz w:val="14"/>
                <w:szCs w:val="14"/>
                <w:b w:val="1"/>
                <w:bCs w:val="1"/>
                <w:color w:val="6AAA37"/>
              </w:rPr>
              <w:t>ETHNICITY</w:t>
            </w:r>
          </w:p>
        </w:tc>
        <w:tc>
          <w:tcPr>
            <w:tcW w:w="1080" w:type="dxa"/>
            <w:vAlign w:val="bottom"/>
          </w:tcPr>
          <w:p>
            <w:pPr>
              <w:spacing w:after="0"/>
              <w:rPr>
                <w:sz w:val="17"/>
                <w:szCs w:val="17"/>
                <w:color w:val="auto"/>
              </w:rPr>
            </w:pPr>
          </w:p>
        </w:tc>
        <w:tc>
          <w:tcPr>
            <w:tcW w:w="1740" w:type="dxa"/>
            <w:vAlign w:val="bottom"/>
            <w:gridSpan w:val="2"/>
          </w:tcPr>
          <w:p>
            <w:pPr>
              <w:jc w:val="center"/>
              <w:ind w:left="113"/>
              <w:spacing w:after="0"/>
              <w:rPr>
                <w:sz w:val="20"/>
                <w:szCs w:val="20"/>
                <w:color w:val="auto"/>
              </w:rPr>
            </w:pPr>
            <w:r>
              <w:rPr>
                <w:rFonts w:ascii="Arial" w:cs="Arial" w:eastAsia="Arial" w:hAnsi="Arial"/>
                <w:sz w:val="14"/>
                <w:szCs w:val="14"/>
                <w:b w:val="1"/>
                <w:bCs w:val="1"/>
                <w:color w:val="6AAA37"/>
              </w:rPr>
              <w:t>BY GENDER</w:t>
            </w:r>
          </w:p>
        </w:tc>
        <w:tc>
          <w:tcPr>
            <w:tcW w:w="740" w:type="dxa"/>
            <w:vAlign w:val="bottom"/>
          </w:tcPr>
          <w:p>
            <w:pPr>
              <w:spacing w:after="0"/>
              <w:rPr>
                <w:sz w:val="17"/>
                <w:szCs w:val="17"/>
                <w:color w:val="auto"/>
              </w:rPr>
            </w:pPr>
          </w:p>
        </w:tc>
        <w:tc>
          <w:tcPr>
            <w:tcW w:w="1120" w:type="dxa"/>
            <w:vAlign w:val="bottom"/>
          </w:tcPr>
          <w:p>
            <w:pPr>
              <w:ind w:left="460"/>
              <w:spacing w:after="0"/>
              <w:rPr>
                <w:sz w:val="20"/>
                <w:szCs w:val="20"/>
                <w:color w:val="auto"/>
              </w:rPr>
            </w:pPr>
            <w:r>
              <w:rPr>
                <w:rFonts w:ascii="Arial" w:cs="Arial" w:eastAsia="Arial" w:hAnsi="Arial"/>
                <w:sz w:val="14"/>
                <w:szCs w:val="14"/>
                <w:b w:val="1"/>
                <w:bCs w:val="1"/>
                <w:color w:val="6AAA37"/>
              </w:rPr>
              <w:t>TENURE</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80"/>
        <w:spacing w:after="0"/>
        <w:rPr>
          <w:sz w:val="20"/>
          <w:szCs w:val="20"/>
          <w:color w:val="auto"/>
        </w:rPr>
      </w:pPr>
      <w:r>
        <w:rPr>
          <w:rFonts w:ascii="Arial" w:cs="Arial" w:eastAsia="Arial" w:hAnsi="Arial"/>
          <w:sz w:val="14"/>
          <w:szCs w:val="14"/>
          <w:color w:val="auto"/>
        </w:rPr>
        <w:t>(1) Data as of March 28, 2025.</w:t>
      </w:r>
    </w:p>
    <w:p>
      <w:pPr>
        <w:sectPr>
          <w:pgSz w:w="11900" w:h="16838" w:orient="portrait"/>
          <w:cols w:equalWidth="0" w:num="1">
            <w:col w:w="9059"/>
          </w:cols>
          <w:pgMar w:left="1400" w:top="118" w:right="1440" w:bottom="1440" w:gutter="0" w:footer="0" w:header="0"/>
          <w:type w:val="continuous"/>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31908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10375" cy="3190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0"/>
        <w:spacing w:after="0"/>
        <w:tabs>
          <w:tab w:leader="none" w:pos="448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13"/>
          <w:szCs w:val="13"/>
          <w:b w:val="1"/>
          <w:bCs w:val="1"/>
          <w:color w:val="00558C"/>
        </w:rPr>
        <w:t>5</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420370</wp:posOffset>
            </wp:positionV>
            <wp:extent cx="6810375" cy="72428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10375" cy="7242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540" w:val="left"/>
          <w:tab w:leader="none" w:pos="7360" w:val="left"/>
          <w:tab w:leader="none" w:pos="8400" w:val="left"/>
        </w:tabs>
        <w:rPr>
          <w:sz w:val="20"/>
          <w:szCs w:val="20"/>
          <w:color w:val="auto"/>
        </w:rPr>
      </w:pPr>
      <w:r>
        <w:rPr>
          <w:rFonts w:ascii="Arial" w:cs="Arial" w:eastAsia="Arial" w:hAnsi="Arial"/>
          <w:sz w:val="13"/>
          <w:szCs w:val="13"/>
          <w:b w:val="1"/>
          <w:bCs w:val="1"/>
          <w:color w:val="B2B3B6"/>
        </w:rPr>
        <w:t>General</w:t>
      </w:r>
      <w:r>
        <w:rPr>
          <w:sz w:val="20"/>
          <w:szCs w:val="20"/>
          <w:color w:val="auto"/>
        </w:rPr>
        <w:tab/>
      </w:r>
      <w:r>
        <w:rPr>
          <w:rFonts w:ascii="Arial" w:cs="Arial" w:eastAsia="Arial" w:hAnsi="Arial"/>
          <w:sz w:val="13"/>
          <w:szCs w:val="13"/>
          <w:b w:val="1"/>
          <w:bCs w:val="1"/>
          <w:color w:val="6AAA37"/>
        </w:rPr>
        <w:t>Proposal</w:t>
      </w:r>
      <w:r>
        <w:rPr>
          <w:sz w:val="20"/>
          <w:szCs w:val="20"/>
          <w:color w:val="auto"/>
        </w:rPr>
        <w:tab/>
      </w:r>
      <w:r>
        <w:rPr>
          <w:rFonts w:ascii="Arial" w:cs="Arial" w:eastAsia="Arial" w:hAnsi="Arial"/>
          <w:sz w:val="13"/>
          <w:szCs w:val="13"/>
          <w:b w:val="1"/>
          <w:bCs w:val="1"/>
          <w:color w:val="B2B3B6"/>
        </w:rPr>
        <w:t>Corporate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Executive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Stockholder</w:t>
      </w:r>
      <w:r>
        <w:rPr>
          <w:sz w:val="20"/>
          <w:szCs w:val="20"/>
          <w:color w:val="auto"/>
        </w:rPr>
        <w:tab/>
      </w:r>
      <w:r>
        <w:rPr>
          <w:rFonts w:ascii="Arial" w:cs="Arial" w:eastAsia="Arial" w:hAnsi="Arial"/>
          <w:sz w:val="12"/>
          <w:szCs w:val="12"/>
          <w:b w:val="1"/>
          <w:bCs w:val="1"/>
          <w:color w:val="B2B3B6"/>
        </w:rPr>
        <w:t>Other</w:t>
      </w:r>
    </w:p>
    <w:p>
      <w:pPr>
        <w:spacing w:after="0" w:line="11"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540" w:val="left"/>
          <w:tab w:leader="none" w:pos="7360" w:val="left"/>
          <w:tab w:leader="none" w:pos="8400" w:val="left"/>
        </w:tabs>
        <w:rPr>
          <w:sz w:val="20"/>
          <w:szCs w:val="20"/>
          <w:color w:val="auto"/>
        </w:rPr>
      </w:pPr>
      <w:r>
        <w:rPr>
          <w:rFonts w:ascii="Arial" w:cs="Arial" w:eastAsia="Arial" w:hAnsi="Arial"/>
          <w:sz w:val="13"/>
          <w:szCs w:val="13"/>
          <w:b w:val="1"/>
          <w:bCs w:val="1"/>
          <w:color w:val="B2B3B6"/>
        </w:rPr>
        <w:t>Information</w:t>
      </w:r>
      <w:r>
        <w:rPr>
          <w:sz w:val="20"/>
          <w:szCs w:val="20"/>
          <w:color w:val="auto"/>
        </w:rPr>
        <w:tab/>
      </w:r>
      <w:r>
        <w:rPr>
          <w:rFonts w:ascii="Arial" w:cs="Arial" w:eastAsia="Arial" w:hAnsi="Arial"/>
          <w:sz w:val="13"/>
          <w:szCs w:val="13"/>
          <w:b w:val="1"/>
          <w:bCs w:val="1"/>
          <w:color w:val="6AAA37"/>
        </w:rPr>
        <w:t>One</w:t>
      </w:r>
      <w:r>
        <w:rPr>
          <w:sz w:val="20"/>
          <w:szCs w:val="20"/>
          <w:color w:val="auto"/>
        </w:rPr>
        <w:tab/>
      </w:r>
      <w:r>
        <w:rPr>
          <w:rFonts w:ascii="Arial" w:cs="Arial" w:eastAsia="Arial" w:hAnsi="Arial"/>
          <w:sz w:val="13"/>
          <w:szCs w:val="13"/>
          <w:b w:val="1"/>
          <w:bCs w:val="1"/>
          <w:color w:val="B2B3B6"/>
        </w:rPr>
        <w:t>Governance</w:t>
      </w:r>
      <w:r>
        <w:rPr>
          <w:sz w:val="20"/>
          <w:szCs w:val="20"/>
          <w:color w:val="auto"/>
        </w:rPr>
        <w:tab/>
      </w:r>
      <w:r>
        <w:rPr>
          <w:rFonts w:ascii="Arial" w:cs="Arial" w:eastAsia="Arial" w:hAnsi="Arial"/>
          <w:sz w:val="13"/>
          <w:szCs w:val="13"/>
          <w:b w:val="1"/>
          <w:bCs w:val="1"/>
          <w:color w:val="B2B3B6"/>
        </w:rPr>
        <w:t>Two</w:t>
      </w:r>
      <w:r>
        <w:rPr>
          <w:sz w:val="20"/>
          <w:szCs w:val="20"/>
          <w:color w:val="auto"/>
        </w:rPr>
        <w:tab/>
      </w:r>
      <w:r>
        <w:rPr>
          <w:rFonts w:ascii="Arial" w:cs="Arial" w:eastAsia="Arial" w:hAnsi="Arial"/>
          <w:sz w:val="13"/>
          <w:szCs w:val="13"/>
          <w:b w:val="1"/>
          <w:bCs w:val="1"/>
          <w:color w:val="B2B3B6"/>
        </w:rPr>
        <w:t>Compensation</w:t>
      </w:r>
      <w:r>
        <w:rPr>
          <w:sz w:val="20"/>
          <w:szCs w:val="20"/>
          <w:color w:val="auto"/>
        </w:rPr>
        <w:tab/>
      </w:r>
      <w:r>
        <w:rPr>
          <w:rFonts w:ascii="Arial" w:cs="Arial" w:eastAsia="Arial" w:hAnsi="Arial"/>
          <w:sz w:val="13"/>
          <w:szCs w:val="13"/>
          <w:b w:val="1"/>
          <w:bCs w:val="1"/>
          <w:color w:val="B2B3B6"/>
        </w:rPr>
        <w:t>Three</w:t>
      </w:r>
      <w:r>
        <w:rPr>
          <w:sz w:val="20"/>
          <w:szCs w:val="20"/>
          <w:color w:val="auto"/>
        </w:rPr>
        <w:tab/>
      </w:r>
      <w:r>
        <w:rPr>
          <w:rFonts w:ascii="Arial" w:cs="Arial" w:eastAsia="Arial" w:hAnsi="Arial"/>
          <w:sz w:val="13"/>
          <w:szCs w:val="13"/>
          <w:b w:val="1"/>
          <w:bCs w:val="1"/>
          <w:color w:val="B2B3B6"/>
        </w:rPr>
        <w:t>Four</w:t>
      </w:r>
      <w:r>
        <w:rPr>
          <w:sz w:val="20"/>
          <w:szCs w:val="20"/>
          <w:color w:val="auto"/>
        </w:rPr>
        <w:tab/>
      </w:r>
      <w:r>
        <w:rPr>
          <w:rFonts w:ascii="Arial" w:cs="Arial" w:eastAsia="Arial" w:hAnsi="Arial"/>
          <w:sz w:val="13"/>
          <w:szCs w:val="13"/>
          <w:b w:val="1"/>
          <w:bCs w:val="1"/>
          <w:color w:val="B2B3B6"/>
        </w:rPr>
        <w:t>Five</w:t>
      </w:r>
      <w:r>
        <w:rPr>
          <w:sz w:val="20"/>
          <w:szCs w:val="20"/>
          <w:color w:val="auto"/>
        </w:rPr>
        <w:tab/>
      </w:r>
      <w:r>
        <w:rPr>
          <w:rFonts w:ascii="Arial" w:cs="Arial" w:eastAsia="Arial" w:hAnsi="Arial"/>
          <w:sz w:val="13"/>
          <w:szCs w:val="13"/>
          <w:b w:val="1"/>
          <w:bCs w:val="1"/>
          <w:color w:val="B2B3B6"/>
        </w:rPr>
        <w:t>Proposals</w:t>
      </w:r>
      <w:r>
        <w:rPr>
          <w:sz w:val="20"/>
          <w:szCs w:val="20"/>
          <w:color w:val="auto"/>
        </w:rPr>
        <w:tab/>
      </w:r>
      <w:r>
        <w:rPr>
          <w:rFonts w:ascii="Arial" w:cs="Arial" w:eastAsia="Arial" w:hAnsi="Arial"/>
          <w:sz w:val="12"/>
          <w:szCs w:val="12"/>
          <w:b w:val="1"/>
          <w:bCs w:val="1"/>
          <w:color w:val="B2B3B6"/>
        </w:rPr>
        <w:t>Matters</w:t>
      </w:r>
    </w:p>
    <w:p>
      <w:pPr>
        <w:spacing w:after="0" w:line="314" w:lineRule="exact"/>
        <w:rPr>
          <w:sz w:val="20"/>
          <w:szCs w:val="20"/>
          <w:color w:val="auto"/>
        </w:rPr>
      </w:pPr>
    </w:p>
    <w:p>
      <w:pPr>
        <w:spacing w:after="0"/>
        <w:rPr>
          <w:sz w:val="20"/>
          <w:szCs w:val="20"/>
          <w:color w:val="auto"/>
        </w:rPr>
      </w:pPr>
      <w:r>
        <w:rPr>
          <w:rFonts w:ascii="Arial" w:cs="Arial" w:eastAsia="Arial" w:hAnsi="Arial"/>
          <w:sz w:val="22"/>
          <w:szCs w:val="22"/>
          <w:b w:val="1"/>
          <w:bCs w:val="1"/>
          <w:color w:val="00558C"/>
        </w:rPr>
        <w:t>Nominees to Board of Directors</w:t>
      </w:r>
    </w:p>
    <w:p>
      <w:pPr>
        <w:spacing w:after="0" w:line="305" w:lineRule="exact"/>
        <w:rPr>
          <w:sz w:val="20"/>
          <w:szCs w:val="20"/>
          <w:color w:val="auto"/>
        </w:rPr>
      </w:pPr>
    </w:p>
    <w:p>
      <w:pPr>
        <w:ind w:left="1720"/>
        <w:spacing w:after="0"/>
        <w:rPr>
          <w:sz w:val="20"/>
          <w:szCs w:val="20"/>
          <w:color w:val="auto"/>
        </w:rPr>
      </w:pPr>
      <w:r>
        <w:rPr>
          <w:rFonts w:ascii="Arial" w:cs="Arial" w:eastAsia="Arial" w:hAnsi="Arial"/>
          <w:sz w:val="47"/>
          <w:szCs w:val="47"/>
          <w:color w:val="FFFFFF"/>
        </w:rPr>
        <w:t>C. Mark Hussey</w:t>
      </w:r>
    </w:p>
    <w:p>
      <w:pPr>
        <w:spacing w:after="0" w:line="163" w:lineRule="exact"/>
        <w:rPr>
          <w:sz w:val="20"/>
          <w:szCs w:val="20"/>
          <w:color w:val="auto"/>
        </w:rPr>
      </w:pPr>
    </w:p>
    <w:p>
      <w:pPr>
        <w:ind w:left="1880"/>
        <w:spacing w:after="0"/>
        <w:rPr>
          <w:sz w:val="20"/>
          <w:szCs w:val="20"/>
          <w:color w:val="auto"/>
        </w:rPr>
      </w:pPr>
      <w:r>
        <w:rPr>
          <w:rFonts w:ascii="Arial" w:cs="Arial" w:eastAsia="Arial" w:hAnsi="Arial"/>
          <w:sz w:val="14"/>
          <w:szCs w:val="14"/>
          <w:b w:val="1"/>
          <w:bCs w:val="1"/>
          <w:color w:val="FFFFFF"/>
        </w:rPr>
        <w:t>EMPLOYEE DIRECTOR | NOT INDEPENDENT</w:t>
      </w:r>
    </w:p>
    <w:p>
      <w:pPr>
        <w:spacing w:after="0" w:line="136" w:lineRule="exact"/>
        <w:rPr>
          <w:sz w:val="20"/>
          <w:szCs w:val="20"/>
          <w:color w:val="auto"/>
        </w:rPr>
      </w:pPr>
    </w:p>
    <w:p>
      <w:pPr>
        <w:ind w:left="1720" w:right="1179"/>
        <w:spacing w:after="0" w:line="291" w:lineRule="auto"/>
        <w:rPr>
          <w:sz w:val="20"/>
          <w:szCs w:val="20"/>
          <w:color w:val="auto"/>
        </w:rPr>
      </w:pPr>
      <w:r>
        <w:rPr>
          <w:rFonts w:ascii="Arial" w:cs="Arial" w:eastAsia="Arial" w:hAnsi="Arial"/>
          <w:sz w:val="14"/>
          <w:szCs w:val="14"/>
          <w:b w:val="1"/>
          <w:bCs w:val="1"/>
          <w:color w:val="FFFFFF"/>
        </w:rPr>
        <w:t>Chief Executive Officer since January 2023, and President of Huron Consulting Group Inc. and Huron Consulting Services LLC since February 2019</w:t>
      </w:r>
    </w:p>
    <w:p>
      <w:pPr>
        <w:spacing w:after="0" w:line="1" w:lineRule="exact"/>
        <w:rPr>
          <w:sz w:val="20"/>
          <w:szCs w:val="20"/>
          <w:color w:val="auto"/>
        </w:rPr>
      </w:pPr>
    </w:p>
    <w:p>
      <w:pPr>
        <w:ind w:left="1720"/>
        <w:spacing w:after="0"/>
        <w:rPr>
          <w:sz w:val="20"/>
          <w:szCs w:val="20"/>
          <w:color w:val="auto"/>
        </w:rPr>
      </w:pPr>
      <w:r>
        <w:rPr>
          <w:rFonts w:ascii="Arial" w:cs="Arial" w:eastAsia="Arial" w:hAnsi="Arial"/>
          <w:sz w:val="14"/>
          <w:szCs w:val="14"/>
          <w:b w:val="1"/>
          <w:bCs w:val="1"/>
          <w:color w:val="FFFFFF"/>
        </w:rPr>
        <w:t>AGE: 64  | DIRECTOR SINCE: 2023</w:t>
      </w:r>
    </w:p>
    <w:p>
      <w:pPr>
        <w:sectPr>
          <w:pgSz w:w="11900" w:h="16838" w:orient="portrait"/>
          <w:cols w:equalWidth="0" w:num="1">
            <w:col w:w="9059"/>
          </w:cols>
          <w:pgMar w:left="140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tabs>
          <w:tab w:leader="none" w:pos="3100" w:val="left"/>
        </w:tabs>
        <w:rPr>
          <w:sz w:val="20"/>
          <w:szCs w:val="20"/>
          <w:color w:val="auto"/>
        </w:rPr>
      </w:pPr>
      <w:r>
        <w:rPr>
          <w:rFonts w:ascii="Arial" w:cs="Arial" w:eastAsia="Arial" w:hAnsi="Arial"/>
          <w:sz w:val="16"/>
          <w:szCs w:val="16"/>
          <w:b w:val="1"/>
          <w:bCs w:val="1"/>
          <w:color w:val="00558C"/>
        </w:rPr>
        <w:t>Professional Experience:</w:t>
      </w:r>
      <w:r>
        <w:rPr>
          <w:sz w:val="20"/>
          <w:szCs w:val="20"/>
          <w:color w:val="auto"/>
        </w:rPr>
        <w:tab/>
      </w:r>
      <w:r>
        <w:rPr>
          <w:rFonts w:ascii="Arial" w:cs="Arial" w:eastAsia="Arial" w:hAnsi="Arial"/>
          <w:sz w:val="16"/>
          <w:szCs w:val="16"/>
          <w:b w:val="1"/>
          <w:bCs w:val="1"/>
          <w:color w:val="00558C"/>
        </w:rPr>
        <w:t>Public Board Experience:</w:t>
      </w:r>
    </w:p>
    <w:p>
      <w:pPr>
        <w:spacing w:after="0" w:line="118" w:lineRule="exact"/>
        <w:rPr>
          <w:sz w:val="20"/>
          <w:szCs w:val="20"/>
          <w:color w:val="auto"/>
        </w:rPr>
      </w:pPr>
    </w:p>
    <w:p>
      <w:pPr>
        <w:spacing w:after="0"/>
        <w:tabs>
          <w:tab w:leader="none" w:pos="3100" w:val="left"/>
        </w:tabs>
        <w:rPr>
          <w:sz w:val="20"/>
          <w:szCs w:val="20"/>
          <w:color w:val="auto"/>
        </w:rPr>
      </w:pPr>
      <w:r>
        <w:rPr>
          <w:rFonts w:ascii="Arial" w:cs="Arial" w:eastAsia="Arial" w:hAnsi="Arial"/>
          <w:sz w:val="14"/>
          <w:szCs w:val="14"/>
          <w:b w:val="1"/>
          <w:bCs w:val="1"/>
          <w:color w:val="6AAA37"/>
        </w:rPr>
        <w:t xml:space="preserve">•  </w:t>
      </w:r>
      <w:r>
        <w:rPr>
          <w:rFonts w:ascii="Arial" w:cs="Arial" w:eastAsia="Arial" w:hAnsi="Arial"/>
          <w:sz w:val="14"/>
          <w:szCs w:val="14"/>
          <w:color w:val="000000"/>
        </w:rPr>
        <w:t>Chief Executive Officer since 2023, and</w:t>
      </w:r>
      <w:r>
        <w:rPr>
          <w:sz w:val="20"/>
          <w:szCs w:val="20"/>
          <w:color w:val="auto"/>
        </w:rPr>
        <w:tab/>
      </w:r>
      <w:r>
        <w:rPr>
          <w:rFonts w:ascii="Arial" w:cs="Arial" w:eastAsia="Arial" w:hAnsi="Arial"/>
          <w:sz w:val="14"/>
          <w:szCs w:val="14"/>
          <w:b w:val="1"/>
          <w:bCs w:val="1"/>
          <w:color w:val="6AAA37"/>
        </w:rPr>
        <w:t xml:space="preserve">•  </w:t>
      </w:r>
      <w:r>
        <w:rPr>
          <w:rFonts w:ascii="Arial" w:cs="Arial" w:eastAsia="Arial" w:hAnsi="Arial"/>
          <w:sz w:val="14"/>
          <w:szCs w:val="14"/>
          <w:color w:val="000000"/>
        </w:rPr>
        <w:t>Huron Consulting Group Inc, since 2023</w:t>
      </w:r>
    </w:p>
    <w:p>
      <w:pPr>
        <w:spacing w:after="0" w:line="35" w:lineRule="exact"/>
        <w:rPr>
          <w:sz w:val="20"/>
          <w:szCs w:val="20"/>
          <w:color w:val="auto"/>
        </w:rPr>
      </w:pPr>
    </w:p>
    <w:p>
      <w:pPr>
        <w:ind w:left="180"/>
        <w:spacing w:after="0"/>
        <w:rPr>
          <w:sz w:val="20"/>
          <w:szCs w:val="20"/>
          <w:color w:val="auto"/>
        </w:rPr>
      </w:pPr>
      <w:r>
        <w:rPr>
          <w:rFonts w:ascii="Arial" w:cs="Arial" w:eastAsia="Arial" w:hAnsi="Arial"/>
          <w:sz w:val="14"/>
          <w:szCs w:val="14"/>
          <w:color w:val="auto"/>
        </w:rPr>
        <w:t>President since 2019, Huron Consulting</w:t>
      </w:r>
    </w:p>
    <w:p>
      <w:pPr>
        <w:spacing w:after="0" w:line="34" w:lineRule="exact"/>
        <w:rPr>
          <w:sz w:val="20"/>
          <w:szCs w:val="20"/>
          <w:color w:val="auto"/>
        </w:rPr>
      </w:pPr>
    </w:p>
    <w:p>
      <w:pPr>
        <w:ind w:left="180"/>
        <w:spacing w:after="0"/>
        <w:rPr>
          <w:sz w:val="20"/>
          <w:szCs w:val="20"/>
          <w:color w:val="auto"/>
        </w:rPr>
      </w:pPr>
      <w:r>
        <w:rPr>
          <w:rFonts w:ascii="Arial" w:cs="Arial" w:eastAsia="Arial" w:hAnsi="Arial"/>
          <w:sz w:val="14"/>
          <w:szCs w:val="14"/>
          <w:color w:val="auto"/>
        </w:rPr>
        <w:t>Group Inc. and Huron Consulting Services</w:t>
      </w:r>
    </w:p>
    <w:p>
      <w:pPr>
        <w:spacing w:after="0" w:line="2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LLC, our principal operating subsidiary</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b w:val="1"/>
          <w:bCs w:val="1"/>
          <w:color w:val="6AAA37"/>
        </w:rPr>
        <w:t xml:space="preserve">•  </w:t>
      </w:r>
      <w:r>
        <w:rPr>
          <w:rFonts w:ascii="Arial" w:cs="Arial" w:eastAsia="Arial" w:hAnsi="Arial"/>
          <w:sz w:val="14"/>
          <w:szCs w:val="14"/>
          <w:color w:val="000000"/>
        </w:rPr>
        <w:t>Prior roles at Huron include: Chief</w:t>
      </w:r>
    </w:p>
    <w:p>
      <w:pPr>
        <w:spacing w:after="0" w:line="4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Operating Officer, 2014 – 2022, including</w:t>
      </w:r>
    </w:p>
    <w:p>
      <w:pPr>
        <w:spacing w:after="0" w:line="2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interim leader of the Healthcare segment</w:t>
      </w:r>
    </w:p>
    <w:p>
      <w:pPr>
        <w:spacing w:after="0" w:line="40" w:lineRule="exact"/>
        <w:rPr>
          <w:sz w:val="20"/>
          <w:szCs w:val="20"/>
          <w:color w:val="auto"/>
        </w:rPr>
      </w:pPr>
    </w:p>
    <w:p>
      <w:pPr>
        <w:ind w:left="180"/>
        <w:spacing w:after="0"/>
        <w:rPr>
          <w:sz w:val="20"/>
          <w:szCs w:val="20"/>
          <w:color w:val="auto"/>
        </w:rPr>
      </w:pPr>
      <w:r>
        <w:rPr>
          <w:rFonts w:ascii="Arial" w:cs="Arial" w:eastAsia="Arial" w:hAnsi="Arial"/>
          <w:sz w:val="14"/>
          <w:szCs w:val="14"/>
          <w:color w:val="auto"/>
        </w:rPr>
        <w:t>from 2017 - 2019; Executive Vice</w:t>
      </w:r>
    </w:p>
    <w:p>
      <w:pPr>
        <w:spacing w:after="0" w:line="2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President, 2011 – 2019; Chief Financial</w:t>
      </w:r>
    </w:p>
    <w:p>
      <w:pPr>
        <w:spacing w:after="0" w:line="28" w:lineRule="exact"/>
        <w:rPr>
          <w:sz w:val="20"/>
          <w:szCs w:val="20"/>
          <w:color w:val="auto"/>
        </w:rPr>
      </w:pPr>
    </w:p>
    <w:p>
      <w:pPr>
        <w:ind w:left="180"/>
        <w:spacing w:after="0"/>
        <w:rPr>
          <w:sz w:val="20"/>
          <w:szCs w:val="20"/>
          <w:color w:val="auto"/>
        </w:rPr>
      </w:pPr>
      <w:r>
        <w:rPr>
          <w:rFonts w:ascii="Arial" w:cs="Arial" w:eastAsia="Arial" w:hAnsi="Arial"/>
          <w:sz w:val="14"/>
          <w:szCs w:val="14"/>
          <w:color w:val="auto"/>
        </w:rPr>
        <w:t>Officer, 2011 – 2017 and Treasurer, 2011</w:t>
      </w:r>
    </w:p>
    <w:p>
      <w:pPr>
        <w:spacing w:after="0" w:line="40" w:lineRule="exact"/>
        <w:rPr>
          <w:sz w:val="20"/>
          <w:szCs w:val="20"/>
          <w:color w:val="auto"/>
        </w:rPr>
      </w:pPr>
    </w:p>
    <w:p>
      <w:pPr>
        <w:ind w:left="180"/>
        <w:spacing w:after="0"/>
        <w:rPr>
          <w:sz w:val="20"/>
          <w:szCs w:val="20"/>
          <w:color w:val="auto"/>
        </w:rPr>
      </w:pPr>
      <w:r>
        <w:rPr>
          <w:rFonts w:ascii="Arial" w:cs="Arial" w:eastAsia="Arial" w:hAnsi="Arial"/>
          <w:sz w:val="14"/>
          <w:szCs w:val="14"/>
          <w:color w:val="auto"/>
        </w:rPr>
        <w:t>– 2016</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b w:val="1"/>
          <w:bCs w:val="1"/>
          <w:color w:val="6AAA37"/>
        </w:rPr>
        <w:t xml:space="preserve">•  </w:t>
      </w:r>
      <w:r>
        <w:rPr>
          <w:rFonts w:ascii="Arial" w:cs="Arial" w:eastAsia="Arial" w:hAnsi="Arial"/>
          <w:sz w:val="14"/>
          <w:szCs w:val="14"/>
          <w:color w:val="000000"/>
        </w:rPr>
        <w:t>Chief Financial Officer, Crosscom</w:t>
      </w:r>
    </w:p>
    <w:p>
      <w:pPr>
        <w:spacing w:after="0" w:line="4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National, LLC, 2002 – 2011</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b w:val="1"/>
          <w:bCs w:val="1"/>
          <w:color w:val="6AAA37"/>
        </w:rPr>
        <w:t xml:space="preserve">•  </w:t>
      </w:r>
      <w:r>
        <w:rPr>
          <w:rFonts w:ascii="Arial" w:cs="Arial" w:eastAsia="Arial" w:hAnsi="Arial"/>
          <w:sz w:val="14"/>
          <w:szCs w:val="14"/>
          <w:color w:val="000000"/>
        </w:rPr>
        <w:t>Executive Vice President, Chief Financial</w:t>
      </w:r>
    </w:p>
    <w:p>
      <w:pPr>
        <w:spacing w:after="0" w:line="35" w:lineRule="exact"/>
        <w:rPr>
          <w:sz w:val="20"/>
          <w:szCs w:val="20"/>
          <w:color w:val="auto"/>
        </w:rPr>
      </w:pPr>
    </w:p>
    <w:p>
      <w:pPr>
        <w:ind w:left="180"/>
        <w:spacing w:after="0"/>
        <w:rPr>
          <w:sz w:val="20"/>
          <w:szCs w:val="20"/>
          <w:color w:val="auto"/>
        </w:rPr>
      </w:pPr>
      <w:r>
        <w:rPr>
          <w:rFonts w:ascii="Arial" w:cs="Arial" w:eastAsia="Arial" w:hAnsi="Arial"/>
          <w:sz w:val="14"/>
          <w:szCs w:val="14"/>
          <w:color w:val="auto"/>
        </w:rPr>
        <w:t>Officer, Information Resources, Inc., 2000</w:t>
      </w:r>
    </w:p>
    <w:p>
      <w:pPr>
        <w:spacing w:after="0" w:line="34" w:lineRule="exact"/>
        <w:rPr>
          <w:sz w:val="20"/>
          <w:szCs w:val="20"/>
          <w:color w:val="auto"/>
        </w:rPr>
      </w:pPr>
    </w:p>
    <w:p>
      <w:pPr>
        <w:ind w:left="180"/>
        <w:spacing w:after="0"/>
        <w:rPr>
          <w:sz w:val="20"/>
          <w:szCs w:val="20"/>
          <w:color w:val="auto"/>
        </w:rPr>
      </w:pPr>
      <w:r>
        <w:rPr>
          <w:rFonts w:ascii="Arial" w:cs="Arial" w:eastAsia="Arial" w:hAnsi="Arial"/>
          <w:sz w:val="14"/>
          <w:szCs w:val="14"/>
          <w:color w:val="auto"/>
        </w:rPr>
        <w:t>– 2002</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b w:val="1"/>
          <w:bCs w:val="1"/>
          <w:color w:val="6AAA37"/>
        </w:rPr>
        <w:t xml:space="preserve">•  </w:t>
      </w:r>
      <w:r>
        <w:rPr>
          <w:rFonts w:ascii="Arial" w:cs="Arial" w:eastAsia="Arial" w:hAnsi="Arial"/>
          <w:sz w:val="14"/>
          <w:szCs w:val="14"/>
          <w:color w:val="000000"/>
        </w:rPr>
        <w:t>Held senior finance, accounting and</w:t>
      </w:r>
    </w:p>
    <w:p>
      <w:pPr>
        <w:spacing w:after="0" w:line="4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investor relations positions at entities such</w:t>
      </w:r>
    </w:p>
    <w:p>
      <w:pPr>
        <w:spacing w:after="0" w:line="2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as EZLinks Golf, Inc., Dominick’s Finer</w:t>
      </w:r>
    </w:p>
    <w:p>
      <w:pPr>
        <w:spacing w:after="0" w:line="28" w:lineRule="exact"/>
        <w:rPr>
          <w:sz w:val="20"/>
          <w:szCs w:val="20"/>
          <w:color w:val="auto"/>
        </w:rPr>
      </w:pPr>
    </w:p>
    <w:p>
      <w:pPr>
        <w:ind w:left="180"/>
        <w:spacing w:after="0"/>
        <w:rPr>
          <w:sz w:val="20"/>
          <w:szCs w:val="20"/>
          <w:color w:val="auto"/>
        </w:rPr>
      </w:pPr>
      <w:r>
        <w:rPr>
          <w:rFonts w:ascii="Arial" w:cs="Arial" w:eastAsia="Arial" w:hAnsi="Arial"/>
          <w:sz w:val="14"/>
          <w:szCs w:val="14"/>
          <w:color w:val="auto"/>
        </w:rPr>
        <w:t>Foods, Inc. and the Quaker Oats</w:t>
      </w:r>
    </w:p>
    <w:p>
      <w:pPr>
        <w:spacing w:after="0" w:line="40" w:lineRule="exact"/>
        <w:rPr>
          <w:sz w:val="20"/>
          <w:szCs w:val="20"/>
          <w:color w:val="auto"/>
        </w:rPr>
      </w:pPr>
    </w:p>
    <w:p>
      <w:pPr>
        <w:ind w:left="180"/>
        <w:spacing w:after="0"/>
        <w:rPr>
          <w:sz w:val="20"/>
          <w:szCs w:val="20"/>
          <w:color w:val="auto"/>
        </w:rPr>
      </w:pPr>
      <w:r>
        <w:rPr>
          <w:rFonts w:ascii="Arial" w:cs="Arial" w:eastAsia="Arial" w:hAnsi="Arial"/>
          <w:sz w:val="14"/>
          <w:szCs w:val="14"/>
          <w:color w:val="auto"/>
        </w:rPr>
        <w:t>Company</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Education/Certifications:</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color w:val="6AAA37"/>
        </w:rPr>
        <w:t xml:space="preserve">•  </w:t>
      </w:r>
      <w:r>
        <w:rPr>
          <w:rFonts w:ascii="Arial" w:cs="Arial" w:eastAsia="Arial" w:hAnsi="Arial"/>
          <w:sz w:val="14"/>
          <w:szCs w:val="14"/>
          <w:color w:val="000000"/>
        </w:rPr>
        <w:t>B.S., Accountancy, University of Illinois,</w:t>
      </w:r>
    </w:p>
    <w:p>
      <w:pPr>
        <w:spacing w:after="0" w:line="4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Urbana-Champaign</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b w:val="1"/>
          <w:bCs w:val="1"/>
          <w:color w:val="6AAA37"/>
        </w:rPr>
        <w:t xml:space="preserve">•  </w:t>
      </w:r>
      <w:r>
        <w:rPr>
          <w:rFonts w:ascii="Arial" w:cs="Arial" w:eastAsia="Arial" w:hAnsi="Arial"/>
          <w:sz w:val="14"/>
          <w:szCs w:val="14"/>
          <w:color w:val="000000"/>
        </w:rPr>
        <w:t>M.B.A., Finance, University of Chicago</w:t>
      </w:r>
    </w:p>
    <w:p>
      <w:pPr>
        <w:spacing w:after="0" w:line="4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Graduate School of Business</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b w:val="1"/>
          <w:bCs w:val="1"/>
          <w:color w:val="6AAA37"/>
        </w:rPr>
        <w:t xml:space="preserve">•  </w:t>
      </w:r>
      <w:r>
        <w:rPr>
          <w:rFonts w:ascii="Arial" w:cs="Arial" w:eastAsia="Arial" w:hAnsi="Arial"/>
          <w:sz w:val="14"/>
          <w:szCs w:val="14"/>
          <w:color w:val="000000"/>
        </w:rPr>
        <w:t>Chartered Financial Analyst</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b w:val="1"/>
          <w:bCs w:val="1"/>
          <w:color w:val="6AAA37"/>
        </w:rPr>
        <w:t xml:space="preserve">•  </w:t>
      </w:r>
      <w:r>
        <w:rPr>
          <w:rFonts w:ascii="Arial" w:cs="Arial" w:eastAsia="Arial" w:hAnsi="Arial"/>
          <w:sz w:val="14"/>
          <w:szCs w:val="14"/>
          <w:color w:val="000000"/>
        </w:rPr>
        <w:t>Certified Management Accountant</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color w:val="6AAA37"/>
        </w:rPr>
        <w:t xml:space="preserve">•  </w:t>
      </w:r>
      <w:r>
        <w:rPr>
          <w:rFonts w:ascii="Arial" w:cs="Arial" w:eastAsia="Arial" w:hAnsi="Arial"/>
          <w:sz w:val="14"/>
          <w:szCs w:val="14"/>
          <w:color w:val="000000"/>
        </w:rPr>
        <w:t>Certified Public Accountant (inactive)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2"/>
          <w:szCs w:val="22"/>
          <w:b w:val="1"/>
          <w:bCs w:val="1"/>
          <w:color w:val="B2B3B6"/>
        </w:rPr>
        <w:t>Key Skills Sets:</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3"/>
          <w:szCs w:val="13"/>
          <w:b w:val="1"/>
          <w:bCs w:val="1"/>
          <w:color w:val="6AAA37"/>
        </w:rPr>
        <w:t>ACCOUNTING | FINANCE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2"/>
          <w:szCs w:val="12"/>
          <w:b w:val="1"/>
          <w:bCs w:val="1"/>
          <w:color w:val="6AAA37"/>
        </w:rPr>
        <w:t>CORPORATE GOVERNANCE | LAW</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3"/>
          <w:szCs w:val="13"/>
          <w:b w:val="1"/>
          <w:bCs w:val="1"/>
          <w:color w:val="6AAA37"/>
        </w:rPr>
        <w:t>SENIOR EXECUTIVE LEADERSHIP</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2"/>
          <w:szCs w:val="12"/>
          <w:b w:val="1"/>
          <w:bCs w:val="1"/>
          <w:color w:val="6AAA37"/>
        </w:rPr>
        <w:t>RISK MANAGEMENT &amp; OVERSIGHT</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3"/>
          <w:szCs w:val="13"/>
          <w:b w:val="1"/>
          <w:bCs w:val="1"/>
          <w:color w:val="6AAA37"/>
        </w:rPr>
        <w:t>TECHNOLOGY</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3"/>
          <w:szCs w:val="13"/>
          <w:b w:val="1"/>
          <w:bCs w:val="1"/>
          <w:color w:val="6AAA37"/>
        </w:rPr>
        <w:t>GLOBAL BUSINESS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3"/>
          <w:szCs w:val="13"/>
          <w:b w:val="1"/>
          <w:bCs w:val="1"/>
          <w:color w:val="6AAA37"/>
        </w:rPr>
        <w:t>HEALTHCARE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3"/>
          <w:szCs w:val="13"/>
          <w:b w:val="1"/>
          <w:bCs w:val="1"/>
          <w:color w:val="6AAA37"/>
        </w:rPr>
        <w:t>HIGHER EDUCATION</w:t>
      </w:r>
    </w:p>
    <w:p>
      <w:pPr>
        <w:spacing w:after="0" w:line="200" w:lineRule="exact"/>
        <w:rPr>
          <w:sz w:val="20"/>
          <w:szCs w:val="20"/>
          <w:color w:val="auto"/>
        </w:rPr>
      </w:pPr>
    </w:p>
    <w:p>
      <w:pPr>
        <w:sectPr>
          <w:pgSz w:w="11900" w:h="16838" w:orient="portrait"/>
          <w:cols w:equalWidth="0" w:num="2">
            <w:col w:w="5840" w:space="640"/>
            <w:col w:w="2579"/>
          </w:cols>
          <w:pgMar w:left="1400" w:top="1440" w:right="1440" w:bottom="0" w:gutter="0" w:footer="0" w:header="0"/>
          <w:type w:val="continuous"/>
        </w:sectPr>
      </w:pP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Individual Contributions:</w:t>
      </w:r>
    </w:p>
    <w:p>
      <w:pPr>
        <w:sectPr>
          <w:pgSz w:w="11900" w:h="16838" w:orient="portrait"/>
          <w:cols w:equalWidth="0" w:num="1">
            <w:col w:w="9059"/>
          </w:cols>
          <w:pgMar w:left="1400" w:top="1440" w:right="1440" w:bottom="0" w:gutter="0" w:footer="0" w:header="0"/>
          <w:type w:val="continuous"/>
        </w:sectPr>
      </w:pPr>
    </w:p>
    <w:bookmarkStart w:id="16" w:name="page17"/>
    <w:bookmarkEnd w:id="16"/>
    <w:p>
      <w:pPr>
        <w:ind w:right="20"/>
        <w:spacing w:after="0" w:line="211" w:lineRule="auto"/>
        <w:rPr>
          <w:sz w:val="20"/>
          <w:szCs w:val="20"/>
          <w:color w:val="auto"/>
        </w:rPr>
      </w:pPr>
      <w:r>
        <w:rPr>
          <w:rFonts w:ascii="Arial" w:cs="Arial" w:eastAsia="Arial" w:hAnsi="Arial"/>
          <w:sz w:val="14"/>
          <w:szCs w:val="14"/>
          <w:color w:val="auto"/>
        </w:rPr>
        <w:t>Through his distinguished career at Huron, Mr. Hussey brings to the board his hands-on perspective of the Company's strategy and operations. Along with his prior executive roles in finance, administration and in professional IT services, Mr. Hussey contributes to the board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-165100</wp:posOffset>
            </wp:positionV>
            <wp:extent cx="6810375" cy="16135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10375" cy="161353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unique understanding of the Huron organization, the consulting business, and the businesses of our clients.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60"/>
        <w:spacing w:after="0"/>
        <w:tabs>
          <w:tab w:leader="none" w:pos="448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13"/>
          <w:szCs w:val="13"/>
          <w:b w:val="1"/>
          <w:bCs w:val="1"/>
          <w:color w:val="00558C"/>
        </w:rPr>
        <w:t>6</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420370</wp:posOffset>
            </wp:positionV>
            <wp:extent cx="6810375" cy="88201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10375" cy="882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540" w:val="left"/>
          <w:tab w:leader="none" w:pos="7360" w:val="left"/>
          <w:tab w:leader="none" w:pos="8400" w:val="left"/>
        </w:tabs>
        <w:rPr>
          <w:sz w:val="20"/>
          <w:szCs w:val="20"/>
          <w:color w:val="auto"/>
        </w:rPr>
      </w:pPr>
      <w:r>
        <w:rPr>
          <w:rFonts w:ascii="Arial" w:cs="Arial" w:eastAsia="Arial" w:hAnsi="Arial"/>
          <w:sz w:val="13"/>
          <w:szCs w:val="13"/>
          <w:b w:val="1"/>
          <w:bCs w:val="1"/>
          <w:color w:val="B2B3B6"/>
        </w:rPr>
        <w:t>General</w:t>
      </w:r>
      <w:r>
        <w:rPr>
          <w:sz w:val="20"/>
          <w:szCs w:val="20"/>
          <w:color w:val="auto"/>
        </w:rPr>
        <w:tab/>
      </w:r>
      <w:r>
        <w:rPr>
          <w:rFonts w:ascii="Arial" w:cs="Arial" w:eastAsia="Arial" w:hAnsi="Arial"/>
          <w:sz w:val="13"/>
          <w:szCs w:val="13"/>
          <w:b w:val="1"/>
          <w:bCs w:val="1"/>
          <w:color w:val="6AAA37"/>
        </w:rPr>
        <w:t>Proposal</w:t>
      </w:r>
      <w:r>
        <w:rPr>
          <w:sz w:val="20"/>
          <w:szCs w:val="20"/>
          <w:color w:val="auto"/>
        </w:rPr>
        <w:tab/>
      </w:r>
      <w:r>
        <w:rPr>
          <w:rFonts w:ascii="Arial" w:cs="Arial" w:eastAsia="Arial" w:hAnsi="Arial"/>
          <w:sz w:val="13"/>
          <w:szCs w:val="13"/>
          <w:b w:val="1"/>
          <w:bCs w:val="1"/>
          <w:color w:val="B2B3B6"/>
        </w:rPr>
        <w:t>Corporate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Executive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Stockholder</w:t>
      </w:r>
      <w:r>
        <w:rPr>
          <w:sz w:val="20"/>
          <w:szCs w:val="20"/>
          <w:color w:val="auto"/>
        </w:rPr>
        <w:tab/>
      </w:r>
      <w:r>
        <w:rPr>
          <w:rFonts w:ascii="Arial" w:cs="Arial" w:eastAsia="Arial" w:hAnsi="Arial"/>
          <w:sz w:val="12"/>
          <w:szCs w:val="12"/>
          <w:b w:val="1"/>
          <w:bCs w:val="1"/>
          <w:color w:val="B2B3B6"/>
        </w:rPr>
        <w:t>Other</w:t>
      </w:r>
    </w:p>
    <w:p>
      <w:pPr>
        <w:spacing w:after="0" w:line="11"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540" w:val="left"/>
          <w:tab w:leader="none" w:pos="7360" w:val="left"/>
          <w:tab w:leader="none" w:pos="8400" w:val="left"/>
        </w:tabs>
        <w:rPr>
          <w:sz w:val="20"/>
          <w:szCs w:val="20"/>
          <w:color w:val="auto"/>
        </w:rPr>
      </w:pPr>
      <w:r>
        <w:rPr>
          <w:rFonts w:ascii="Arial" w:cs="Arial" w:eastAsia="Arial" w:hAnsi="Arial"/>
          <w:sz w:val="13"/>
          <w:szCs w:val="13"/>
          <w:b w:val="1"/>
          <w:bCs w:val="1"/>
          <w:color w:val="B2B3B6"/>
        </w:rPr>
        <w:t>Information</w:t>
      </w:r>
      <w:r>
        <w:rPr>
          <w:sz w:val="20"/>
          <w:szCs w:val="20"/>
          <w:color w:val="auto"/>
        </w:rPr>
        <w:tab/>
      </w:r>
      <w:r>
        <w:rPr>
          <w:rFonts w:ascii="Arial" w:cs="Arial" w:eastAsia="Arial" w:hAnsi="Arial"/>
          <w:sz w:val="13"/>
          <w:szCs w:val="13"/>
          <w:b w:val="1"/>
          <w:bCs w:val="1"/>
          <w:color w:val="6AAA37"/>
        </w:rPr>
        <w:t>One</w:t>
      </w:r>
      <w:r>
        <w:rPr>
          <w:sz w:val="20"/>
          <w:szCs w:val="20"/>
          <w:color w:val="auto"/>
        </w:rPr>
        <w:tab/>
      </w:r>
      <w:r>
        <w:rPr>
          <w:rFonts w:ascii="Arial" w:cs="Arial" w:eastAsia="Arial" w:hAnsi="Arial"/>
          <w:sz w:val="13"/>
          <w:szCs w:val="13"/>
          <w:b w:val="1"/>
          <w:bCs w:val="1"/>
          <w:color w:val="B2B3B6"/>
        </w:rPr>
        <w:t>Governance</w:t>
      </w:r>
      <w:r>
        <w:rPr>
          <w:sz w:val="20"/>
          <w:szCs w:val="20"/>
          <w:color w:val="auto"/>
        </w:rPr>
        <w:tab/>
      </w:r>
      <w:r>
        <w:rPr>
          <w:rFonts w:ascii="Arial" w:cs="Arial" w:eastAsia="Arial" w:hAnsi="Arial"/>
          <w:sz w:val="13"/>
          <w:szCs w:val="13"/>
          <w:b w:val="1"/>
          <w:bCs w:val="1"/>
          <w:color w:val="B2B3B6"/>
        </w:rPr>
        <w:t>Two</w:t>
      </w:r>
      <w:r>
        <w:rPr>
          <w:sz w:val="20"/>
          <w:szCs w:val="20"/>
          <w:color w:val="auto"/>
        </w:rPr>
        <w:tab/>
      </w:r>
      <w:r>
        <w:rPr>
          <w:rFonts w:ascii="Arial" w:cs="Arial" w:eastAsia="Arial" w:hAnsi="Arial"/>
          <w:sz w:val="13"/>
          <w:szCs w:val="13"/>
          <w:b w:val="1"/>
          <w:bCs w:val="1"/>
          <w:color w:val="B2B3B6"/>
        </w:rPr>
        <w:t>Compensation</w:t>
      </w:r>
      <w:r>
        <w:rPr>
          <w:sz w:val="20"/>
          <w:szCs w:val="20"/>
          <w:color w:val="auto"/>
        </w:rPr>
        <w:tab/>
      </w:r>
      <w:r>
        <w:rPr>
          <w:rFonts w:ascii="Arial" w:cs="Arial" w:eastAsia="Arial" w:hAnsi="Arial"/>
          <w:sz w:val="13"/>
          <w:szCs w:val="13"/>
          <w:b w:val="1"/>
          <w:bCs w:val="1"/>
          <w:color w:val="B2B3B6"/>
        </w:rPr>
        <w:t>Three</w:t>
      </w:r>
      <w:r>
        <w:rPr>
          <w:sz w:val="20"/>
          <w:szCs w:val="20"/>
          <w:color w:val="auto"/>
        </w:rPr>
        <w:tab/>
      </w:r>
      <w:r>
        <w:rPr>
          <w:rFonts w:ascii="Arial" w:cs="Arial" w:eastAsia="Arial" w:hAnsi="Arial"/>
          <w:sz w:val="13"/>
          <w:szCs w:val="13"/>
          <w:b w:val="1"/>
          <w:bCs w:val="1"/>
          <w:color w:val="B2B3B6"/>
        </w:rPr>
        <w:t>Four</w:t>
      </w:r>
      <w:r>
        <w:rPr>
          <w:sz w:val="20"/>
          <w:szCs w:val="20"/>
          <w:color w:val="auto"/>
        </w:rPr>
        <w:tab/>
      </w:r>
      <w:r>
        <w:rPr>
          <w:rFonts w:ascii="Arial" w:cs="Arial" w:eastAsia="Arial" w:hAnsi="Arial"/>
          <w:sz w:val="13"/>
          <w:szCs w:val="13"/>
          <w:b w:val="1"/>
          <w:bCs w:val="1"/>
          <w:color w:val="B2B3B6"/>
        </w:rPr>
        <w:t>Five</w:t>
      </w:r>
      <w:r>
        <w:rPr>
          <w:sz w:val="20"/>
          <w:szCs w:val="20"/>
          <w:color w:val="auto"/>
        </w:rPr>
        <w:tab/>
      </w:r>
      <w:r>
        <w:rPr>
          <w:rFonts w:ascii="Arial" w:cs="Arial" w:eastAsia="Arial" w:hAnsi="Arial"/>
          <w:sz w:val="13"/>
          <w:szCs w:val="13"/>
          <w:b w:val="1"/>
          <w:bCs w:val="1"/>
          <w:color w:val="B2B3B6"/>
        </w:rPr>
        <w:t>Proposals</w:t>
      </w:r>
      <w:r>
        <w:rPr>
          <w:sz w:val="20"/>
          <w:szCs w:val="20"/>
          <w:color w:val="auto"/>
        </w:rPr>
        <w:tab/>
      </w:r>
      <w:r>
        <w:rPr>
          <w:rFonts w:ascii="Arial" w:cs="Arial" w:eastAsia="Arial" w:hAnsi="Arial"/>
          <w:sz w:val="12"/>
          <w:szCs w:val="12"/>
          <w:b w:val="1"/>
          <w:bCs w:val="1"/>
          <w:color w:val="B2B3B6"/>
        </w:rPr>
        <w:t>Matters</w:t>
      </w:r>
    </w:p>
    <w:p>
      <w:pPr>
        <w:spacing w:after="0" w:line="200" w:lineRule="exact"/>
        <w:rPr>
          <w:sz w:val="20"/>
          <w:szCs w:val="20"/>
          <w:color w:val="auto"/>
        </w:rPr>
      </w:pPr>
    </w:p>
    <w:p>
      <w:pPr>
        <w:spacing w:after="0" w:line="294" w:lineRule="exact"/>
        <w:rPr>
          <w:sz w:val="20"/>
          <w:szCs w:val="20"/>
          <w:color w:val="auto"/>
        </w:rPr>
      </w:pPr>
    </w:p>
    <w:p>
      <w:pPr>
        <w:ind w:left="1720"/>
        <w:spacing w:after="0"/>
        <w:rPr>
          <w:sz w:val="20"/>
          <w:szCs w:val="20"/>
          <w:color w:val="auto"/>
        </w:rPr>
      </w:pPr>
      <w:r>
        <w:rPr>
          <w:rFonts w:ascii="Arial" w:cs="Arial" w:eastAsia="Arial" w:hAnsi="Arial"/>
          <w:sz w:val="47"/>
          <w:szCs w:val="47"/>
          <w:color w:val="FFFFFF"/>
        </w:rPr>
        <w:t>Peter K. Markell</w:t>
      </w:r>
    </w:p>
    <w:p>
      <w:pPr>
        <w:spacing w:after="0" w:line="163" w:lineRule="exact"/>
        <w:rPr>
          <w:sz w:val="20"/>
          <w:szCs w:val="20"/>
          <w:color w:val="auto"/>
        </w:rPr>
      </w:pPr>
    </w:p>
    <w:p>
      <w:pPr>
        <w:ind w:left="1900"/>
        <w:spacing w:after="0"/>
        <w:rPr>
          <w:sz w:val="20"/>
          <w:szCs w:val="20"/>
          <w:color w:val="auto"/>
        </w:rPr>
      </w:pPr>
      <w:r>
        <w:rPr>
          <w:rFonts w:ascii="Arial" w:cs="Arial" w:eastAsia="Arial" w:hAnsi="Arial"/>
          <w:sz w:val="14"/>
          <w:szCs w:val="14"/>
          <w:b w:val="1"/>
          <w:bCs w:val="1"/>
          <w:color w:val="FFFFFF"/>
        </w:rPr>
        <w:t>INDEPENDENT</w:t>
      </w:r>
    </w:p>
    <w:p>
      <w:pPr>
        <w:spacing w:after="0" w:line="204" w:lineRule="exact"/>
        <w:rPr>
          <w:sz w:val="20"/>
          <w:szCs w:val="20"/>
          <w:color w:val="auto"/>
        </w:rPr>
      </w:pPr>
    </w:p>
    <w:p>
      <w:pPr>
        <w:ind w:left="1720"/>
        <w:spacing w:after="0"/>
        <w:rPr>
          <w:sz w:val="20"/>
          <w:szCs w:val="20"/>
          <w:color w:val="auto"/>
        </w:rPr>
      </w:pPr>
      <w:r>
        <w:rPr>
          <w:rFonts w:ascii="Arial" w:cs="Arial" w:eastAsia="Arial" w:hAnsi="Arial"/>
          <w:sz w:val="14"/>
          <w:szCs w:val="14"/>
          <w:b w:val="1"/>
          <w:bCs w:val="1"/>
          <w:color w:val="FFFFFF"/>
        </w:rPr>
        <w:t>AGE: 69  | DIRECTOR SINCE: MARCH 2022</w:t>
      </w:r>
    </w:p>
    <w:p>
      <w:pPr>
        <w:spacing w:after="0" w:line="55" w:lineRule="exact"/>
        <w:rPr>
          <w:sz w:val="20"/>
          <w:szCs w:val="20"/>
          <w:color w:val="auto"/>
        </w:rPr>
      </w:pPr>
    </w:p>
    <w:p>
      <w:pPr>
        <w:ind w:left="1720"/>
        <w:spacing w:after="0"/>
        <w:rPr>
          <w:sz w:val="20"/>
          <w:szCs w:val="20"/>
          <w:color w:val="auto"/>
        </w:rPr>
      </w:pPr>
      <w:r>
        <w:rPr>
          <w:rFonts w:ascii="Arial" w:cs="Arial" w:eastAsia="Arial" w:hAnsi="Arial"/>
          <w:sz w:val="14"/>
          <w:szCs w:val="14"/>
          <w:b w:val="1"/>
          <w:bCs w:val="1"/>
          <w:color w:val="FFFFFF"/>
        </w:rPr>
        <w:t>COMMITTEES: A (CHAIR) | N &amp; CG (MEMBER) | T&amp;IS (MEMBER)</w:t>
      </w:r>
    </w:p>
    <w:p>
      <w:pPr>
        <w:sectPr>
          <w:pgSz w:w="11900" w:h="16838" w:orient="portrait"/>
          <w:cols w:equalWidth="0" w:num="1">
            <w:col w:w="9080"/>
          </w:cols>
          <w:pgMar w:left="1400" w:top="118" w:right="1419" w:bottom="3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Professional Experience:</w:t>
      </w:r>
    </w:p>
    <w:p>
      <w:pPr>
        <w:spacing w:after="0" w:line="118" w:lineRule="exact"/>
        <w:rPr>
          <w:sz w:val="20"/>
          <w:szCs w:val="20"/>
          <w:color w:val="auto"/>
        </w:rPr>
      </w:pPr>
    </w:p>
    <w:p>
      <w:pPr>
        <w:ind w:left="180" w:right="160" w:hanging="172"/>
        <w:spacing w:after="0" w:line="303" w:lineRule="auto"/>
        <w:tabs>
          <w:tab w:leader="none" w:pos="180" w:val="left"/>
        </w:tabs>
        <w:numPr>
          <w:ilvl w:val="0"/>
          <w:numId w:val="10"/>
        </w:numPr>
        <w:rPr>
          <w:rFonts w:ascii="Arial" w:cs="Arial" w:eastAsia="Arial" w:hAnsi="Arial"/>
          <w:sz w:val="14"/>
          <w:szCs w:val="14"/>
          <w:b w:val="1"/>
          <w:bCs w:val="1"/>
          <w:color w:val="6AAA37"/>
        </w:rPr>
      </w:pPr>
      <w:r>
        <w:rPr>
          <w:rFonts w:ascii="Arial" w:cs="Arial" w:eastAsia="Arial" w:hAnsi="Arial"/>
          <w:sz w:val="14"/>
          <w:szCs w:val="14"/>
          <w:color w:val="auto"/>
        </w:rPr>
        <w:t>Executive Vice President and CFO of Brown University Health, f/k/a/ Lifespan, since 2023</w:t>
      </w:r>
    </w:p>
    <w:p>
      <w:pPr>
        <w:spacing w:after="0" w:line="24" w:lineRule="exact"/>
        <w:rPr>
          <w:rFonts w:ascii="Arial" w:cs="Arial" w:eastAsia="Arial" w:hAnsi="Arial"/>
          <w:sz w:val="14"/>
          <w:szCs w:val="14"/>
          <w:b w:val="1"/>
          <w:bCs w:val="1"/>
          <w:color w:val="6AAA37"/>
        </w:rPr>
      </w:pPr>
    </w:p>
    <w:p>
      <w:pPr>
        <w:ind w:left="180" w:hanging="172"/>
        <w:spacing w:after="0" w:line="302" w:lineRule="auto"/>
        <w:tabs>
          <w:tab w:leader="none" w:pos="180" w:val="left"/>
        </w:tabs>
        <w:numPr>
          <w:ilvl w:val="0"/>
          <w:numId w:val="10"/>
        </w:numPr>
        <w:rPr>
          <w:rFonts w:ascii="Arial" w:cs="Arial" w:eastAsia="Arial" w:hAnsi="Arial"/>
          <w:sz w:val="14"/>
          <w:szCs w:val="14"/>
          <w:b w:val="1"/>
          <w:bCs w:val="1"/>
          <w:color w:val="6AAA37"/>
        </w:rPr>
      </w:pPr>
      <w:r>
        <w:rPr>
          <w:rFonts w:ascii="Arial" w:cs="Arial" w:eastAsia="Arial" w:hAnsi="Arial"/>
          <w:sz w:val="14"/>
          <w:szCs w:val="14"/>
          <w:color w:val="auto"/>
        </w:rPr>
        <w:t>Executive Vice President of Administration and Finance, CFO and Treasurer at Mass General Brigham (formally Partners HealthCare), 1999 – 2021</w:t>
      </w:r>
    </w:p>
    <w:p>
      <w:pPr>
        <w:spacing w:after="0" w:line="13" w:lineRule="exact"/>
        <w:rPr>
          <w:rFonts w:ascii="Arial" w:cs="Arial" w:eastAsia="Arial" w:hAnsi="Arial"/>
          <w:sz w:val="14"/>
          <w:szCs w:val="14"/>
          <w:b w:val="1"/>
          <w:bCs w:val="1"/>
          <w:color w:val="6AAA37"/>
        </w:rPr>
      </w:pPr>
    </w:p>
    <w:p>
      <w:pPr>
        <w:ind w:left="180" w:hanging="172"/>
        <w:spacing w:after="0"/>
        <w:tabs>
          <w:tab w:leader="none" w:pos="180" w:val="left"/>
        </w:tabs>
        <w:numPr>
          <w:ilvl w:val="0"/>
          <w:numId w:val="10"/>
        </w:numPr>
        <w:rPr>
          <w:rFonts w:ascii="Arial" w:cs="Arial" w:eastAsia="Arial" w:hAnsi="Arial"/>
          <w:sz w:val="14"/>
          <w:szCs w:val="14"/>
          <w:b w:val="1"/>
          <w:bCs w:val="1"/>
          <w:color w:val="6AAA37"/>
        </w:rPr>
      </w:pPr>
      <w:r>
        <w:rPr>
          <w:rFonts w:ascii="Arial" w:cs="Arial" w:eastAsia="Arial" w:hAnsi="Arial"/>
          <w:sz w:val="14"/>
          <w:szCs w:val="14"/>
          <w:color w:val="auto"/>
        </w:rPr>
        <w:t>Audit Partner at Ernst and Young LLP</w:t>
      </w:r>
    </w:p>
    <w:p>
      <w:pPr>
        <w:spacing w:after="0" w:line="95" w:lineRule="exact"/>
        <w:rPr>
          <w:rFonts w:ascii="Arial" w:cs="Arial" w:eastAsia="Arial" w:hAnsi="Arial"/>
          <w:sz w:val="14"/>
          <w:szCs w:val="14"/>
          <w:b w:val="1"/>
          <w:bCs w:val="1"/>
          <w:color w:val="6AAA37"/>
        </w:rPr>
      </w:pPr>
    </w:p>
    <w:p>
      <w:pPr>
        <w:ind w:left="180" w:right="640" w:hanging="172"/>
        <w:spacing w:after="0" w:line="325" w:lineRule="auto"/>
        <w:tabs>
          <w:tab w:leader="none" w:pos="180" w:val="left"/>
        </w:tabs>
        <w:numPr>
          <w:ilvl w:val="0"/>
          <w:numId w:val="10"/>
        </w:numPr>
        <w:rPr>
          <w:rFonts w:ascii="Arial" w:cs="Arial" w:eastAsia="Arial" w:hAnsi="Arial"/>
          <w:sz w:val="14"/>
          <w:szCs w:val="14"/>
          <w:b w:val="1"/>
          <w:bCs w:val="1"/>
          <w:color w:val="6AAA37"/>
        </w:rPr>
      </w:pPr>
      <w:r>
        <w:rPr>
          <w:rFonts w:ascii="Arial" w:cs="Arial" w:eastAsia="Arial" w:hAnsi="Arial"/>
          <w:sz w:val="14"/>
          <w:szCs w:val="14"/>
          <w:color w:val="auto"/>
        </w:rPr>
        <w:t>Interim Chief Financial Officer, Massachusetts General Hospital</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Education/Certifications:</w:t>
      </w:r>
    </w:p>
    <w:p>
      <w:pPr>
        <w:spacing w:after="0" w:line="91" w:lineRule="exact"/>
        <w:rPr>
          <w:sz w:val="20"/>
          <w:szCs w:val="20"/>
          <w:color w:val="auto"/>
        </w:rPr>
      </w:pPr>
    </w:p>
    <w:p>
      <w:pPr>
        <w:ind w:left="180" w:right="120" w:hanging="172"/>
        <w:spacing w:after="0" w:line="325" w:lineRule="auto"/>
        <w:tabs>
          <w:tab w:leader="none" w:pos="180" w:val="left"/>
        </w:tabs>
        <w:numPr>
          <w:ilvl w:val="0"/>
          <w:numId w:val="11"/>
        </w:numPr>
        <w:rPr>
          <w:rFonts w:ascii="Arial" w:cs="Arial" w:eastAsia="Arial" w:hAnsi="Arial"/>
          <w:sz w:val="14"/>
          <w:szCs w:val="14"/>
          <w:b w:val="1"/>
          <w:bCs w:val="1"/>
          <w:color w:val="6AAA37"/>
        </w:rPr>
      </w:pPr>
      <w:r>
        <w:rPr>
          <w:rFonts w:ascii="Arial" w:cs="Arial" w:eastAsia="Arial" w:hAnsi="Arial"/>
          <w:sz w:val="14"/>
          <w:szCs w:val="14"/>
          <w:color w:val="auto"/>
        </w:rPr>
        <w:t>B.S./B.A., with concentrations in Accounting and Finance, Boston College</w:t>
      </w:r>
    </w:p>
    <w:p>
      <w:pPr>
        <w:spacing w:after="0" w:line="9" w:lineRule="exact"/>
        <w:rPr>
          <w:rFonts w:ascii="Arial" w:cs="Arial" w:eastAsia="Arial" w:hAnsi="Arial"/>
          <w:sz w:val="14"/>
          <w:szCs w:val="14"/>
          <w:b w:val="1"/>
          <w:bCs w:val="1"/>
          <w:color w:val="6AAA37"/>
        </w:rPr>
      </w:pPr>
    </w:p>
    <w:p>
      <w:pPr>
        <w:ind w:left="180" w:hanging="172"/>
        <w:spacing w:after="0"/>
        <w:tabs>
          <w:tab w:leader="none" w:pos="180" w:val="left"/>
        </w:tabs>
        <w:numPr>
          <w:ilvl w:val="0"/>
          <w:numId w:val="11"/>
        </w:numPr>
        <w:rPr>
          <w:rFonts w:ascii="Arial" w:cs="Arial" w:eastAsia="Arial" w:hAnsi="Arial"/>
          <w:sz w:val="14"/>
          <w:szCs w:val="14"/>
          <w:b w:val="1"/>
          <w:bCs w:val="1"/>
          <w:color w:val="6AAA37"/>
        </w:rPr>
      </w:pPr>
      <w:r>
        <w:rPr>
          <w:rFonts w:ascii="Arial" w:cs="Arial" w:eastAsia="Arial" w:hAnsi="Arial"/>
          <w:sz w:val="14"/>
          <w:szCs w:val="14"/>
          <w:color w:val="auto"/>
        </w:rPr>
        <w:t>Certified Public Accountant (inactive)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Individual Contributions: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00558C"/>
        </w:rPr>
        <w:t>Public Board Experience:</w:t>
      </w:r>
    </w:p>
    <w:p>
      <w:pPr>
        <w:spacing w:after="0" w:line="77" w:lineRule="exact"/>
        <w:rPr>
          <w:sz w:val="20"/>
          <w:szCs w:val="20"/>
          <w:color w:val="auto"/>
        </w:rPr>
      </w:pPr>
    </w:p>
    <w:p>
      <w:pPr>
        <w:ind w:left="167" w:hanging="167"/>
        <w:spacing w:after="0" w:line="302" w:lineRule="auto"/>
        <w:tabs>
          <w:tab w:leader="none" w:pos="167" w:val="left"/>
        </w:tabs>
        <w:numPr>
          <w:ilvl w:val="0"/>
          <w:numId w:val="12"/>
        </w:numPr>
        <w:rPr>
          <w:rFonts w:ascii="Arial" w:cs="Arial" w:eastAsia="Arial" w:hAnsi="Arial"/>
          <w:sz w:val="14"/>
          <w:szCs w:val="14"/>
          <w:b w:val="1"/>
          <w:bCs w:val="1"/>
          <w:color w:val="6AAA37"/>
        </w:rPr>
      </w:pPr>
      <w:r>
        <w:rPr>
          <w:rFonts w:ascii="Arial" w:cs="Arial" w:eastAsia="Arial" w:hAnsi="Arial"/>
          <w:sz w:val="14"/>
          <w:szCs w:val="14"/>
          <w:color w:val="auto"/>
        </w:rPr>
        <w:t>Eastern Bank since 2006; currently the chair of the audit committee; member of compensation committee, risk management committee and nominating and corporate governance committee</w:t>
      </w:r>
    </w:p>
    <w:p>
      <w:pPr>
        <w:spacing w:after="0" w:line="62" w:lineRule="exact"/>
        <w:rPr>
          <w:sz w:val="20"/>
          <w:szCs w:val="20"/>
          <w:color w:val="auto"/>
        </w:rPr>
      </w:pPr>
    </w:p>
    <w:p>
      <w:pPr>
        <w:ind w:left="7" w:right="600"/>
        <w:spacing w:after="0" w:line="314" w:lineRule="auto"/>
        <w:rPr>
          <w:sz w:val="20"/>
          <w:szCs w:val="20"/>
          <w:color w:val="auto"/>
        </w:rPr>
      </w:pPr>
      <w:r>
        <w:rPr>
          <w:rFonts w:ascii="Arial" w:cs="Arial" w:eastAsia="Arial" w:hAnsi="Arial"/>
          <w:sz w:val="16"/>
          <w:szCs w:val="16"/>
          <w:b w:val="1"/>
          <w:bCs w:val="1"/>
          <w:color w:val="00558C"/>
        </w:rPr>
        <w:t>Non-public board and other advisory services:</w:t>
      </w:r>
    </w:p>
    <w:p>
      <w:pPr>
        <w:spacing w:after="0" w:line="23" w:lineRule="exact"/>
        <w:rPr>
          <w:sz w:val="20"/>
          <w:szCs w:val="20"/>
          <w:color w:val="auto"/>
        </w:rPr>
      </w:pPr>
    </w:p>
    <w:p>
      <w:pPr>
        <w:ind w:left="167" w:right="640" w:hanging="167"/>
        <w:spacing w:after="0" w:line="325" w:lineRule="auto"/>
        <w:tabs>
          <w:tab w:leader="none" w:pos="167" w:val="left"/>
        </w:tabs>
        <w:numPr>
          <w:ilvl w:val="0"/>
          <w:numId w:val="13"/>
        </w:numPr>
        <w:rPr>
          <w:rFonts w:ascii="Arial" w:cs="Arial" w:eastAsia="Arial" w:hAnsi="Arial"/>
          <w:sz w:val="14"/>
          <w:szCs w:val="14"/>
          <w:b w:val="1"/>
          <w:bCs w:val="1"/>
          <w:color w:val="6AAA37"/>
        </w:rPr>
      </w:pPr>
      <w:r>
        <w:rPr>
          <w:rFonts w:ascii="Arial" w:cs="Arial" w:eastAsia="Arial" w:hAnsi="Arial"/>
          <w:sz w:val="14"/>
          <w:szCs w:val="14"/>
          <w:color w:val="auto"/>
        </w:rPr>
        <w:t>Board of Trustees and Former Chairperson, Boston College</w:t>
      </w:r>
    </w:p>
    <w:p>
      <w:pPr>
        <w:spacing w:after="0" w:line="9" w:lineRule="exact"/>
        <w:rPr>
          <w:rFonts w:ascii="Arial" w:cs="Arial" w:eastAsia="Arial" w:hAnsi="Arial"/>
          <w:sz w:val="14"/>
          <w:szCs w:val="14"/>
          <w:b w:val="1"/>
          <w:bCs w:val="1"/>
          <w:color w:val="6AAA37"/>
        </w:rPr>
      </w:pPr>
    </w:p>
    <w:p>
      <w:pPr>
        <w:ind w:left="167" w:right="380" w:hanging="167"/>
        <w:spacing w:after="0" w:line="325" w:lineRule="auto"/>
        <w:tabs>
          <w:tab w:leader="none" w:pos="167" w:val="left"/>
        </w:tabs>
        <w:numPr>
          <w:ilvl w:val="0"/>
          <w:numId w:val="13"/>
        </w:numPr>
        <w:rPr>
          <w:rFonts w:ascii="Arial" w:cs="Arial" w:eastAsia="Arial" w:hAnsi="Arial"/>
          <w:sz w:val="14"/>
          <w:szCs w:val="14"/>
          <w:b w:val="1"/>
          <w:bCs w:val="1"/>
          <w:color w:val="6AAA37"/>
        </w:rPr>
      </w:pPr>
      <w:r>
        <w:rPr>
          <w:rFonts w:ascii="Arial" w:cs="Arial" w:eastAsia="Arial" w:hAnsi="Arial"/>
          <w:sz w:val="14"/>
          <w:szCs w:val="14"/>
          <w:color w:val="auto"/>
        </w:rPr>
        <w:t>CodaMetrix board of directors and member of audit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color w:val="B2B3B6"/>
        </w:rPr>
        <w:t>Key Skills Sets: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3"/>
          <w:szCs w:val="13"/>
          <w:b w:val="1"/>
          <w:bCs w:val="1"/>
          <w:color w:val="6AAA37"/>
        </w:rPr>
        <w:t>ACCOUNTING | FINANCE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2"/>
          <w:szCs w:val="12"/>
          <w:b w:val="1"/>
          <w:bCs w:val="1"/>
          <w:color w:val="6AAA37"/>
        </w:rPr>
        <w:t>CORPORATE GOVERNANCE | LAW</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3"/>
          <w:szCs w:val="13"/>
          <w:b w:val="1"/>
          <w:bCs w:val="1"/>
          <w:color w:val="6AAA37"/>
        </w:rPr>
        <w:t>SENIOR EXECUTIVE LEADERSHIP</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2"/>
          <w:szCs w:val="12"/>
          <w:b w:val="1"/>
          <w:bCs w:val="1"/>
          <w:color w:val="6AAA37"/>
        </w:rPr>
        <w:t>RISK MANAGEMENT &amp; OVERSIGHT</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3"/>
          <w:szCs w:val="13"/>
          <w:b w:val="1"/>
          <w:bCs w:val="1"/>
          <w:color w:val="6AAA37"/>
        </w:rPr>
        <w:t>TECHNOLOGY</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3"/>
          <w:szCs w:val="13"/>
          <w:b w:val="1"/>
          <w:bCs w:val="1"/>
          <w:color w:val="6AAA37"/>
        </w:rPr>
        <w:t>HEALTHCARE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3"/>
          <w:szCs w:val="13"/>
          <w:b w:val="1"/>
          <w:bCs w:val="1"/>
          <w:color w:val="6AAA37"/>
        </w:rPr>
        <w:t>HIGHER EDUCATION</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3"/>
          <w:szCs w:val="13"/>
          <w:b w:val="1"/>
          <w:bCs w:val="1"/>
          <w:color w:val="6AAA37"/>
        </w:rPr>
        <w:t>PUBLIC COMPANY BOARD</w:t>
      </w:r>
    </w:p>
    <w:p>
      <w:pPr>
        <w:spacing w:after="0" w:line="858" w:lineRule="exact"/>
        <w:rPr>
          <w:sz w:val="20"/>
          <w:szCs w:val="20"/>
          <w:color w:val="auto"/>
        </w:rPr>
      </w:pPr>
    </w:p>
    <w:p>
      <w:pPr>
        <w:sectPr>
          <w:pgSz w:w="11900" w:h="16838" w:orient="portrait"/>
          <w:cols w:equalWidth="0" w:num="3">
            <w:col w:w="2880" w:space="233"/>
            <w:col w:w="2727" w:space="640"/>
            <w:col w:w="2600"/>
          </w:cols>
          <w:pgMar w:left="1400" w:top="118" w:right="1419" w:bottom="32" w:gutter="0" w:footer="0" w:header="0"/>
          <w:type w:val="continuous"/>
        </w:sectPr>
      </w:pPr>
    </w:p>
    <w:p>
      <w:pPr>
        <w:spacing w:after="0" w:line="298" w:lineRule="auto"/>
        <w:rPr>
          <w:sz w:val="20"/>
          <w:szCs w:val="20"/>
          <w:color w:val="auto"/>
        </w:rPr>
      </w:pPr>
      <w:r>
        <w:rPr>
          <w:rFonts w:ascii="Arial" w:cs="Arial" w:eastAsia="Arial" w:hAnsi="Arial"/>
          <w:sz w:val="14"/>
          <w:szCs w:val="14"/>
          <w:color w:val="auto"/>
        </w:rPr>
        <w:t>Mr. Markell brings to the Huron board, and the audit committee in particular, his prior experience as chief financial officer and executive administrative officer of a large hospital where his responsibilities included financial oversight of $14 billion in operations and assets of approximately $21 billion and management within the areas of corporate finance, research management, information systems, real estate, treasury and human resources. This professional experience as well as his prior board service to a major U.S. college has enabled him to contribute to Huron’s Healthcare and Education industries. In addition, Mr. Markell is based in Boston, where he is in close proximity to Huron’s Innosight Strategy and Innovation team located in Boston, Massachusetts.</w:t>
      </w:r>
    </w:p>
    <w:p>
      <w:pPr>
        <w:sectPr>
          <w:pgSz w:w="11900" w:h="16838" w:orient="portrait"/>
          <w:cols w:equalWidth="0" w:num="1">
            <w:col w:w="9080"/>
          </w:cols>
          <w:pgMar w:left="1400" w:top="118" w:right="1419" w:bottom="32"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0"/>
        <w:spacing w:after="0"/>
        <w:tabs>
          <w:tab w:leader="none" w:pos="448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13"/>
          <w:szCs w:val="13"/>
          <w:b w:val="1"/>
          <w:bCs w:val="1"/>
          <w:color w:val="00558C"/>
        </w:rPr>
        <w:t>7</w:t>
      </w:r>
      <w:r>
        <w:rPr>
          <w:sz w:val="20"/>
          <w:szCs w:val="20"/>
          <w:color w:val="auto"/>
        </w:rPr>
        <w:tab/>
      </w:r>
      <w:r>
        <w:rPr>
          <w:rFonts w:ascii="Arial" w:cs="Arial" w:eastAsia="Arial" w:hAnsi="Arial"/>
          <w:sz w:val="12"/>
          <w:szCs w:val="12"/>
          <w:color w:val="auto"/>
        </w:rPr>
        <w:t>2025 Proxy Statement</w:t>
      </w:r>
    </w:p>
    <w:p>
      <w:pPr>
        <w:sectPr>
          <w:pgSz w:w="11900" w:h="16838" w:orient="portrait"/>
          <w:cols w:equalWidth="0" w:num="1">
            <w:col w:w="9080"/>
          </w:cols>
          <w:pgMar w:left="1400" w:top="118" w:right="1419" w:bottom="32" w:gutter="0" w:footer="0" w:header="0"/>
          <w:type w:val="continuous"/>
        </w:sectPr>
      </w:pPr>
    </w:p>
    <w:bookmarkStart w:id="17" w:name="page18"/>
    <w:bookmarkEnd w:id="17"/>
    <w:p>
      <w:pPr>
        <w:ind w:left="60"/>
        <w:spacing w:after="0"/>
        <w:tabs>
          <w:tab w:leader="none" w:pos="1040" w:val="left"/>
          <w:tab w:leader="none" w:pos="1880" w:val="left"/>
          <w:tab w:leader="none" w:pos="2880" w:val="left"/>
          <w:tab w:leader="none" w:pos="3700" w:val="left"/>
          <w:tab w:leader="none" w:pos="4900" w:val="left"/>
          <w:tab w:leader="none" w:pos="5720" w:val="left"/>
          <w:tab w:leader="none" w:pos="6540" w:val="left"/>
          <w:tab w:leader="none" w:pos="7360" w:val="left"/>
          <w:tab w:leader="none" w:pos="8400" w:val="left"/>
        </w:tabs>
        <w:rPr>
          <w:sz w:val="20"/>
          <w:szCs w:val="20"/>
          <w:color w:val="auto"/>
        </w:rPr>
      </w:pPr>
      <w:r>
        <w:rPr>
          <w:rFonts w:ascii="Arial" w:cs="Arial" w:eastAsia="Arial" w:hAnsi="Arial"/>
          <w:sz w:val="13"/>
          <w:szCs w:val="13"/>
          <w:b w:val="1"/>
          <w:bCs w:val="1"/>
          <w:color w:val="B2B3B6"/>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89858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10375" cy="8985885"/>
                    </a:xfrm>
                    <a:prstGeom prst="rect">
                      <a:avLst/>
                    </a:prstGeom>
                    <a:noFill/>
                  </pic:spPr>
                </pic:pic>
              </a:graphicData>
            </a:graphic>
          </wp:anchor>
        </w:drawing>
        <w:t>General</w:t>
      </w:r>
      <w:r>
        <w:rPr>
          <w:sz w:val="20"/>
          <w:szCs w:val="20"/>
          <w:color w:val="auto"/>
        </w:rPr>
        <w:tab/>
      </w:r>
      <w:r>
        <w:rPr>
          <w:rFonts w:ascii="Arial" w:cs="Arial" w:eastAsia="Arial" w:hAnsi="Arial"/>
          <w:sz w:val="13"/>
          <w:szCs w:val="13"/>
          <w:b w:val="1"/>
          <w:bCs w:val="1"/>
          <w:color w:val="6AAA37"/>
        </w:rPr>
        <w:t>Proposal</w:t>
      </w:r>
      <w:r>
        <w:rPr>
          <w:sz w:val="20"/>
          <w:szCs w:val="20"/>
          <w:color w:val="auto"/>
        </w:rPr>
        <w:tab/>
      </w:r>
      <w:r>
        <w:rPr>
          <w:rFonts w:ascii="Arial" w:cs="Arial" w:eastAsia="Arial" w:hAnsi="Arial"/>
          <w:sz w:val="13"/>
          <w:szCs w:val="13"/>
          <w:b w:val="1"/>
          <w:bCs w:val="1"/>
          <w:color w:val="B2B3B6"/>
        </w:rPr>
        <w:t>Corporate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Executive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Stockholder</w:t>
      </w:r>
      <w:r>
        <w:rPr>
          <w:sz w:val="20"/>
          <w:szCs w:val="20"/>
          <w:color w:val="auto"/>
        </w:rPr>
        <w:tab/>
      </w:r>
      <w:r>
        <w:rPr>
          <w:rFonts w:ascii="Arial" w:cs="Arial" w:eastAsia="Arial" w:hAnsi="Arial"/>
          <w:sz w:val="12"/>
          <w:szCs w:val="12"/>
          <w:b w:val="1"/>
          <w:bCs w:val="1"/>
          <w:color w:val="B2B3B6"/>
        </w:rPr>
        <w:t>Other</w:t>
      </w:r>
    </w:p>
    <w:p>
      <w:pPr>
        <w:spacing w:after="0" w:line="11"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540" w:val="left"/>
          <w:tab w:leader="none" w:pos="7360" w:val="left"/>
          <w:tab w:leader="none" w:pos="8400" w:val="left"/>
        </w:tabs>
        <w:rPr>
          <w:sz w:val="20"/>
          <w:szCs w:val="20"/>
          <w:color w:val="auto"/>
        </w:rPr>
      </w:pPr>
      <w:r>
        <w:rPr>
          <w:rFonts w:ascii="Arial" w:cs="Arial" w:eastAsia="Arial" w:hAnsi="Arial"/>
          <w:sz w:val="13"/>
          <w:szCs w:val="13"/>
          <w:b w:val="1"/>
          <w:bCs w:val="1"/>
          <w:color w:val="B2B3B6"/>
        </w:rPr>
        <w:t>Information</w:t>
      </w:r>
      <w:r>
        <w:rPr>
          <w:sz w:val="20"/>
          <w:szCs w:val="20"/>
          <w:color w:val="auto"/>
        </w:rPr>
        <w:tab/>
      </w:r>
      <w:r>
        <w:rPr>
          <w:rFonts w:ascii="Arial" w:cs="Arial" w:eastAsia="Arial" w:hAnsi="Arial"/>
          <w:sz w:val="13"/>
          <w:szCs w:val="13"/>
          <w:b w:val="1"/>
          <w:bCs w:val="1"/>
          <w:color w:val="6AAA37"/>
        </w:rPr>
        <w:t>One</w:t>
      </w:r>
      <w:r>
        <w:rPr>
          <w:sz w:val="20"/>
          <w:szCs w:val="20"/>
          <w:color w:val="auto"/>
        </w:rPr>
        <w:tab/>
      </w:r>
      <w:r>
        <w:rPr>
          <w:rFonts w:ascii="Arial" w:cs="Arial" w:eastAsia="Arial" w:hAnsi="Arial"/>
          <w:sz w:val="13"/>
          <w:szCs w:val="13"/>
          <w:b w:val="1"/>
          <w:bCs w:val="1"/>
          <w:color w:val="B2B3B6"/>
        </w:rPr>
        <w:t>Governance</w:t>
      </w:r>
      <w:r>
        <w:rPr>
          <w:sz w:val="20"/>
          <w:szCs w:val="20"/>
          <w:color w:val="auto"/>
        </w:rPr>
        <w:tab/>
      </w:r>
      <w:r>
        <w:rPr>
          <w:rFonts w:ascii="Arial" w:cs="Arial" w:eastAsia="Arial" w:hAnsi="Arial"/>
          <w:sz w:val="13"/>
          <w:szCs w:val="13"/>
          <w:b w:val="1"/>
          <w:bCs w:val="1"/>
          <w:color w:val="B2B3B6"/>
        </w:rPr>
        <w:t>Two</w:t>
      </w:r>
      <w:r>
        <w:rPr>
          <w:sz w:val="20"/>
          <w:szCs w:val="20"/>
          <w:color w:val="auto"/>
        </w:rPr>
        <w:tab/>
      </w:r>
      <w:r>
        <w:rPr>
          <w:rFonts w:ascii="Arial" w:cs="Arial" w:eastAsia="Arial" w:hAnsi="Arial"/>
          <w:sz w:val="13"/>
          <w:szCs w:val="13"/>
          <w:b w:val="1"/>
          <w:bCs w:val="1"/>
          <w:color w:val="B2B3B6"/>
        </w:rPr>
        <w:t>Compensation</w:t>
      </w:r>
      <w:r>
        <w:rPr>
          <w:sz w:val="20"/>
          <w:szCs w:val="20"/>
          <w:color w:val="auto"/>
        </w:rPr>
        <w:tab/>
      </w:r>
      <w:r>
        <w:rPr>
          <w:rFonts w:ascii="Arial" w:cs="Arial" w:eastAsia="Arial" w:hAnsi="Arial"/>
          <w:sz w:val="13"/>
          <w:szCs w:val="13"/>
          <w:b w:val="1"/>
          <w:bCs w:val="1"/>
          <w:color w:val="B2B3B6"/>
        </w:rPr>
        <w:t>Three</w:t>
      </w:r>
      <w:r>
        <w:rPr>
          <w:sz w:val="20"/>
          <w:szCs w:val="20"/>
          <w:color w:val="auto"/>
        </w:rPr>
        <w:tab/>
      </w:r>
      <w:r>
        <w:rPr>
          <w:rFonts w:ascii="Arial" w:cs="Arial" w:eastAsia="Arial" w:hAnsi="Arial"/>
          <w:sz w:val="13"/>
          <w:szCs w:val="13"/>
          <w:b w:val="1"/>
          <w:bCs w:val="1"/>
          <w:color w:val="B2B3B6"/>
        </w:rPr>
        <w:t>Four</w:t>
      </w:r>
      <w:r>
        <w:rPr>
          <w:sz w:val="20"/>
          <w:szCs w:val="20"/>
          <w:color w:val="auto"/>
        </w:rPr>
        <w:tab/>
      </w:r>
      <w:r>
        <w:rPr>
          <w:rFonts w:ascii="Arial" w:cs="Arial" w:eastAsia="Arial" w:hAnsi="Arial"/>
          <w:sz w:val="13"/>
          <w:szCs w:val="13"/>
          <w:b w:val="1"/>
          <w:bCs w:val="1"/>
          <w:color w:val="B2B3B6"/>
        </w:rPr>
        <w:t>Five</w:t>
      </w:r>
      <w:r>
        <w:rPr>
          <w:sz w:val="20"/>
          <w:szCs w:val="20"/>
          <w:color w:val="auto"/>
        </w:rPr>
        <w:tab/>
      </w:r>
      <w:r>
        <w:rPr>
          <w:rFonts w:ascii="Arial" w:cs="Arial" w:eastAsia="Arial" w:hAnsi="Arial"/>
          <w:sz w:val="13"/>
          <w:szCs w:val="13"/>
          <w:b w:val="1"/>
          <w:bCs w:val="1"/>
          <w:color w:val="B2B3B6"/>
        </w:rPr>
        <w:t>Proposals</w:t>
      </w:r>
      <w:r>
        <w:rPr>
          <w:sz w:val="20"/>
          <w:szCs w:val="20"/>
          <w:color w:val="auto"/>
        </w:rPr>
        <w:tab/>
      </w:r>
      <w:r>
        <w:rPr>
          <w:rFonts w:ascii="Arial" w:cs="Arial" w:eastAsia="Arial" w:hAnsi="Arial"/>
          <w:sz w:val="12"/>
          <w:szCs w:val="12"/>
          <w:b w:val="1"/>
          <w:bCs w:val="1"/>
          <w:color w:val="B2B3B6"/>
        </w:rPr>
        <w:t>Matters</w:t>
      </w:r>
    </w:p>
    <w:p>
      <w:pPr>
        <w:spacing w:after="0" w:line="200" w:lineRule="exact"/>
        <w:rPr>
          <w:sz w:val="20"/>
          <w:szCs w:val="20"/>
          <w:color w:val="auto"/>
        </w:rPr>
      </w:pPr>
    </w:p>
    <w:p>
      <w:pPr>
        <w:spacing w:after="0" w:line="294" w:lineRule="exact"/>
        <w:rPr>
          <w:sz w:val="20"/>
          <w:szCs w:val="20"/>
          <w:color w:val="auto"/>
        </w:rPr>
      </w:pPr>
    </w:p>
    <w:p>
      <w:pPr>
        <w:ind w:left="1720"/>
        <w:spacing w:after="0"/>
        <w:rPr>
          <w:sz w:val="20"/>
          <w:szCs w:val="20"/>
          <w:color w:val="auto"/>
        </w:rPr>
      </w:pPr>
      <w:r>
        <w:rPr>
          <w:rFonts w:ascii="Arial" w:cs="Arial" w:eastAsia="Arial" w:hAnsi="Arial"/>
          <w:sz w:val="47"/>
          <w:szCs w:val="47"/>
          <w:color w:val="FFFFFF"/>
        </w:rPr>
        <w:t>John McCartney</w:t>
      </w:r>
    </w:p>
    <w:p>
      <w:pPr>
        <w:spacing w:after="0" w:line="163" w:lineRule="exact"/>
        <w:rPr>
          <w:sz w:val="20"/>
          <w:szCs w:val="20"/>
          <w:color w:val="auto"/>
        </w:rPr>
      </w:pPr>
    </w:p>
    <w:p>
      <w:pPr>
        <w:ind w:left="1900"/>
        <w:spacing w:after="0"/>
        <w:rPr>
          <w:sz w:val="20"/>
          <w:szCs w:val="20"/>
          <w:color w:val="auto"/>
        </w:rPr>
      </w:pPr>
      <w:r>
        <w:rPr>
          <w:rFonts w:ascii="Arial" w:cs="Arial" w:eastAsia="Arial" w:hAnsi="Arial"/>
          <w:sz w:val="14"/>
          <w:szCs w:val="14"/>
          <w:b w:val="1"/>
          <w:bCs w:val="1"/>
          <w:color w:val="FFFFFF"/>
        </w:rPr>
        <w:t>INDEPENDENT</w:t>
      </w:r>
    </w:p>
    <w:p>
      <w:pPr>
        <w:spacing w:after="0" w:line="204" w:lineRule="exact"/>
        <w:rPr>
          <w:sz w:val="20"/>
          <w:szCs w:val="20"/>
          <w:color w:val="auto"/>
        </w:rPr>
      </w:pPr>
    </w:p>
    <w:p>
      <w:pPr>
        <w:ind w:left="1720"/>
        <w:spacing w:after="0"/>
        <w:rPr>
          <w:sz w:val="20"/>
          <w:szCs w:val="20"/>
          <w:color w:val="auto"/>
        </w:rPr>
      </w:pPr>
      <w:r>
        <w:rPr>
          <w:rFonts w:ascii="Arial" w:cs="Arial" w:eastAsia="Arial" w:hAnsi="Arial"/>
          <w:sz w:val="14"/>
          <w:szCs w:val="14"/>
          <w:b w:val="1"/>
          <w:bCs w:val="1"/>
          <w:color w:val="FFFFFF"/>
        </w:rPr>
        <w:t>AGE: 72 | DIRECTOR SINCE: 2004</w:t>
      </w:r>
    </w:p>
    <w:p>
      <w:pPr>
        <w:spacing w:after="0" w:line="55" w:lineRule="exact"/>
        <w:rPr>
          <w:sz w:val="20"/>
          <w:szCs w:val="20"/>
          <w:color w:val="auto"/>
        </w:rPr>
      </w:pPr>
    </w:p>
    <w:p>
      <w:pPr>
        <w:ind w:left="1720"/>
        <w:spacing w:after="0"/>
        <w:rPr>
          <w:sz w:val="20"/>
          <w:szCs w:val="20"/>
          <w:color w:val="auto"/>
        </w:rPr>
      </w:pPr>
      <w:r>
        <w:rPr>
          <w:rFonts w:ascii="Arial" w:cs="Arial" w:eastAsia="Arial" w:hAnsi="Arial"/>
          <w:sz w:val="14"/>
          <w:szCs w:val="14"/>
          <w:b w:val="1"/>
          <w:bCs w:val="1"/>
          <w:color w:val="FFFFFF"/>
        </w:rPr>
        <w:t>COMMITTEES: A (MEMBER), N&amp;CG (MEMBER)</w:t>
      </w:r>
    </w:p>
    <w:p>
      <w:pPr>
        <w:sectPr>
          <w:pgSz w:w="11900" w:h="16838" w:orient="portrait"/>
          <w:cols w:equalWidth="0" w:num="1">
            <w:col w:w="9059"/>
          </w:cols>
          <w:pgMar w:left="1400" w:top="8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Professional Experience:</w:t>
      </w:r>
    </w:p>
    <w:p>
      <w:pPr>
        <w:spacing w:after="0" w:line="118" w:lineRule="exact"/>
        <w:rPr>
          <w:sz w:val="20"/>
          <w:szCs w:val="20"/>
          <w:color w:val="auto"/>
        </w:rPr>
      </w:pPr>
    </w:p>
    <w:p>
      <w:pPr>
        <w:jc w:val="both"/>
        <w:ind w:left="180" w:right="100" w:hanging="172"/>
        <w:spacing w:after="0" w:line="303" w:lineRule="auto"/>
        <w:tabs>
          <w:tab w:leader="none" w:pos="180" w:val="left"/>
        </w:tabs>
        <w:numPr>
          <w:ilvl w:val="0"/>
          <w:numId w:val="14"/>
        </w:numPr>
        <w:rPr>
          <w:rFonts w:ascii="Arial" w:cs="Arial" w:eastAsia="Arial" w:hAnsi="Arial"/>
          <w:sz w:val="14"/>
          <w:szCs w:val="14"/>
          <w:b w:val="1"/>
          <w:bCs w:val="1"/>
          <w:color w:val="6AAA37"/>
        </w:rPr>
      </w:pPr>
      <w:r>
        <w:rPr>
          <w:rFonts w:ascii="Arial" w:cs="Arial" w:eastAsia="Arial" w:hAnsi="Arial"/>
          <w:sz w:val="14"/>
          <w:szCs w:val="14"/>
          <w:color w:val="auto"/>
        </w:rPr>
        <w:t>3Com Corporation (post-merger with US Robotics) President, Client Access Unit, 1997 – 1998</w:t>
      </w:r>
    </w:p>
    <w:p>
      <w:pPr>
        <w:spacing w:after="0" w:line="24" w:lineRule="exact"/>
        <w:rPr>
          <w:rFonts w:ascii="Arial" w:cs="Arial" w:eastAsia="Arial" w:hAnsi="Arial"/>
          <w:sz w:val="14"/>
          <w:szCs w:val="14"/>
          <w:b w:val="1"/>
          <w:bCs w:val="1"/>
          <w:color w:val="6AAA37"/>
        </w:rPr>
      </w:pPr>
    </w:p>
    <w:p>
      <w:pPr>
        <w:ind w:left="180" w:right="20" w:hanging="172"/>
        <w:spacing w:after="0" w:line="297" w:lineRule="auto"/>
        <w:tabs>
          <w:tab w:leader="none" w:pos="180" w:val="left"/>
        </w:tabs>
        <w:numPr>
          <w:ilvl w:val="0"/>
          <w:numId w:val="14"/>
        </w:numPr>
        <w:rPr>
          <w:rFonts w:ascii="Arial" w:cs="Arial" w:eastAsia="Arial" w:hAnsi="Arial"/>
          <w:sz w:val="14"/>
          <w:szCs w:val="14"/>
          <w:b w:val="1"/>
          <w:bCs w:val="1"/>
          <w:color w:val="6AAA37"/>
        </w:rPr>
      </w:pPr>
      <w:r>
        <w:rPr>
          <w:rFonts w:ascii="Arial" w:cs="Arial" w:eastAsia="Arial" w:hAnsi="Arial"/>
          <w:sz w:val="14"/>
          <w:szCs w:val="14"/>
          <w:color w:val="auto"/>
        </w:rPr>
        <w:t>U.S. Robotics, joined as vice president and chief financial officer in 1984 and served in various executive capacities including as president and chief operating officer from 1996 to 1997</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Education/Certifications:</w:t>
      </w:r>
    </w:p>
    <w:p>
      <w:pPr>
        <w:spacing w:after="0" w:line="91" w:lineRule="exact"/>
        <w:rPr>
          <w:sz w:val="20"/>
          <w:szCs w:val="20"/>
          <w:color w:val="auto"/>
        </w:rPr>
      </w:pPr>
    </w:p>
    <w:p>
      <w:pPr>
        <w:ind w:left="180" w:hanging="172"/>
        <w:spacing w:after="0"/>
        <w:tabs>
          <w:tab w:leader="none" w:pos="180" w:val="left"/>
        </w:tabs>
        <w:numPr>
          <w:ilvl w:val="0"/>
          <w:numId w:val="15"/>
        </w:numPr>
        <w:rPr>
          <w:rFonts w:ascii="Arial" w:cs="Arial" w:eastAsia="Arial" w:hAnsi="Arial"/>
          <w:sz w:val="14"/>
          <w:szCs w:val="14"/>
          <w:b w:val="1"/>
          <w:bCs w:val="1"/>
          <w:color w:val="6AAA37"/>
        </w:rPr>
      </w:pPr>
      <w:r>
        <w:rPr>
          <w:rFonts w:ascii="Arial" w:cs="Arial" w:eastAsia="Arial" w:hAnsi="Arial"/>
          <w:sz w:val="14"/>
          <w:szCs w:val="14"/>
          <w:color w:val="auto"/>
        </w:rPr>
        <w:t>B.A., Philosophy, Davidson College</w:t>
      </w:r>
    </w:p>
    <w:p>
      <w:pPr>
        <w:spacing w:after="0" w:line="82" w:lineRule="exact"/>
        <w:rPr>
          <w:rFonts w:ascii="Arial" w:cs="Arial" w:eastAsia="Arial" w:hAnsi="Arial"/>
          <w:sz w:val="14"/>
          <w:szCs w:val="14"/>
          <w:b w:val="1"/>
          <w:bCs w:val="1"/>
          <w:color w:val="6AAA37"/>
        </w:rPr>
      </w:pPr>
    </w:p>
    <w:p>
      <w:pPr>
        <w:ind w:left="180" w:right="440" w:hanging="172"/>
        <w:spacing w:after="0" w:line="332" w:lineRule="auto"/>
        <w:tabs>
          <w:tab w:leader="none" w:pos="180" w:val="left"/>
        </w:tabs>
        <w:numPr>
          <w:ilvl w:val="0"/>
          <w:numId w:val="15"/>
        </w:numPr>
        <w:rPr>
          <w:rFonts w:ascii="Arial" w:cs="Arial" w:eastAsia="Arial" w:hAnsi="Arial"/>
          <w:sz w:val="14"/>
          <w:szCs w:val="14"/>
          <w:b w:val="1"/>
          <w:bCs w:val="1"/>
          <w:color w:val="6AAA37"/>
        </w:rPr>
      </w:pPr>
      <w:r>
        <w:rPr>
          <w:rFonts w:ascii="Arial" w:cs="Arial" w:eastAsia="Arial" w:hAnsi="Arial"/>
          <w:sz w:val="14"/>
          <w:szCs w:val="14"/>
          <w:color w:val="auto"/>
        </w:rPr>
        <w:t>M.B.A., The Wharton School of the University of Pennsylvania</w:t>
      </w:r>
    </w:p>
    <w:p>
      <w:pPr>
        <w:ind w:left="180" w:hanging="172"/>
        <w:spacing w:after="0"/>
        <w:tabs>
          <w:tab w:leader="none" w:pos="180" w:val="left"/>
        </w:tabs>
        <w:numPr>
          <w:ilvl w:val="0"/>
          <w:numId w:val="15"/>
        </w:numPr>
        <w:rPr>
          <w:rFonts w:ascii="Arial" w:cs="Arial" w:eastAsia="Arial" w:hAnsi="Arial"/>
          <w:sz w:val="14"/>
          <w:szCs w:val="14"/>
          <w:b w:val="1"/>
          <w:bCs w:val="1"/>
          <w:color w:val="6AAA37"/>
        </w:rPr>
      </w:pPr>
      <w:r>
        <w:rPr>
          <w:rFonts w:ascii="Arial" w:cs="Arial" w:eastAsia="Arial" w:hAnsi="Arial"/>
          <w:sz w:val="14"/>
          <w:szCs w:val="14"/>
          <w:color w:val="auto"/>
        </w:rPr>
        <w:t>Certified Public Accountant (inactive)</w:t>
      </w:r>
    </w:p>
    <w:p>
      <w:pPr>
        <w:spacing w:after="0" w:line="104" w:lineRule="exact"/>
        <w:rPr>
          <w:rFonts w:ascii="Arial" w:cs="Arial" w:eastAsia="Arial" w:hAnsi="Arial"/>
          <w:sz w:val="14"/>
          <w:szCs w:val="14"/>
          <w:b w:val="1"/>
          <w:bCs w:val="1"/>
          <w:color w:val="6AAA37"/>
        </w:rPr>
      </w:pPr>
    </w:p>
    <w:p>
      <w:pPr>
        <w:spacing w:after="0"/>
        <w:rPr>
          <w:rFonts w:ascii="Arial" w:cs="Arial" w:eastAsia="Arial" w:hAnsi="Arial"/>
          <w:sz w:val="14"/>
          <w:szCs w:val="14"/>
          <w:b w:val="1"/>
          <w:bCs w:val="1"/>
          <w:color w:val="6AAA37"/>
        </w:rPr>
      </w:pPr>
      <w:r>
        <w:rPr>
          <w:rFonts w:ascii="Arial" w:cs="Arial" w:eastAsia="Arial" w:hAnsi="Arial"/>
          <w:sz w:val="16"/>
          <w:szCs w:val="16"/>
          <w:b w:val="1"/>
          <w:bCs w:val="1"/>
          <w:color w:val="00558C"/>
        </w:rPr>
        <w:t>Public Board Experience:</w:t>
      </w:r>
    </w:p>
    <w:p>
      <w:pPr>
        <w:spacing w:after="0" w:line="90" w:lineRule="exact"/>
        <w:rPr>
          <w:rFonts w:ascii="Arial" w:cs="Arial" w:eastAsia="Arial" w:hAnsi="Arial"/>
          <w:sz w:val="14"/>
          <w:szCs w:val="14"/>
          <w:b w:val="1"/>
          <w:bCs w:val="1"/>
          <w:color w:val="6AAA37"/>
        </w:rPr>
      </w:pPr>
    </w:p>
    <w:p>
      <w:pPr>
        <w:ind w:left="180" w:hanging="172"/>
        <w:spacing w:after="0" w:line="302" w:lineRule="auto"/>
        <w:tabs>
          <w:tab w:leader="none" w:pos="180" w:val="left"/>
        </w:tabs>
        <w:numPr>
          <w:ilvl w:val="0"/>
          <w:numId w:val="15"/>
        </w:numPr>
        <w:rPr>
          <w:rFonts w:ascii="Arial" w:cs="Arial" w:eastAsia="Arial" w:hAnsi="Arial"/>
          <w:sz w:val="14"/>
          <w:szCs w:val="14"/>
          <w:b w:val="1"/>
          <w:bCs w:val="1"/>
          <w:color w:val="6AAA37"/>
        </w:rPr>
      </w:pPr>
      <w:r>
        <w:rPr>
          <w:rFonts w:ascii="Arial" w:cs="Arial" w:eastAsia="Arial" w:hAnsi="Arial"/>
          <w:sz w:val="14"/>
          <w:szCs w:val="14"/>
          <w:color w:val="auto"/>
        </w:rPr>
        <w:t>EQT, Corp., since 2019; previous chairman; member, nominating and corporate governance, and environmental and public policy committees</w:t>
      </w:r>
    </w:p>
    <w:p>
      <w:pPr>
        <w:spacing w:after="0" w:line="13" w:lineRule="exact"/>
        <w:rPr>
          <w:rFonts w:ascii="Arial" w:cs="Arial" w:eastAsia="Arial" w:hAnsi="Arial"/>
          <w:sz w:val="14"/>
          <w:szCs w:val="14"/>
          <w:b w:val="1"/>
          <w:bCs w:val="1"/>
          <w:color w:val="6AAA37"/>
        </w:rPr>
      </w:pPr>
    </w:p>
    <w:p>
      <w:pPr>
        <w:ind w:left="180" w:right="240" w:hanging="172"/>
        <w:spacing w:after="0" w:line="302" w:lineRule="auto"/>
        <w:tabs>
          <w:tab w:leader="none" w:pos="180" w:val="left"/>
        </w:tabs>
        <w:numPr>
          <w:ilvl w:val="0"/>
          <w:numId w:val="15"/>
        </w:numPr>
        <w:rPr>
          <w:rFonts w:ascii="Arial" w:cs="Arial" w:eastAsia="Arial" w:hAnsi="Arial"/>
          <w:sz w:val="14"/>
          <w:szCs w:val="14"/>
          <w:b w:val="1"/>
          <w:bCs w:val="1"/>
          <w:color w:val="6AAA37"/>
        </w:rPr>
      </w:pPr>
      <w:r>
        <w:rPr>
          <w:rFonts w:ascii="Arial" w:cs="Arial" w:eastAsia="Arial" w:hAnsi="Arial"/>
          <w:sz w:val="14"/>
          <w:szCs w:val="14"/>
          <w:color w:val="auto"/>
        </w:rPr>
        <w:t>Granite Ridge Resources, Inc. since 2022; lead independent director since 2022 and member, audit and compensation committees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Individual Contributions: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ind w:left="7" w:right="840"/>
        <w:spacing w:after="0" w:line="271" w:lineRule="auto"/>
        <w:rPr>
          <w:sz w:val="20"/>
          <w:szCs w:val="20"/>
          <w:color w:val="auto"/>
        </w:rPr>
      </w:pPr>
      <w:r>
        <w:rPr>
          <w:rFonts w:ascii="Arial" w:cs="Arial" w:eastAsia="Arial" w:hAnsi="Arial"/>
          <w:sz w:val="16"/>
          <w:szCs w:val="16"/>
          <w:b w:val="1"/>
          <w:bCs w:val="1"/>
          <w:color w:val="00558C"/>
        </w:rPr>
        <w:t>Previous Public Company Board Experience during the last five years:</w:t>
      </w:r>
    </w:p>
    <w:p>
      <w:pPr>
        <w:spacing w:after="0" w:line="30" w:lineRule="exact"/>
        <w:rPr>
          <w:sz w:val="20"/>
          <w:szCs w:val="20"/>
          <w:color w:val="auto"/>
        </w:rPr>
      </w:pPr>
    </w:p>
    <w:p>
      <w:pPr>
        <w:jc w:val="both"/>
        <w:ind w:left="167" w:right="60" w:hanging="167"/>
        <w:spacing w:after="0" w:line="313" w:lineRule="auto"/>
        <w:tabs>
          <w:tab w:leader="none" w:pos="167" w:val="left"/>
        </w:tabs>
        <w:numPr>
          <w:ilvl w:val="0"/>
          <w:numId w:val="16"/>
        </w:numPr>
        <w:rPr>
          <w:rFonts w:ascii="Arial" w:cs="Arial" w:eastAsia="Arial" w:hAnsi="Arial"/>
          <w:sz w:val="14"/>
          <w:szCs w:val="14"/>
          <w:b w:val="1"/>
          <w:bCs w:val="1"/>
          <w:color w:val="6AAA37"/>
        </w:rPr>
      </w:pPr>
      <w:r>
        <w:rPr>
          <w:rFonts w:ascii="Arial" w:cs="Arial" w:eastAsia="Arial" w:hAnsi="Arial"/>
          <w:sz w:val="14"/>
          <w:szCs w:val="14"/>
          <w:color w:val="auto"/>
        </w:rPr>
        <w:t>Datatec Limited, 2007 – 2023; served as member of nominating committee and as chair of remuneration committee</w:t>
      </w:r>
    </w:p>
    <w:p>
      <w:pPr>
        <w:spacing w:after="0" w:line="54" w:lineRule="exact"/>
        <w:rPr>
          <w:sz w:val="20"/>
          <w:szCs w:val="20"/>
          <w:color w:val="auto"/>
        </w:rPr>
      </w:pPr>
    </w:p>
    <w:p>
      <w:pPr>
        <w:ind w:left="7" w:right="720"/>
        <w:spacing w:after="0" w:line="314" w:lineRule="auto"/>
        <w:rPr>
          <w:sz w:val="20"/>
          <w:szCs w:val="20"/>
          <w:color w:val="auto"/>
        </w:rPr>
      </w:pPr>
      <w:r>
        <w:rPr>
          <w:rFonts w:ascii="Arial" w:cs="Arial" w:eastAsia="Arial" w:hAnsi="Arial"/>
          <w:sz w:val="16"/>
          <w:szCs w:val="16"/>
          <w:b w:val="1"/>
          <w:bCs w:val="1"/>
          <w:color w:val="00558C"/>
        </w:rPr>
        <w:t>Non-public board and other advisory services:</w:t>
      </w:r>
    </w:p>
    <w:p>
      <w:pPr>
        <w:spacing w:after="0" w:line="23" w:lineRule="exact"/>
        <w:rPr>
          <w:sz w:val="20"/>
          <w:szCs w:val="20"/>
          <w:color w:val="auto"/>
        </w:rPr>
      </w:pPr>
    </w:p>
    <w:p>
      <w:pPr>
        <w:ind w:left="167" w:hanging="167"/>
        <w:spacing w:after="0" w:line="325" w:lineRule="auto"/>
        <w:tabs>
          <w:tab w:leader="none" w:pos="167" w:val="left"/>
        </w:tabs>
        <w:numPr>
          <w:ilvl w:val="0"/>
          <w:numId w:val="17"/>
        </w:numPr>
        <w:rPr>
          <w:rFonts w:ascii="Arial" w:cs="Arial" w:eastAsia="Arial" w:hAnsi="Arial"/>
          <w:sz w:val="14"/>
          <w:szCs w:val="14"/>
          <w:b w:val="1"/>
          <w:bCs w:val="1"/>
          <w:color w:val="6AAA37"/>
        </w:rPr>
      </w:pPr>
      <w:r>
        <w:rPr>
          <w:rFonts w:ascii="Arial" w:cs="Arial" w:eastAsia="Arial" w:hAnsi="Arial"/>
          <w:sz w:val="14"/>
          <w:szCs w:val="14"/>
          <w:color w:val="auto"/>
        </w:rPr>
        <w:t>Davidson College, board of trustees, 1998 - 2008; served as chairman, 2004 - 2008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color w:val="B2B3B6"/>
        </w:rPr>
        <w:t>Key Skills Sets: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3"/>
          <w:szCs w:val="13"/>
          <w:b w:val="1"/>
          <w:bCs w:val="1"/>
          <w:color w:val="6AAA37"/>
        </w:rPr>
        <w:t>ACCOUNTING | FINANCE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2"/>
          <w:szCs w:val="12"/>
          <w:b w:val="1"/>
          <w:bCs w:val="1"/>
          <w:color w:val="6AAA37"/>
        </w:rPr>
        <w:t>CORPORATE GOVERNANCE | LAW</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499"/>
        <w:spacing w:after="0"/>
        <w:rPr>
          <w:sz w:val="20"/>
          <w:szCs w:val="20"/>
          <w:color w:val="auto"/>
        </w:rPr>
      </w:pPr>
      <w:r>
        <w:rPr>
          <w:rFonts w:ascii="Arial" w:cs="Arial" w:eastAsia="Arial" w:hAnsi="Arial"/>
          <w:sz w:val="12"/>
          <w:szCs w:val="12"/>
          <w:b w:val="1"/>
          <w:bCs w:val="1"/>
          <w:color w:val="6AAA37"/>
        </w:rPr>
        <w:t>SENIOR EXECUTIVE LEADERSHIP</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2"/>
          <w:szCs w:val="12"/>
          <w:b w:val="1"/>
          <w:bCs w:val="1"/>
          <w:color w:val="6AAA37"/>
        </w:rPr>
        <w:t>RISK MANAGEMENT &amp; OVERSIGHT</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3"/>
          <w:szCs w:val="13"/>
          <w:b w:val="1"/>
          <w:bCs w:val="1"/>
          <w:color w:val="6AAA37"/>
        </w:rPr>
        <w:t>GLOBAL BUSINESS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3"/>
          <w:szCs w:val="13"/>
          <w:b w:val="1"/>
          <w:bCs w:val="1"/>
          <w:color w:val="6AAA37"/>
        </w:rPr>
        <w:t>HEALTHCARE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3"/>
          <w:szCs w:val="13"/>
          <w:b w:val="1"/>
          <w:bCs w:val="1"/>
          <w:color w:val="6AAA37"/>
        </w:rPr>
        <w:t>HIGHER EDUCATION</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3"/>
          <w:szCs w:val="13"/>
          <w:b w:val="1"/>
          <w:bCs w:val="1"/>
          <w:color w:val="6AAA37"/>
        </w:rPr>
        <w:t>PUBLIC COMPANY BOARD</w:t>
      </w:r>
    </w:p>
    <w:p>
      <w:pPr>
        <w:spacing w:after="0" w:line="858" w:lineRule="exact"/>
        <w:rPr>
          <w:sz w:val="20"/>
          <w:szCs w:val="20"/>
          <w:color w:val="auto"/>
        </w:rPr>
      </w:pPr>
    </w:p>
    <w:p>
      <w:pPr>
        <w:sectPr>
          <w:pgSz w:w="11900" w:h="16838" w:orient="portrait"/>
          <w:cols w:equalWidth="0" w:num="3">
            <w:col w:w="2840" w:space="273"/>
            <w:col w:w="2847" w:space="520"/>
            <w:col w:w="2579"/>
          </w:cols>
          <w:pgMar w:left="1400" w:top="810" w:right="1440" w:bottom="0" w:gutter="0" w:footer="0" w:header="0"/>
          <w:type w:val="continuous"/>
        </w:sectPr>
      </w:pPr>
    </w:p>
    <w:p>
      <w:pPr>
        <w:ind w:right="19"/>
        <w:spacing w:after="0" w:line="298" w:lineRule="auto"/>
        <w:rPr>
          <w:sz w:val="20"/>
          <w:szCs w:val="20"/>
          <w:color w:val="auto"/>
        </w:rPr>
      </w:pPr>
      <w:r>
        <w:rPr>
          <w:rFonts w:ascii="Arial" w:cs="Arial" w:eastAsia="Arial" w:hAnsi="Arial"/>
          <w:sz w:val="14"/>
          <w:szCs w:val="14"/>
          <w:color w:val="auto"/>
        </w:rPr>
        <w:t>Mr. McCartney has served as a director, chairman and vice chairman of the boards of a number of public and private organizations, including companies with a focus on healthcare and drug development and an institution of higher education. Mr. McCartney, a former certified public accountant, brings to the Huron board his prior experience as chief financial officer and chief operating officer of a public company, which has enabled him to contribute to Huron’s development into a prominent consultancy. In addition, Mr. McCartney’s role as non-executive chairman of Huron’s board from 2009 through 2024, provides him a unique understanding of Huron’s strategy, operations and culture that makes him an important contributor to the Huron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0"/>
        <w:spacing w:after="0"/>
        <w:tabs>
          <w:tab w:leader="none" w:pos="448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13"/>
          <w:szCs w:val="13"/>
          <w:b w:val="1"/>
          <w:bCs w:val="1"/>
          <w:color w:val="00558C"/>
        </w:rPr>
        <w:t>8</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420370</wp:posOffset>
            </wp:positionV>
            <wp:extent cx="6810375" cy="14478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10375" cy="1447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540" w:val="left"/>
          <w:tab w:leader="none" w:pos="7360" w:val="left"/>
          <w:tab w:leader="none" w:pos="8400" w:val="left"/>
        </w:tabs>
        <w:rPr>
          <w:sz w:val="20"/>
          <w:szCs w:val="20"/>
          <w:color w:val="auto"/>
        </w:rPr>
      </w:pPr>
      <w:r>
        <w:rPr>
          <w:rFonts w:ascii="Arial" w:cs="Arial" w:eastAsia="Arial" w:hAnsi="Arial"/>
          <w:sz w:val="13"/>
          <w:szCs w:val="13"/>
          <w:b w:val="1"/>
          <w:bCs w:val="1"/>
          <w:color w:val="B2B3B6"/>
        </w:rPr>
        <w:t>General</w:t>
      </w:r>
      <w:r>
        <w:rPr>
          <w:sz w:val="20"/>
          <w:szCs w:val="20"/>
          <w:color w:val="auto"/>
        </w:rPr>
        <w:tab/>
      </w:r>
      <w:r>
        <w:rPr>
          <w:rFonts w:ascii="Arial" w:cs="Arial" w:eastAsia="Arial" w:hAnsi="Arial"/>
          <w:sz w:val="13"/>
          <w:szCs w:val="13"/>
          <w:b w:val="1"/>
          <w:bCs w:val="1"/>
          <w:color w:val="6AAA37"/>
        </w:rPr>
        <w:t>Proposal</w:t>
      </w:r>
      <w:r>
        <w:rPr>
          <w:sz w:val="20"/>
          <w:szCs w:val="20"/>
          <w:color w:val="auto"/>
        </w:rPr>
        <w:tab/>
      </w:r>
      <w:r>
        <w:rPr>
          <w:rFonts w:ascii="Arial" w:cs="Arial" w:eastAsia="Arial" w:hAnsi="Arial"/>
          <w:sz w:val="13"/>
          <w:szCs w:val="13"/>
          <w:b w:val="1"/>
          <w:bCs w:val="1"/>
          <w:color w:val="B2B3B6"/>
        </w:rPr>
        <w:t>Corporate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Executive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Stockholder</w:t>
      </w:r>
      <w:r>
        <w:rPr>
          <w:sz w:val="20"/>
          <w:szCs w:val="20"/>
          <w:color w:val="auto"/>
        </w:rPr>
        <w:tab/>
      </w:r>
      <w:r>
        <w:rPr>
          <w:rFonts w:ascii="Arial" w:cs="Arial" w:eastAsia="Arial" w:hAnsi="Arial"/>
          <w:sz w:val="12"/>
          <w:szCs w:val="12"/>
          <w:b w:val="1"/>
          <w:bCs w:val="1"/>
          <w:color w:val="B2B3B6"/>
        </w:rPr>
        <w:t>Other</w:t>
      </w:r>
    </w:p>
    <w:p>
      <w:pPr>
        <w:spacing w:after="0" w:line="11"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540" w:val="left"/>
          <w:tab w:leader="none" w:pos="7360" w:val="left"/>
          <w:tab w:leader="none" w:pos="8400" w:val="left"/>
        </w:tabs>
        <w:rPr>
          <w:sz w:val="20"/>
          <w:szCs w:val="20"/>
          <w:color w:val="auto"/>
        </w:rPr>
      </w:pPr>
      <w:r>
        <w:rPr>
          <w:rFonts w:ascii="Arial" w:cs="Arial" w:eastAsia="Arial" w:hAnsi="Arial"/>
          <w:sz w:val="13"/>
          <w:szCs w:val="13"/>
          <w:b w:val="1"/>
          <w:bCs w:val="1"/>
          <w:color w:val="B2B3B6"/>
        </w:rPr>
        <w:t>Information</w:t>
      </w:r>
      <w:r>
        <w:rPr>
          <w:sz w:val="20"/>
          <w:szCs w:val="20"/>
          <w:color w:val="auto"/>
        </w:rPr>
        <w:tab/>
      </w:r>
      <w:r>
        <w:rPr>
          <w:rFonts w:ascii="Arial" w:cs="Arial" w:eastAsia="Arial" w:hAnsi="Arial"/>
          <w:sz w:val="13"/>
          <w:szCs w:val="13"/>
          <w:b w:val="1"/>
          <w:bCs w:val="1"/>
          <w:color w:val="6AAA37"/>
        </w:rPr>
        <w:t>One</w:t>
      </w:r>
      <w:r>
        <w:rPr>
          <w:sz w:val="20"/>
          <w:szCs w:val="20"/>
          <w:color w:val="auto"/>
        </w:rPr>
        <w:tab/>
      </w:r>
      <w:r>
        <w:rPr>
          <w:rFonts w:ascii="Arial" w:cs="Arial" w:eastAsia="Arial" w:hAnsi="Arial"/>
          <w:sz w:val="13"/>
          <w:szCs w:val="13"/>
          <w:b w:val="1"/>
          <w:bCs w:val="1"/>
          <w:color w:val="B2B3B6"/>
        </w:rPr>
        <w:t>Governance</w:t>
      </w:r>
      <w:r>
        <w:rPr>
          <w:sz w:val="20"/>
          <w:szCs w:val="20"/>
          <w:color w:val="auto"/>
        </w:rPr>
        <w:tab/>
      </w:r>
      <w:r>
        <w:rPr>
          <w:rFonts w:ascii="Arial" w:cs="Arial" w:eastAsia="Arial" w:hAnsi="Arial"/>
          <w:sz w:val="13"/>
          <w:szCs w:val="13"/>
          <w:b w:val="1"/>
          <w:bCs w:val="1"/>
          <w:color w:val="B2B3B6"/>
        </w:rPr>
        <w:t>Two</w:t>
      </w:r>
      <w:r>
        <w:rPr>
          <w:sz w:val="20"/>
          <w:szCs w:val="20"/>
          <w:color w:val="auto"/>
        </w:rPr>
        <w:tab/>
      </w:r>
      <w:r>
        <w:rPr>
          <w:rFonts w:ascii="Arial" w:cs="Arial" w:eastAsia="Arial" w:hAnsi="Arial"/>
          <w:sz w:val="13"/>
          <w:szCs w:val="13"/>
          <w:b w:val="1"/>
          <w:bCs w:val="1"/>
          <w:color w:val="B2B3B6"/>
        </w:rPr>
        <w:t>Compensation</w:t>
      </w:r>
      <w:r>
        <w:rPr>
          <w:sz w:val="20"/>
          <w:szCs w:val="20"/>
          <w:color w:val="auto"/>
        </w:rPr>
        <w:tab/>
      </w:r>
      <w:r>
        <w:rPr>
          <w:rFonts w:ascii="Arial" w:cs="Arial" w:eastAsia="Arial" w:hAnsi="Arial"/>
          <w:sz w:val="13"/>
          <w:szCs w:val="13"/>
          <w:b w:val="1"/>
          <w:bCs w:val="1"/>
          <w:color w:val="B2B3B6"/>
        </w:rPr>
        <w:t>Three</w:t>
      </w:r>
      <w:r>
        <w:rPr>
          <w:sz w:val="20"/>
          <w:szCs w:val="20"/>
          <w:color w:val="auto"/>
        </w:rPr>
        <w:tab/>
      </w:r>
      <w:r>
        <w:rPr>
          <w:rFonts w:ascii="Arial" w:cs="Arial" w:eastAsia="Arial" w:hAnsi="Arial"/>
          <w:sz w:val="13"/>
          <w:szCs w:val="13"/>
          <w:b w:val="1"/>
          <w:bCs w:val="1"/>
          <w:color w:val="B2B3B6"/>
        </w:rPr>
        <w:t>Four</w:t>
      </w:r>
      <w:r>
        <w:rPr>
          <w:sz w:val="20"/>
          <w:szCs w:val="20"/>
          <w:color w:val="auto"/>
        </w:rPr>
        <w:tab/>
      </w:r>
      <w:r>
        <w:rPr>
          <w:rFonts w:ascii="Arial" w:cs="Arial" w:eastAsia="Arial" w:hAnsi="Arial"/>
          <w:sz w:val="13"/>
          <w:szCs w:val="13"/>
          <w:b w:val="1"/>
          <w:bCs w:val="1"/>
          <w:color w:val="B2B3B6"/>
        </w:rPr>
        <w:t>Five</w:t>
      </w:r>
      <w:r>
        <w:rPr>
          <w:sz w:val="20"/>
          <w:szCs w:val="20"/>
          <w:color w:val="auto"/>
        </w:rPr>
        <w:tab/>
      </w:r>
      <w:r>
        <w:rPr>
          <w:rFonts w:ascii="Arial" w:cs="Arial" w:eastAsia="Arial" w:hAnsi="Arial"/>
          <w:sz w:val="13"/>
          <w:szCs w:val="13"/>
          <w:b w:val="1"/>
          <w:bCs w:val="1"/>
          <w:color w:val="B2B3B6"/>
        </w:rPr>
        <w:t>Proposals</w:t>
      </w:r>
      <w:r>
        <w:rPr>
          <w:sz w:val="20"/>
          <w:szCs w:val="20"/>
          <w:color w:val="auto"/>
        </w:rPr>
        <w:tab/>
      </w:r>
      <w:r>
        <w:rPr>
          <w:rFonts w:ascii="Arial" w:cs="Arial" w:eastAsia="Arial" w:hAnsi="Arial"/>
          <w:sz w:val="12"/>
          <w:szCs w:val="12"/>
          <w:b w:val="1"/>
          <w:bCs w:val="1"/>
          <w:color w:val="B2B3B6"/>
        </w:rPr>
        <w:t>Matters</w:t>
      </w:r>
    </w:p>
    <w:p>
      <w:pPr>
        <w:spacing w:after="0" w:line="200" w:lineRule="exact"/>
        <w:rPr>
          <w:sz w:val="20"/>
          <w:szCs w:val="20"/>
          <w:color w:val="auto"/>
        </w:rPr>
      </w:pPr>
    </w:p>
    <w:p>
      <w:pPr>
        <w:spacing w:after="0" w:line="281" w:lineRule="exact"/>
        <w:rPr>
          <w:sz w:val="20"/>
          <w:szCs w:val="20"/>
          <w:color w:val="auto"/>
        </w:rPr>
      </w:pPr>
    </w:p>
    <w:p>
      <w:pPr>
        <w:ind w:left="1720"/>
        <w:spacing w:after="0"/>
        <w:rPr>
          <w:sz w:val="20"/>
          <w:szCs w:val="20"/>
          <w:color w:val="auto"/>
        </w:rPr>
      </w:pPr>
      <w:r>
        <w:rPr>
          <w:rFonts w:ascii="Arial" w:cs="Arial" w:eastAsia="Arial" w:hAnsi="Arial"/>
          <w:sz w:val="47"/>
          <w:szCs w:val="47"/>
          <w:color w:val="FFFFFF"/>
        </w:rPr>
        <w:t>Hugh E. Sawyer</w:t>
      </w:r>
    </w:p>
    <w:p>
      <w:pPr>
        <w:sectPr>
          <w:pgSz w:w="11900" w:h="16838" w:orient="portrait"/>
          <w:cols w:equalWidth="0" w:num="1">
            <w:col w:w="9059"/>
          </w:cols>
          <w:pgMar w:left="1400" w:top="810" w:right="1440" w:bottom="0" w:gutter="0" w:footer="0" w:header="0"/>
          <w:type w:val="continuous"/>
        </w:sectPr>
      </w:pPr>
    </w:p>
    <w:p>
      <w:pPr>
        <w:spacing w:after="0" w:line="136" w:lineRule="exact"/>
        <w:rPr>
          <w:sz w:val="20"/>
          <w:szCs w:val="20"/>
          <w:color w:val="auto"/>
        </w:rPr>
      </w:pPr>
    </w:p>
    <w:p>
      <w:pPr>
        <w:ind w:left="1900"/>
        <w:spacing w:after="0"/>
        <w:rPr>
          <w:sz w:val="20"/>
          <w:szCs w:val="20"/>
          <w:color w:val="auto"/>
        </w:rPr>
      </w:pPr>
      <w:r>
        <w:rPr>
          <w:rFonts w:ascii="Arial" w:cs="Arial" w:eastAsia="Arial" w:hAnsi="Arial"/>
          <w:sz w:val="14"/>
          <w:szCs w:val="14"/>
          <w:b w:val="1"/>
          <w:bCs w:val="1"/>
          <w:color w:val="FFFFFF"/>
        </w:rPr>
        <w:t>INDEPENDENT</w:t>
      </w:r>
    </w:p>
    <w:p>
      <w:pPr>
        <w:sectPr>
          <w:pgSz w:w="11900" w:h="16838" w:orient="portrait"/>
          <w:cols w:equalWidth="0" w:num="1">
            <w:col w:w="9059"/>
          </w:cols>
          <w:pgMar w:left="1400" w:top="810" w:right="1440" w:bottom="0" w:gutter="0" w:footer="0" w:header="0"/>
          <w:type w:val="continuous"/>
        </w:sectPr>
      </w:pPr>
    </w:p>
    <w:bookmarkStart w:id="18" w:name="page19"/>
    <w:bookmarkEnd w:id="18"/>
    <w:p>
      <w:pPr>
        <w:spacing w:after="0" w:line="25" w:lineRule="exact"/>
        <w:rPr>
          <w:sz w:val="20"/>
          <w:szCs w:val="20"/>
          <w:color w:val="auto"/>
        </w:rPr>
      </w:pPr>
    </w:p>
    <w:p>
      <w:pPr>
        <w:ind w:left="1720" w:right="2999"/>
        <w:spacing w:after="0" w:line="281" w:lineRule="auto"/>
        <w:rPr>
          <w:sz w:val="20"/>
          <w:szCs w:val="20"/>
          <w:color w:val="auto"/>
        </w:rPr>
      </w:pPr>
      <w:r>
        <w:rPr>
          <w:rFonts w:ascii="Arial" w:cs="Arial" w:eastAsia="Arial" w:hAnsi="Arial"/>
          <w:sz w:val="14"/>
          <w:szCs w:val="14"/>
          <w:b w:val="1"/>
          <w:bCs w:val="1"/>
          <w:color w:val="FFFFFF"/>
        </w:rPr>
        <w:t>AGE: 70 | DIRECTOR SINCE: FEBRUARY 2018 NON-EXECUTIVE CHAIRMAN OF THE BOARD (JANUARY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-233045</wp:posOffset>
            </wp:positionV>
            <wp:extent cx="6810375" cy="7408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10375" cy="7408545"/>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4"/>
          <w:szCs w:val="14"/>
          <w:b w:val="1"/>
          <w:bCs w:val="1"/>
          <w:color w:val="FFFFFF"/>
        </w:rPr>
        <w:t>COMMITTEES: C (CHAIR), A (MEMBER), F&amp;CA (MEMBER)</w:t>
      </w:r>
    </w:p>
    <w:p>
      <w:pPr>
        <w:sectPr>
          <w:pgSz w:w="11900" w:h="16864" w:orient="portrait"/>
          <w:cols w:equalWidth="0" w:num="1">
            <w:col w:w="9059"/>
          </w:cols>
          <w:pgMar w:left="1400" w:top="13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Professional Experience:</w:t>
      </w:r>
    </w:p>
    <w:p>
      <w:pPr>
        <w:spacing w:after="0" w:line="118" w:lineRule="exact"/>
        <w:rPr>
          <w:sz w:val="20"/>
          <w:szCs w:val="20"/>
          <w:color w:val="auto"/>
        </w:rPr>
      </w:pPr>
    </w:p>
    <w:p>
      <w:pPr>
        <w:ind w:left="180" w:right="80" w:hanging="172"/>
        <w:spacing w:after="0" w:line="303" w:lineRule="auto"/>
        <w:tabs>
          <w:tab w:leader="none" w:pos="180" w:val="left"/>
        </w:tabs>
        <w:numPr>
          <w:ilvl w:val="0"/>
          <w:numId w:val="18"/>
        </w:numPr>
        <w:rPr>
          <w:rFonts w:ascii="Arial" w:cs="Arial" w:eastAsia="Arial" w:hAnsi="Arial"/>
          <w:sz w:val="14"/>
          <w:szCs w:val="14"/>
          <w:b w:val="1"/>
          <w:bCs w:val="1"/>
          <w:color w:val="6AAA37"/>
        </w:rPr>
      </w:pPr>
      <w:r>
        <w:rPr>
          <w:rFonts w:ascii="Arial" w:cs="Arial" w:eastAsia="Arial" w:hAnsi="Arial"/>
          <w:sz w:val="14"/>
          <w:szCs w:val="14"/>
          <w:color w:val="auto"/>
        </w:rPr>
        <w:t>Chairman, President and Chief Executive Officer of Regis Corporation, 2017 until retirement in 2020</w:t>
      </w:r>
    </w:p>
    <w:p>
      <w:pPr>
        <w:spacing w:after="0" w:line="24" w:lineRule="exact"/>
        <w:rPr>
          <w:rFonts w:ascii="Arial" w:cs="Arial" w:eastAsia="Arial" w:hAnsi="Arial"/>
          <w:sz w:val="14"/>
          <w:szCs w:val="14"/>
          <w:b w:val="1"/>
          <w:bCs w:val="1"/>
          <w:color w:val="6AAA37"/>
        </w:rPr>
      </w:pPr>
    </w:p>
    <w:p>
      <w:pPr>
        <w:ind w:left="180" w:hanging="172"/>
        <w:spacing w:after="0"/>
        <w:tabs>
          <w:tab w:leader="none" w:pos="180" w:val="left"/>
        </w:tabs>
        <w:numPr>
          <w:ilvl w:val="0"/>
          <w:numId w:val="18"/>
        </w:numPr>
        <w:rPr>
          <w:rFonts w:ascii="Arial" w:cs="Arial" w:eastAsia="Arial" w:hAnsi="Arial"/>
          <w:sz w:val="14"/>
          <w:szCs w:val="14"/>
          <w:b w:val="1"/>
          <w:bCs w:val="1"/>
          <w:color w:val="6AAA37"/>
        </w:rPr>
      </w:pPr>
      <w:r>
        <w:rPr>
          <w:rFonts w:ascii="Arial" w:cs="Arial" w:eastAsia="Arial" w:hAnsi="Arial"/>
          <w:sz w:val="14"/>
          <w:szCs w:val="14"/>
          <w:color w:val="auto"/>
        </w:rPr>
        <w:t>Managing Director, Huron, 2010 – 2017</w:t>
      </w:r>
    </w:p>
    <w:p>
      <w:pPr>
        <w:spacing w:after="0" w:line="82" w:lineRule="exact"/>
        <w:rPr>
          <w:rFonts w:ascii="Arial" w:cs="Arial" w:eastAsia="Arial" w:hAnsi="Arial"/>
          <w:sz w:val="14"/>
          <w:szCs w:val="14"/>
          <w:b w:val="1"/>
          <w:bCs w:val="1"/>
          <w:color w:val="6AAA37"/>
        </w:rPr>
      </w:pPr>
    </w:p>
    <w:p>
      <w:pPr>
        <w:ind w:left="180" w:right="60"/>
        <w:spacing w:after="0" w:line="332" w:lineRule="auto"/>
        <w:rPr>
          <w:rFonts w:ascii="Arial" w:cs="Arial" w:eastAsia="Arial" w:hAnsi="Arial"/>
          <w:sz w:val="14"/>
          <w:szCs w:val="14"/>
          <w:b w:val="1"/>
          <w:bCs w:val="1"/>
          <w:color w:val="6AAA37"/>
        </w:rPr>
      </w:pPr>
      <w:r>
        <w:rPr>
          <w:rFonts w:ascii="Arial" w:cs="Arial" w:eastAsia="Arial" w:hAnsi="Arial"/>
          <w:sz w:val="14"/>
          <w:szCs w:val="14"/>
          <w:color w:val="auto"/>
        </w:rPr>
        <w:t>While at Huron, he served in the following roles for clients:</w:t>
      </w:r>
    </w:p>
    <w:p>
      <w:pPr>
        <w:jc w:val="right"/>
        <w:ind w:left="340" w:right="80" w:hanging="162"/>
        <w:spacing w:after="0" w:line="325" w:lineRule="auto"/>
        <w:rPr>
          <w:rFonts w:ascii="Arial" w:cs="Arial" w:eastAsia="Arial" w:hAnsi="Arial"/>
          <w:sz w:val="14"/>
          <w:szCs w:val="14"/>
          <w:b w:val="1"/>
          <w:bCs w:val="1"/>
          <w:color w:val="6AAA37"/>
        </w:rPr>
      </w:pPr>
      <w:r>
        <w:rPr>
          <w:rFonts w:ascii="Arial" w:cs="Arial" w:eastAsia="Arial" w:hAnsi="Arial"/>
          <w:sz w:val="14"/>
          <w:szCs w:val="14"/>
          <w:color w:val="auto"/>
        </w:rPr>
        <w:t>– JHT Holdings, Inc. – Interim President and CEO, January 2010 - March 2012;</w:t>
      </w:r>
    </w:p>
    <w:p>
      <w:pPr>
        <w:spacing w:after="0" w:line="9" w:lineRule="exact"/>
        <w:rPr>
          <w:rFonts w:ascii="Arial" w:cs="Arial" w:eastAsia="Arial" w:hAnsi="Arial"/>
          <w:sz w:val="14"/>
          <w:szCs w:val="14"/>
          <w:b w:val="1"/>
          <w:bCs w:val="1"/>
          <w:color w:val="6AAA37"/>
        </w:rPr>
      </w:pPr>
    </w:p>
    <w:p>
      <w:pPr>
        <w:ind w:left="340" w:right="160" w:hanging="162"/>
        <w:spacing w:after="0" w:line="297" w:lineRule="auto"/>
        <w:rPr>
          <w:rFonts w:ascii="Arial" w:cs="Arial" w:eastAsia="Arial" w:hAnsi="Arial"/>
          <w:sz w:val="14"/>
          <w:szCs w:val="14"/>
          <w:b w:val="1"/>
          <w:bCs w:val="1"/>
          <w:color w:val="6AAA37"/>
        </w:rPr>
      </w:pPr>
      <w:r>
        <w:rPr>
          <w:rFonts w:ascii="Arial" w:cs="Arial" w:eastAsia="Arial" w:hAnsi="Arial"/>
          <w:sz w:val="14"/>
          <w:szCs w:val="14"/>
          <w:color w:val="auto"/>
        </w:rPr>
        <w:t>– Fisker Automotive Inc. – Chief Administrative Officer, January 2013 - March 2013, Chief Restructuring Officer, March 2013 - October 2013; and</w:t>
      </w:r>
    </w:p>
    <w:p>
      <w:pPr>
        <w:spacing w:after="0" w:line="29" w:lineRule="exact"/>
        <w:rPr>
          <w:rFonts w:ascii="Arial" w:cs="Arial" w:eastAsia="Arial" w:hAnsi="Arial"/>
          <w:sz w:val="14"/>
          <w:szCs w:val="14"/>
          <w:b w:val="1"/>
          <w:bCs w:val="1"/>
          <w:color w:val="6AAA37"/>
        </w:rPr>
      </w:pPr>
    </w:p>
    <w:p>
      <w:pPr>
        <w:ind w:left="340" w:right="260" w:hanging="162"/>
        <w:spacing w:after="0" w:line="313" w:lineRule="auto"/>
        <w:rPr>
          <w:rFonts w:ascii="Arial" w:cs="Arial" w:eastAsia="Arial" w:hAnsi="Arial"/>
          <w:sz w:val="14"/>
          <w:szCs w:val="14"/>
          <w:b w:val="1"/>
          <w:bCs w:val="1"/>
          <w:color w:val="6AAA37"/>
        </w:rPr>
      </w:pPr>
      <w:r>
        <w:rPr>
          <w:rFonts w:ascii="Arial" w:cs="Arial" w:eastAsia="Arial" w:hAnsi="Arial"/>
          <w:sz w:val="14"/>
          <w:szCs w:val="14"/>
          <w:color w:val="auto"/>
        </w:rPr>
        <w:t>– Euramax International Inc. – Interim President, February 2014 - August 2015</w:t>
      </w:r>
    </w:p>
    <w:p>
      <w:pPr>
        <w:spacing w:after="0" w:line="4" w:lineRule="exact"/>
        <w:rPr>
          <w:rFonts w:ascii="Arial" w:cs="Arial" w:eastAsia="Arial" w:hAnsi="Arial"/>
          <w:sz w:val="14"/>
          <w:szCs w:val="14"/>
          <w:b w:val="1"/>
          <w:bCs w:val="1"/>
          <w:color w:val="6AAA37"/>
        </w:rPr>
      </w:pPr>
    </w:p>
    <w:p>
      <w:pPr>
        <w:ind w:left="180" w:hanging="172"/>
        <w:spacing w:after="0" w:line="297" w:lineRule="auto"/>
        <w:tabs>
          <w:tab w:leader="none" w:pos="180" w:val="left"/>
        </w:tabs>
        <w:numPr>
          <w:ilvl w:val="0"/>
          <w:numId w:val="18"/>
        </w:numPr>
        <w:rPr>
          <w:rFonts w:ascii="Arial" w:cs="Arial" w:eastAsia="Arial" w:hAnsi="Arial"/>
          <w:sz w:val="14"/>
          <w:szCs w:val="14"/>
          <w:b w:val="1"/>
          <w:bCs w:val="1"/>
          <w:color w:val="6AAA37"/>
        </w:rPr>
      </w:pPr>
      <w:r>
        <w:rPr>
          <w:rFonts w:ascii="Arial" w:cs="Arial" w:eastAsia="Arial" w:hAnsi="Arial"/>
          <w:sz w:val="14"/>
          <w:szCs w:val="14"/>
          <w:color w:val="auto"/>
        </w:rPr>
        <w:t>Mr. Sawyer has served as the president or chief executive officer of the following: Wells Fargo Armored Service Corporation, The Cunningham Group, Inc., National Linen Service, Inc., Aegis Communications Group, Inc., Allied Holdings, Inc., and Legendary Holdings,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00558C"/>
        </w:rPr>
        <w:t>Education/Certifications:</w:t>
      </w:r>
    </w:p>
    <w:p>
      <w:pPr>
        <w:spacing w:after="0" w:line="77" w:lineRule="exact"/>
        <w:rPr>
          <w:sz w:val="20"/>
          <w:szCs w:val="20"/>
          <w:color w:val="auto"/>
        </w:rPr>
      </w:pPr>
    </w:p>
    <w:p>
      <w:pPr>
        <w:ind w:left="167" w:hanging="167"/>
        <w:spacing w:after="0"/>
        <w:tabs>
          <w:tab w:leader="none" w:pos="167" w:val="left"/>
        </w:tabs>
        <w:numPr>
          <w:ilvl w:val="0"/>
          <w:numId w:val="19"/>
        </w:numPr>
        <w:rPr>
          <w:rFonts w:ascii="Arial" w:cs="Arial" w:eastAsia="Arial" w:hAnsi="Arial"/>
          <w:sz w:val="14"/>
          <w:szCs w:val="14"/>
          <w:b w:val="1"/>
          <w:bCs w:val="1"/>
          <w:color w:val="6AAA37"/>
        </w:rPr>
      </w:pPr>
      <w:r>
        <w:rPr>
          <w:rFonts w:ascii="Arial" w:cs="Arial" w:eastAsia="Arial" w:hAnsi="Arial"/>
          <w:sz w:val="14"/>
          <w:szCs w:val="14"/>
          <w:color w:val="auto"/>
        </w:rPr>
        <w:t>B.A., with Honors, University of Florida</w:t>
      </w:r>
    </w:p>
    <w:p>
      <w:pPr>
        <w:spacing w:after="0" w:line="82" w:lineRule="exact"/>
        <w:rPr>
          <w:rFonts w:ascii="Arial" w:cs="Arial" w:eastAsia="Arial" w:hAnsi="Arial"/>
          <w:sz w:val="14"/>
          <w:szCs w:val="14"/>
          <w:b w:val="1"/>
          <w:bCs w:val="1"/>
          <w:color w:val="6AAA37"/>
        </w:rPr>
      </w:pPr>
    </w:p>
    <w:p>
      <w:pPr>
        <w:ind w:left="167" w:right="500" w:hanging="167"/>
        <w:spacing w:after="0" w:line="345" w:lineRule="auto"/>
        <w:tabs>
          <w:tab w:leader="none" w:pos="167" w:val="left"/>
        </w:tabs>
        <w:numPr>
          <w:ilvl w:val="0"/>
          <w:numId w:val="19"/>
        </w:numPr>
        <w:rPr>
          <w:rFonts w:ascii="Arial" w:cs="Arial" w:eastAsia="Arial" w:hAnsi="Arial"/>
          <w:sz w:val="14"/>
          <w:szCs w:val="14"/>
          <w:b w:val="1"/>
          <w:bCs w:val="1"/>
          <w:color w:val="6AAA37"/>
        </w:rPr>
      </w:pPr>
      <w:r>
        <w:rPr>
          <w:rFonts w:ascii="Arial" w:cs="Arial" w:eastAsia="Arial" w:hAnsi="Arial"/>
          <w:sz w:val="14"/>
          <w:szCs w:val="14"/>
          <w:color w:val="auto"/>
        </w:rPr>
        <w:t>Certified Turnaround Professional (inactive)</w:t>
      </w:r>
    </w:p>
    <w:p>
      <w:pPr>
        <w:spacing w:after="0" w:line="5" w:lineRule="exact"/>
        <w:rPr>
          <w:sz w:val="20"/>
          <w:szCs w:val="20"/>
          <w:color w:val="auto"/>
        </w:rPr>
      </w:pPr>
    </w:p>
    <w:p>
      <w:pPr>
        <w:jc w:val="both"/>
        <w:ind w:left="7" w:right="800"/>
        <w:spacing w:after="0" w:line="280" w:lineRule="auto"/>
        <w:rPr>
          <w:sz w:val="20"/>
          <w:szCs w:val="20"/>
          <w:color w:val="auto"/>
        </w:rPr>
      </w:pPr>
      <w:r>
        <w:rPr>
          <w:rFonts w:ascii="Arial" w:cs="Arial" w:eastAsia="Arial" w:hAnsi="Arial"/>
          <w:sz w:val="16"/>
          <w:szCs w:val="16"/>
          <w:b w:val="1"/>
          <w:bCs w:val="1"/>
          <w:color w:val="00558C"/>
        </w:rPr>
        <w:t>Previous Public Company Board Experience during the last five years:</w:t>
      </w:r>
    </w:p>
    <w:p>
      <w:pPr>
        <w:spacing w:after="0" w:line="9" w:lineRule="exact"/>
        <w:rPr>
          <w:sz w:val="20"/>
          <w:szCs w:val="20"/>
          <w:color w:val="auto"/>
        </w:rPr>
      </w:pPr>
    </w:p>
    <w:p>
      <w:pPr>
        <w:ind w:left="167" w:right="20" w:hanging="167"/>
        <w:spacing w:after="0" w:line="313" w:lineRule="auto"/>
        <w:tabs>
          <w:tab w:leader="none" w:pos="167" w:val="left"/>
        </w:tabs>
        <w:numPr>
          <w:ilvl w:val="0"/>
          <w:numId w:val="20"/>
        </w:numPr>
        <w:rPr>
          <w:rFonts w:ascii="Arial" w:cs="Arial" w:eastAsia="Arial" w:hAnsi="Arial"/>
          <w:sz w:val="14"/>
          <w:szCs w:val="14"/>
          <w:b w:val="1"/>
          <w:bCs w:val="1"/>
          <w:color w:val="6AAA37"/>
        </w:rPr>
      </w:pPr>
      <w:r>
        <w:rPr>
          <w:rFonts w:ascii="Arial" w:cs="Arial" w:eastAsia="Arial" w:hAnsi="Arial"/>
          <w:sz w:val="14"/>
          <w:szCs w:val="14"/>
          <w:color w:val="auto"/>
        </w:rPr>
        <w:t>Chairman, President and Chief Executive Officer, Regis Corporation, 2017 until retirement in 2020</w:t>
      </w:r>
    </w:p>
    <w:p>
      <w:pPr>
        <w:spacing w:after="0" w:line="67" w:lineRule="exact"/>
        <w:rPr>
          <w:sz w:val="20"/>
          <w:szCs w:val="20"/>
          <w:color w:val="auto"/>
        </w:rPr>
      </w:pPr>
    </w:p>
    <w:p>
      <w:pPr>
        <w:ind w:left="7" w:right="680"/>
        <w:spacing w:after="0" w:line="296" w:lineRule="auto"/>
        <w:rPr>
          <w:sz w:val="20"/>
          <w:szCs w:val="20"/>
          <w:color w:val="auto"/>
        </w:rPr>
      </w:pPr>
      <w:r>
        <w:rPr>
          <w:rFonts w:ascii="Arial" w:cs="Arial" w:eastAsia="Arial" w:hAnsi="Arial"/>
          <w:sz w:val="16"/>
          <w:szCs w:val="16"/>
          <w:b w:val="1"/>
          <w:bCs w:val="1"/>
          <w:color w:val="00558C"/>
        </w:rPr>
        <w:t>Non-public board and other advisory services:</w:t>
      </w:r>
    </w:p>
    <w:p>
      <w:pPr>
        <w:spacing w:after="0" w:line="37" w:lineRule="exact"/>
        <w:rPr>
          <w:sz w:val="20"/>
          <w:szCs w:val="20"/>
          <w:color w:val="auto"/>
        </w:rPr>
      </w:pPr>
    </w:p>
    <w:p>
      <w:pPr>
        <w:ind w:left="167" w:hanging="167"/>
        <w:spacing w:after="0"/>
        <w:tabs>
          <w:tab w:leader="none" w:pos="167" w:val="left"/>
        </w:tabs>
        <w:numPr>
          <w:ilvl w:val="0"/>
          <w:numId w:val="21"/>
        </w:numPr>
        <w:rPr>
          <w:rFonts w:ascii="Arial" w:cs="Arial" w:eastAsia="Arial" w:hAnsi="Arial"/>
          <w:sz w:val="14"/>
          <w:szCs w:val="14"/>
          <w:b w:val="1"/>
          <w:bCs w:val="1"/>
          <w:color w:val="6AAA37"/>
        </w:rPr>
      </w:pPr>
      <w:r>
        <w:rPr>
          <w:rFonts w:ascii="Arial" w:cs="Arial" w:eastAsia="Arial" w:hAnsi="Arial"/>
          <w:sz w:val="14"/>
          <w:szCs w:val="14"/>
          <w:color w:val="auto"/>
        </w:rPr>
        <w:t>JHT Holdings, Inc., 2011 – 2018</w:t>
      </w:r>
    </w:p>
    <w:p>
      <w:pPr>
        <w:spacing w:after="0" w:line="82" w:lineRule="exact"/>
        <w:rPr>
          <w:rFonts w:ascii="Arial" w:cs="Arial" w:eastAsia="Arial" w:hAnsi="Arial"/>
          <w:sz w:val="14"/>
          <w:szCs w:val="14"/>
          <w:b w:val="1"/>
          <w:bCs w:val="1"/>
          <w:color w:val="6AAA37"/>
        </w:rPr>
      </w:pPr>
    </w:p>
    <w:p>
      <w:pPr>
        <w:ind w:left="167" w:hanging="167"/>
        <w:spacing w:after="0" w:line="345" w:lineRule="auto"/>
        <w:tabs>
          <w:tab w:leader="none" w:pos="167" w:val="left"/>
        </w:tabs>
        <w:numPr>
          <w:ilvl w:val="0"/>
          <w:numId w:val="21"/>
        </w:numPr>
        <w:rPr>
          <w:rFonts w:ascii="Arial" w:cs="Arial" w:eastAsia="Arial" w:hAnsi="Arial"/>
          <w:sz w:val="14"/>
          <w:szCs w:val="14"/>
          <w:b w:val="1"/>
          <w:bCs w:val="1"/>
          <w:color w:val="6AAA37"/>
        </w:rPr>
      </w:pPr>
      <w:r>
        <w:rPr>
          <w:rFonts w:ascii="Arial" w:cs="Arial" w:eastAsia="Arial" w:hAnsi="Arial"/>
          <w:sz w:val="14"/>
          <w:szCs w:val="14"/>
          <w:color w:val="auto"/>
        </w:rPr>
        <w:t>Board of managing trustees of the Edison Mission Energy Reorganization Trust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color w:val="B2B3B6"/>
        </w:rPr>
        <w:t>Key Skills Sets: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3"/>
          <w:szCs w:val="13"/>
          <w:b w:val="1"/>
          <w:bCs w:val="1"/>
          <w:color w:val="6AAA37"/>
        </w:rPr>
        <w:t>ACCOUNTING | FINANCE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2"/>
          <w:szCs w:val="12"/>
          <w:b w:val="1"/>
          <w:bCs w:val="1"/>
          <w:color w:val="6AAA37"/>
        </w:rPr>
        <w:t>CORPORATE GOVERNANCE | LAW</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3"/>
          <w:szCs w:val="13"/>
          <w:b w:val="1"/>
          <w:bCs w:val="1"/>
          <w:color w:val="6AAA37"/>
        </w:rPr>
        <w:t>SENIOR EXECUTIVE LEADERSHIP</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2"/>
          <w:szCs w:val="12"/>
          <w:b w:val="1"/>
          <w:bCs w:val="1"/>
          <w:color w:val="6AAA37"/>
        </w:rPr>
        <w:t>RISK MANAGEMENT &amp; OVERSIGHT</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3"/>
          <w:szCs w:val="13"/>
          <w:b w:val="1"/>
          <w:bCs w:val="1"/>
          <w:color w:val="6AAA37"/>
        </w:rPr>
        <w:t>TECHNOLOGY</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3"/>
          <w:szCs w:val="13"/>
          <w:b w:val="1"/>
          <w:bCs w:val="1"/>
          <w:color w:val="6AAA37"/>
        </w:rPr>
        <w:t>GLOBAL BUSINESS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3"/>
          <w:szCs w:val="13"/>
          <w:b w:val="1"/>
          <w:bCs w:val="1"/>
          <w:color w:val="6AAA37"/>
        </w:rPr>
        <w:t>PUBLIC COMPANY BOARD</w:t>
      </w:r>
    </w:p>
    <w:p>
      <w:pPr>
        <w:spacing w:after="0" w:line="200" w:lineRule="exact"/>
        <w:rPr>
          <w:sz w:val="20"/>
          <w:szCs w:val="20"/>
          <w:color w:val="auto"/>
        </w:rPr>
      </w:pPr>
    </w:p>
    <w:p>
      <w:pPr>
        <w:sectPr>
          <w:pgSz w:w="11900" w:h="16864" w:orient="portrait"/>
          <w:cols w:equalWidth="0" w:num="3">
            <w:col w:w="2880" w:space="233"/>
            <w:col w:w="2807" w:space="560"/>
            <w:col w:w="2579"/>
          </w:cols>
          <w:pgMar w:left="1400" w:top="130" w:right="1440" w:bottom="0" w:gutter="0" w:footer="0" w:header="0"/>
          <w:type w:val="continuous"/>
        </w:sectPr>
      </w:pP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Individual Contributions:</w:t>
      </w:r>
    </w:p>
    <w:p>
      <w:pPr>
        <w:spacing w:after="0" w:line="77" w:lineRule="exact"/>
        <w:rPr>
          <w:sz w:val="20"/>
          <w:szCs w:val="20"/>
          <w:color w:val="auto"/>
        </w:rPr>
      </w:pPr>
    </w:p>
    <w:p>
      <w:pPr>
        <w:ind w:right="19"/>
        <w:spacing w:after="0" w:line="302" w:lineRule="auto"/>
        <w:rPr>
          <w:sz w:val="20"/>
          <w:szCs w:val="20"/>
          <w:color w:val="auto"/>
        </w:rPr>
      </w:pPr>
      <w:r>
        <w:rPr>
          <w:rFonts w:ascii="Arial" w:cs="Arial" w:eastAsia="Arial" w:hAnsi="Arial"/>
          <w:sz w:val="14"/>
          <w:szCs w:val="14"/>
          <w:color w:val="auto"/>
        </w:rPr>
        <w:t>Mr. Sawyer is a proven executive with more than 40 years of experience leading complex strategic transformations and operational improvements for both public and private companies across a range of industries. He has held leadership roles as president or chief executive officer of nine companies and has also served on fourteen public or private boards of directors, including as chairman. He has significant governance experience as a member of numerous board committees including audit, compensation, nomination and governance and various special committees.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60"/>
        <w:spacing w:after="0"/>
        <w:tabs>
          <w:tab w:leader="none" w:pos="448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13"/>
          <w:szCs w:val="13"/>
          <w:b w:val="1"/>
          <w:bCs w:val="1"/>
          <w:color w:val="00558C"/>
        </w:rPr>
        <w:t>9</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420370</wp:posOffset>
            </wp:positionV>
            <wp:extent cx="6810375" cy="30251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10375" cy="3025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540" w:val="left"/>
          <w:tab w:leader="none" w:pos="7360" w:val="left"/>
          <w:tab w:leader="none" w:pos="8400" w:val="left"/>
        </w:tabs>
        <w:rPr>
          <w:sz w:val="20"/>
          <w:szCs w:val="20"/>
          <w:color w:val="auto"/>
        </w:rPr>
      </w:pPr>
      <w:r>
        <w:rPr>
          <w:rFonts w:ascii="Arial" w:cs="Arial" w:eastAsia="Arial" w:hAnsi="Arial"/>
          <w:sz w:val="13"/>
          <w:szCs w:val="13"/>
          <w:b w:val="1"/>
          <w:bCs w:val="1"/>
          <w:color w:val="B2B3B6"/>
        </w:rPr>
        <w:t>General</w:t>
      </w:r>
      <w:r>
        <w:rPr>
          <w:sz w:val="20"/>
          <w:szCs w:val="20"/>
          <w:color w:val="auto"/>
        </w:rPr>
        <w:tab/>
      </w:r>
      <w:r>
        <w:rPr>
          <w:rFonts w:ascii="Arial" w:cs="Arial" w:eastAsia="Arial" w:hAnsi="Arial"/>
          <w:sz w:val="13"/>
          <w:szCs w:val="13"/>
          <w:b w:val="1"/>
          <w:bCs w:val="1"/>
          <w:color w:val="6AAA37"/>
        </w:rPr>
        <w:t>Proposal</w:t>
      </w:r>
      <w:r>
        <w:rPr>
          <w:sz w:val="20"/>
          <w:szCs w:val="20"/>
          <w:color w:val="auto"/>
        </w:rPr>
        <w:tab/>
      </w:r>
      <w:r>
        <w:rPr>
          <w:rFonts w:ascii="Arial" w:cs="Arial" w:eastAsia="Arial" w:hAnsi="Arial"/>
          <w:sz w:val="13"/>
          <w:szCs w:val="13"/>
          <w:b w:val="1"/>
          <w:bCs w:val="1"/>
          <w:color w:val="B2B3B6"/>
        </w:rPr>
        <w:t>Corporate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Executive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Stockholder</w:t>
      </w:r>
      <w:r>
        <w:rPr>
          <w:sz w:val="20"/>
          <w:szCs w:val="20"/>
          <w:color w:val="auto"/>
        </w:rPr>
        <w:tab/>
      </w:r>
      <w:r>
        <w:rPr>
          <w:rFonts w:ascii="Arial" w:cs="Arial" w:eastAsia="Arial" w:hAnsi="Arial"/>
          <w:sz w:val="12"/>
          <w:szCs w:val="12"/>
          <w:b w:val="1"/>
          <w:bCs w:val="1"/>
          <w:color w:val="B2B3B6"/>
        </w:rPr>
        <w:t>Other</w:t>
      </w:r>
    </w:p>
    <w:p>
      <w:pPr>
        <w:spacing w:after="0" w:line="11"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540" w:val="left"/>
          <w:tab w:leader="none" w:pos="7360" w:val="left"/>
          <w:tab w:leader="none" w:pos="8400" w:val="left"/>
        </w:tabs>
        <w:rPr>
          <w:sz w:val="20"/>
          <w:szCs w:val="20"/>
          <w:color w:val="auto"/>
        </w:rPr>
      </w:pPr>
      <w:r>
        <w:rPr>
          <w:rFonts w:ascii="Arial" w:cs="Arial" w:eastAsia="Arial" w:hAnsi="Arial"/>
          <w:sz w:val="13"/>
          <w:szCs w:val="13"/>
          <w:b w:val="1"/>
          <w:bCs w:val="1"/>
          <w:color w:val="B2B3B6"/>
        </w:rPr>
        <w:t>Information</w:t>
      </w:r>
      <w:r>
        <w:rPr>
          <w:sz w:val="20"/>
          <w:szCs w:val="20"/>
          <w:color w:val="auto"/>
        </w:rPr>
        <w:tab/>
      </w:r>
      <w:r>
        <w:rPr>
          <w:rFonts w:ascii="Arial" w:cs="Arial" w:eastAsia="Arial" w:hAnsi="Arial"/>
          <w:sz w:val="13"/>
          <w:szCs w:val="13"/>
          <w:b w:val="1"/>
          <w:bCs w:val="1"/>
          <w:color w:val="6AAA37"/>
        </w:rPr>
        <w:t>One</w:t>
      </w:r>
      <w:r>
        <w:rPr>
          <w:sz w:val="20"/>
          <w:szCs w:val="20"/>
          <w:color w:val="auto"/>
        </w:rPr>
        <w:tab/>
      </w:r>
      <w:r>
        <w:rPr>
          <w:rFonts w:ascii="Arial" w:cs="Arial" w:eastAsia="Arial" w:hAnsi="Arial"/>
          <w:sz w:val="13"/>
          <w:szCs w:val="13"/>
          <w:b w:val="1"/>
          <w:bCs w:val="1"/>
          <w:color w:val="B2B3B6"/>
        </w:rPr>
        <w:t>Governance</w:t>
      </w:r>
      <w:r>
        <w:rPr>
          <w:sz w:val="20"/>
          <w:szCs w:val="20"/>
          <w:color w:val="auto"/>
        </w:rPr>
        <w:tab/>
      </w:r>
      <w:r>
        <w:rPr>
          <w:rFonts w:ascii="Arial" w:cs="Arial" w:eastAsia="Arial" w:hAnsi="Arial"/>
          <w:sz w:val="13"/>
          <w:szCs w:val="13"/>
          <w:b w:val="1"/>
          <w:bCs w:val="1"/>
          <w:color w:val="B2B3B6"/>
        </w:rPr>
        <w:t>Two</w:t>
      </w:r>
      <w:r>
        <w:rPr>
          <w:sz w:val="20"/>
          <w:szCs w:val="20"/>
          <w:color w:val="auto"/>
        </w:rPr>
        <w:tab/>
      </w:r>
      <w:r>
        <w:rPr>
          <w:rFonts w:ascii="Arial" w:cs="Arial" w:eastAsia="Arial" w:hAnsi="Arial"/>
          <w:sz w:val="13"/>
          <w:szCs w:val="13"/>
          <w:b w:val="1"/>
          <w:bCs w:val="1"/>
          <w:color w:val="B2B3B6"/>
        </w:rPr>
        <w:t>Compensation</w:t>
      </w:r>
      <w:r>
        <w:rPr>
          <w:sz w:val="20"/>
          <w:szCs w:val="20"/>
          <w:color w:val="auto"/>
        </w:rPr>
        <w:tab/>
      </w:r>
      <w:r>
        <w:rPr>
          <w:rFonts w:ascii="Arial" w:cs="Arial" w:eastAsia="Arial" w:hAnsi="Arial"/>
          <w:sz w:val="13"/>
          <w:szCs w:val="13"/>
          <w:b w:val="1"/>
          <w:bCs w:val="1"/>
          <w:color w:val="B2B3B6"/>
        </w:rPr>
        <w:t>Three</w:t>
      </w:r>
      <w:r>
        <w:rPr>
          <w:sz w:val="20"/>
          <w:szCs w:val="20"/>
          <w:color w:val="auto"/>
        </w:rPr>
        <w:tab/>
      </w:r>
      <w:r>
        <w:rPr>
          <w:rFonts w:ascii="Arial" w:cs="Arial" w:eastAsia="Arial" w:hAnsi="Arial"/>
          <w:sz w:val="13"/>
          <w:szCs w:val="13"/>
          <w:b w:val="1"/>
          <w:bCs w:val="1"/>
          <w:color w:val="B2B3B6"/>
        </w:rPr>
        <w:t>Four</w:t>
      </w:r>
      <w:r>
        <w:rPr>
          <w:sz w:val="20"/>
          <w:szCs w:val="20"/>
          <w:color w:val="auto"/>
        </w:rPr>
        <w:tab/>
      </w:r>
      <w:r>
        <w:rPr>
          <w:rFonts w:ascii="Arial" w:cs="Arial" w:eastAsia="Arial" w:hAnsi="Arial"/>
          <w:sz w:val="13"/>
          <w:szCs w:val="13"/>
          <w:b w:val="1"/>
          <w:bCs w:val="1"/>
          <w:color w:val="B2B3B6"/>
        </w:rPr>
        <w:t>Five</w:t>
      </w:r>
      <w:r>
        <w:rPr>
          <w:sz w:val="20"/>
          <w:szCs w:val="20"/>
          <w:color w:val="auto"/>
        </w:rPr>
        <w:tab/>
      </w:r>
      <w:r>
        <w:rPr>
          <w:rFonts w:ascii="Arial" w:cs="Arial" w:eastAsia="Arial" w:hAnsi="Arial"/>
          <w:sz w:val="13"/>
          <w:szCs w:val="13"/>
          <w:b w:val="1"/>
          <w:bCs w:val="1"/>
          <w:color w:val="B2B3B6"/>
        </w:rPr>
        <w:t>Proposals</w:t>
      </w:r>
      <w:r>
        <w:rPr>
          <w:sz w:val="20"/>
          <w:szCs w:val="20"/>
          <w:color w:val="auto"/>
        </w:rPr>
        <w:tab/>
      </w:r>
      <w:r>
        <w:rPr>
          <w:rFonts w:ascii="Arial" w:cs="Arial" w:eastAsia="Arial" w:hAnsi="Arial"/>
          <w:sz w:val="12"/>
          <w:szCs w:val="12"/>
          <w:b w:val="1"/>
          <w:bCs w:val="1"/>
          <w:color w:val="B2B3B6"/>
        </w:rPr>
        <w:t>Matters</w:t>
      </w:r>
    </w:p>
    <w:p>
      <w:pPr>
        <w:spacing w:after="0" w:line="200" w:lineRule="exact"/>
        <w:rPr>
          <w:sz w:val="20"/>
          <w:szCs w:val="20"/>
          <w:color w:val="auto"/>
        </w:rPr>
      </w:pPr>
    </w:p>
    <w:p>
      <w:pPr>
        <w:spacing w:after="0" w:line="294" w:lineRule="exact"/>
        <w:rPr>
          <w:sz w:val="20"/>
          <w:szCs w:val="20"/>
          <w:color w:val="auto"/>
        </w:rPr>
      </w:pPr>
    </w:p>
    <w:p>
      <w:pPr>
        <w:ind w:left="1720"/>
        <w:spacing w:after="0"/>
        <w:rPr>
          <w:sz w:val="20"/>
          <w:szCs w:val="20"/>
          <w:color w:val="auto"/>
        </w:rPr>
      </w:pPr>
      <w:r>
        <w:rPr>
          <w:rFonts w:ascii="Arial" w:cs="Arial" w:eastAsia="Arial" w:hAnsi="Arial"/>
          <w:sz w:val="47"/>
          <w:szCs w:val="47"/>
          <w:color w:val="FFFFFF"/>
        </w:rPr>
        <w:t>Ekta Singh-Bushell</w:t>
      </w:r>
    </w:p>
    <w:p>
      <w:pPr>
        <w:spacing w:after="0" w:line="163" w:lineRule="exact"/>
        <w:rPr>
          <w:sz w:val="20"/>
          <w:szCs w:val="20"/>
          <w:color w:val="auto"/>
        </w:rPr>
      </w:pPr>
    </w:p>
    <w:p>
      <w:pPr>
        <w:ind w:left="1900"/>
        <w:spacing w:after="0"/>
        <w:rPr>
          <w:sz w:val="20"/>
          <w:szCs w:val="20"/>
          <w:color w:val="auto"/>
        </w:rPr>
      </w:pPr>
      <w:r>
        <w:rPr>
          <w:rFonts w:ascii="Arial" w:cs="Arial" w:eastAsia="Arial" w:hAnsi="Arial"/>
          <w:sz w:val="14"/>
          <w:szCs w:val="14"/>
          <w:b w:val="1"/>
          <w:bCs w:val="1"/>
          <w:color w:val="FFFFFF"/>
        </w:rPr>
        <w:t>INDEPENDENT</w:t>
      </w:r>
    </w:p>
    <w:p>
      <w:pPr>
        <w:spacing w:after="0" w:line="204" w:lineRule="exact"/>
        <w:rPr>
          <w:sz w:val="20"/>
          <w:szCs w:val="20"/>
          <w:color w:val="auto"/>
        </w:rPr>
      </w:pPr>
    </w:p>
    <w:p>
      <w:pPr>
        <w:ind w:left="1720"/>
        <w:spacing w:after="0"/>
        <w:rPr>
          <w:sz w:val="20"/>
          <w:szCs w:val="20"/>
          <w:color w:val="auto"/>
        </w:rPr>
      </w:pPr>
      <w:r>
        <w:rPr>
          <w:rFonts w:ascii="Arial" w:cs="Arial" w:eastAsia="Arial" w:hAnsi="Arial"/>
          <w:sz w:val="14"/>
          <w:szCs w:val="14"/>
          <w:b w:val="1"/>
          <w:bCs w:val="1"/>
          <w:color w:val="FFFFFF"/>
        </w:rPr>
        <w:t>AGE: 53  | DIRECTOR SINCE: MAY 2019</w:t>
      </w:r>
    </w:p>
    <w:p>
      <w:pPr>
        <w:spacing w:after="0" w:line="55" w:lineRule="exact"/>
        <w:rPr>
          <w:sz w:val="20"/>
          <w:szCs w:val="20"/>
          <w:color w:val="auto"/>
        </w:rPr>
      </w:pPr>
    </w:p>
    <w:p>
      <w:pPr>
        <w:ind w:left="1720"/>
        <w:spacing w:after="0"/>
        <w:rPr>
          <w:sz w:val="20"/>
          <w:szCs w:val="20"/>
          <w:color w:val="auto"/>
        </w:rPr>
      </w:pPr>
      <w:r>
        <w:rPr>
          <w:rFonts w:ascii="Arial" w:cs="Arial" w:eastAsia="Arial" w:hAnsi="Arial"/>
          <w:sz w:val="14"/>
          <w:szCs w:val="14"/>
          <w:b w:val="1"/>
          <w:bCs w:val="1"/>
          <w:color w:val="FFFFFF"/>
        </w:rPr>
        <w:t>COMMITTEES: N&amp;CG (CHAIR), F&amp;CA (MEMBER), T&amp;IS (MEMBER)</w:t>
      </w:r>
    </w:p>
    <w:p>
      <w:pPr>
        <w:sectPr>
          <w:pgSz w:w="11900" w:h="16864" w:orient="portrait"/>
          <w:cols w:equalWidth="0" w:num="1">
            <w:col w:w="9059"/>
          </w:cols>
          <w:pgMar w:left="1400" w:top="130"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Professional Experience:</w:t>
      </w:r>
    </w:p>
    <w:p>
      <w:pPr>
        <w:spacing w:after="0" w:line="118" w:lineRule="exact"/>
        <w:rPr>
          <w:sz w:val="20"/>
          <w:szCs w:val="20"/>
          <w:color w:val="auto"/>
        </w:rPr>
      </w:pPr>
    </w:p>
    <w:p>
      <w:pPr>
        <w:ind w:left="180" w:right="340" w:hanging="172"/>
        <w:spacing w:after="0" w:line="322" w:lineRule="auto"/>
        <w:tabs>
          <w:tab w:leader="none" w:pos="180" w:val="left"/>
        </w:tabs>
        <w:numPr>
          <w:ilvl w:val="0"/>
          <w:numId w:val="22"/>
        </w:numPr>
        <w:rPr>
          <w:rFonts w:ascii="Arial" w:cs="Arial" w:eastAsia="Arial" w:hAnsi="Arial"/>
          <w:sz w:val="14"/>
          <w:szCs w:val="14"/>
          <w:b w:val="1"/>
          <w:bCs w:val="1"/>
          <w:color w:val="6AAA37"/>
        </w:rPr>
      </w:pPr>
      <w:r>
        <w:rPr>
          <w:rFonts w:ascii="Arial" w:cs="Arial" w:eastAsia="Arial" w:hAnsi="Arial"/>
          <w:sz w:val="14"/>
          <w:szCs w:val="14"/>
          <w:color w:val="auto"/>
        </w:rPr>
        <w:t>Chief Operating Officer, Dragos, Inc., since 2024</w:t>
      </w:r>
    </w:p>
    <w:p>
      <w:pPr>
        <w:ind w:left="180" w:hanging="172"/>
        <w:spacing w:after="0" w:line="313" w:lineRule="auto"/>
        <w:tabs>
          <w:tab w:leader="none" w:pos="180" w:val="left"/>
        </w:tabs>
        <w:numPr>
          <w:ilvl w:val="0"/>
          <w:numId w:val="22"/>
        </w:numPr>
        <w:rPr>
          <w:rFonts w:ascii="Arial" w:cs="Arial" w:eastAsia="Arial" w:hAnsi="Arial"/>
          <w:sz w:val="14"/>
          <w:szCs w:val="14"/>
          <w:b w:val="1"/>
          <w:bCs w:val="1"/>
          <w:color w:val="6AAA37"/>
        </w:rPr>
      </w:pPr>
      <w:r>
        <w:rPr>
          <w:rFonts w:ascii="Arial" w:cs="Arial" w:eastAsia="Arial" w:hAnsi="Arial"/>
          <w:sz w:val="14"/>
          <w:szCs w:val="14"/>
          <w:color w:val="auto"/>
        </w:rPr>
        <w:t>Chief Operating Officer, Executive Office at the Federal Reserve Bank of New York, 2016 – 2017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00558C"/>
        </w:rPr>
        <w:t>Public Board Experience:</w:t>
      </w:r>
    </w:p>
    <w:p>
      <w:pPr>
        <w:spacing w:after="0" w:line="77" w:lineRule="exact"/>
        <w:rPr>
          <w:sz w:val="20"/>
          <w:szCs w:val="20"/>
          <w:color w:val="auto"/>
        </w:rPr>
      </w:pPr>
    </w:p>
    <w:p>
      <w:pPr>
        <w:ind w:left="167" w:hanging="167"/>
        <w:spacing w:after="0" w:line="325" w:lineRule="auto"/>
        <w:tabs>
          <w:tab w:leader="none" w:pos="167" w:val="left"/>
        </w:tabs>
        <w:numPr>
          <w:ilvl w:val="0"/>
          <w:numId w:val="23"/>
        </w:numPr>
        <w:rPr>
          <w:rFonts w:ascii="Arial" w:cs="Arial" w:eastAsia="Arial" w:hAnsi="Arial"/>
          <w:sz w:val="14"/>
          <w:szCs w:val="14"/>
          <w:b w:val="1"/>
          <w:bCs w:val="1"/>
          <w:color w:val="6AAA37"/>
        </w:rPr>
      </w:pPr>
      <w:r>
        <w:rPr>
          <w:rFonts w:ascii="Arial" w:cs="Arial" w:eastAsia="Arial" w:hAnsi="Arial"/>
          <w:sz w:val="14"/>
          <w:szCs w:val="14"/>
          <w:color w:val="auto"/>
        </w:rPr>
        <w:t>ChargePoint Holdings, Inc., since 2022; member of audit committee</w:t>
      </w:r>
    </w:p>
    <w:p>
      <w:pPr>
        <w:spacing w:after="0" w:line="9" w:lineRule="exact"/>
        <w:rPr>
          <w:rFonts w:ascii="Arial" w:cs="Arial" w:eastAsia="Arial" w:hAnsi="Arial"/>
          <w:sz w:val="14"/>
          <w:szCs w:val="14"/>
          <w:b w:val="1"/>
          <w:bCs w:val="1"/>
          <w:color w:val="6AAA37"/>
        </w:rPr>
      </w:pPr>
    </w:p>
    <w:p>
      <w:pPr>
        <w:jc w:val="both"/>
        <w:ind w:left="167" w:right="100" w:hanging="167"/>
        <w:spacing w:after="0" w:line="313" w:lineRule="auto"/>
        <w:tabs>
          <w:tab w:leader="none" w:pos="167" w:val="left"/>
        </w:tabs>
        <w:numPr>
          <w:ilvl w:val="0"/>
          <w:numId w:val="23"/>
        </w:numPr>
        <w:rPr>
          <w:rFonts w:ascii="Arial" w:cs="Arial" w:eastAsia="Arial" w:hAnsi="Arial"/>
          <w:sz w:val="14"/>
          <w:szCs w:val="14"/>
          <w:b w:val="1"/>
          <w:bCs w:val="1"/>
          <w:color w:val="6AAA37"/>
        </w:rPr>
      </w:pPr>
      <w:r>
        <w:rPr>
          <w:rFonts w:ascii="Arial" w:cs="Arial" w:eastAsia="Arial" w:hAnsi="Arial"/>
          <w:sz w:val="14"/>
          <w:szCs w:val="14"/>
          <w:color w:val="auto"/>
        </w:rPr>
        <w:t>Lesaka Technologies Inc., since 2018; audit chair, member of social &amp; ethics, and nominating and governance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1"/>
          <w:szCs w:val="21"/>
          <w:b w:val="1"/>
          <w:bCs w:val="1"/>
          <w:color w:val="B2B3B6"/>
        </w:rPr>
        <w:t>Key Skills Sets:</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3"/>
          <w:szCs w:val="13"/>
          <w:b w:val="1"/>
          <w:bCs w:val="1"/>
          <w:color w:val="6AAA37"/>
        </w:rPr>
        <w:t>ACCOUNTING | FINANCE</w:t>
      </w:r>
    </w:p>
    <w:p>
      <w:pPr>
        <w:sectPr>
          <w:pgSz w:w="11900" w:h="16864" w:orient="portrait"/>
          <w:cols w:equalWidth="0" w:num="3">
            <w:col w:w="2860" w:space="253"/>
            <w:col w:w="2687" w:space="680"/>
            <w:col w:w="2579"/>
          </w:cols>
          <w:pgMar w:left="1400" w:top="130" w:right="1440" w:bottom="0" w:gutter="0" w:footer="0" w:header="0"/>
          <w:type w:val="continuous"/>
        </w:sectPr>
      </w:pPr>
    </w:p>
    <w:bookmarkStart w:id="19" w:name="page20"/>
    <w:bookmarkEnd w:id="19"/>
    <w:p>
      <w:pPr>
        <w:spacing w:after="0" w:line="74" w:lineRule="exact"/>
        <w:rPr>
          <w:sz w:val="20"/>
          <w:szCs w:val="20"/>
          <w:color w:val="auto"/>
        </w:rPr>
      </w:pPr>
    </w:p>
    <w:p>
      <w:pPr>
        <w:ind w:left="180" w:right="260" w:hanging="172"/>
        <w:spacing w:after="0" w:line="304" w:lineRule="auto"/>
        <w:tabs>
          <w:tab w:leader="none" w:pos="180" w:val="left"/>
        </w:tabs>
        <w:numPr>
          <w:ilvl w:val="0"/>
          <w:numId w:val="24"/>
        </w:numPr>
        <w:rPr>
          <w:rFonts w:ascii="Arial" w:cs="Arial" w:eastAsia="Arial" w:hAnsi="Arial"/>
          <w:sz w:val="14"/>
          <w:szCs w:val="14"/>
          <w:b w:val="1"/>
          <w:bCs w:val="1"/>
          <w:color w:val="6AAA37"/>
        </w:rPr>
      </w:pPr>
      <w:r>
        <w:rPr>
          <w:rFonts w:ascii="Arial" w:cs="Arial" w:eastAsia="Arial" w:hAnsi="Arial"/>
          <w:sz w:val="14"/>
          <w:szCs w:val="14"/>
          <w:color w:val="auto"/>
        </w:rPr>
        <w:t>17 years in various leadership roles at Ernest &amp; Young LLP, including:</w:t>
      </w:r>
    </w:p>
    <w:p>
      <w:pPr>
        <w:spacing w:after="0" w:line="9" w:lineRule="exact"/>
        <w:rPr>
          <w:rFonts w:ascii="Arial" w:cs="Arial" w:eastAsia="Arial" w:hAnsi="Arial"/>
          <w:sz w:val="14"/>
          <w:szCs w:val="14"/>
          <w:b w:val="1"/>
          <w:bCs w:val="1"/>
          <w:color w:val="6AAA37"/>
        </w:rPr>
      </w:pPr>
    </w:p>
    <w:p>
      <w:pPr>
        <w:ind w:left="180"/>
        <w:spacing w:after="0"/>
        <w:rPr>
          <w:rFonts w:ascii="Arial" w:cs="Arial" w:eastAsia="Arial" w:hAnsi="Arial"/>
          <w:sz w:val="14"/>
          <w:szCs w:val="14"/>
          <w:b w:val="1"/>
          <w:bCs w:val="1"/>
          <w:color w:val="6AAA37"/>
        </w:rPr>
      </w:pPr>
      <w:r>
        <w:rPr>
          <w:rFonts w:ascii="Arial" w:cs="Arial" w:eastAsia="Arial" w:hAnsi="Arial"/>
          <w:sz w:val="14"/>
          <w:szCs w:val="14"/>
          <w:color w:val="auto"/>
        </w:rPr>
        <w:t>– Global Coordinating Partner,</w:t>
      </w:r>
    </w:p>
    <w:p>
      <w:pPr>
        <w:spacing w:after="0" w:line="95" w:lineRule="exact"/>
        <w:rPr>
          <w:rFonts w:ascii="Arial" w:cs="Arial" w:eastAsia="Arial" w:hAnsi="Arial"/>
          <w:sz w:val="14"/>
          <w:szCs w:val="14"/>
          <w:b w:val="1"/>
          <w:bCs w:val="1"/>
          <w:color w:val="6AAA37"/>
        </w:rPr>
      </w:pPr>
    </w:p>
    <w:p>
      <w:pPr>
        <w:ind w:left="340" w:right="80" w:hanging="162"/>
        <w:spacing w:after="0" w:line="325" w:lineRule="auto"/>
        <w:rPr>
          <w:rFonts w:ascii="Arial" w:cs="Arial" w:eastAsia="Arial" w:hAnsi="Arial"/>
          <w:sz w:val="14"/>
          <w:szCs w:val="14"/>
          <w:b w:val="1"/>
          <w:bCs w:val="1"/>
          <w:color w:val="6AAA37"/>
        </w:rPr>
      </w:pPr>
      <w:r>
        <w:rPr>
          <w:rFonts w:ascii="Arial" w:cs="Arial" w:eastAsia="Arial" w:hAnsi="Arial"/>
          <w:sz w:val="14"/>
          <w:szCs w:val="14"/>
          <w:color w:val="auto"/>
        </w:rPr>
        <w:t>– Americas Innovation &amp; Digital Strategy Leader</w:t>
      </w:r>
    </w:p>
    <w:p>
      <w:pPr>
        <w:spacing w:after="0" w:line="9" w:lineRule="exact"/>
        <w:rPr>
          <w:rFonts w:ascii="Arial" w:cs="Arial" w:eastAsia="Arial" w:hAnsi="Arial"/>
          <w:sz w:val="14"/>
          <w:szCs w:val="14"/>
          <w:b w:val="1"/>
          <w:bCs w:val="1"/>
          <w:color w:val="6AAA37"/>
        </w:rPr>
      </w:pPr>
    </w:p>
    <w:p>
      <w:pPr>
        <w:ind w:left="180"/>
        <w:spacing w:after="0"/>
        <w:rPr>
          <w:rFonts w:ascii="Arial" w:cs="Arial" w:eastAsia="Arial" w:hAnsi="Arial"/>
          <w:sz w:val="14"/>
          <w:szCs w:val="14"/>
          <w:b w:val="1"/>
          <w:bCs w:val="1"/>
          <w:color w:val="6AAA37"/>
        </w:rPr>
      </w:pPr>
      <w:r>
        <w:rPr>
          <w:rFonts w:ascii="Arial" w:cs="Arial" w:eastAsia="Arial" w:hAnsi="Arial"/>
          <w:sz w:val="14"/>
          <w:szCs w:val="14"/>
          <w:color w:val="auto"/>
        </w:rPr>
        <w:t>– Global/Americas Tech Ops Executive</w:t>
      </w:r>
    </w:p>
    <w:p>
      <w:pPr>
        <w:spacing w:after="0" w:line="82" w:lineRule="exact"/>
        <w:rPr>
          <w:rFonts w:ascii="Arial" w:cs="Arial" w:eastAsia="Arial" w:hAnsi="Arial"/>
          <w:sz w:val="14"/>
          <w:szCs w:val="14"/>
          <w:b w:val="1"/>
          <w:bCs w:val="1"/>
          <w:color w:val="6AAA37"/>
        </w:rPr>
      </w:pPr>
    </w:p>
    <w:p>
      <w:pPr>
        <w:ind w:left="180"/>
        <w:spacing w:after="0"/>
        <w:rPr>
          <w:rFonts w:ascii="Arial" w:cs="Arial" w:eastAsia="Arial" w:hAnsi="Arial"/>
          <w:sz w:val="14"/>
          <w:szCs w:val="14"/>
          <w:b w:val="1"/>
          <w:bCs w:val="1"/>
          <w:color w:val="6AAA37"/>
        </w:rPr>
      </w:pPr>
      <w:r>
        <w:rPr>
          <w:rFonts w:ascii="Arial" w:cs="Arial" w:eastAsia="Arial" w:hAnsi="Arial"/>
          <w:sz w:val="14"/>
          <w:szCs w:val="14"/>
          <w:color w:val="auto"/>
        </w:rPr>
        <w:t>– Global Information Security Officer</w:t>
      </w:r>
    </w:p>
    <w:p>
      <w:pPr>
        <w:spacing w:after="0" w:line="82" w:lineRule="exact"/>
        <w:rPr>
          <w:rFonts w:ascii="Arial" w:cs="Arial" w:eastAsia="Arial" w:hAnsi="Arial"/>
          <w:sz w:val="14"/>
          <w:szCs w:val="14"/>
          <w:b w:val="1"/>
          <w:bCs w:val="1"/>
          <w:color w:val="6AAA37"/>
        </w:rPr>
      </w:pPr>
    </w:p>
    <w:p>
      <w:pPr>
        <w:ind w:left="180"/>
        <w:spacing w:after="0"/>
        <w:rPr>
          <w:rFonts w:ascii="Arial" w:cs="Arial" w:eastAsia="Arial" w:hAnsi="Arial"/>
          <w:sz w:val="14"/>
          <w:szCs w:val="14"/>
          <w:b w:val="1"/>
          <w:bCs w:val="1"/>
          <w:color w:val="6AAA37"/>
        </w:rPr>
      </w:pPr>
      <w:r>
        <w:rPr>
          <w:rFonts w:ascii="Arial" w:cs="Arial" w:eastAsia="Arial" w:hAnsi="Arial"/>
          <w:sz w:val="14"/>
          <w:szCs w:val="14"/>
          <w:color w:val="auto"/>
        </w:rPr>
        <w:t>– Northeast Advisory People Leader</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Professional Awards:</w:t>
      </w:r>
    </w:p>
    <w:p>
      <w:pPr>
        <w:spacing w:after="0" w:line="118" w:lineRule="exact"/>
        <w:rPr>
          <w:sz w:val="20"/>
          <w:szCs w:val="20"/>
          <w:color w:val="auto"/>
        </w:rPr>
      </w:pPr>
    </w:p>
    <w:p>
      <w:pPr>
        <w:ind w:left="180" w:right="300" w:hanging="172"/>
        <w:spacing w:after="0" w:line="332" w:lineRule="auto"/>
        <w:tabs>
          <w:tab w:leader="none" w:pos="180" w:val="left"/>
        </w:tabs>
        <w:numPr>
          <w:ilvl w:val="0"/>
          <w:numId w:val="25"/>
        </w:numPr>
        <w:rPr>
          <w:rFonts w:ascii="Arial" w:cs="Arial" w:eastAsia="Arial" w:hAnsi="Arial"/>
          <w:sz w:val="14"/>
          <w:szCs w:val="14"/>
          <w:b w:val="1"/>
          <w:bCs w:val="1"/>
          <w:color w:val="6AAA37"/>
        </w:rPr>
      </w:pPr>
      <w:r>
        <w:rPr>
          <w:rFonts w:ascii="Arial" w:cs="Arial" w:eastAsia="Arial" w:hAnsi="Arial"/>
          <w:sz w:val="14"/>
          <w:szCs w:val="14"/>
          <w:color w:val="auto"/>
        </w:rPr>
        <w:t>Nominated to the 2017 Female FTSE Index: 100 Women to Watch</w:t>
      </w:r>
    </w:p>
    <w:p>
      <w:pPr>
        <w:ind w:left="180" w:right="260" w:hanging="172"/>
        <w:spacing w:after="0" w:line="313" w:lineRule="auto"/>
        <w:tabs>
          <w:tab w:leader="none" w:pos="180" w:val="left"/>
        </w:tabs>
        <w:numPr>
          <w:ilvl w:val="0"/>
          <w:numId w:val="25"/>
        </w:numPr>
        <w:rPr>
          <w:rFonts w:ascii="Arial" w:cs="Arial" w:eastAsia="Arial" w:hAnsi="Arial"/>
          <w:sz w:val="14"/>
          <w:szCs w:val="14"/>
          <w:b w:val="1"/>
          <w:bCs w:val="1"/>
          <w:color w:val="6AAA37"/>
        </w:rPr>
      </w:pPr>
      <w:r>
        <w:rPr>
          <w:rFonts w:ascii="Arial" w:cs="Arial" w:eastAsia="Arial" w:hAnsi="Arial"/>
          <w:sz w:val="14"/>
          <w:szCs w:val="14"/>
          <w:color w:val="auto"/>
        </w:rPr>
        <w:t>The Council of Urban Professionals recognized her contributions with a Catalyst Change Agent award in 2013</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Education/Certifications:</w:t>
      </w:r>
    </w:p>
    <w:p>
      <w:pPr>
        <w:spacing w:after="0" w:line="77" w:lineRule="exact"/>
        <w:rPr>
          <w:sz w:val="20"/>
          <w:szCs w:val="20"/>
          <w:color w:val="auto"/>
        </w:rPr>
      </w:pPr>
    </w:p>
    <w:p>
      <w:pPr>
        <w:ind w:left="180" w:right="200" w:hanging="172"/>
        <w:spacing w:after="0" w:line="332" w:lineRule="auto"/>
        <w:tabs>
          <w:tab w:leader="none" w:pos="180" w:val="left"/>
        </w:tabs>
        <w:numPr>
          <w:ilvl w:val="0"/>
          <w:numId w:val="26"/>
        </w:numPr>
        <w:rPr>
          <w:rFonts w:ascii="Arial" w:cs="Arial" w:eastAsia="Arial" w:hAnsi="Arial"/>
          <w:sz w:val="14"/>
          <w:szCs w:val="14"/>
          <w:b w:val="1"/>
          <w:bCs w:val="1"/>
          <w:color w:val="6AAA37"/>
        </w:rPr>
      </w:pPr>
      <w:r>
        <w:rPr>
          <w:rFonts w:ascii="Arial" w:cs="Arial" w:eastAsia="Arial" w:hAnsi="Arial"/>
          <w:sz w:val="14"/>
          <w:szCs w:val="14"/>
          <w:color w:val="auto"/>
        </w:rPr>
        <w:t>B.S., Engineering, University of Poona, India</w:t>
      </w:r>
    </w:p>
    <w:p>
      <w:pPr>
        <w:ind w:left="180" w:right="120" w:hanging="172"/>
        <w:spacing w:after="0" w:line="332" w:lineRule="auto"/>
        <w:tabs>
          <w:tab w:leader="none" w:pos="180" w:val="left"/>
        </w:tabs>
        <w:numPr>
          <w:ilvl w:val="0"/>
          <w:numId w:val="26"/>
        </w:numPr>
        <w:rPr>
          <w:rFonts w:ascii="Arial" w:cs="Arial" w:eastAsia="Arial" w:hAnsi="Arial"/>
          <w:sz w:val="14"/>
          <w:szCs w:val="14"/>
          <w:b w:val="1"/>
          <w:bCs w:val="1"/>
          <w:color w:val="6AAA37"/>
        </w:rPr>
      </w:pPr>
      <w:r>
        <w:rPr>
          <w:rFonts w:ascii="Arial" w:cs="Arial" w:eastAsia="Arial" w:hAnsi="Arial"/>
          <w:sz w:val="14"/>
          <w:szCs w:val="14"/>
          <w:color w:val="auto"/>
        </w:rPr>
        <w:t>M.S., Electrical Engineering &amp; Computer Science, UC, Berkeley</w:t>
      </w:r>
    </w:p>
    <w:p>
      <w:pPr>
        <w:ind w:left="180" w:hanging="172"/>
        <w:spacing w:after="0" w:line="313" w:lineRule="auto"/>
        <w:tabs>
          <w:tab w:leader="none" w:pos="180" w:val="left"/>
        </w:tabs>
        <w:numPr>
          <w:ilvl w:val="0"/>
          <w:numId w:val="26"/>
        </w:numPr>
        <w:rPr>
          <w:rFonts w:ascii="Arial" w:cs="Arial" w:eastAsia="Arial" w:hAnsi="Arial"/>
          <w:sz w:val="14"/>
          <w:szCs w:val="14"/>
          <w:b w:val="1"/>
          <w:bCs w:val="1"/>
          <w:color w:val="6AAA37"/>
        </w:rPr>
      </w:pPr>
      <w:r>
        <w:rPr>
          <w:rFonts w:ascii="Arial" w:cs="Arial" w:eastAsia="Arial" w:hAnsi="Arial"/>
          <w:sz w:val="14"/>
          <w:szCs w:val="14"/>
          <w:color w:val="auto"/>
        </w:rPr>
        <w:t>Holds advanced international certifications in ESG, corporate governance, information systems security, and audit</w:t>
      </w:r>
    </w:p>
    <w:p>
      <w:pPr>
        <w:spacing w:after="0" w:line="4" w:lineRule="exact"/>
        <w:rPr>
          <w:rFonts w:ascii="Arial" w:cs="Arial" w:eastAsia="Arial" w:hAnsi="Arial"/>
          <w:sz w:val="14"/>
          <w:szCs w:val="14"/>
          <w:b w:val="1"/>
          <w:bCs w:val="1"/>
          <w:color w:val="6AAA37"/>
        </w:rPr>
      </w:pPr>
    </w:p>
    <w:p>
      <w:pPr>
        <w:ind w:left="180" w:hanging="172"/>
        <w:spacing w:after="0"/>
        <w:tabs>
          <w:tab w:leader="none" w:pos="180" w:val="left"/>
        </w:tabs>
        <w:numPr>
          <w:ilvl w:val="0"/>
          <w:numId w:val="26"/>
        </w:numPr>
        <w:rPr>
          <w:rFonts w:ascii="Arial" w:cs="Arial" w:eastAsia="Arial" w:hAnsi="Arial"/>
          <w:sz w:val="14"/>
          <w:szCs w:val="14"/>
          <w:b w:val="1"/>
          <w:bCs w:val="1"/>
          <w:color w:val="6AAA37"/>
        </w:rPr>
      </w:pPr>
      <w:r>
        <w:rPr>
          <w:rFonts w:ascii="Arial" w:cs="Arial" w:eastAsia="Arial" w:hAnsi="Arial"/>
          <w:sz w:val="14"/>
          <w:szCs w:val="14"/>
          <w:color w:val="auto"/>
        </w:rPr>
        <w:t>Licensed Certified Public Accountant</w:t>
      </w:r>
    </w:p>
    <w:p>
      <w:pPr>
        <w:spacing w:after="0" w:line="95" w:lineRule="exact"/>
        <w:rPr>
          <w:rFonts w:ascii="Arial" w:cs="Arial" w:eastAsia="Arial" w:hAnsi="Arial"/>
          <w:sz w:val="14"/>
          <w:szCs w:val="14"/>
          <w:b w:val="1"/>
          <w:bCs w:val="1"/>
          <w:color w:val="6AAA37"/>
        </w:rPr>
      </w:pPr>
    </w:p>
    <w:p>
      <w:pPr>
        <w:ind w:left="180" w:hanging="172"/>
        <w:spacing w:after="0"/>
        <w:tabs>
          <w:tab w:leader="none" w:pos="180" w:val="left"/>
        </w:tabs>
        <w:numPr>
          <w:ilvl w:val="0"/>
          <w:numId w:val="26"/>
        </w:numPr>
        <w:rPr>
          <w:rFonts w:ascii="Arial" w:cs="Arial" w:eastAsia="Arial" w:hAnsi="Arial"/>
          <w:sz w:val="14"/>
          <w:szCs w:val="14"/>
          <w:b w:val="1"/>
          <w:bCs w:val="1"/>
          <w:color w:val="6AAA37"/>
        </w:rPr>
      </w:pPr>
      <w:r>
        <w:rPr>
          <w:rFonts w:ascii="Arial" w:cs="Arial" w:eastAsia="Arial" w:hAnsi="Arial"/>
          <w:sz w:val="14"/>
          <w:szCs w:val="14"/>
          <w:color w:val="auto"/>
        </w:rPr>
        <w:t>NACD Directorship Certification®</w:t>
      </w:r>
    </w:p>
    <w:p>
      <w:pPr>
        <w:spacing w:after="0" w:line="82" w:lineRule="exact"/>
        <w:rPr>
          <w:rFonts w:ascii="Arial" w:cs="Arial" w:eastAsia="Arial" w:hAnsi="Arial"/>
          <w:sz w:val="14"/>
          <w:szCs w:val="14"/>
          <w:b w:val="1"/>
          <w:bCs w:val="1"/>
          <w:color w:val="6AAA37"/>
        </w:rPr>
      </w:pPr>
    </w:p>
    <w:p>
      <w:pPr>
        <w:ind w:left="180" w:hanging="172"/>
        <w:spacing w:after="0"/>
        <w:tabs>
          <w:tab w:leader="none" w:pos="180" w:val="left"/>
        </w:tabs>
        <w:numPr>
          <w:ilvl w:val="0"/>
          <w:numId w:val="26"/>
        </w:numPr>
        <w:rPr>
          <w:rFonts w:ascii="Arial" w:cs="Arial" w:eastAsia="Arial" w:hAnsi="Arial"/>
          <w:sz w:val="14"/>
          <w:szCs w:val="14"/>
          <w:b w:val="1"/>
          <w:bCs w:val="1"/>
          <w:color w:val="6AAA37"/>
        </w:rPr>
      </w:pPr>
      <w:r>
        <w:rPr>
          <w:rFonts w:ascii="Arial" w:cs="Arial" w:eastAsia="Arial" w:hAnsi="Arial"/>
          <w:sz w:val="14"/>
          <w:szCs w:val="14"/>
          <w:color w:val="auto"/>
        </w:rPr>
        <w:t>CISSP, FSA, CGEIT and CISA</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Individual Contributions:</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left="167"/>
        <w:spacing w:after="0"/>
        <w:rPr>
          <w:sz w:val="20"/>
          <w:szCs w:val="20"/>
          <w:color w:val="auto"/>
        </w:rPr>
      </w:pPr>
      <w:r>
        <w:rPr>
          <w:rFonts w:ascii="Arial" w:cs="Arial" w:eastAsia="Arial" w:hAnsi="Arial"/>
          <w:sz w:val="14"/>
          <w:szCs w:val="14"/>
          <w:color w:val="auto"/>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-2496185</wp:posOffset>
            </wp:positionH>
            <wp:positionV relativeFrom="paragraph">
              <wp:posOffset>-87630</wp:posOffset>
            </wp:positionV>
            <wp:extent cx="6810375" cy="58312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10375" cy="5831205"/>
                    </a:xfrm>
                    <a:prstGeom prst="rect">
                      <a:avLst/>
                    </a:prstGeom>
                    <a:noFill/>
                  </pic:spPr>
                </pic:pic>
              </a:graphicData>
            </a:graphic>
          </wp:anchor>
        </w:drawing>
      </w:r>
    </w:p>
    <w:p>
      <w:pPr>
        <w:jc w:val="both"/>
        <w:ind w:left="7" w:right="840"/>
        <w:spacing w:after="0" w:line="270" w:lineRule="auto"/>
        <w:rPr>
          <w:sz w:val="20"/>
          <w:szCs w:val="20"/>
          <w:color w:val="auto"/>
        </w:rPr>
      </w:pPr>
      <w:r>
        <w:rPr>
          <w:rFonts w:ascii="Arial" w:cs="Arial" w:eastAsia="Arial" w:hAnsi="Arial"/>
          <w:sz w:val="16"/>
          <w:szCs w:val="16"/>
          <w:b w:val="1"/>
          <w:bCs w:val="1"/>
          <w:color w:val="00558C"/>
        </w:rPr>
        <w:t>Previous Public Company Board Experience during the last five years:</w:t>
      </w:r>
    </w:p>
    <w:p>
      <w:pPr>
        <w:spacing w:after="0" w:line="16" w:lineRule="exact"/>
        <w:rPr>
          <w:sz w:val="20"/>
          <w:szCs w:val="20"/>
          <w:color w:val="auto"/>
        </w:rPr>
      </w:pPr>
    </w:p>
    <w:p>
      <w:pPr>
        <w:ind w:left="167" w:right="260" w:hanging="167"/>
        <w:spacing w:after="0" w:line="313" w:lineRule="auto"/>
        <w:tabs>
          <w:tab w:leader="none" w:pos="167" w:val="left"/>
        </w:tabs>
        <w:numPr>
          <w:ilvl w:val="0"/>
          <w:numId w:val="27"/>
        </w:numPr>
        <w:rPr>
          <w:rFonts w:ascii="Arial" w:cs="Arial" w:eastAsia="Arial" w:hAnsi="Arial"/>
          <w:sz w:val="14"/>
          <w:szCs w:val="14"/>
          <w:b w:val="1"/>
          <w:bCs w:val="1"/>
          <w:color w:val="6AAA37"/>
        </w:rPr>
      </w:pPr>
      <w:r>
        <w:rPr>
          <w:rFonts w:ascii="Arial" w:cs="Arial" w:eastAsia="Arial" w:hAnsi="Arial"/>
          <w:sz w:val="14"/>
          <w:szCs w:val="14"/>
          <w:color w:val="auto"/>
        </w:rPr>
        <w:t>Cisco Systems, Inc., June 2024 - December 2024, member of audit and public policy committees</w:t>
      </w:r>
    </w:p>
    <w:p>
      <w:pPr>
        <w:spacing w:after="0" w:line="4" w:lineRule="exact"/>
        <w:rPr>
          <w:rFonts w:ascii="Arial" w:cs="Arial" w:eastAsia="Arial" w:hAnsi="Arial"/>
          <w:sz w:val="14"/>
          <w:szCs w:val="14"/>
          <w:b w:val="1"/>
          <w:bCs w:val="1"/>
          <w:color w:val="6AAA37"/>
        </w:rPr>
      </w:pPr>
    </w:p>
    <w:p>
      <w:pPr>
        <w:ind w:left="167" w:right="100" w:hanging="167"/>
        <w:spacing w:after="0" w:line="309" w:lineRule="auto"/>
        <w:tabs>
          <w:tab w:leader="none" w:pos="167" w:val="left"/>
        </w:tabs>
        <w:numPr>
          <w:ilvl w:val="0"/>
          <w:numId w:val="27"/>
        </w:numPr>
        <w:rPr>
          <w:rFonts w:ascii="Arial" w:cs="Arial" w:eastAsia="Arial" w:hAnsi="Arial"/>
          <w:sz w:val="14"/>
          <w:szCs w:val="14"/>
          <w:b w:val="1"/>
          <w:bCs w:val="1"/>
          <w:color w:val="6AAA37"/>
        </w:rPr>
      </w:pPr>
      <w:r>
        <w:rPr>
          <w:rFonts w:ascii="Arial" w:cs="Arial" w:eastAsia="Arial" w:hAnsi="Arial"/>
          <w:sz w:val="14"/>
          <w:szCs w:val="14"/>
          <w:color w:val="auto"/>
        </w:rPr>
        <w:t>TTEC Holdings, Inc., 2017 – Sept. 2024, chair security &amp; technology committee, member of audit and nominating and corporate governance committees</w:t>
      </w:r>
    </w:p>
    <w:p>
      <w:pPr>
        <w:spacing w:after="0" w:line="7" w:lineRule="exact"/>
        <w:rPr>
          <w:rFonts w:ascii="Arial" w:cs="Arial" w:eastAsia="Arial" w:hAnsi="Arial"/>
          <w:sz w:val="14"/>
          <w:szCs w:val="14"/>
          <w:b w:val="1"/>
          <w:bCs w:val="1"/>
          <w:color w:val="6AAA37"/>
        </w:rPr>
      </w:pPr>
    </w:p>
    <w:p>
      <w:pPr>
        <w:ind w:left="167" w:right="20" w:hanging="167"/>
        <w:spacing w:after="0" w:line="302" w:lineRule="auto"/>
        <w:tabs>
          <w:tab w:leader="none" w:pos="167" w:val="left"/>
        </w:tabs>
        <w:numPr>
          <w:ilvl w:val="0"/>
          <w:numId w:val="27"/>
        </w:numPr>
        <w:rPr>
          <w:rFonts w:ascii="Arial" w:cs="Arial" w:eastAsia="Arial" w:hAnsi="Arial"/>
          <w:sz w:val="14"/>
          <w:szCs w:val="14"/>
          <w:b w:val="1"/>
          <w:bCs w:val="1"/>
          <w:color w:val="6AAA37"/>
        </w:rPr>
      </w:pPr>
      <w:r>
        <w:rPr>
          <w:rFonts w:ascii="Arial" w:cs="Arial" w:eastAsia="Arial" w:hAnsi="Arial"/>
          <w:sz w:val="14"/>
          <w:szCs w:val="14"/>
          <w:color w:val="auto"/>
        </w:rPr>
        <w:t>Datatec Limited, 2018 – 2022, lead independent director and member of audit, risk and compliance, remunerations and nominations committee</w:t>
      </w:r>
    </w:p>
    <w:p>
      <w:pPr>
        <w:spacing w:after="0" w:line="26" w:lineRule="exact"/>
        <w:rPr>
          <w:rFonts w:ascii="Arial" w:cs="Arial" w:eastAsia="Arial" w:hAnsi="Arial"/>
          <w:sz w:val="14"/>
          <w:szCs w:val="14"/>
          <w:b w:val="1"/>
          <w:bCs w:val="1"/>
          <w:color w:val="6AAA37"/>
        </w:rPr>
      </w:pPr>
    </w:p>
    <w:p>
      <w:pPr>
        <w:ind w:left="167" w:right="340" w:hanging="167"/>
        <w:spacing w:after="0" w:line="303" w:lineRule="auto"/>
        <w:tabs>
          <w:tab w:leader="none" w:pos="167" w:val="left"/>
        </w:tabs>
        <w:numPr>
          <w:ilvl w:val="0"/>
          <w:numId w:val="27"/>
        </w:numPr>
        <w:rPr>
          <w:rFonts w:ascii="Arial" w:cs="Arial" w:eastAsia="Arial" w:hAnsi="Arial"/>
          <w:sz w:val="14"/>
          <w:szCs w:val="14"/>
          <w:b w:val="1"/>
          <w:bCs w:val="1"/>
          <w:color w:val="6AAA37"/>
        </w:rPr>
      </w:pPr>
      <w:r>
        <w:rPr>
          <w:rFonts w:ascii="Arial" w:cs="Arial" w:eastAsia="Arial" w:hAnsi="Arial"/>
          <w:sz w:val="14"/>
          <w:szCs w:val="14"/>
          <w:color w:val="auto"/>
        </w:rPr>
        <w:t>Designer Brands Inc., 2018 – 2022, member of audit and nominating and governance committees</w:t>
      </w:r>
    </w:p>
    <w:p>
      <w:pPr>
        <w:spacing w:after="0" w:line="74" w:lineRule="exact"/>
        <w:rPr>
          <w:sz w:val="20"/>
          <w:szCs w:val="20"/>
          <w:color w:val="auto"/>
        </w:rPr>
      </w:pPr>
    </w:p>
    <w:p>
      <w:pPr>
        <w:ind w:left="7" w:right="720"/>
        <w:spacing w:after="0" w:line="314" w:lineRule="auto"/>
        <w:rPr>
          <w:sz w:val="20"/>
          <w:szCs w:val="20"/>
          <w:color w:val="auto"/>
        </w:rPr>
      </w:pPr>
      <w:r>
        <w:rPr>
          <w:rFonts w:ascii="Arial" w:cs="Arial" w:eastAsia="Arial" w:hAnsi="Arial"/>
          <w:sz w:val="16"/>
          <w:szCs w:val="16"/>
          <w:b w:val="1"/>
          <w:bCs w:val="1"/>
          <w:color w:val="00558C"/>
        </w:rPr>
        <w:t>Non-public board and other advisory services:</w:t>
      </w:r>
    </w:p>
    <w:p>
      <w:pPr>
        <w:spacing w:after="0" w:line="23" w:lineRule="exact"/>
        <w:rPr>
          <w:sz w:val="20"/>
          <w:szCs w:val="20"/>
          <w:color w:val="auto"/>
        </w:rPr>
      </w:pPr>
    </w:p>
    <w:p>
      <w:pPr>
        <w:ind w:left="167" w:hanging="167"/>
        <w:spacing w:after="0"/>
        <w:tabs>
          <w:tab w:leader="none" w:pos="167" w:val="left"/>
        </w:tabs>
        <w:numPr>
          <w:ilvl w:val="0"/>
          <w:numId w:val="28"/>
        </w:numPr>
        <w:rPr>
          <w:rFonts w:ascii="Arial" w:cs="Arial" w:eastAsia="Arial" w:hAnsi="Arial"/>
          <w:sz w:val="14"/>
          <w:szCs w:val="14"/>
          <w:b w:val="1"/>
          <w:bCs w:val="1"/>
          <w:color w:val="6AAA37"/>
        </w:rPr>
      </w:pPr>
      <w:r>
        <w:rPr>
          <w:rFonts w:ascii="Arial" w:cs="Arial" w:eastAsia="Arial" w:hAnsi="Arial"/>
          <w:sz w:val="14"/>
          <w:szCs w:val="14"/>
          <w:color w:val="auto"/>
        </w:rPr>
        <w:t>Advisor to SAAS startups</w:t>
      </w:r>
    </w:p>
    <w:p>
      <w:pPr>
        <w:spacing w:after="0" w:line="82" w:lineRule="exact"/>
        <w:rPr>
          <w:rFonts w:ascii="Arial" w:cs="Arial" w:eastAsia="Arial" w:hAnsi="Arial"/>
          <w:sz w:val="14"/>
          <w:szCs w:val="14"/>
          <w:b w:val="1"/>
          <w:bCs w:val="1"/>
          <w:color w:val="6AAA37"/>
        </w:rPr>
      </w:pPr>
    </w:p>
    <w:p>
      <w:pPr>
        <w:ind w:left="167" w:hanging="167"/>
        <w:spacing w:after="0"/>
        <w:tabs>
          <w:tab w:leader="none" w:pos="167" w:val="left"/>
        </w:tabs>
        <w:numPr>
          <w:ilvl w:val="0"/>
          <w:numId w:val="28"/>
        </w:numPr>
        <w:rPr>
          <w:rFonts w:ascii="Arial" w:cs="Arial" w:eastAsia="Arial" w:hAnsi="Arial"/>
          <w:sz w:val="14"/>
          <w:szCs w:val="14"/>
          <w:b w:val="1"/>
          <w:bCs w:val="1"/>
          <w:color w:val="6AAA37"/>
        </w:rPr>
      </w:pPr>
      <w:r>
        <w:rPr>
          <w:rFonts w:ascii="Arial" w:cs="Arial" w:eastAsia="Arial" w:hAnsi="Arial"/>
          <w:sz w:val="14"/>
          <w:szCs w:val="14"/>
          <w:color w:val="auto"/>
        </w:rPr>
        <w:t>Strategic Advisor, Mission OG, since 2020</w:t>
      </w:r>
    </w:p>
    <w:p>
      <w:pPr>
        <w:spacing w:after="0" w:line="82" w:lineRule="exact"/>
        <w:rPr>
          <w:rFonts w:ascii="Arial" w:cs="Arial" w:eastAsia="Arial" w:hAnsi="Arial"/>
          <w:sz w:val="14"/>
          <w:szCs w:val="14"/>
          <w:b w:val="1"/>
          <w:bCs w:val="1"/>
          <w:color w:val="6AAA37"/>
        </w:rPr>
      </w:pPr>
    </w:p>
    <w:p>
      <w:pPr>
        <w:ind w:left="167" w:right="280" w:hanging="167"/>
        <w:spacing w:after="0" w:line="345" w:lineRule="auto"/>
        <w:tabs>
          <w:tab w:leader="none" w:pos="167" w:val="left"/>
        </w:tabs>
        <w:numPr>
          <w:ilvl w:val="0"/>
          <w:numId w:val="28"/>
        </w:numPr>
        <w:rPr>
          <w:rFonts w:ascii="Arial" w:cs="Arial" w:eastAsia="Arial" w:hAnsi="Arial"/>
          <w:sz w:val="14"/>
          <w:szCs w:val="14"/>
          <w:b w:val="1"/>
          <w:bCs w:val="1"/>
          <w:color w:val="6AAA37"/>
        </w:rPr>
      </w:pPr>
      <w:r>
        <w:rPr>
          <w:rFonts w:ascii="Arial" w:cs="Arial" w:eastAsia="Arial" w:hAnsi="Arial"/>
          <w:sz w:val="14"/>
          <w:szCs w:val="14"/>
          <w:color w:val="auto"/>
        </w:rPr>
        <w:t>Strategic Advisor, DecisionGPS, LLC, since 2015 - 2024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2"/>
          <w:szCs w:val="12"/>
          <w:b w:val="1"/>
          <w:bCs w:val="1"/>
          <w:color w:val="6AAA37"/>
        </w:rPr>
        <w:t>CORPORATE GOVERNANCE | LAW</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499"/>
        <w:spacing w:after="0"/>
        <w:rPr>
          <w:sz w:val="20"/>
          <w:szCs w:val="20"/>
          <w:color w:val="auto"/>
        </w:rPr>
      </w:pPr>
      <w:r>
        <w:rPr>
          <w:rFonts w:ascii="Arial" w:cs="Arial" w:eastAsia="Arial" w:hAnsi="Arial"/>
          <w:sz w:val="12"/>
          <w:szCs w:val="12"/>
          <w:b w:val="1"/>
          <w:bCs w:val="1"/>
          <w:color w:val="6AAA37"/>
        </w:rPr>
        <w:t>SENIOR EXECUTIVE LEADERSHIP</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2"/>
          <w:szCs w:val="12"/>
          <w:b w:val="1"/>
          <w:bCs w:val="1"/>
          <w:color w:val="6AAA37"/>
        </w:rPr>
        <w:t>RISK MANAGEMENT &amp; OVERSIGHT</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3"/>
          <w:szCs w:val="13"/>
          <w:b w:val="1"/>
          <w:bCs w:val="1"/>
          <w:color w:val="6AAA37"/>
        </w:rPr>
        <w:t>TECHNOLOGY</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3"/>
          <w:szCs w:val="13"/>
          <w:b w:val="1"/>
          <w:bCs w:val="1"/>
          <w:color w:val="6AAA37"/>
        </w:rPr>
        <w:t>GLOBAL BUSINESS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3"/>
          <w:szCs w:val="13"/>
          <w:b w:val="1"/>
          <w:bCs w:val="1"/>
          <w:color w:val="6AAA37"/>
        </w:rPr>
        <w:t>PUBLIC COMPANY BOARD</w:t>
      </w:r>
    </w:p>
    <w:p>
      <w:pPr>
        <w:spacing w:after="0" w:line="1924" w:lineRule="exact"/>
        <w:rPr>
          <w:sz w:val="20"/>
          <w:szCs w:val="20"/>
          <w:color w:val="auto"/>
        </w:rPr>
      </w:pPr>
    </w:p>
    <w:p>
      <w:pPr>
        <w:sectPr>
          <w:pgSz w:w="11900" w:h="16913" w:orient="portrait"/>
          <w:cols w:equalWidth="0" w:num="3">
            <w:col w:w="2860" w:space="253"/>
            <w:col w:w="2847" w:space="520"/>
            <w:col w:w="2579"/>
          </w:cols>
          <w:pgMar w:left="1400" w:top="118" w:right="1440" w:bottom="0" w:gutter="0" w:footer="0" w:header="0"/>
        </w:sectPr>
      </w:pPr>
    </w:p>
    <w:p>
      <w:pPr>
        <w:ind w:right="139"/>
        <w:spacing w:after="0" w:line="302" w:lineRule="auto"/>
        <w:rPr>
          <w:sz w:val="20"/>
          <w:szCs w:val="20"/>
          <w:color w:val="auto"/>
        </w:rPr>
      </w:pPr>
      <w:r>
        <w:rPr>
          <w:rFonts w:ascii="Arial" w:cs="Arial" w:eastAsia="Arial" w:hAnsi="Arial"/>
          <w:sz w:val="14"/>
          <w:szCs w:val="14"/>
          <w:color w:val="auto"/>
        </w:rPr>
        <w:t>Ms. Singh-Bushell’s extensive experience managing and leading a global professional services firm, advising senior executives around the globe, and serving on public company boards from various industries, coupled with her knowledge of technology, finance, and cybersecurity, enables her to bring a broad range of capabilities to the Huron board. She also offers a unique perspective through her global management expertise and proven track record working on transformations in the digital and technology space.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0"/>
        <w:spacing w:after="0"/>
        <w:tabs>
          <w:tab w:leader="none" w:pos="446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13"/>
          <w:szCs w:val="13"/>
          <w:b w:val="1"/>
          <w:bCs w:val="1"/>
          <w:color w:val="00558C"/>
        </w:rPr>
        <w:t>10</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420370</wp:posOffset>
            </wp:positionV>
            <wp:extent cx="6810375" cy="46024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10375" cy="4602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540" w:val="left"/>
          <w:tab w:leader="none" w:pos="7360" w:val="left"/>
          <w:tab w:leader="none" w:pos="8400" w:val="left"/>
        </w:tabs>
        <w:rPr>
          <w:sz w:val="20"/>
          <w:szCs w:val="20"/>
          <w:color w:val="auto"/>
        </w:rPr>
      </w:pPr>
      <w:r>
        <w:rPr>
          <w:rFonts w:ascii="Arial" w:cs="Arial" w:eastAsia="Arial" w:hAnsi="Arial"/>
          <w:sz w:val="13"/>
          <w:szCs w:val="13"/>
          <w:b w:val="1"/>
          <w:bCs w:val="1"/>
          <w:color w:val="B2B3B6"/>
        </w:rPr>
        <w:t>General</w:t>
      </w:r>
      <w:r>
        <w:rPr>
          <w:sz w:val="20"/>
          <w:szCs w:val="20"/>
          <w:color w:val="auto"/>
        </w:rPr>
        <w:tab/>
      </w:r>
      <w:r>
        <w:rPr>
          <w:rFonts w:ascii="Arial" w:cs="Arial" w:eastAsia="Arial" w:hAnsi="Arial"/>
          <w:sz w:val="13"/>
          <w:szCs w:val="13"/>
          <w:b w:val="1"/>
          <w:bCs w:val="1"/>
          <w:color w:val="6AAA37"/>
        </w:rPr>
        <w:t>Proposal</w:t>
      </w:r>
      <w:r>
        <w:rPr>
          <w:sz w:val="20"/>
          <w:szCs w:val="20"/>
          <w:color w:val="auto"/>
        </w:rPr>
        <w:tab/>
      </w:r>
      <w:r>
        <w:rPr>
          <w:rFonts w:ascii="Arial" w:cs="Arial" w:eastAsia="Arial" w:hAnsi="Arial"/>
          <w:sz w:val="13"/>
          <w:szCs w:val="13"/>
          <w:b w:val="1"/>
          <w:bCs w:val="1"/>
          <w:color w:val="B2B3B6"/>
        </w:rPr>
        <w:t>Corporate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Executive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Stockholder</w:t>
      </w:r>
      <w:r>
        <w:rPr>
          <w:sz w:val="20"/>
          <w:szCs w:val="20"/>
          <w:color w:val="auto"/>
        </w:rPr>
        <w:tab/>
      </w:r>
      <w:r>
        <w:rPr>
          <w:rFonts w:ascii="Arial" w:cs="Arial" w:eastAsia="Arial" w:hAnsi="Arial"/>
          <w:sz w:val="12"/>
          <w:szCs w:val="12"/>
          <w:b w:val="1"/>
          <w:bCs w:val="1"/>
          <w:color w:val="B2B3B6"/>
        </w:rPr>
        <w:t>Other</w:t>
      </w:r>
    </w:p>
    <w:p>
      <w:pPr>
        <w:spacing w:after="0" w:line="11"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540" w:val="left"/>
          <w:tab w:leader="none" w:pos="7360" w:val="left"/>
          <w:tab w:leader="none" w:pos="8400" w:val="left"/>
        </w:tabs>
        <w:rPr>
          <w:sz w:val="20"/>
          <w:szCs w:val="20"/>
          <w:color w:val="auto"/>
        </w:rPr>
      </w:pPr>
      <w:r>
        <w:rPr>
          <w:rFonts w:ascii="Arial" w:cs="Arial" w:eastAsia="Arial" w:hAnsi="Arial"/>
          <w:sz w:val="13"/>
          <w:szCs w:val="13"/>
          <w:b w:val="1"/>
          <w:bCs w:val="1"/>
          <w:color w:val="B2B3B6"/>
        </w:rPr>
        <w:t>Information</w:t>
      </w:r>
      <w:r>
        <w:rPr>
          <w:sz w:val="20"/>
          <w:szCs w:val="20"/>
          <w:color w:val="auto"/>
        </w:rPr>
        <w:tab/>
      </w:r>
      <w:r>
        <w:rPr>
          <w:rFonts w:ascii="Arial" w:cs="Arial" w:eastAsia="Arial" w:hAnsi="Arial"/>
          <w:sz w:val="13"/>
          <w:szCs w:val="13"/>
          <w:b w:val="1"/>
          <w:bCs w:val="1"/>
          <w:color w:val="6AAA37"/>
        </w:rPr>
        <w:t>One</w:t>
      </w:r>
      <w:r>
        <w:rPr>
          <w:sz w:val="20"/>
          <w:szCs w:val="20"/>
          <w:color w:val="auto"/>
        </w:rPr>
        <w:tab/>
      </w:r>
      <w:r>
        <w:rPr>
          <w:rFonts w:ascii="Arial" w:cs="Arial" w:eastAsia="Arial" w:hAnsi="Arial"/>
          <w:sz w:val="13"/>
          <w:szCs w:val="13"/>
          <w:b w:val="1"/>
          <w:bCs w:val="1"/>
          <w:color w:val="B2B3B6"/>
        </w:rPr>
        <w:t>Governance</w:t>
      </w:r>
      <w:r>
        <w:rPr>
          <w:sz w:val="20"/>
          <w:szCs w:val="20"/>
          <w:color w:val="auto"/>
        </w:rPr>
        <w:tab/>
      </w:r>
      <w:r>
        <w:rPr>
          <w:rFonts w:ascii="Arial" w:cs="Arial" w:eastAsia="Arial" w:hAnsi="Arial"/>
          <w:sz w:val="13"/>
          <w:szCs w:val="13"/>
          <w:b w:val="1"/>
          <w:bCs w:val="1"/>
          <w:color w:val="B2B3B6"/>
        </w:rPr>
        <w:t>Two</w:t>
      </w:r>
      <w:r>
        <w:rPr>
          <w:sz w:val="20"/>
          <w:szCs w:val="20"/>
          <w:color w:val="auto"/>
        </w:rPr>
        <w:tab/>
      </w:r>
      <w:r>
        <w:rPr>
          <w:rFonts w:ascii="Arial" w:cs="Arial" w:eastAsia="Arial" w:hAnsi="Arial"/>
          <w:sz w:val="13"/>
          <w:szCs w:val="13"/>
          <w:b w:val="1"/>
          <w:bCs w:val="1"/>
          <w:color w:val="B2B3B6"/>
        </w:rPr>
        <w:t>Compensation</w:t>
      </w:r>
      <w:r>
        <w:rPr>
          <w:sz w:val="20"/>
          <w:szCs w:val="20"/>
          <w:color w:val="auto"/>
        </w:rPr>
        <w:tab/>
      </w:r>
      <w:r>
        <w:rPr>
          <w:rFonts w:ascii="Arial" w:cs="Arial" w:eastAsia="Arial" w:hAnsi="Arial"/>
          <w:sz w:val="13"/>
          <w:szCs w:val="13"/>
          <w:b w:val="1"/>
          <w:bCs w:val="1"/>
          <w:color w:val="B2B3B6"/>
        </w:rPr>
        <w:t>Three</w:t>
      </w:r>
      <w:r>
        <w:rPr>
          <w:sz w:val="20"/>
          <w:szCs w:val="20"/>
          <w:color w:val="auto"/>
        </w:rPr>
        <w:tab/>
      </w:r>
      <w:r>
        <w:rPr>
          <w:rFonts w:ascii="Arial" w:cs="Arial" w:eastAsia="Arial" w:hAnsi="Arial"/>
          <w:sz w:val="13"/>
          <w:szCs w:val="13"/>
          <w:b w:val="1"/>
          <w:bCs w:val="1"/>
          <w:color w:val="B2B3B6"/>
        </w:rPr>
        <w:t>Four</w:t>
      </w:r>
      <w:r>
        <w:rPr>
          <w:sz w:val="20"/>
          <w:szCs w:val="20"/>
          <w:color w:val="auto"/>
        </w:rPr>
        <w:tab/>
      </w:r>
      <w:r>
        <w:rPr>
          <w:rFonts w:ascii="Arial" w:cs="Arial" w:eastAsia="Arial" w:hAnsi="Arial"/>
          <w:sz w:val="13"/>
          <w:szCs w:val="13"/>
          <w:b w:val="1"/>
          <w:bCs w:val="1"/>
          <w:color w:val="B2B3B6"/>
        </w:rPr>
        <w:t>Five</w:t>
      </w:r>
      <w:r>
        <w:rPr>
          <w:sz w:val="20"/>
          <w:szCs w:val="20"/>
          <w:color w:val="auto"/>
        </w:rPr>
        <w:tab/>
      </w:r>
      <w:r>
        <w:rPr>
          <w:rFonts w:ascii="Arial" w:cs="Arial" w:eastAsia="Arial" w:hAnsi="Arial"/>
          <w:sz w:val="13"/>
          <w:szCs w:val="13"/>
          <w:b w:val="1"/>
          <w:bCs w:val="1"/>
          <w:color w:val="B2B3B6"/>
        </w:rPr>
        <w:t>Proposals</w:t>
      </w:r>
      <w:r>
        <w:rPr>
          <w:sz w:val="20"/>
          <w:szCs w:val="20"/>
          <w:color w:val="auto"/>
        </w:rPr>
        <w:tab/>
      </w:r>
      <w:r>
        <w:rPr>
          <w:rFonts w:ascii="Arial" w:cs="Arial" w:eastAsia="Arial" w:hAnsi="Arial"/>
          <w:sz w:val="12"/>
          <w:szCs w:val="12"/>
          <w:b w:val="1"/>
          <w:bCs w:val="1"/>
          <w:color w:val="B2B3B6"/>
        </w:rPr>
        <w:t>Matters</w:t>
      </w:r>
    </w:p>
    <w:p>
      <w:pPr>
        <w:spacing w:after="0" w:line="200" w:lineRule="exact"/>
        <w:rPr>
          <w:sz w:val="20"/>
          <w:szCs w:val="20"/>
          <w:color w:val="auto"/>
        </w:rPr>
      </w:pPr>
    </w:p>
    <w:p>
      <w:pPr>
        <w:spacing w:after="0" w:line="294" w:lineRule="exact"/>
        <w:rPr>
          <w:sz w:val="20"/>
          <w:szCs w:val="20"/>
          <w:color w:val="auto"/>
        </w:rPr>
      </w:pPr>
    </w:p>
    <w:p>
      <w:pPr>
        <w:ind w:left="1720"/>
        <w:spacing w:after="0"/>
        <w:rPr>
          <w:sz w:val="20"/>
          <w:szCs w:val="20"/>
          <w:color w:val="auto"/>
        </w:rPr>
      </w:pPr>
      <w:r>
        <w:rPr>
          <w:rFonts w:ascii="Arial" w:cs="Arial" w:eastAsia="Arial" w:hAnsi="Arial"/>
          <w:sz w:val="47"/>
          <w:szCs w:val="47"/>
          <w:color w:val="FFFFFF"/>
        </w:rPr>
        <w:t>Debra Zumwalt</w:t>
      </w:r>
    </w:p>
    <w:p>
      <w:pPr>
        <w:spacing w:after="0" w:line="163" w:lineRule="exact"/>
        <w:rPr>
          <w:sz w:val="20"/>
          <w:szCs w:val="20"/>
          <w:color w:val="auto"/>
        </w:rPr>
      </w:pPr>
    </w:p>
    <w:p>
      <w:pPr>
        <w:ind w:left="1900"/>
        <w:spacing w:after="0"/>
        <w:rPr>
          <w:sz w:val="20"/>
          <w:szCs w:val="20"/>
          <w:color w:val="auto"/>
        </w:rPr>
      </w:pPr>
      <w:r>
        <w:rPr>
          <w:rFonts w:ascii="Arial" w:cs="Arial" w:eastAsia="Arial" w:hAnsi="Arial"/>
          <w:sz w:val="14"/>
          <w:szCs w:val="14"/>
          <w:b w:val="1"/>
          <w:bCs w:val="1"/>
          <w:color w:val="FFFFFF"/>
        </w:rPr>
        <w:t>INDEPENDENT</w:t>
      </w:r>
    </w:p>
    <w:p>
      <w:pPr>
        <w:spacing w:after="0" w:line="204" w:lineRule="exact"/>
        <w:rPr>
          <w:sz w:val="20"/>
          <w:szCs w:val="20"/>
          <w:color w:val="auto"/>
        </w:rPr>
      </w:pPr>
    </w:p>
    <w:p>
      <w:pPr>
        <w:ind w:left="1720"/>
        <w:spacing w:after="0"/>
        <w:rPr>
          <w:sz w:val="20"/>
          <w:szCs w:val="20"/>
          <w:color w:val="auto"/>
        </w:rPr>
      </w:pPr>
      <w:r>
        <w:rPr>
          <w:rFonts w:ascii="Arial" w:cs="Arial" w:eastAsia="Arial" w:hAnsi="Arial"/>
          <w:sz w:val="14"/>
          <w:szCs w:val="14"/>
          <w:b w:val="1"/>
          <w:bCs w:val="1"/>
          <w:color w:val="FFFFFF"/>
        </w:rPr>
        <w:t>AGE: 69 | DIRECTOR SINCE: 2014</w:t>
      </w:r>
    </w:p>
    <w:p>
      <w:pPr>
        <w:spacing w:after="0" w:line="55" w:lineRule="exact"/>
        <w:rPr>
          <w:sz w:val="20"/>
          <w:szCs w:val="20"/>
          <w:color w:val="auto"/>
        </w:rPr>
      </w:pPr>
    </w:p>
    <w:p>
      <w:pPr>
        <w:ind w:left="1720"/>
        <w:spacing w:after="0"/>
        <w:rPr>
          <w:sz w:val="20"/>
          <w:szCs w:val="20"/>
          <w:color w:val="auto"/>
        </w:rPr>
      </w:pPr>
      <w:r>
        <w:rPr>
          <w:rFonts w:ascii="Arial" w:cs="Arial" w:eastAsia="Arial" w:hAnsi="Arial"/>
          <w:sz w:val="14"/>
          <w:szCs w:val="14"/>
          <w:b w:val="1"/>
          <w:bCs w:val="1"/>
          <w:color w:val="FFFFFF"/>
        </w:rPr>
        <w:t>COMMITTEES: C (MEMBER), N&amp;CG (MEMBER), T&amp;IS (MEMBER)</w:t>
      </w:r>
    </w:p>
    <w:p>
      <w:pPr>
        <w:sectPr>
          <w:pgSz w:w="11900" w:h="16913" w:orient="portrait"/>
          <w:cols w:equalWidth="0" w:num="1">
            <w:col w:w="9059"/>
          </w:cols>
          <w:pgMar w:left="1400" w:top="118"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Professional Experience:</w:t>
      </w:r>
    </w:p>
    <w:p>
      <w:pPr>
        <w:spacing w:after="0" w:line="118" w:lineRule="exact"/>
        <w:rPr>
          <w:sz w:val="20"/>
          <w:szCs w:val="20"/>
          <w:color w:val="auto"/>
        </w:rPr>
      </w:pPr>
    </w:p>
    <w:p>
      <w:pPr>
        <w:ind w:left="180" w:hanging="172"/>
        <w:spacing w:after="0" w:line="292" w:lineRule="auto"/>
        <w:tabs>
          <w:tab w:leader="none" w:pos="180" w:val="left"/>
        </w:tabs>
        <w:numPr>
          <w:ilvl w:val="0"/>
          <w:numId w:val="29"/>
        </w:numPr>
        <w:rPr>
          <w:rFonts w:ascii="Arial" w:cs="Arial" w:eastAsia="Arial" w:hAnsi="Arial"/>
          <w:sz w:val="14"/>
          <w:szCs w:val="14"/>
          <w:b w:val="1"/>
          <w:bCs w:val="1"/>
          <w:color w:val="6AAA37"/>
        </w:rPr>
      </w:pPr>
      <w:r>
        <w:rPr>
          <w:rFonts w:ascii="Arial" w:cs="Arial" w:eastAsia="Arial" w:hAnsi="Arial"/>
          <w:sz w:val="14"/>
          <w:szCs w:val="14"/>
          <w:color w:val="auto"/>
        </w:rPr>
        <w:t>Vice President, General Counsel, Stanford University, since 2001; Member, University Cabinet, providing governance, legal and strategic advice to the boards of the University, Stanford Health Care, Lucile Packard Children’s Hospital at Stanford, and Stanford Management Company, which manages over $30 billion in assets; Member of the board of overseers for SLAC National Accelerator Laboratory at Stanford; and Director of SUMIT Holding International, LLC, SUMIT Insurance Company Ltd. and PEAC, a holding company and insurance companies providing insurance coverage for the Stanford hospitals and physicians</w:t>
      </w:r>
    </w:p>
    <w:p>
      <w:pPr>
        <w:spacing w:after="0" w:line="24" w:lineRule="exact"/>
        <w:rPr>
          <w:rFonts w:ascii="Arial" w:cs="Arial" w:eastAsia="Arial" w:hAnsi="Arial"/>
          <w:sz w:val="14"/>
          <w:szCs w:val="14"/>
          <w:b w:val="1"/>
          <w:bCs w:val="1"/>
          <w:color w:val="6AAA37"/>
        </w:rPr>
      </w:pPr>
    </w:p>
    <w:p>
      <w:pPr>
        <w:ind w:left="180" w:right="380" w:hanging="172"/>
        <w:spacing w:after="0" w:line="325" w:lineRule="auto"/>
        <w:tabs>
          <w:tab w:leader="none" w:pos="180" w:val="left"/>
        </w:tabs>
        <w:numPr>
          <w:ilvl w:val="0"/>
          <w:numId w:val="29"/>
        </w:numPr>
        <w:rPr>
          <w:rFonts w:ascii="Arial" w:cs="Arial" w:eastAsia="Arial" w:hAnsi="Arial"/>
          <w:sz w:val="14"/>
          <w:szCs w:val="14"/>
          <w:b w:val="1"/>
          <w:bCs w:val="1"/>
          <w:color w:val="6AAA37"/>
        </w:rPr>
      </w:pPr>
      <w:r>
        <w:rPr>
          <w:rFonts w:ascii="Arial" w:cs="Arial" w:eastAsia="Arial" w:hAnsi="Arial"/>
          <w:sz w:val="14"/>
          <w:szCs w:val="14"/>
          <w:color w:val="auto"/>
        </w:rPr>
        <w:t>Pillsbury Winthrop LLP, Partner from 1993 to 2001 and served as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00558C"/>
        </w:rPr>
        <w:t>Education/Certifications:</w:t>
      </w:r>
    </w:p>
    <w:p>
      <w:pPr>
        <w:spacing w:after="0" w:line="77" w:lineRule="exact"/>
        <w:rPr>
          <w:sz w:val="20"/>
          <w:szCs w:val="20"/>
          <w:color w:val="auto"/>
        </w:rPr>
      </w:pPr>
    </w:p>
    <w:p>
      <w:pPr>
        <w:ind w:left="167" w:hanging="167"/>
        <w:spacing w:after="0"/>
        <w:tabs>
          <w:tab w:leader="none" w:pos="167" w:val="left"/>
        </w:tabs>
        <w:numPr>
          <w:ilvl w:val="0"/>
          <w:numId w:val="30"/>
        </w:numPr>
        <w:rPr>
          <w:rFonts w:ascii="Arial" w:cs="Arial" w:eastAsia="Arial" w:hAnsi="Arial"/>
          <w:sz w:val="14"/>
          <w:szCs w:val="14"/>
          <w:b w:val="1"/>
          <w:bCs w:val="1"/>
          <w:color w:val="6AAA37"/>
        </w:rPr>
      </w:pPr>
      <w:r>
        <w:rPr>
          <w:rFonts w:ascii="Arial" w:cs="Arial" w:eastAsia="Arial" w:hAnsi="Arial"/>
          <w:sz w:val="14"/>
          <w:szCs w:val="14"/>
          <w:color w:val="auto"/>
        </w:rPr>
        <w:t>J.D., Stanford Law School</w:t>
      </w:r>
    </w:p>
    <w:p>
      <w:pPr>
        <w:spacing w:after="0" w:line="82" w:lineRule="exact"/>
        <w:rPr>
          <w:rFonts w:ascii="Arial" w:cs="Arial" w:eastAsia="Arial" w:hAnsi="Arial"/>
          <w:sz w:val="14"/>
          <w:szCs w:val="14"/>
          <w:b w:val="1"/>
          <w:bCs w:val="1"/>
          <w:color w:val="6AAA37"/>
        </w:rPr>
      </w:pPr>
    </w:p>
    <w:p>
      <w:pPr>
        <w:ind w:left="167" w:right="360" w:hanging="167"/>
        <w:spacing w:after="0" w:line="345" w:lineRule="auto"/>
        <w:tabs>
          <w:tab w:leader="none" w:pos="167" w:val="left"/>
        </w:tabs>
        <w:numPr>
          <w:ilvl w:val="0"/>
          <w:numId w:val="30"/>
        </w:numPr>
        <w:rPr>
          <w:rFonts w:ascii="Arial" w:cs="Arial" w:eastAsia="Arial" w:hAnsi="Arial"/>
          <w:sz w:val="14"/>
          <w:szCs w:val="14"/>
          <w:b w:val="1"/>
          <w:bCs w:val="1"/>
          <w:color w:val="6AAA37"/>
        </w:rPr>
      </w:pPr>
      <w:r>
        <w:rPr>
          <w:rFonts w:ascii="Arial" w:cs="Arial" w:eastAsia="Arial" w:hAnsi="Arial"/>
          <w:sz w:val="14"/>
          <w:szCs w:val="14"/>
          <w:color w:val="auto"/>
        </w:rPr>
        <w:t>B.S., Political Science, Arizona State University</w:t>
      </w:r>
    </w:p>
    <w:p>
      <w:pPr>
        <w:spacing w:after="0" w:line="32"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00558C"/>
        </w:rPr>
        <w:t>Public Board Experience:</w:t>
      </w:r>
    </w:p>
    <w:p>
      <w:pPr>
        <w:spacing w:after="0" w:line="91" w:lineRule="exact"/>
        <w:rPr>
          <w:sz w:val="20"/>
          <w:szCs w:val="20"/>
          <w:color w:val="auto"/>
        </w:rPr>
      </w:pPr>
    </w:p>
    <w:p>
      <w:pPr>
        <w:ind w:left="167" w:right="60" w:hanging="167"/>
        <w:spacing w:after="0" w:line="302" w:lineRule="auto"/>
        <w:tabs>
          <w:tab w:leader="none" w:pos="167" w:val="left"/>
        </w:tabs>
        <w:numPr>
          <w:ilvl w:val="0"/>
          <w:numId w:val="31"/>
        </w:numPr>
        <w:rPr>
          <w:rFonts w:ascii="Arial" w:cs="Arial" w:eastAsia="Arial" w:hAnsi="Arial"/>
          <w:sz w:val="14"/>
          <w:szCs w:val="14"/>
          <w:b w:val="1"/>
          <w:bCs w:val="1"/>
          <w:color w:val="6AAA37"/>
        </w:rPr>
      </w:pPr>
      <w:r>
        <w:rPr>
          <w:rFonts w:ascii="Arial" w:cs="Arial" w:eastAsia="Arial" w:hAnsi="Arial"/>
          <w:sz w:val="14"/>
          <w:szCs w:val="14"/>
          <w:color w:val="auto"/>
        </w:rPr>
        <w:t>Exponent, Inc., director, since 2014; chair of human resources committee and member of audit and nominating and governance committees</w:t>
      </w:r>
    </w:p>
    <w:p>
      <w:pPr>
        <w:spacing w:after="0" w:line="76" w:lineRule="exact"/>
        <w:rPr>
          <w:sz w:val="20"/>
          <w:szCs w:val="20"/>
          <w:color w:val="auto"/>
        </w:rPr>
      </w:pPr>
    </w:p>
    <w:p>
      <w:pPr>
        <w:ind w:left="7" w:right="740"/>
        <w:spacing w:after="0" w:line="296" w:lineRule="auto"/>
        <w:rPr>
          <w:sz w:val="20"/>
          <w:szCs w:val="20"/>
          <w:color w:val="auto"/>
        </w:rPr>
      </w:pPr>
      <w:r>
        <w:rPr>
          <w:rFonts w:ascii="Arial" w:cs="Arial" w:eastAsia="Arial" w:hAnsi="Arial"/>
          <w:sz w:val="16"/>
          <w:szCs w:val="16"/>
          <w:b w:val="1"/>
          <w:bCs w:val="1"/>
          <w:color w:val="00558C"/>
        </w:rPr>
        <w:t>Non-public board and other advisory services:</w:t>
      </w:r>
    </w:p>
    <w:p>
      <w:pPr>
        <w:spacing w:after="0" w:line="10" w:lineRule="exact"/>
        <w:rPr>
          <w:sz w:val="20"/>
          <w:szCs w:val="20"/>
          <w:color w:val="auto"/>
        </w:rPr>
      </w:pPr>
    </w:p>
    <w:p>
      <w:pPr>
        <w:ind w:left="167" w:hanging="167"/>
        <w:spacing w:after="0" w:line="322" w:lineRule="auto"/>
        <w:tabs>
          <w:tab w:leader="none" w:pos="167" w:val="left"/>
        </w:tabs>
        <w:numPr>
          <w:ilvl w:val="0"/>
          <w:numId w:val="32"/>
        </w:numPr>
        <w:rPr>
          <w:rFonts w:ascii="Arial" w:cs="Arial" w:eastAsia="Arial" w:hAnsi="Arial"/>
          <w:sz w:val="14"/>
          <w:szCs w:val="14"/>
          <w:b w:val="1"/>
          <w:bCs w:val="1"/>
          <w:color w:val="6AAA37"/>
        </w:rPr>
      </w:pPr>
      <w:r>
        <w:rPr>
          <w:rFonts w:ascii="Arial" w:cs="Arial" w:eastAsia="Arial" w:hAnsi="Arial"/>
          <w:sz w:val="14"/>
          <w:szCs w:val="14"/>
          <w:color w:val="auto"/>
        </w:rPr>
        <w:t>American University of Afghanistan, Board of Trustees, since 2007</w:t>
      </w:r>
    </w:p>
    <w:p>
      <w:pPr>
        <w:ind w:left="167" w:right="160" w:hanging="167"/>
        <w:spacing w:after="0" w:line="313" w:lineRule="auto"/>
        <w:tabs>
          <w:tab w:leader="none" w:pos="167" w:val="left"/>
        </w:tabs>
        <w:numPr>
          <w:ilvl w:val="0"/>
          <w:numId w:val="32"/>
        </w:numPr>
        <w:rPr>
          <w:rFonts w:ascii="Arial" w:cs="Arial" w:eastAsia="Arial" w:hAnsi="Arial"/>
          <w:sz w:val="14"/>
          <w:szCs w:val="14"/>
          <w:b w:val="1"/>
          <w:bCs w:val="1"/>
          <w:color w:val="6AAA37"/>
        </w:rPr>
      </w:pPr>
      <w:r>
        <w:rPr>
          <w:rFonts w:ascii="Arial" w:cs="Arial" w:eastAsia="Arial" w:hAnsi="Arial"/>
          <w:sz w:val="14"/>
          <w:szCs w:val="14"/>
          <w:color w:val="auto"/>
        </w:rPr>
        <w:t>Ms. Zumwalt previously served on other nonprofit boards in education and legal services.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color w:val="B2B3B6"/>
        </w:rPr>
        <w:t>Key Skills Sets: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3"/>
          <w:szCs w:val="13"/>
          <w:b w:val="1"/>
          <w:bCs w:val="1"/>
          <w:color w:val="6AAA37"/>
        </w:rPr>
        <w:t>ACCOUNTING | FINANCE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459"/>
        <w:spacing w:after="0"/>
        <w:rPr>
          <w:sz w:val="20"/>
          <w:szCs w:val="20"/>
          <w:color w:val="auto"/>
        </w:rPr>
      </w:pPr>
      <w:r>
        <w:rPr>
          <w:rFonts w:ascii="Arial" w:cs="Arial" w:eastAsia="Arial" w:hAnsi="Arial"/>
          <w:sz w:val="12"/>
          <w:szCs w:val="12"/>
          <w:b w:val="1"/>
          <w:bCs w:val="1"/>
          <w:color w:val="6AAA37"/>
        </w:rPr>
        <w:t>CORPORATE GOVERNANCE | LAW</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499"/>
        <w:spacing w:after="0"/>
        <w:rPr>
          <w:sz w:val="20"/>
          <w:szCs w:val="20"/>
          <w:color w:val="auto"/>
        </w:rPr>
      </w:pPr>
      <w:r>
        <w:rPr>
          <w:rFonts w:ascii="Arial" w:cs="Arial" w:eastAsia="Arial" w:hAnsi="Arial"/>
          <w:sz w:val="12"/>
          <w:szCs w:val="12"/>
          <w:b w:val="1"/>
          <w:bCs w:val="1"/>
          <w:color w:val="6AAA37"/>
        </w:rPr>
        <w:t>SENIOR EXECUTIVE LEADERSHIP</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2"/>
          <w:szCs w:val="12"/>
          <w:b w:val="1"/>
          <w:bCs w:val="1"/>
          <w:color w:val="6AAA37"/>
        </w:rPr>
        <w:t>RISK MANAGEMENT &amp; OVERSIGHT</w:t>
      </w:r>
    </w:p>
    <w:p>
      <w:pPr>
        <w:sectPr>
          <w:pgSz w:w="11900" w:h="16913" w:orient="portrait"/>
          <w:cols w:equalWidth="0" w:num="3">
            <w:col w:w="2860" w:space="253"/>
            <w:col w:w="2867" w:space="500"/>
            <w:col w:w="2579"/>
          </w:cols>
          <w:pgMar w:left="1400" w:top="118" w:right="1440" w:bottom="0" w:gutter="0" w:footer="0" w:header="0"/>
          <w:type w:val="continuous"/>
        </w:sectPr>
      </w:pPr>
    </w:p>
    <w:bookmarkStart w:id="20" w:name="page21"/>
    <w:bookmarkEnd w:id="20"/>
    <w:p>
      <w:pPr>
        <w:spacing w:after="0" w:line="5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managing partner of the Silicon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-87630</wp:posOffset>
            </wp:positionV>
            <wp:extent cx="6810375" cy="42538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10375" cy="425386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4"/>
          <w:szCs w:val="14"/>
          <w:color w:val="auto"/>
        </w:rPr>
        <w:t>Valley office and member of the</w:t>
      </w:r>
    </w:p>
    <w:p>
      <w:pPr>
        <w:spacing w:after="0" w:line="28" w:lineRule="exact"/>
        <w:rPr>
          <w:sz w:val="20"/>
          <w:szCs w:val="20"/>
          <w:color w:val="auto"/>
        </w:rPr>
      </w:pPr>
    </w:p>
    <w:p>
      <w:pPr>
        <w:ind w:left="180"/>
        <w:spacing w:after="0"/>
        <w:rPr>
          <w:sz w:val="20"/>
          <w:szCs w:val="20"/>
          <w:color w:val="auto"/>
        </w:rPr>
      </w:pPr>
      <w:r>
        <w:rPr>
          <w:rFonts w:ascii="Arial" w:cs="Arial" w:eastAsia="Arial" w:hAnsi="Arial"/>
          <w:sz w:val="14"/>
          <w:szCs w:val="14"/>
          <w:color w:val="auto"/>
        </w:rPr>
        <w:t>firm’s governing board; served as a</w:t>
      </w:r>
    </w:p>
    <w:p>
      <w:pPr>
        <w:spacing w:after="0" w:line="2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litigation associate prior to becoming</w:t>
      </w:r>
    </w:p>
    <w:p>
      <w:pPr>
        <w:spacing w:after="0" w:line="28" w:lineRule="exact"/>
        <w:rPr>
          <w:sz w:val="20"/>
          <w:szCs w:val="20"/>
          <w:color w:val="auto"/>
        </w:rPr>
      </w:pPr>
    </w:p>
    <w:p>
      <w:pPr>
        <w:ind w:left="180"/>
        <w:spacing w:after="0"/>
        <w:rPr>
          <w:sz w:val="20"/>
          <w:szCs w:val="20"/>
          <w:color w:val="auto"/>
        </w:rPr>
      </w:pPr>
      <w:r>
        <w:rPr>
          <w:rFonts w:ascii="Arial" w:cs="Arial" w:eastAsia="Arial" w:hAnsi="Arial"/>
          <w:sz w:val="14"/>
          <w:szCs w:val="14"/>
          <w:color w:val="auto"/>
        </w:rPr>
        <w:t>a partner</w:t>
      </w:r>
    </w:p>
    <w:p>
      <w:pPr>
        <w:spacing w:after="0" w:line="94" w:lineRule="exact"/>
        <w:rPr>
          <w:sz w:val="20"/>
          <w:szCs w:val="20"/>
          <w:color w:val="auto"/>
        </w:rPr>
      </w:pPr>
    </w:p>
    <w:p>
      <w:pPr>
        <w:ind w:left="180" w:right="3200" w:hanging="172"/>
        <w:spacing w:after="0" w:line="325" w:lineRule="auto"/>
        <w:tabs>
          <w:tab w:leader="none" w:pos="180" w:val="left"/>
        </w:tabs>
        <w:numPr>
          <w:ilvl w:val="0"/>
          <w:numId w:val="33"/>
        </w:numPr>
        <w:rPr>
          <w:rFonts w:ascii="Arial" w:cs="Arial" w:eastAsia="Arial" w:hAnsi="Arial"/>
          <w:sz w:val="14"/>
          <w:szCs w:val="14"/>
          <w:b w:val="1"/>
          <w:bCs w:val="1"/>
          <w:color w:val="6AAA37"/>
        </w:rPr>
      </w:pPr>
      <w:r>
        <w:rPr>
          <w:rFonts w:ascii="Arial" w:cs="Arial" w:eastAsia="Arial" w:hAnsi="Arial"/>
          <w:sz w:val="14"/>
          <w:szCs w:val="14"/>
          <w:color w:val="auto"/>
        </w:rPr>
        <w:t>Senior University Counsel at Stanford from 1987 to 1993</w:t>
      </w:r>
    </w:p>
    <w:p>
      <w:pPr>
        <w:spacing w:after="0" w:line="9" w:lineRule="exact"/>
        <w:rPr>
          <w:rFonts w:ascii="Arial" w:cs="Arial" w:eastAsia="Arial" w:hAnsi="Arial"/>
          <w:sz w:val="14"/>
          <w:szCs w:val="14"/>
          <w:b w:val="1"/>
          <w:bCs w:val="1"/>
          <w:color w:val="6AAA37"/>
        </w:rPr>
      </w:pPr>
    </w:p>
    <w:p>
      <w:pPr>
        <w:ind w:left="180" w:right="3040" w:hanging="172"/>
        <w:spacing w:after="0" w:line="325" w:lineRule="auto"/>
        <w:tabs>
          <w:tab w:leader="none" w:pos="180" w:val="left"/>
        </w:tabs>
        <w:numPr>
          <w:ilvl w:val="0"/>
          <w:numId w:val="33"/>
        </w:numPr>
        <w:rPr>
          <w:rFonts w:ascii="Arial" w:cs="Arial" w:eastAsia="Arial" w:hAnsi="Arial"/>
          <w:sz w:val="14"/>
          <w:szCs w:val="14"/>
          <w:b w:val="1"/>
          <w:bCs w:val="1"/>
          <w:color w:val="6AAA37"/>
        </w:rPr>
      </w:pPr>
      <w:r>
        <w:rPr>
          <w:rFonts w:ascii="Arial" w:cs="Arial" w:eastAsia="Arial" w:hAnsi="Arial"/>
          <w:sz w:val="14"/>
          <w:szCs w:val="14"/>
          <w:color w:val="auto"/>
        </w:rPr>
        <w:t>Litigation counsel for Chevron Chemical Company</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Arial" w:cs="Arial" w:eastAsia="Arial" w:hAnsi="Arial"/>
          <w:sz w:val="13"/>
          <w:szCs w:val="13"/>
          <w:b w:val="1"/>
          <w:bCs w:val="1"/>
          <w:color w:val="6AAA37"/>
        </w:rPr>
        <w:t>TECHNOLOGY</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3"/>
          <w:szCs w:val="13"/>
          <w:b w:val="1"/>
          <w:bCs w:val="1"/>
          <w:color w:val="6AAA37"/>
        </w:rPr>
        <w:t>GLOBAL BUSINESS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3"/>
          <w:szCs w:val="13"/>
          <w:b w:val="1"/>
          <w:bCs w:val="1"/>
          <w:color w:val="6AAA37"/>
        </w:rPr>
        <w:t>HEALTHCARE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3"/>
          <w:szCs w:val="13"/>
          <w:b w:val="1"/>
          <w:bCs w:val="1"/>
          <w:color w:val="6AAA37"/>
        </w:rPr>
        <w:t>HIGHER EDUCATION</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2"/>
          <w:szCs w:val="12"/>
          <w:b w:val="1"/>
          <w:bCs w:val="1"/>
          <w:color w:val="6AAA37"/>
        </w:rPr>
        <w:t>PUBLIC COMPANY BOARD</w:t>
      </w:r>
    </w:p>
    <w:p>
      <w:pPr>
        <w:spacing w:after="0" w:line="200" w:lineRule="exact"/>
        <w:rPr>
          <w:sz w:val="20"/>
          <w:szCs w:val="20"/>
          <w:color w:val="auto"/>
        </w:rPr>
      </w:pPr>
    </w:p>
    <w:p>
      <w:pPr>
        <w:sectPr>
          <w:pgSz w:w="11900" w:h="16889" w:orient="portrait"/>
          <w:cols w:equalWidth="0" w:num="2">
            <w:col w:w="5760" w:space="720"/>
            <w:col w:w="2579"/>
          </w:cols>
          <w:pgMar w:left="1400" w:top="118" w:right="1440" w:bottom="0" w:gutter="0" w:footer="0" w:header="0"/>
        </w:sectPr>
      </w:pPr>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Individual Contributions:</w:t>
      </w:r>
    </w:p>
    <w:p>
      <w:pPr>
        <w:spacing w:after="0" w:line="118" w:lineRule="exact"/>
        <w:rPr>
          <w:sz w:val="20"/>
          <w:szCs w:val="20"/>
          <w:color w:val="auto"/>
        </w:rPr>
      </w:pPr>
    </w:p>
    <w:p>
      <w:pPr>
        <w:ind w:right="19"/>
        <w:spacing w:after="0" w:line="302" w:lineRule="auto"/>
        <w:rPr>
          <w:sz w:val="20"/>
          <w:szCs w:val="20"/>
          <w:color w:val="auto"/>
        </w:rPr>
      </w:pPr>
      <w:r>
        <w:rPr>
          <w:rFonts w:ascii="Arial" w:cs="Arial" w:eastAsia="Arial" w:hAnsi="Arial"/>
          <w:sz w:val="14"/>
          <w:szCs w:val="14"/>
          <w:color w:val="auto"/>
        </w:rPr>
        <w:t>Given the many roles she serves in connection with her position as chief legal officer of a university with three affiliated hospitals including the legal services provided to the University and its affiliated hospitals with combined annual revenues of over $18 billion, Ms. Zumwalt is uniquely qualified to share with the Huron board her experience with navigating the challenges faced by both higher education and healthcare organizations. Ms. Zumwalt also contributes to the Huron board a perspective on the law and governance through her background as a former partner of a prominent law firm and her current membership on the boards of corporate and academic organizations.</w:t>
      </w:r>
    </w:p>
    <w:p>
      <w:pPr>
        <w:spacing w:after="0" w:line="200" w:lineRule="exact"/>
        <w:rPr>
          <w:sz w:val="20"/>
          <w:szCs w:val="20"/>
          <w:color w:val="auto"/>
        </w:rPr>
      </w:pPr>
    </w:p>
    <w:p>
      <w:pPr>
        <w:spacing w:after="0" w:line="277"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3020" w:type="dxa"/>
            <w:vAlign w:val="bottom"/>
          </w:tcPr>
          <w:p>
            <w:pPr>
              <w:spacing w:after="0"/>
              <w:rPr>
                <w:sz w:val="20"/>
                <w:szCs w:val="20"/>
                <w:color w:val="auto"/>
              </w:rPr>
            </w:pPr>
            <w:r>
              <w:rPr>
                <w:rFonts w:ascii="Arial" w:cs="Arial" w:eastAsia="Arial" w:hAnsi="Arial"/>
                <w:sz w:val="13"/>
                <w:szCs w:val="13"/>
                <w:color w:val="auto"/>
              </w:rPr>
              <w:t>Huron Consulting Group Inc.</w:t>
            </w:r>
          </w:p>
        </w:tc>
        <w:tc>
          <w:tcPr>
            <w:tcW w:w="3360" w:type="dxa"/>
            <w:vAlign w:val="bottom"/>
          </w:tcPr>
          <w:p>
            <w:pPr>
              <w:jc w:val="right"/>
              <w:ind w:right="1757"/>
              <w:spacing w:after="0"/>
              <w:rPr>
                <w:sz w:val="20"/>
                <w:szCs w:val="20"/>
                <w:color w:val="auto"/>
              </w:rPr>
            </w:pPr>
            <w:r>
              <w:rPr>
                <w:rFonts w:ascii="Arial" w:cs="Arial" w:eastAsia="Arial" w:hAnsi="Arial"/>
                <w:sz w:val="13"/>
                <w:szCs w:val="13"/>
                <w:b w:val="1"/>
                <w:bCs w:val="1"/>
                <w:color w:val="00558C"/>
              </w:rPr>
              <w:t>11</w:t>
            </w:r>
          </w:p>
        </w:tc>
        <w:tc>
          <w:tcPr>
            <w:tcW w:w="2600" w:type="dxa"/>
            <w:vAlign w:val="bottom"/>
          </w:tcPr>
          <w:p>
            <w:pPr>
              <w:ind w:left="1340"/>
              <w:spacing w:after="0"/>
              <w:rPr>
                <w:sz w:val="20"/>
                <w:szCs w:val="20"/>
                <w:color w:val="auto"/>
              </w:rPr>
            </w:pPr>
            <w:r>
              <w:rPr>
                <w:rFonts w:ascii="Arial" w:cs="Arial" w:eastAsia="Arial" w:hAnsi="Arial"/>
                <w:sz w:val="13"/>
                <w:szCs w:val="13"/>
                <w:color w:val="auto"/>
                <w:w w:val="96"/>
              </w:rPr>
              <w:t>2025 Proxy Statement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397510</wp:posOffset>
            </wp:positionV>
            <wp:extent cx="6810375" cy="61798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10375" cy="6179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540" w:val="left"/>
          <w:tab w:leader="none" w:pos="7360" w:val="left"/>
          <w:tab w:leader="none" w:pos="8400" w:val="left"/>
        </w:tabs>
        <w:rPr>
          <w:sz w:val="20"/>
          <w:szCs w:val="20"/>
          <w:color w:val="auto"/>
        </w:rPr>
      </w:pPr>
      <w:r>
        <w:rPr>
          <w:rFonts w:ascii="Arial" w:cs="Arial" w:eastAsia="Arial" w:hAnsi="Arial"/>
          <w:sz w:val="13"/>
          <w:szCs w:val="13"/>
          <w:b w:val="1"/>
          <w:bCs w:val="1"/>
          <w:color w:val="B2B3B6"/>
        </w:rPr>
        <w:t>General</w:t>
      </w:r>
      <w:r>
        <w:rPr>
          <w:sz w:val="20"/>
          <w:szCs w:val="20"/>
          <w:color w:val="auto"/>
        </w:rPr>
        <w:tab/>
      </w:r>
      <w:r>
        <w:rPr>
          <w:rFonts w:ascii="Arial" w:cs="Arial" w:eastAsia="Arial" w:hAnsi="Arial"/>
          <w:sz w:val="13"/>
          <w:szCs w:val="13"/>
          <w:b w:val="1"/>
          <w:bCs w:val="1"/>
          <w:color w:val="6AAA37"/>
        </w:rPr>
        <w:t>Proposal</w:t>
      </w:r>
      <w:r>
        <w:rPr>
          <w:sz w:val="20"/>
          <w:szCs w:val="20"/>
          <w:color w:val="auto"/>
        </w:rPr>
        <w:tab/>
      </w:r>
      <w:r>
        <w:rPr>
          <w:rFonts w:ascii="Arial" w:cs="Arial" w:eastAsia="Arial" w:hAnsi="Arial"/>
          <w:sz w:val="13"/>
          <w:szCs w:val="13"/>
          <w:b w:val="1"/>
          <w:bCs w:val="1"/>
          <w:color w:val="B2B3B6"/>
        </w:rPr>
        <w:t>Corporate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Executive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Stockholder</w:t>
      </w:r>
      <w:r>
        <w:rPr>
          <w:sz w:val="20"/>
          <w:szCs w:val="20"/>
          <w:color w:val="auto"/>
        </w:rPr>
        <w:tab/>
      </w:r>
      <w:r>
        <w:rPr>
          <w:rFonts w:ascii="Arial" w:cs="Arial" w:eastAsia="Arial" w:hAnsi="Arial"/>
          <w:sz w:val="12"/>
          <w:szCs w:val="12"/>
          <w:b w:val="1"/>
          <w:bCs w:val="1"/>
          <w:color w:val="B2B3B6"/>
        </w:rPr>
        <w:t>Other</w:t>
      </w:r>
    </w:p>
    <w:p>
      <w:pPr>
        <w:spacing w:after="0" w:line="11"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540" w:val="left"/>
          <w:tab w:leader="none" w:pos="7360" w:val="left"/>
          <w:tab w:leader="none" w:pos="8400" w:val="left"/>
        </w:tabs>
        <w:rPr>
          <w:sz w:val="20"/>
          <w:szCs w:val="20"/>
          <w:color w:val="auto"/>
        </w:rPr>
      </w:pPr>
      <w:r>
        <w:rPr>
          <w:rFonts w:ascii="Arial" w:cs="Arial" w:eastAsia="Arial" w:hAnsi="Arial"/>
          <w:sz w:val="13"/>
          <w:szCs w:val="13"/>
          <w:b w:val="1"/>
          <w:bCs w:val="1"/>
          <w:color w:val="B2B3B6"/>
        </w:rPr>
        <w:t>Information</w:t>
      </w:r>
      <w:r>
        <w:rPr>
          <w:sz w:val="20"/>
          <w:szCs w:val="20"/>
          <w:color w:val="auto"/>
        </w:rPr>
        <w:tab/>
      </w:r>
      <w:r>
        <w:rPr>
          <w:rFonts w:ascii="Arial" w:cs="Arial" w:eastAsia="Arial" w:hAnsi="Arial"/>
          <w:sz w:val="13"/>
          <w:szCs w:val="13"/>
          <w:b w:val="1"/>
          <w:bCs w:val="1"/>
          <w:color w:val="6AAA37"/>
        </w:rPr>
        <w:t>One</w:t>
      </w:r>
      <w:r>
        <w:rPr>
          <w:sz w:val="20"/>
          <w:szCs w:val="20"/>
          <w:color w:val="auto"/>
        </w:rPr>
        <w:tab/>
      </w:r>
      <w:r>
        <w:rPr>
          <w:rFonts w:ascii="Arial" w:cs="Arial" w:eastAsia="Arial" w:hAnsi="Arial"/>
          <w:sz w:val="13"/>
          <w:szCs w:val="13"/>
          <w:b w:val="1"/>
          <w:bCs w:val="1"/>
          <w:color w:val="B2B3B6"/>
        </w:rPr>
        <w:t>Governance</w:t>
      </w:r>
      <w:r>
        <w:rPr>
          <w:sz w:val="20"/>
          <w:szCs w:val="20"/>
          <w:color w:val="auto"/>
        </w:rPr>
        <w:tab/>
      </w:r>
      <w:r>
        <w:rPr>
          <w:rFonts w:ascii="Arial" w:cs="Arial" w:eastAsia="Arial" w:hAnsi="Arial"/>
          <w:sz w:val="13"/>
          <w:szCs w:val="13"/>
          <w:b w:val="1"/>
          <w:bCs w:val="1"/>
          <w:color w:val="B2B3B6"/>
        </w:rPr>
        <w:t>Two</w:t>
      </w:r>
      <w:r>
        <w:rPr>
          <w:sz w:val="20"/>
          <w:szCs w:val="20"/>
          <w:color w:val="auto"/>
        </w:rPr>
        <w:tab/>
      </w:r>
      <w:r>
        <w:rPr>
          <w:rFonts w:ascii="Arial" w:cs="Arial" w:eastAsia="Arial" w:hAnsi="Arial"/>
          <w:sz w:val="13"/>
          <w:szCs w:val="13"/>
          <w:b w:val="1"/>
          <w:bCs w:val="1"/>
          <w:color w:val="B2B3B6"/>
        </w:rPr>
        <w:t>Compensation</w:t>
      </w:r>
      <w:r>
        <w:rPr>
          <w:sz w:val="20"/>
          <w:szCs w:val="20"/>
          <w:color w:val="auto"/>
        </w:rPr>
        <w:tab/>
      </w:r>
      <w:r>
        <w:rPr>
          <w:rFonts w:ascii="Arial" w:cs="Arial" w:eastAsia="Arial" w:hAnsi="Arial"/>
          <w:sz w:val="13"/>
          <w:szCs w:val="13"/>
          <w:b w:val="1"/>
          <w:bCs w:val="1"/>
          <w:color w:val="B2B3B6"/>
        </w:rPr>
        <w:t>Three</w:t>
      </w:r>
      <w:r>
        <w:rPr>
          <w:sz w:val="20"/>
          <w:szCs w:val="20"/>
          <w:color w:val="auto"/>
        </w:rPr>
        <w:tab/>
      </w:r>
      <w:r>
        <w:rPr>
          <w:rFonts w:ascii="Arial" w:cs="Arial" w:eastAsia="Arial" w:hAnsi="Arial"/>
          <w:sz w:val="13"/>
          <w:szCs w:val="13"/>
          <w:b w:val="1"/>
          <w:bCs w:val="1"/>
          <w:color w:val="B2B3B6"/>
        </w:rPr>
        <w:t>Four</w:t>
      </w:r>
      <w:r>
        <w:rPr>
          <w:sz w:val="20"/>
          <w:szCs w:val="20"/>
          <w:color w:val="auto"/>
        </w:rPr>
        <w:tab/>
      </w:r>
      <w:r>
        <w:rPr>
          <w:rFonts w:ascii="Arial" w:cs="Arial" w:eastAsia="Arial" w:hAnsi="Arial"/>
          <w:sz w:val="13"/>
          <w:szCs w:val="13"/>
          <w:b w:val="1"/>
          <w:bCs w:val="1"/>
          <w:color w:val="B2B3B6"/>
        </w:rPr>
        <w:t>Five</w:t>
      </w:r>
      <w:r>
        <w:rPr>
          <w:sz w:val="20"/>
          <w:szCs w:val="20"/>
          <w:color w:val="auto"/>
        </w:rPr>
        <w:tab/>
      </w:r>
      <w:r>
        <w:rPr>
          <w:rFonts w:ascii="Arial" w:cs="Arial" w:eastAsia="Arial" w:hAnsi="Arial"/>
          <w:sz w:val="13"/>
          <w:szCs w:val="13"/>
          <w:b w:val="1"/>
          <w:bCs w:val="1"/>
          <w:color w:val="B2B3B6"/>
        </w:rPr>
        <w:t>Proposals</w:t>
      </w:r>
      <w:r>
        <w:rPr>
          <w:sz w:val="20"/>
          <w:szCs w:val="20"/>
          <w:color w:val="auto"/>
        </w:rPr>
        <w:tab/>
      </w:r>
      <w:r>
        <w:rPr>
          <w:rFonts w:ascii="Arial" w:cs="Arial" w:eastAsia="Arial" w:hAnsi="Arial"/>
          <w:sz w:val="12"/>
          <w:szCs w:val="12"/>
          <w:b w:val="1"/>
          <w:bCs w:val="1"/>
          <w:color w:val="B2B3B6"/>
        </w:rPr>
        <w:t>Matters</w:t>
      </w:r>
    </w:p>
    <w:p>
      <w:pPr>
        <w:spacing w:after="0" w:line="314" w:lineRule="exact"/>
        <w:rPr>
          <w:sz w:val="20"/>
          <w:szCs w:val="20"/>
          <w:color w:val="auto"/>
        </w:rPr>
      </w:pPr>
    </w:p>
    <w:p>
      <w:pPr>
        <w:spacing w:after="0"/>
        <w:rPr>
          <w:sz w:val="20"/>
          <w:szCs w:val="20"/>
          <w:color w:val="auto"/>
        </w:rPr>
      </w:pPr>
      <w:r>
        <w:rPr>
          <w:rFonts w:ascii="Arial" w:cs="Arial" w:eastAsia="Arial" w:hAnsi="Arial"/>
          <w:sz w:val="22"/>
          <w:szCs w:val="22"/>
          <w:b w:val="1"/>
          <w:bCs w:val="1"/>
          <w:color w:val="00558C"/>
        </w:rPr>
        <w:t>Directors Not Standing for Election</w:t>
      </w:r>
    </w:p>
    <w:p>
      <w:pPr>
        <w:spacing w:after="0" w:line="278" w:lineRule="exact"/>
        <w:rPr>
          <w:sz w:val="20"/>
          <w:szCs w:val="20"/>
          <w:color w:val="auto"/>
        </w:rPr>
      </w:pPr>
    </w:p>
    <w:p>
      <w:pPr>
        <w:ind w:left="1720"/>
        <w:spacing w:after="0"/>
        <w:rPr>
          <w:sz w:val="20"/>
          <w:szCs w:val="20"/>
          <w:color w:val="auto"/>
        </w:rPr>
      </w:pPr>
      <w:r>
        <w:rPr>
          <w:rFonts w:ascii="Arial" w:cs="Arial" w:eastAsia="Arial" w:hAnsi="Arial"/>
          <w:sz w:val="47"/>
          <w:szCs w:val="47"/>
          <w:color w:val="FFFFFF"/>
        </w:rPr>
        <w:t>Joy T. Brown</w:t>
      </w:r>
    </w:p>
    <w:p>
      <w:pPr>
        <w:spacing w:after="0" w:line="230" w:lineRule="exact"/>
        <w:rPr>
          <w:sz w:val="20"/>
          <w:szCs w:val="20"/>
          <w:color w:val="auto"/>
        </w:rPr>
      </w:pPr>
    </w:p>
    <w:p>
      <w:pPr>
        <w:ind w:left="1900"/>
        <w:spacing w:after="0"/>
        <w:rPr>
          <w:sz w:val="20"/>
          <w:szCs w:val="20"/>
          <w:color w:val="auto"/>
        </w:rPr>
      </w:pPr>
      <w:r>
        <w:rPr>
          <w:rFonts w:ascii="Arial" w:cs="Arial" w:eastAsia="Arial" w:hAnsi="Arial"/>
          <w:sz w:val="14"/>
          <w:szCs w:val="14"/>
          <w:b w:val="1"/>
          <w:bCs w:val="1"/>
          <w:color w:val="FFFFFF"/>
        </w:rPr>
        <w:t>INDEPENDENT</w:t>
      </w:r>
    </w:p>
    <w:p>
      <w:pPr>
        <w:spacing w:after="0" w:line="204" w:lineRule="exact"/>
        <w:rPr>
          <w:sz w:val="20"/>
          <w:szCs w:val="20"/>
          <w:color w:val="auto"/>
        </w:rPr>
      </w:pPr>
    </w:p>
    <w:p>
      <w:pPr>
        <w:ind w:left="1720"/>
        <w:spacing w:after="0"/>
        <w:rPr>
          <w:sz w:val="20"/>
          <w:szCs w:val="20"/>
          <w:color w:val="auto"/>
        </w:rPr>
      </w:pPr>
      <w:r>
        <w:rPr>
          <w:rFonts w:ascii="Arial" w:cs="Arial" w:eastAsia="Arial" w:hAnsi="Arial"/>
          <w:sz w:val="14"/>
          <w:szCs w:val="14"/>
          <w:b w:val="1"/>
          <w:bCs w:val="1"/>
          <w:color w:val="FFFFFF"/>
        </w:rPr>
        <w:t>AGE: 46 | DIRECTOR SINCE: 2022</w:t>
      </w:r>
    </w:p>
    <w:p>
      <w:pPr>
        <w:spacing w:after="0" w:line="42" w:lineRule="exact"/>
        <w:rPr>
          <w:sz w:val="20"/>
          <w:szCs w:val="20"/>
          <w:color w:val="auto"/>
        </w:rPr>
      </w:pPr>
    </w:p>
    <w:p>
      <w:pPr>
        <w:ind w:left="1720"/>
        <w:spacing w:after="0"/>
        <w:rPr>
          <w:sz w:val="20"/>
          <w:szCs w:val="20"/>
          <w:color w:val="auto"/>
        </w:rPr>
      </w:pPr>
      <w:r>
        <w:rPr>
          <w:rFonts w:ascii="Arial" w:cs="Arial" w:eastAsia="Arial" w:hAnsi="Arial"/>
          <w:sz w:val="14"/>
          <w:szCs w:val="14"/>
          <w:b w:val="1"/>
          <w:bCs w:val="1"/>
          <w:color w:val="FFFFFF"/>
        </w:rPr>
        <w:t>COMMITTEES: T&amp;IS (CHAIR), C (MEMBER), F &amp;CA (MEMBER)</w:t>
      </w:r>
    </w:p>
    <w:p>
      <w:pPr>
        <w:sectPr>
          <w:pgSz w:w="11900" w:h="16889" w:orient="portrait"/>
          <w:cols w:equalWidth="0" w:num="1">
            <w:col w:w="9059"/>
          </w:cols>
          <w:pgMar w:left="1400" w:top="118"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Professional Experience:</w:t>
      </w:r>
    </w:p>
    <w:p>
      <w:pPr>
        <w:spacing w:after="0" w:line="118" w:lineRule="exact"/>
        <w:rPr>
          <w:sz w:val="20"/>
          <w:szCs w:val="20"/>
          <w:color w:val="auto"/>
        </w:rPr>
      </w:pPr>
    </w:p>
    <w:p>
      <w:pPr>
        <w:ind w:left="180" w:right="20" w:hanging="172"/>
        <w:spacing w:after="0" w:line="313" w:lineRule="auto"/>
        <w:tabs>
          <w:tab w:leader="none" w:pos="180" w:val="left"/>
        </w:tabs>
        <w:numPr>
          <w:ilvl w:val="0"/>
          <w:numId w:val="34"/>
        </w:numPr>
        <w:rPr>
          <w:rFonts w:ascii="Arial" w:cs="Arial" w:eastAsia="Arial" w:hAnsi="Arial"/>
          <w:sz w:val="14"/>
          <w:szCs w:val="14"/>
          <w:b w:val="1"/>
          <w:bCs w:val="1"/>
          <w:color w:val="6AAA37"/>
        </w:rPr>
      </w:pPr>
      <w:r>
        <w:rPr>
          <w:rFonts w:ascii="Arial" w:cs="Arial" w:eastAsia="Arial" w:hAnsi="Arial"/>
          <w:sz w:val="14"/>
          <w:szCs w:val="14"/>
          <w:color w:val="auto"/>
        </w:rPr>
        <w:t>SVP and Chief Digital Information Officer, Boston Medical Center Health System since 2024</w:t>
      </w:r>
    </w:p>
    <w:p>
      <w:pPr>
        <w:spacing w:after="0" w:line="4" w:lineRule="exact"/>
        <w:rPr>
          <w:rFonts w:ascii="Arial" w:cs="Arial" w:eastAsia="Arial" w:hAnsi="Arial"/>
          <w:sz w:val="14"/>
          <w:szCs w:val="14"/>
          <w:b w:val="1"/>
          <w:bCs w:val="1"/>
          <w:color w:val="6AAA37"/>
        </w:rPr>
      </w:pPr>
    </w:p>
    <w:p>
      <w:pPr>
        <w:ind w:left="180" w:hanging="172"/>
        <w:spacing w:after="0" w:line="332" w:lineRule="auto"/>
        <w:tabs>
          <w:tab w:leader="none" w:pos="180" w:val="left"/>
        </w:tabs>
        <w:numPr>
          <w:ilvl w:val="0"/>
          <w:numId w:val="34"/>
        </w:numPr>
        <w:rPr>
          <w:rFonts w:ascii="Arial" w:cs="Arial" w:eastAsia="Arial" w:hAnsi="Arial"/>
          <w:sz w:val="14"/>
          <w:szCs w:val="14"/>
          <w:b w:val="1"/>
          <w:bCs w:val="1"/>
          <w:color w:val="6AAA37"/>
        </w:rPr>
      </w:pPr>
      <w:r>
        <w:rPr>
          <w:rFonts w:ascii="Arial" w:cs="Arial" w:eastAsia="Arial" w:hAnsi="Arial"/>
          <w:sz w:val="14"/>
          <w:szCs w:val="14"/>
          <w:color w:val="auto"/>
        </w:rPr>
        <w:t>Verizon’s Media business line, Chief Data Officer from 2020 - 2022</w:t>
      </w:r>
    </w:p>
    <w:p>
      <w:pPr>
        <w:ind w:left="180" w:right="20" w:hanging="172"/>
        <w:spacing w:after="0" w:line="313" w:lineRule="auto"/>
        <w:tabs>
          <w:tab w:leader="none" w:pos="180" w:val="left"/>
        </w:tabs>
        <w:numPr>
          <w:ilvl w:val="0"/>
          <w:numId w:val="34"/>
        </w:numPr>
        <w:rPr>
          <w:rFonts w:ascii="Arial" w:cs="Arial" w:eastAsia="Arial" w:hAnsi="Arial"/>
          <w:sz w:val="14"/>
          <w:szCs w:val="14"/>
          <w:b w:val="1"/>
          <w:bCs w:val="1"/>
          <w:color w:val="6AAA37"/>
        </w:rPr>
      </w:pPr>
      <w:r>
        <w:rPr>
          <w:rFonts w:ascii="Arial" w:cs="Arial" w:eastAsia="Arial" w:hAnsi="Arial"/>
          <w:sz w:val="14"/>
          <w:szCs w:val="14"/>
          <w:color w:val="auto"/>
        </w:rPr>
        <w:t>Capital One Credit Card Businesses Global Data, Analytics and Machine Learning function lead from 2019 to 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4"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00558C"/>
        </w:rPr>
        <w:t>Public Board Experience:</w:t>
      </w:r>
    </w:p>
    <w:p>
      <w:pPr>
        <w:spacing w:after="0" w:line="91" w:lineRule="exact"/>
        <w:rPr>
          <w:sz w:val="20"/>
          <w:szCs w:val="20"/>
          <w:color w:val="auto"/>
        </w:rPr>
      </w:pPr>
    </w:p>
    <w:p>
      <w:pPr>
        <w:ind w:left="167" w:hanging="167"/>
        <w:spacing w:after="0" w:line="303" w:lineRule="auto"/>
        <w:tabs>
          <w:tab w:leader="none" w:pos="167" w:val="left"/>
        </w:tabs>
        <w:numPr>
          <w:ilvl w:val="0"/>
          <w:numId w:val="35"/>
        </w:numPr>
        <w:rPr>
          <w:rFonts w:ascii="Arial" w:cs="Arial" w:eastAsia="Arial" w:hAnsi="Arial"/>
          <w:sz w:val="14"/>
          <w:szCs w:val="14"/>
          <w:b w:val="1"/>
          <w:bCs w:val="1"/>
          <w:color w:val="6AAA37"/>
        </w:rPr>
      </w:pPr>
      <w:r>
        <w:rPr>
          <w:rFonts w:ascii="Arial" w:cs="Arial" w:eastAsia="Arial" w:hAnsi="Arial"/>
          <w:sz w:val="14"/>
          <w:szCs w:val="14"/>
          <w:color w:val="auto"/>
        </w:rPr>
        <w:t>Tractor Supply Company, director since 2021 and member of audit and nomination and governance committee</w:t>
      </w:r>
    </w:p>
    <w:p>
      <w:pPr>
        <w:spacing w:after="0" w:line="74" w:lineRule="exact"/>
        <w:rPr>
          <w:sz w:val="20"/>
          <w:szCs w:val="20"/>
          <w:color w:val="auto"/>
        </w:rPr>
      </w:pPr>
    </w:p>
    <w:p>
      <w:pPr>
        <w:ind w:left="7" w:right="540"/>
        <w:spacing w:after="0" w:line="296" w:lineRule="auto"/>
        <w:rPr>
          <w:sz w:val="20"/>
          <w:szCs w:val="20"/>
          <w:color w:val="auto"/>
        </w:rPr>
      </w:pPr>
      <w:r>
        <w:rPr>
          <w:rFonts w:ascii="Arial" w:cs="Arial" w:eastAsia="Arial" w:hAnsi="Arial"/>
          <w:sz w:val="16"/>
          <w:szCs w:val="16"/>
          <w:b w:val="1"/>
          <w:bCs w:val="1"/>
          <w:color w:val="00558C"/>
        </w:rPr>
        <w:t>Non-public board and other advisory services:</w:t>
      </w:r>
    </w:p>
    <w:p>
      <w:pPr>
        <w:spacing w:after="0" w:line="10" w:lineRule="exact"/>
        <w:rPr>
          <w:sz w:val="20"/>
          <w:szCs w:val="20"/>
          <w:color w:val="auto"/>
        </w:rPr>
      </w:pPr>
    </w:p>
    <w:p>
      <w:pPr>
        <w:ind w:left="167" w:hanging="167"/>
        <w:spacing w:after="0"/>
        <w:tabs>
          <w:tab w:leader="none" w:pos="167" w:val="left"/>
        </w:tabs>
        <w:numPr>
          <w:ilvl w:val="0"/>
          <w:numId w:val="36"/>
        </w:numPr>
        <w:rPr>
          <w:rFonts w:ascii="Arial" w:cs="Arial" w:eastAsia="Arial" w:hAnsi="Arial"/>
          <w:sz w:val="14"/>
          <w:szCs w:val="14"/>
          <w:b w:val="1"/>
          <w:bCs w:val="1"/>
          <w:color w:val="6AAA37"/>
        </w:rPr>
      </w:pPr>
      <w:r>
        <w:rPr>
          <w:rFonts w:ascii="Arial" w:cs="Arial" w:eastAsia="Arial" w:hAnsi="Arial"/>
          <w:sz w:val="14"/>
          <w:szCs w:val="14"/>
          <w:color w:val="auto"/>
        </w:rPr>
        <w:t>ESO Solutions, Inc., director</w:t>
      </w:r>
    </w:p>
    <w:p>
      <w:pPr>
        <w:spacing w:after="0" w:line="82" w:lineRule="exact"/>
        <w:rPr>
          <w:rFonts w:ascii="Arial" w:cs="Arial" w:eastAsia="Arial" w:hAnsi="Arial"/>
          <w:sz w:val="14"/>
          <w:szCs w:val="14"/>
          <w:b w:val="1"/>
          <w:bCs w:val="1"/>
          <w:color w:val="6AAA37"/>
        </w:rPr>
      </w:pPr>
    </w:p>
    <w:p>
      <w:pPr>
        <w:ind w:left="167" w:hanging="167"/>
        <w:spacing w:after="0"/>
        <w:tabs>
          <w:tab w:leader="none" w:pos="167" w:val="left"/>
        </w:tabs>
        <w:numPr>
          <w:ilvl w:val="0"/>
          <w:numId w:val="36"/>
        </w:numPr>
        <w:rPr>
          <w:rFonts w:ascii="Arial" w:cs="Arial" w:eastAsia="Arial" w:hAnsi="Arial"/>
          <w:sz w:val="14"/>
          <w:szCs w:val="14"/>
          <w:b w:val="1"/>
          <w:bCs w:val="1"/>
          <w:color w:val="6AAA37"/>
        </w:rPr>
      </w:pPr>
      <w:r>
        <w:rPr>
          <w:rFonts w:ascii="Arial" w:cs="Arial" w:eastAsia="Arial" w:hAnsi="Arial"/>
          <w:sz w:val="14"/>
          <w:szCs w:val="14"/>
          <w:color w:val="auto"/>
        </w:rPr>
        <w:t>ValidiFI, LLC, 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color w:val="B2B3B6"/>
        </w:rPr>
        <w:t>Key Skills Sets:</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3"/>
          <w:szCs w:val="13"/>
          <w:b w:val="1"/>
          <w:bCs w:val="1"/>
          <w:color w:val="6AAA37"/>
        </w:rPr>
        <w:t>ACCOUNTING | FINANCE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2"/>
          <w:szCs w:val="12"/>
          <w:b w:val="1"/>
          <w:bCs w:val="1"/>
          <w:color w:val="6AAA37"/>
        </w:rPr>
        <w:t>CORPORATE GOVERNANCE | LAW</w:t>
      </w:r>
    </w:p>
    <w:p>
      <w:pPr>
        <w:spacing w:after="0" w:line="33" w:lineRule="exact"/>
        <w:rPr>
          <w:sz w:val="20"/>
          <w:szCs w:val="20"/>
          <w:color w:val="auto"/>
        </w:rPr>
      </w:pPr>
    </w:p>
    <w:p>
      <w:pPr>
        <w:sectPr>
          <w:pgSz w:w="11900" w:h="16889" w:orient="portrait"/>
          <w:cols w:equalWidth="0" w:num="3">
            <w:col w:w="2820" w:space="293"/>
            <w:col w:w="2667" w:space="700"/>
            <w:col w:w="2579"/>
          </w:cols>
          <w:pgMar w:left="1400" w:top="118" w:right="1440" w:bottom="0" w:gutter="0" w:footer="0" w:header="0"/>
          <w:type w:val="continuous"/>
        </w:sectPr>
      </w:pPr>
    </w:p>
    <w:p>
      <w:pPr>
        <w:ind w:left="180" w:right="6339" w:hanging="172"/>
        <w:spacing w:after="0" w:line="282" w:lineRule="auto"/>
        <w:tabs>
          <w:tab w:leader="none" w:pos="180" w:val="left"/>
        </w:tabs>
        <w:numPr>
          <w:ilvl w:val="0"/>
          <w:numId w:val="37"/>
        </w:numPr>
        <w:rPr>
          <w:rFonts w:ascii="Arial" w:cs="Arial" w:eastAsia="Arial" w:hAnsi="Arial"/>
          <w:sz w:val="14"/>
          <w:szCs w:val="14"/>
          <w:b w:val="1"/>
          <w:bCs w:val="1"/>
          <w:color w:val="6AAA37"/>
        </w:rPr>
      </w:pPr>
      <w:r>
        <w:rPr>
          <w:rFonts w:ascii="Arial" w:cs="Arial" w:eastAsia="Arial" w:hAnsi="Arial"/>
          <w:sz w:val="14"/>
          <w:szCs w:val="14"/>
          <w:color w:val="auto"/>
        </w:rPr>
        <w:t>Previous positions with United Health Group and Vanguard and had roles at General Electric in the financial services</w:t>
      </w:r>
    </w:p>
    <w:p>
      <w:pPr>
        <w:ind w:left="180"/>
        <w:spacing w:after="0"/>
        <w:tabs>
          <w:tab w:leader="none" w:pos="6460" w:val="left"/>
        </w:tabs>
        <w:rPr>
          <w:sz w:val="20"/>
          <w:szCs w:val="20"/>
          <w:color w:val="auto"/>
        </w:rPr>
      </w:pPr>
      <w:r>
        <w:rPr>
          <w:rFonts w:ascii="Arial" w:cs="Arial" w:eastAsia="Arial" w:hAnsi="Arial"/>
          <w:sz w:val="14"/>
          <w:szCs w:val="14"/>
          <w:color w:val="auto"/>
        </w:rPr>
        <w:t>businesses and corporate operations</w:t>
      </w:r>
      <w:r>
        <w:rPr>
          <w:sz w:val="20"/>
          <w:szCs w:val="20"/>
          <w:color w:val="auto"/>
        </w:rPr>
        <w:tab/>
      </w:r>
      <w:r>
        <w:rPr>
          <w:rFonts w:ascii="Arial" w:cs="Arial" w:eastAsia="Arial" w:hAnsi="Arial"/>
          <w:sz w:val="18"/>
          <w:szCs w:val="18"/>
          <w:b w:val="1"/>
          <w:bCs w:val="1"/>
          <w:color w:val="6AAA37"/>
          <w:vertAlign w:val="subscript"/>
        </w:rPr>
        <w:t>SENIOR EXECUTIVE LEADERSHIP</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Education/Certifications: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00" w:type="dxa"/>
            <w:vAlign w:val="bottom"/>
          </w:tcPr>
          <w:p>
            <w:pPr>
              <w:spacing w:after="0"/>
              <w:rPr>
                <w:sz w:val="20"/>
                <w:szCs w:val="20"/>
                <w:color w:val="auto"/>
              </w:rPr>
            </w:pPr>
            <w:r>
              <w:rPr>
                <w:rFonts w:ascii="Arial" w:cs="Arial" w:eastAsia="Arial" w:hAnsi="Arial"/>
                <w:sz w:val="14"/>
                <w:szCs w:val="14"/>
                <w:b w:val="1"/>
                <w:bCs w:val="1"/>
                <w:color w:val="6AAA37"/>
              </w:rPr>
              <w:t xml:space="preserve">•  </w:t>
            </w:r>
            <w:r>
              <w:rPr>
                <w:rFonts w:ascii="Arial" w:cs="Arial" w:eastAsia="Arial" w:hAnsi="Arial"/>
                <w:sz w:val="14"/>
                <w:szCs w:val="14"/>
                <w:color w:val="000000"/>
              </w:rPr>
              <w:t>B.S., Information Systems and Data</w:t>
            </w:r>
          </w:p>
        </w:tc>
        <w:tc>
          <w:tcPr>
            <w:tcW w:w="4140" w:type="dxa"/>
            <w:vAlign w:val="bottom"/>
          </w:tcPr>
          <w:p>
            <w:pPr>
              <w:spacing w:after="0"/>
              <w:rPr>
                <w:sz w:val="17"/>
                <w:szCs w:val="17"/>
                <w:color w:val="auto"/>
              </w:rPr>
            </w:pPr>
          </w:p>
        </w:tc>
      </w:tr>
      <w:tr>
        <w:trPr>
          <w:trHeight w:val="195"/>
        </w:trPr>
        <w:tc>
          <w:tcPr>
            <w:tcW w:w="4500" w:type="dxa"/>
            <w:vAlign w:val="bottom"/>
          </w:tcPr>
          <w:p>
            <w:pPr>
              <w:ind w:left="180"/>
              <w:spacing w:after="0"/>
              <w:rPr>
                <w:sz w:val="20"/>
                <w:szCs w:val="20"/>
                <w:color w:val="auto"/>
              </w:rPr>
            </w:pPr>
            <w:r>
              <w:rPr>
                <w:rFonts w:ascii="Arial" w:cs="Arial" w:eastAsia="Arial" w:hAnsi="Arial"/>
                <w:sz w:val="14"/>
                <w:szCs w:val="14"/>
                <w:color w:val="auto"/>
              </w:rPr>
              <w:t>Engineering, Virginia Commonwealth</w:t>
            </w:r>
          </w:p>
        </w:tc>
        <w:tc>
          <w:tcPr>
            <w:tcW w:w="4140" w:type="dxa"/>
            <w:vAlign w:val="bottom"/>
          </w:tcPr>
          <w:p>
            <w:pPr>
              <w:ind w:left="1980"/>
              <w:spacing w:after="0"/>
              <w:rPr>
                <w:sz w:val="20"/>
                <w:szCs w:val="20"/>
                <w:color w:val="auto"/>
              </w:rPr>
            </w:pPr>
            <w:r>
              <w:rPr>
                <w:rFonts w:ascii="Arial" w:cs="Arial" w:eastAsia="Arial" w:hAnsi="Arial"/>
                <w:sz w:val="13"/>
                <w:szCs w:val="13"/>
                <w:b w:val="1"/>
                <w:bCs w:val="1"/>
                <w:color w:val="6AAA37"/>
                <w:w w:val="96"/>
              </w:rPr>
              <w:t>RISK MANAGEMENT &amp; OVERSIGHT</w:t>
            </w:r>
          </w:p>
        </w:tc>
      </w:tr>
      <w:tr>
        <w:trPr>
          <w:trHeight w:val="190"/>
        </w:trPr>
        <w:tc>
          <w:tcPr>
            <w:tcW w:w="4500" w:type="dxa"/>
            <w:vAlign w:val="bottom"/>
          </w:tcPr>
          <w:p>
            <w:pPr>
              <w:ind w:left="180"/>
              <w:spacing w:after="0"/>
              <w:rPr>
                <w:sz w:val="20"/>
                <w:szCs w:val="20"/>
                <w:color w:val="auto"/>
              </w:rPr>
            </w:pPr>
            <w:r>
              <w:rPr>
                <w:rFonts w:ascii="Arial" w:cs="Arial" w:eastAsia="Arial" w:hAnsi="Arial"/>
                <w:sz w:val="14"/>
                <w:szCs w:val="14"/>
                <w:color w:val="auto"/>
              </w:rPr>
              <w:t>University</w:t>
            </w:r>
          </w:p>
        </w:tc>
        <w:tc>
          <w:tcPr>
            <w:tcW w:w="4140" w:type="dxa"/>
            <w:vAlign w:val="bottom"/>
          </w:tcPr>
          <w:p>
            <w:pPr>
              <w:spacing w:after="0"/>
              <w:rPr>
                <w:sz w:val="16"/>
                <w:szCs w:val="16"/>
                <w:color w:val="auto"/>
              </w:rPr>
            </w:pPr>
          </w:p>
        </w:tc>
      </w:tr>
    </w:tbl>
    <w:p>
      <w:pPr>
        <w:spacing w:after="0" w:line="66" w:lineRule="exact"/>
        <w:rPr>
          <w:sz w:val="20"/>
          <w:szCs w:val="20"/>
          <w:color w:val="auto"/>
        </w:rPr>
      </w:pPr>
    </w:p>
    <w:p>
      <w:pPr>
        <w:ind w:left="180" w:right="6739" w:hanging="172"/>
        <w:spacing w:after="0" w:line="295" w:lineRule="auto"/>
        <w:tabs>
          <w:tab w:leader="none" w:pos="180" w:val="left"/>
        </w:tabs>
        <w:numPr>
          <w:ilvl w:val="0"/>
          <w:numId w:val="38"/>
        </w:numPr>
        <w:rPr>
          <w:rFonts w:ascii="Arial" w:cs="Arial" w:eastAsia="Arial" w:hAnsi="Arial"/>
          <w:sz w:val="14"/>
          <w:szCs w:val="14"/>
          <w:b w:val="1"/>
          <w:bCs w:val="1"/>
          <w:color w:val="6AAA37"/>
        </w:rPr>
      </w:pPr>
      <w:r>
        <w:rPr>
          <w:rFonts w:ascii="Arial" w:cs="Arial" w:eastAsia="Arial" w:hAnsi="Arial"/>
          <w:sz w:val="14"/>
          <w:szCs w:val="14"/>
          <w:color w:val="auto"/>
        </w:rPr>
        <w:t>M.B.A., Saint Joseph’s University, Philadelphia</w:t>
      </w:r>
    </w:p>
    <w:p>
      <w:pPr>
        <w:spacing w:after="0"/>
        <w:tabs>
          <w:tab w:leader="none" w:pos="6460" w:val="left"/>
        </w:tabs>
        <w:rPr>
          <w:sz w:val="20"/>
          <w:szCs w:val="20"/>
          <w:color w:val="auto"/>
        </w:rPr>
      </w:pPr>
      <w:r>
        <w:rPr>
          <w:rFonts w:ascii="Arial" w:cs="Arial" w:eastAsia="Arial" w:hAnsi="Arial"/>
          <w:sz w:val="14"/>
          <w:szCs w:val="14"/>
          <w:b w:val="1"/>
          <w:bCs w:val="1"/>
          <w:color w:val="6AAA37"/>
        </w:rPr>
        <w:t xml:space="preserve">•  </w:t>
      </w:r>
      <w:r>
        <w:rPr>
          <w:rFonts w:ascii="Arial" w:cs="Arial" w:eastAsia="Arial" w:hAnsi="Arial"/>
          <w:sz w:val="14"/>
          <w:szCs w:val="14"/>
          <w:color w:val="000000"/>
        </w:rPr>
        <w:t>Director Certificate, Harvard Business</w:t>
      </w:r>
      <w:r>
        <w:rPr>
          <w:sz w:val="20"/>
          <w:szCs w:val="20"/>
          <w:color w:val="auto"/>
        </w:rPr>
        <w:tab/>
      </w:r>
      <w:r>
        <w:rPr>
          <w:rFonts w:ascii="Arial" w:cs="Arial" w:eastAsia="Arial" w:hAnsi="Arial"/>
          <w:sz w:val="18"/>
          <w:szCs w:val="18"/>
          <w:b w:val="1"/>
          <w:bCs w:val="1"/>
          <w:color w:val="6AAA37"/>
          <w:vertAlign w:val="superscript"/>
        </w:rPr>
        <w:t>TECHNOLOGY</w:t>
      </w:r>
    </w:p>
    <w:p>
      <w:pPr>
        <w:spacing w:after="0" w:line="45" w:lineRule="exact"/>
        <w:rPr>
          <w:sz w:val="20"/>
          <w:szCs w:val="20"/>
          <w:color w:val="auto"/>
        </w:rPr>
      </w:pPr>
    </w:p>
    <w:p>
      <w:pPr>
        <w:ind w:left="180"/>
        <w:spacing w:after="0"/>
        <w:rPr>
          <w:sz w:val="20"/>
          <w:szCs w:val="20"/>
          <w:color w:val="auto"/>
        </w:rPr>
      </w:pPr>
      <w:r>
        <w:rPr>
          <w:rFonts w:ascii="Arial" w:cs="Arial" w:eastAsia="Arial" w:hAnsi="Arial"/>
          <w:sz w:val="14"/>
          <w:szCs w:val="14"/>
          <w:color w:val="auto"/>
        </w:rPr>
        <w:t>School, New Era of Governance</w:t>
      </w:r>
    </w:p>
    <w:p>
      <w:pPr>
        <w:spacing w:after="0" w:line="383" w:lineRule="exact"/>
        <w:rPr>
          <w:sz w:val="20"/>
          <w:szCs w:val="20"/>
          <w:color w:val="auto"/>
        </w:rPr>
      </w:pPr>
    </w:p>
    <w:p>
      <w:pPr>
        <w:ind w:left="6480"/>
        <w:spacing w:after="0"/>
        <w:rPr>
          <w:sz w:val="20"/>
          <w:szCs w:val="20"/>
          <w:color w:val="auto"/>
        </w:rPr>
      </w:pPr>
      <w:r>
        <w:rPr>
          <w:rFonts w:ascii="Arial" w:cs="Arial" w:eastAsia="Arial" w:hAnsi="Arial"/>
          <w:sz w:val="13"/>
          <w:szCs w:val="13"/>
          <w:b w:val="1"/>
          <w:bCs w:val="1"/>
          <w:color w:val="6AAA37"/>
        </w:rPr>
        <w:t>GLOBAL BUSINESS</w:t>
      </w:r>
    </w:p>
    <w:p>
      <w:pPr>
        <w:sectPr>
          <w:pgSz w:w="11900" w:h="16889" w:orient="portrait"/>
          <w:cols w:equalWidth="0" w:num="1">
            <w:col w:w="9059"/>
          </w:cols>
          <w:pgMar w:left="1400" w:top="118"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6480"/>
        <w:spacing w:after="0"/>
        <w:rPr>
          <w:sz w:val="20"/>
          <w:szCs w:val="20"/>
          <w:color w:val="auto"/>
        </w:rPr>
      </w:pPr>
      <w:r>
        <w:rPr>
          <w:rFonts w:ascii="Arial" w:cs="Arial" w:eastAsia="Arial" w:hAnsi="Arial"/>
          <w:sz w:val="12"/>
          <w:szCs w:val="12"/>
          <w:b w:val="1"/>
          <w:bCs w:val="1"/>
          <w:color w:val="6AAA37"/>
        </w:rPr>
        <w:t>HEALTHCARE</w:t>
      </w:r>
    </w:p>
    <w:p>
      <w:pPr>
        <w:sectPr>
          <w:pgSz w:w="11900" w:h="16889" w:orient="portrait"/>
          <w:cols w:equalWidth="0" w:num="1">
            <w:col w:w="9059"/>
          </w:cols>
          <w:pgMar w:left="1400" w:top="118" w:right="1440" w:bottom="0" w:gutter="0" w:footer="0" w:header="0"/>
          <w:type w:val="continuous"/>
        </w:sectPr>
      </w:pPr>
    </w:p>
    <w:bookmarkStart w:id="21" w:name="page22"/>
    <w:bookmarkEnd w:id="21"/>
    <w:p>
      <w:pPr>
        <w:spacing w:after="0" w:line="1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26765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10375" cy="2676525"/>
                    </a:xfrm>
                    <a:prstGeom prst="rect">
                      <a:avLst/>
                    </a:prstGeom>
                    <a:noFill/>
                  </pic:spPr>
                </pic:pic>
              </a:graphicData>
            </a:graphic>
          </wp:anchor>
        </w:drawing>
      </w:r>
    </w:p>
    <w:p>
      <w:pPr>
        <w:ind w:left="6480"/>
        <w:spacing w:after="0"/>
        <w:rPr>
          <w:sz w:val="20"/>
          <w:szCs w:val="20"/>
          <w:color w:val="auto"/>
        </w:rPr>
      </w:pPr>
      <w:r>
        <w:rPr>
          <w:rFonts w:ascii="Arial" w:cs="Arial" w:eastAsia="Arial" w:hAnsi="Arial"/>
          <w:sz w:val="13"/>
          <w:szCs w:val="13"/>
          <w:b w:val="1"/>
          <w:bCs w:val="1"/>
          <w:color w:val="6AAA37"/>
        </w:rPr>
        <w:t>PUBLIC COMPANY BOARD</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Individual Contributions:</w:t>
      </w:r>
    </w:p>
    <w:p>
      <w:pPr>
        <w:spacing w:after="0" w:line="118" w:lineRule="exact"/>
        <w:rPr>
          <w:sz w:val="20"/>
          <w:szCs w:val="20"/>
          <w:color w:val="auto"/>
        </w:rPr>
      </w:pPr>
    </w:p>
    <w:p>
      <w:pPr>
        <w:spacing w:after="0" w:line="298" w:lineRule="auto"/>
        <w:rPr>
          <w:sz w:val="20"/>
          <w:szCs w:val="20"/>
          <w:color w:val="auto"/>
        </w:rPr>
      </w:pPr>
      <w:r>
        <w:rPr>
          <w:rFonts w:ascii="Arial" w:cs="Arial" w:eastAsia="Arial" w:hAnsi="Arial"/>
          <w:sz w:val="14"/>
          <w:szCs w:val="14"/>
          <w:color w:val="auto"/>
        </w:rPr>
        <w:t>Ms. Brown is a technology executive with a successful track record guiding Fortune 100 global organizations through innovative digital transformation in a world where data and artificial intelligence (“AI”) are key drivers of achieving B2B and B2C growth and where increasing stockholder value is contingent on meeting corporate performance objectives, delivering value to consumers, and establishing consumer-focused 360-degree leading-edge capabilities. Her hands-on experience evolving digital capabilities in the healthcare industry and proficiency leading digital, technology, cybersecurity and information strategy to enhance operations for patients and members, enables her to contribute a unique perspective to Huron’s efforts in various industries.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89"/>
        </w:trPr>
        <w:tc>
          <w:tcPr>
            <w:tcW w:w="3000" w:type="dxa"/>
            <w:vAlign w:val="bottom"/>
          </w:tcPr>
          <w:p>
            <w:pPr>
              <w:spacing w:after="0"/>
              <w:rPr>
                <w:sz w:val="20"/>
                <w:szCs w:val="20"/>
                <w:color w:val="auto"/>
              </w:rPr>
            </w:pPr>
            <w:r>
              <w:rPr>
                <w:rFonts w:ascii="Arial" w:cs="Arial" w:eastAsia="Arial" w:hAnsi="Arial"/>
                <w:sz w:val="13"/>
                <w:szCs w:val="13"/>
                <w:color w:val="auto"/>
              </w:rPr>
              <w:t>Huron Consulting Group Inc.</w:t>
            </w:r>
          </w:p>
        </w:tc>
        <w:tc>
          <w:tcPr>
            <w:tcW w:w="3380" w:type="dxa"/>
            <w:vAlign w:val="bottom"/>
          </w:tcPr>
          <w:p>
            <w:pPr>
              <w:jc w:val="right"/>
              <w:ind w:right="1757"/>
              <w:spacing w:after="0"/>
              <w:rPr>
                <w:sz w:val="20"/>
                <w:szCs w:val="20"/>
                <w:color w:val="auto"/>
              </w:rPr>
            </w:pPr>
            <w:r>
              <w:rPr>
                <w:rFonts w:ascii="Arial" w:cs="Arial" w:eastAsia="Arial" w:hAnsi="Arial"/>
                <w:sz w:val="13"/>
                <w:szCs w:val="13"/>
                <w:b w:val="1"/>
                <w:bCs w:val="1"/>
                <w:color w:val="00558C"/>
              </w:rPr>
              <w:t>12</w:t>
            </w:r>
          </w:p>
        </w:tc>
        <w:tc>
          <w:tcPr>
            <w:tcW w:w="2600" w:type="dxa"/>
            <w:vAlign w:val="bottom"/>
            <w:gridSpan w:val="2"/>
          </w:tcPr>
          <w:p>
            <w:pPr>
              <w:ind w:left="1340"/>
              <w:spacing w:after="0"/>
              <w:rPr>
                <w:sz w:val="20"/>
                <w:szCs w:val="20"/>
                <w:color w:val="auto"/>
              </w:rPr>
            </w:pPr>
            <w:r>
              <w:rPr>
                <w:rFonts w:ascii="Arial" w:cs="Arial" w:eastAsia="Arial" w:hAnsi="Arial"/>
                <w:sz w:val="13"/>
                <w:szCs w:val="13"/>
                <w:color w:val="auto"/>
                <w:w w:val="96"/>
              </w:rPr>
              <w:t>2025 Proxy Statement</w:t>
            </w:r>
          </w:p>
        </w:tc>
      </w:tr>
      <w:tr>
        <w:trPr>
          <w:trHeight w:val="20"/>
        </w:trPr>
        <w:tc>
          <w:tcPr>
            <w:tcW w:w="30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420" w:type="dxa"/>
            <w:vAlign w:val="bottom"/>
            <w:shd w:val="clear" w:color="auto" w:fill="B2B3B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383540</wp:posOffset>
            </wp:positionV>
            <wp:extent cx="6810375" cy="775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10375" cy="775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540" w:val="left"/>
          <w:tab w:leader="none" w:pos="7360" w:val="left"/>
          <w:tab w:leader="none" w:pos="8400" w:val="left"/>
        </w:tabs>
        <w:rPr>
          <w:sz w:val="20"/>
          <w:szCs w:val="20"/>
          <w:color w:val="auto"/>
        </w:rPr>
      </w:pPr>
      <w:r>
        <w:rPr>
          <w:rFonts w:ascii="Arial" w:cs="Arial" w:eastAsia="Arial" w:hAnsi="Arial"/>
          <w:sz w:val="13"/>
          <w:szCs w:val="13"/>
          <w:b w:val="1"/>
          <w:bCs w:val="1"/>
          <w:color w:val="B2B3B6"/>
        </w:rPr>
        <w:t>General</w:t>
      </w:r>
      <w:r>
        <w:rPr>
          <w:sz w:val="20"/>
          <w:szCs w:val="20"/>
          <w:color w:val="auto"/>
        </w:rPr>
        <w:tab/>
      </w:r>
      <w:r>
        <w:rPr>
          <w:rFonts w:ascii="Arial" w:cs="Arial" w:eastAsia="Arial" w:hAnsi="Arial"/>
          <w:sz w:val="13"/>
          <w:szCs w:val="13"/>
          <w:b w:val="1"/>
          <w:bCs w:val="1"/>
          <w:color w:val="6AAA37"/>
        </w:rPr>
        <w:t>Proposal</w:t>
      </w:r>
      <w:r>
        <w:rPr>
          <w:sz w:val="20"/>
          <w:szCs w:val="20"/>
          <w:color w:val="auto"/>
        </w:rPr>
        <w:tab/>
      </w:r>
      <w:r>
        <w:rPr>
          <w:rFonts w:ascii="Arial" w:cs="Arial" w:eastAsia="Arial" w:hAnsi="Arial"/>
          <w:sz w:val="13"/>
          <w:szCs w:val="13"/>
          <w:b w:val="1"/>
          <w:bCs w:val="1"/>
          <w:color w:val="B2B3B6"/>
        </w:rPr>
        <w:t>Corporate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Executive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Stockholder</w:t>
      </w:r>
      <w:r>
        <w:rPr>
          <w:sz w:val="20"/>
          <w:szCs w:val="20"/>
          <w:color w:val="auto"/>
        </w:rPr>
        <w:tab/>
      </w:r>
      <w:r>
        <w:rPr>
          <w:rFonts w:ascii="Arial" w:cs="Arial" w:eastAsia="Arial" w:hAnsi="Arial"/>
          <w:sz w:val="12"/>
          <w:szCs w:val="12"/>
          <w:b w:val="1"/>
          <w:bCs w:val="1"/>
          <w:color w:val="B2B3B6"/>
        </w:rPr>
        <w:t>Other</w:t>
      </w:r>
    </w:p>
    <w:p>
      <w:pPr>
        <w:spacing w:after="0" w:line="11"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540" w:val="left"/>
          <w:tab w:leader="none" w:pos="7360" w:val="left"/>
          <w:tab w:leader="none" w:pos="8400" w:val="left"/>
        </w:tabs>
        <w:rPr>
          <w:sz w:val="20"/>
          <w:szCs w:val="20"/>
          <w:color w:val="auto"/>
        </w:rPr>
      </w:pPr>
      <w:r>
        <w:rPr>
          <w:rFonts w:ascii="Arial" w:cs="Arial" w:eastAsia="Arial" w:hAnsi="Arial"/>
          <w:sz w:val="13"/>
          <w:szCs w:val="13"/>
          <w:b w:val="1"/>
          <w:bCs w:val="1"/>
          <w:color w:val="B2B3B6"/>
        </w:rPr>
        <w:t>Information</w:t>
      </w:r>
      <w:r>
        <w:rPr>
          <w:sz w:val="20"/>
          <w:szCs w:val="20"/>
          <w:color w:val="auto"/>
        </w:rPr>
        <w:tab/>
      </w:r>
      <w:r>
        <w:rPr>
          <w:rFonts w:ascii="Arial" w:cs="Arial" w:eastAsia="Arial" w:hAnsi="Arial"/>
          <w:sz w:val="13"/>
          <w:szCs w:val="13"/>
          <w:b w:val="1"/>
          <w:bCs w:val="1"/>
          <w:color w:val="6AAA37"/>
        </w:rPr>
        <w:t>One</w:t>
      </w:r>
      <w:r>
        <w:rPr>
          <w:sz w:val="20"/>
          <w:szCs w:val="20"/>
          <w:color w:val="auto"/>
        </w:rPr>
        <w:tab/>
      </w:r>
      <w:r>
        <w:rPr>
          <w:rFonts w:ascii="Arial" w:cs="Arial" w:eastAsia="Arial" w:hAnsi="Arial"/>
          <w:sz w:val="13"/>
          <w:szCs w:val="13"/>
          <w:b w:val="1"/>
          <w:bCs w:val="1"/>
          <w:color w:val="B2B3B6"/>
        </w:rPr>
        <w:t>Governance</w:t>
      </w:r>
      <w:r>
        <w:rPr>
          <w:sz w:val="20"/>
          <w:szCs w:val="20"/>
          <w:color w:val="auto"/>
        </w:rPr>
        <w:tab/>
      </w:r>
      <w:r>
        <w:rPr>
          <w:rFonts w:ascii="Arial" w:cs="Arial" w:eastAsia="Arial" w:hAnsi="Arial"/>
          <w:sz w:val="13"/>
          <w:szCs w:val="13"/>
          <w:b w:val="1"/>
          <w:bCs w:val="1"/>
          <w:color w:val="B2B3B6"/>
        </w:rPr>
        <w:t>Two</w:t>
      </w:r>
      <w:r>
        <w:rPr>
          <w:sz w:val="20"/>
          <w:szCs w:val="20"/>
          <w:color w:val="auto"/>
        </w:rPr>
        <w:tab/>
      </w:r>
      <w:r>
        <w:rPr>
          <w:rFonts w:ascii="Arial" w:cs="Arial" w:eastAsia="Arial" w:hAnsi="Arial"/>
          <w:sz w:val="13"/>
          <w:szCs w:val="13"/>
          <w:b w:val="1"/>
          <w:bCs w:val="1"/>
          <w:color w:val="B2B3B6"/>
        </w:rPr>
        <w:t>Compensation</w:t>
      </w:r>
      <w:r>
        <w:rPr>
          <w:sz w:val="20"/>
          <w:szCs w:val="20"/>
          <w:color w:val="auto"/>
        </w:rPr>
        <w:tab/>
      </w:r>
      <w:r>
        <w:rPr>
          <w:rFonts w:ascii="Arial" w:cs="Arial" w:eastAsia="Arial" w:hAnsi="Arial"/>
          <w:sz w:val="13"/>
          <w:szCs w:val="13"/>
          <w:b w:val="1"/>
          <w:bCs w:val="1"/>
          <w:color w:val="B2B3B6"/>
        </w:rPr>
        <w:t>Three</w:t>
      </w:r>
      <w:r>
        <w:rPr>
          <w:sz w:val="20"/>
          <w:szCs w:val="20"/>
          <w:color w:val="auto"/>
        </w:rPr>
        <w:tab/>
      </w:r>
      <w:r>
        <w:rPr>
          <w:rFonts w:ascii="Arial" w:cs="Arial" w:eastAsia="Arial" w:hAnsi="Arial"/>
          <w:sz w:val="13"/>
          <w:szCs w:val="13"/>
          <w:b w:val="1"/>
          <w:bCs w:val="1"/>
          <w:color w:val="B2B3B6"/>
        </w:rPr>
        <w:t>Four</w:t>
      </w:r>
      <w:r>
        <w:rPr>
          <w:sz w:val="20"/>
          <w:szCs w:val="20"/>
          <w:color w:val="auto"/>
        </w:rPr>
        <w:tab/>
      </w:r>
      <w:r>
        <w:rPr>
          <w:rFonts w:ascii="Arial" w:cs="Arial" w:eastAsia="Arial" w:hAnsi="Arial"/>
          <w:sz w:val="13"/>
          <w:szCs w:val="13"/>
          <w:b w:val="1"/>
          <w:bCs w:val="1"/>
          <w:color w:val="B2B3B6"/>
        </w:rPr>
        <w:t>Five</w:t>
      </w:r>
      <w:r>
        <w:rPr>
          <w:sz w:val="20"/>
          <w:szCs w:val="20"/>
          <w:color w:val="auto"/>
        </w:rPr>
        <w:tab/>
      </w:r>
      <w:r>
        <w:rPr>
          <w:rFonts w:ascii="Arial" w:cs="Arial" w:eastAsia="Arial" w:hAnsi="Arial"/>
          <w:sz w:val="13"/>
          <w:szCs w:val="13"/>
          <w:b w:val="1"/>
          <w:bCs w:val="1"/>
          <w:color w:val="B2B3B6"/>
        </w:rPr>
        <w:t>Proposals</w:t>
      </w:r>
      <w:r>
        <w:rPr>
          <w:sz w:val="20"/>
          <w:szCs w:val="20"/>
          <w:color w:val="auto"/>
        </w:rPr>
        <w:tab/>
      </w:r>
      <w:r>
        <w:rPr>
          <w:rFonts w:ascii="Arial" w:cs="Arial" w:eastAsia="Arial" w:hAnsi="Arial"/>
          <w:sz w:val="12"/>
          <w:szCs w:val="12"/>
          <w:b w:val="1"/>
          <w:bCs w:val="1"/>
          <w:color w:val="B2B3B6"/>
        </w:rPr>
        <w:t>Matters</w:t>
      </w:r>
    </w:p>
    <w:p>
      <w:pPr>
        <w:spacing w:after="0" w:line="200" w:lineRule="exact"/>
        <w:rPr>
          <w:sz w:val="20"/>
          <w:szCs w:val="20"/>
          <w:color w:val="auto"/>
        </w:rPr>
      </w:pPr>
    </w:p>
    <w:p>
      <w:pPr>
        <w:spacing w:after="0" w:line="294" w:lineRule="exact"/>
        <w:rPr>
          <w:sz w:val="20"/>
          <w:szCs w:val="20"/>
          <w:color w:val="auto"/>
        </w:rPr>
      </w:pPr>
    </w:p>
    <w:p>
      <w:pPr>
        <w:ind w:left="1720"/>
        <w:spacing w:after="0"/>
        <w:rPr>
          <w:sz w:val="20"/>
          <w:szCs w:val="20"/>
          <w:color w:val="auto"/>
        </w:rPr>
      </w:pPr>
      <w:r>
        <w:rPr>
          <w:rFonts w:ascii="Arial" w:cs="Arial" w:eastAsia="Arial" w:hAnsi="Arial"/>
          <w:sz w:val="47"/>
          <w:szCs w:val="47"/>
          <w:color w:val="FFFFFF"/>
        </w:rPr>
        <w:t>H. Eugene Lockhart</w:t>
      </w:r>
    </w:p>
    <w:p>
      <w:pPr>
        <w:spacing w:after="0" w:line="190" w:lineRule="exact"/>
        <w:rPr>
          <w:sz w:val="20"/>
          <w:szCs w:val="20"/>
          <w:color w:val="auto"/>
        </w:rPr>
      </w:pPr>
    </w:p>
    <w:p>
      <w:pPr>
        <w:ind w:left="1900"/>
        <w:spacing w:after="0"/>
        <w:rPr>
          <w:sz w:val="20"/>
          <w:szCs w:val="20"/>
          <w:color w:val="auto"/>
        </w:rPr>
      </w:pPr>
      <w:r>
        <w:rPr>
          <w:rFonts w:ascii="Arial" w:cs="Arial" w:eastAsia="Arial" w:hAnsi="Arial"/>
          <w:sz w:val="14"/>
          <w:szCs w:val="14"/>
          <w:b w:val="1"/>
          <w:bCs w:val="1"/>
          <w:color w:val="FFFFFF"/>
        </w:rPr>
        <w:t>INDEPENDENT</w:t>
      </w:r>
    </w:p>
    <w:p>
      <w:pPr>
        <w:spacing w:after="0" w:line="177" w:lineRule="exact"/>
        <w:rPr>
          <w:sz w:val="20"/>
          <w:szCs w:val="20"/>
          <w:color w:val="auto"/>
        </w:rPr>
      </w:pPr>
    </w:p>
    <w:p>
      <w:pPr>
        <w:ind w:left="1720"/>
        <w:spacing w:after="0"/>
        <w:rPr>
          <w:sz w:val="20"/>
          <w:szCs w:val="20"/>
          <w:color w:val="auto"/>
        </w:rPr>
      </w:pPr>
      <w:r>
        <w:rPr>
          <w:rFonts w:ascii="Arial" w:cs="Arial" w:eastAsia="Arial" w:hAnsi="Arial"/>
          <w:sz w:val="14"/>
          <w:szCs w:val="14"/>
          <w:b w:val="1"/>
          <w:bCs w:val="1"/>
          <w:color w:val="FFFFFF"/>
        </w:rPr>
        <w:t>AGE: 75 | DIRECTOR SINCE: DECEMBER 2006</w:t>
      </w:r>
    </w:p>
    <w:p>
      <w:pPr>
        <w:spacing w:after="0" w:line="55" w:lineRule="exact"/>
        <w:rPr>
          <w:sz w:val="20"/>
          <w:szCs w:val="20"/>
          <w:color w:val="auto"/>
        </w:rPr>
      </w:pPr>
    </w:p>
    <w:p>
      <w:pPr>
        <w:ind w:left="1720"/>
        <w:spacing w:after="0"/>
        <w:rPr>
          <w:sz w:val="20"/>
          <w:szCs w:val="20"/>
          <w:color w:val="auto"/>
        </w:rPr>
      </w:pPr>
      <w:r>
        <w:rPr>
          <w:rFonts w:ascii="Arial" w:cs="Arial" w:eastAsia="Arial" w:hAnsi="Arial"/>
          <w:sz w:val="14"/>
          <w:szCs w:val="14"/>
          <w:b w:val="1"/>
          <w:bCs w:val="1"/>
          <w:color w:val="FFFFFF"/>
        </w:rPr>
        <w:t>COMMITTEES: F&amp;CA (CHAIR), A (MEMBER), C (MEMBER)</w:t>
      </w:r>
    </w:p>
    <w:p>
      <w:pPr>
        <w:sectPr>
          <w:pgSz w:w="11900" w:h="16953" w:orient="portrait"/>
          <w:cols w:equalWidth="0" w:num="1">
            <w:col w:w="9080"/>
          </w:cols>
          <w:pgMar w:left="1400" w:top="769" w:right="14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Professional Experience:</w:t>
      </w:r>
    </w:p>
    <w:p>
      <w:pPr>
        <w:spacing w:after="0" w:line="118" w:lineRule="exact"/>
        <w:rPr>
          <w:sz w:val="20"/>
          <w:szCs w:val="20"/>
          <w:color w:val="auto"/>
        </w:rPr>
      </w:pPr>
    </w:p>
    <w:p>
      <w:pPr>
        <w:ind w:left="180" w:hanging="172"/>
        <w:spacing w:after="0" w:line="298" w:lineRule="auto"/>
        <w:tabs>
          <w:tab w:leader="none" w:pos="180" w:val="left"/>
        </w:tabs>
        <w:numPr>
          <w:ilvl w:val="0"/>
          <w:numId w:val="39"/>
        </w:numPr>
        <w:rPr>
          <w:rFonts w:ascii="Arial" w:cs="Arial" w:eastAsia="Arial" w:hAnsi="Arial"/>
          <w:sz w:val="14"/>
          <w:szCs w:val="14"/>
          <w:b w:val="1"/>
          <w:bCs w:val="1"/>
          <w:color w:val="6AAA37"/>
        </w:rPr>
      </w:pPr>
      <w:r>
        <w:rPr>
          <w:rFonts w:ascii="Arial" w:cs="Arial" w:eastAsia="Arial" w:hAnsi="Arial"/>
          <w:sz w:val="14"/>
          <w:szCs w:val="14"/>
          <w:color w:val="auto"/>
        </w:rPr>
        <w:t>Founder, Chairman Emeritus and General Partner, MissionOG LLC, a venture capital firm with significant operational and investment experience across the financial services and payments industries since 2014</w:t>
      </w:r>
    </w:p>
    <w:p>
      <w:pPr>
        <w:spacing w:after="0" w:line="15" w:lineRule="exact"/>
        <w:rPr>
          <w:rFonts w:ascii="Arial" w:cs="Arial" w:eastAsia="Arial" w:hAnsi="Arial"/>
          <w:sz w:val="14"/>
          <w:szCs w:val="14"/>
          <w:b w:val="1"/>
          <w:bCs w:val="1"/>
          <w:color w:val="6AAA37"/>
        </w:rPr>
      </w:pPr>
    </w:p>
    <w:p>
      <w:pPr>
        <w:ind w:left="180" w:right="160" w:hanging="172"/>
        <w:spacing w:after="0" w:line="313" w:lineRule="auto"/>
        <w:tabs>
          <w:tab w:leader="none" w:pos="180" w:val="left"/>
        </w:tabs>
        <w:numPr>
          <w:ilvl w:val="0"/>
          <w:numId w:val="39"/>
        </w:numPr>
        <w:rPr>
          <w:rFonts w:ascii="Arial" w:cs="Arial" w:eastAsia="Arial" w:hAnsi="Arial"/>
          <w:sz w:val="14"/>
          <w:szCs w:val="14"/>
          <w:b w:val="1"/>
          <w:bCs w:val="1"/>
          <w:color w:val="6AAA37"/>
        </w:rPr>
      </w:pPr>
      <w:r>
        <w:rPr>
          <w:rFonts w:ascii="Arial" w:cs="Arial" w:eastAsia="Arial" w:hAnsi="Arial"/>
          <w:sz w:val="14"/>
          <w:szCs w:val="14"/>
          <w:color w:val="auto"/>
        </w:rPr>
        <w:t>Senior advisor, Blackstone, with a focus on Blackstone Growth and Blackstone Tactical Opportunities, since 2020</w:t>
      </w:r>
    </w:p>
    <w:p>
      <w:pPr>
        <w:spacing w:after="0" w:line="4" w:lineRule="exact"/>
        <w:rPr>
          <w:rFonts w:ascii="Arial" w:cs="Arial" w:eastAsia="Arial" w:hAnsi="Arial"/>
          <w:sz w:val="14"/>
          <w:szCs w:val="14"/>
          <w:b w:val="1"/>
          <w:bCs w:val="1"/>
          <w:color w:val="6AAA37"/>
        </w:rPr>
      </w:pPr>
    </w:p>
    <w:p>
      <w:pPr>
        <w:ind w:left="180" w:right="160" w:hanging="172"/>
        <w:spacing w:after="0" w:line="313" w:lineRule="auto"/>
        <w:tabs>
          <w:tab w:leader="none" w:pos="180" w:val="left"/>
        </w:tabs>
        <w:numPr>
          <w:ilvl w:val="0"/>
          <w:numId w:val="39"/>
        </w:numPr>
        <w:rPr>
          <w:rFonts w:ascii="Arial" w:cs="Arial" w:eastAsia="Arial" w:hAnsi="Arial"/>
          <w:sz w:val="14"/>
          <w:szCs w:val="14"/>
          <w:b w:val="1"/>
          <w:bCs w:val="1"/>
          <w:color w:val="6AAA37"/>
        </w:rPr>
      </w:pPr>
      <w:r>
        <w:rPr>
          <w:rFonts w:ascii="Arial" w:cs="Arial" w:eastAsia="Arial" w:hAnsi="Arial"/>
          <w:sz w:val="14"/>
          <w:szCs w:val="14"/>
          <w:color w:val="auto"/>
        </w:rPr>
        <w:t>Special adviser, General Atlantic LLC, a leading global growth investment firm, 2012 to 2019</w:t>
      </w:r>
    </w:p>
    <w:p>
      <w:pPr>
        <w:spacing w:after="0" w:line="4" w:lineRule="exact"/>
        <w:rPr>
          <w:rFonts w:ascii="Arial" w:cs="Arial" w:eastAsia="Arial" w:hAnsi="Arial"/>
          <w:sz w:val="14"/>
          <w:szCs w:val="14"/>
          <w:b w:val="1"/>
          <w:bCs w:val="1"/>
          <w:color w:val="6AAA37"/>
        </w:rPr>
      </w:pPr>
    </w:p>
    <w:p>
      <w:pPr>
        <w:ind w:left="180" w:right="500" w:hanging="172"/>
        <w:spacing w:after="0" w:line="332" w:lineRule="auto"/>
        <w:tabs>
          <w:tab w:leader="none" w:pos="180" w:val="left"/>
        </w:tabs>
        <w:numPr>
          <w:ilvl w:val="0"/>
          <w:numId w:val="39"/>
        </w:numPr>
        <w:rPr>
          <w:rFonts w:ascii="Arial" w:cs="Arial" w:eastAsia="Arial" w:hAnsi="Arial"/>
          <w:sz w:val="14"/>
          <w:szCs w:val="14"/>
          <w:b w:val="1"/>
          <w:bCs w:val="1"/>
          <w:color w:val="6AAA37"/>
        </w:rPr>
      </w:pPr>
      <w:r>
        <w:rPr>
          <w:rFonts w:ascii="Arial" w:cs="Arial" w:eastAsia="Arial" w:hAnsi="Arial"/>
          <w:sz w:val="14"/>
          <w:szCs w:val="14"/>
          <w:color w:val="auto"/>
        </w:rPr>
        <w:t>Venture partner at Oak Investment Partners, 2002 until 2012</w:t>
      </w:r>
    </w:p>
    <w:p>
      <w:pPr>
        <w:ind w:left="180" w:right="20" w:hanging="172"/>
        <w:spacing w:after="0" w:line="299" w:lineRule="auto"/>
        <w:tabs>
          <w:tab w:leader="none" w:pos="180" w:val="left"/>
        </w:tabs>
        <w:numPr>
          <w:ilvl w:val="0"/>
          <w:numId w:val="39"/>
        </w:numPr>
        <w:rPr>
          <w:rFonts w:ascii="Arial" w:cs="Arial" w:eastAsia="Arial" w:hAnsi="Arial"/>
          <w:sz w:val="14"/>
          <w:szCs w:val="14"/>
          <w:b w:val="1"/>
          <w:bCs w:val="1"/>
          <w:color w:val="6AAA37"/>
        </w:rPr>
      </w:pPr>
      <w:r>
        <w:rPr>
          <w:rFonts w:ascii="Arial" w:cs="Arial" w:eastAsia="Arial" w:hAnsi="Arial"/>
          <w:sz w:val="14"/>
          <w:szCs w:val="14"/>
          <w:color w:val="auto"/>
        </w:rPr>
        <w:t>Through the above-mentioned investment firms, Mr. Lockhart has been actively involved in overseeing the management of high growth companies, including NetSpend, Argus Information, Metro Bank PLC, CLIP, DemystData, Factor Trust, Avant, BillDesk, and others</w:t>
      </w:r>
    </w:p>
    <w:p>
      <w:pPr>
        <w:spacing w:after="0" w:line="13" w:lineRule="exact"/>
        <w:rPr>
          <w:rFonts w:ascii="Arial" w:cs="Arial" w:eastAsia="Arial" w:hAnsi="Arial"/>
          <w:sz w:val="14"/>
          <w:szCs w:val="14"/>
          <w:b w:val="1"/>
          <w:bCs w:val="1"/>
          <w:color w:val="6AAA37"/>
        </w:rPr>
      </w:pPr>
    </w:p>
    <w:p>
      <w:pPr>
        <w:ind w:left="180" w:right="20" w:hanging="172"/>
        <w:spacing w:after="0" w:line="300" w:lineRule="auto"/>
        <w:tabs>
          <w:tab w:leader="none" w:pos="180" w:val="left"/>
        </w:tabs>
        <w:numPr>
          <w:ilvl w:val="0"/>
          <w:numId w:val="39"/>
        </w:numPr>
        <w:rPr>
          <w:rFonts w:ascii="Arial" w:cs="Arial" w:eastAsia="Arial" w:hAnsi="Arial"/>
          <w:sz w:val="14"/>
          <w:szCs w:val="14"/>
          <w:b w:val="1"/>
          <w:bCs w:val="1"/>
          <w:color w:val="6AAA37"/>
        </w:rPr>
      </w:pPr>
      <w:r>
        <w:rPr>
          <w:rFonts w:ascii="Arial" w:cs="Arial" w:eastAsia="Arial" w:hAnsi="Arial"/>
          <w:sz w:val="14"/>
          <w:szCs w:val="14"/>
          <w:color w:val="auto"/>
        </w:rPr>
        <w:t>Prior leadership positions include president of Global Retail Bank at Bank of America, president and chief executive officer of MasterCard International, and chief executive officer of Midland Bank plc.</w:t>
      </w: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Education/Certifications:</w:t>
      </w:r>
    </w:p>
    <w:p>
      <w:pPr>
        <w:spacing w:after="0" w:line="118" w:lineRule="exact"/>
        <w:rPr>
          <w:sz w:val="20"/>
          <w:szCs w:val="20"/>
          <w:color w:val="auto"/>
        </w:rPr>
      </w:pPr>
    </w:p>
    <w:p>
      <w:pPr>
        <w:ind w:left="180" w:right="100" w:hanging="172"/>
        <w:spacing w:after="0" w:line="325" w:lineRule="auto"/>
        <w:tabs>
          <w:tab w:leader="none" w:pos="180" w:val="left"/>
        </w:tabs>
        <w:numPr>
          <w:ilvl w:val="0"/>
          <w:numId w:val="40"/>
        </w:numPr>
        <w:rPr>
          <w:rFonts w:ascii="Arial" w:cs="Arial" w:eastAsia="Arial" w:hAnsi="Arial"/>
          <w:sz w:val="14"/>
          <w:szCs w:val="14"/>
          <w:b w:val="1"/>
          <w:bCs w:val="1"/>
          <w:color w:val="6AAA37"/>
        </w:rPr>
      </w:pPr>
      <w:r>
        <w:rPr>
          <w:rFonts w:ascii="Arial" w:cs="Arial" w:eastAsia="Arial" w:hAnsi="Arial"/>
          <w:sz w:val="14"/>
          <w:szCs w:val="14"/>
          <w:color w:val="auto"/>
        </w:rPr>
        <w:t>B.S., Mechanical Engineering, University of Virginia</w:t>
      </w:r>
    </w:p>
    <w:p>
      <w:pPr>
        <w:spacing w:after="0" w:line="9" w:lineRule="exact"/>
        <w:rPr>
          <w:rFonts w:ascii="Arial" w:cs="Arial" w:eastAsia="Arial" w:hAnsi="Arial"/>
          <w:sz w:val="14"/>
          <w:szCs w:val="14"/>
          <w:b w:val="1"/>
          <w:bCs w:val="1"/>
          <w:color w:val="6AAA37"/>
        </w:rPr>
      </w:pPr>
    </w:p>
    <w:p>
      <w:pPr>
        <w:ind w:left="180" w:right="140" w:hanging="172"/>
        <w:spacing w:after="0" w:line="322" w:lineRule="auto"/>
        <w:tabs>
          <w:tab w:leader="none" w:pos="180" w:val="left"/>
        </w:tabs>
        <w:numPr>
          <w:ilvl w:val="0"/>
          <w:numId w:val="40"/>
        </w:numPr>
        <w:rPr>
          <w:rFonts w:ascii="Arial" w:cs="Arial" w:eastAsia="Arial" w:hAnsi="Arial"/>
          <w:sz w:val="14"/>
          <w:szCs w:val="14"/>
          <w:b w:val="1"/>
          <w:bCs w:val="1"/>
          <w:color w:val="6AAA37"/>
        </w:rPr>
      </w:pPr>
      <w:r>
        <w:rPr>
          <w:rFonts w:ascii="Arial" w:cs="Arial" w:eastAsia="Arial" w:hAnsi="Arial"/>
          <w:sz w:val="14"/>
          <w:szCs w:val="14"/>
          <w:color w:val="auto"/>
        </w:rPr>
        <w:t>M.B.A., The Darden Graduate School of Business, University of Virginia</w:t>
      </w:r>
    </w:p>
    <w:p>
      <w:pPr>
        <w:ind w:left="180" w:hanging="172"/>
        <w:spacing w:after="0"/>
        <w:tabs>
          <w:tab w:leader="none" w:pos="180" w:val="left"/>
        </w:tabs>
        <w:numPr>
          <w:ilvl w:val="0"/>
          <w:numId w:val="40"/>
        </w:numPr>
        <w:rPr>
          <w:rFonts w:ascii="Arial" w:cs="Arial" w:eastAsia="Arial" w:hAnsi="Arial"/>
          <w:sz w:val="14"/>
          <w:szCs w:val="14"/>
          <w:b w:val="1"/>
          <w:bCs w:val="1"/>
          <w:color w:val="6AAA37"/>
        </w:rPr>
      </w:pPr>
      <w:r>
        <w:rPr>
          <w:rFonts w:ascii="Arial" w:cs="Arial" w:eastAsia="Arial" w:hAnsi="Arial"/>
          <w:sz w:val="14"/>
          <w:szCs w:val="14"/>
          <w:color w:val="auto"/>
        </w:rPr>
        <w:t>Certified Public Accountant (inactive)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00558C"/>
        </w:rPr>
        <w:t>Public Board Experience:</w:t>
      </w:r>
    </w:p>
    <w:p>
      <w:pPr>
        <w:spacing w:after="0" w:line="77" w:lineRule="exact"/>
        <w:rPr>
          <w:sz w:val="20"/>
          <w:szCs w:val="20"/>
          <w:color w:val="auto"/>
        </w:rPr>
      </w:pPr>
    </w:p>
    <w:p>
      <w:pPr>
        <w:ind w:left="167" w:hanging="167"/>
        <w:spacing w:after="0" w:line="325" w:lineRule="auto"/>
        <w:tabs>
          <w:tab w:leader="none" w:pos="167" w:val="left"/>
        </w:tabs>
        <w:numPr>
          <w:ilvl w:val="0"/>
          <w:numId w:val="41"/>
        </w:numPr>
        <w:rPr>
          <w:rFonts w:ascii="Arial" w:cs="Arial" w:eastAsia="Arial" w:hAnsi="Arial"/>
          <w:sz w:val="14"/>
          <w:szCs w:val="14"/>
          <w:b w:val="1"/>
          <w:bCs w:val="1"/>
          <w:color w:val="6AAA37"/>
        </w:rPr>
      </w:pPr>
      <w:r>
        <w:rPr>
          <w:rFonts w:ascii="Arial" w:cs="Arial" w:eastAsia="Arial" w:hAnsi="Arial"/>
          <w:sz w:val="14"/>
          <w:szCs w:val="14"/>
          <w:color w:val="auto"/>
        </w:rPr>
        <w:t>Mr. Lockhart does not currently serve on boards of other publicly traded companies</w:t>
      </w:r>
    </w:p>
    <w:p>
      <w:pPr>
        <w:spacing w:after="0" w:line="59" w:lineRule="exact"/>
        <w:rPr>
          <w:sz w:val="20"/>
          <w:szCs w:val="20"/>
          <w:color w:val="auto"/>
        </w:rPr>
      </w:pPr>
    </w:p>
    <w:p>
      <w:pPr>
        <w:ind w:left="7" w:right="320"/>
        <w:spacing w:after="0" w:line="280" w:lineRule="auto"/>
        <w:rPr>
          <w:sz w:val="20"/>
          <w:szCs w:val="20"/>
          <w:color w:val="auto"/>
        </w:rPr>
      </w:pPr>
      <w:r>
        <w:rPr>
          <w:rFonts w:ascii="Arial" w:cs="Arial" w:eastAsia="Arial" w:hAnsi="Arial"/>
          <w:sz w:val="16"/>
          <w:szCs w:val="16"/>
          <w:b w:val="1"/>
          <w:bCs w:val="1"/>
          <w:color w:val="00558C"/>
        </w:rPr>
        <w:t>Previous Public Company Board Experience during the last five years:</w:t>
      </w:r>
    </w:p>
    <w:p>
      <w:pPr>
        <w:spacing w:after="0" w:line="49" w:lineRule="exact"/>
        <w:rPr>
          <w:sz w:val="20"/>
          <w:szCs w:val="20"/>
          <w:color w:val="auto"/>
        </w:rPr>
      </w:pPr>
    </w:p>
    <w:p>
      <w:pPr>
        <w:ind w:left="167" w:hanging="167"/>
        <w:spacing w:after="0"/>
        <w:tabs>
          <w:tab w:leader="none" w:pos="167" w:val="left"/>
        </w:tabs>
        <w:numPr>
          <w:ilvl w:val="0"/>
          <w:numId w:val="42"/>
        </w:numPr>
        <w:rPr>
          <w:rFonts w:ascii="Arial" w:cs="Arial" w:eastAsia="Arial" w:hAnsi="Arial"/>
          <w:sz w:val="14"/>
          <w:szCs w:val="14"/>
          <w:b w:val="1"/>
          <w:bCs w:val="1"/>
          <w:color w:val="6AAA37"/>
        </w:rPr>
      </w:pPr>
      <w:r>
        <w:rPr>
          <w:rFonts w:ascii="Arial" w:cs="Arial" w:eastAsia="Arial" w:hAnsi="Arial"/>
          <w:sz w:val="14"/>
          <w:szCs w:val="14"/>
          <w:color w:val="auto"/>
        </w:rPr>
        <w:t>Alkami Technology, Inc., 2021 – 2022</w:t>
      </w:r>
    </w:p>
    <w:p>
      <w:pPr>
        <w:spacing w:after="0" w:line="82" w:lineRule="exact"/>
        <w:rPr>
          <w:rFonts w:ascii="Arial" w:cs="Arial" w:eastAsia="Arial" w:hAnsi="Arial"/>
          <w:sz w:val="14"/>
          <w:szCs w:val="14"/>
          <w:b w:val="1"/>
          <w:bCs w:val="1"/>
          <w:color w:val="6AAA37"/>
        </w:rPr>
      </w:pPr>
    </w:p>
    <w:p>
      <w:pPr>
        <w:ind w:left="167" w:hanging="167"/>
        <w:spacing w:after="0"/>
        <w:tabs>
          <w:tab w:leader="none" w:pos="167" w:val="left"/>
        </w:tabs>
        <w:numPr>
          <w:ilvl w:val="0"/>
          <w:numId w:val="42"/>
        </w:numPr>
        <w:rPr>
          <w:rFonts w:ascii="Arial" w:cs="Arial" w:eastAsia="Arial" w:hAnsi="Arial"/>
          <w:sz w:val="14"/>
          <w:szCs w:val="14"/>
          <w:b w:val="1"/>
          <w:bCs w:val="1"/>
          <w:color w:val="6AAA37"/>
        </w:rPr>
      </w:pPr>
      <w:r>
        <w:rPr>
          <w:rFonts w:ascii="Arial" w:cs="Arial" w:eastAsia="Arial" w:hAnsi="Arial"/>
          <w:sz w:val="14"/>
          <w:szCs w:val="14"/>
          <w:color w:val="auto"/>
        </w:rPr>
        <w:t>Metro Bank PLC, 2010 – 2020</w:t>
      </w:r>
    </w:p>
    <w:p>
      <w:pPr>
        <w:spacing w:after="0" w:line="145" w:lineRule="exact"/>
        <w:rPr>
          <w:sz w:val="20"/>
          <w:szCs w:val="20"/>
          <w:color w:val="auto"/>
        </w:rPr>
      </w:pPr>
    </w:p>
    <w:p>
      <w:pPr>
        <w:ind w:left="7" w:right="700"/>
        <w:spacing w:after="0" w:line="296" w:lineRule="auto"/>
        <w:rPr>
          <w:sz w:val="20"/>
          <w:szCs w:val="20"/>
          <w:color w:val="auto"/>
        </w:rPr>
      </w:pPr>
      <w:r>
        <w:rPr>
          <w:rFonts w:ascii="Arial" w:cs="Arial" w:eastAsia="Arial" w:hAnsi="Arial"/>
          <w:sz w:val="16"/>
          <w:szCs w:val="16"/>
          <w:b w:val="1"/>
          <w:bCs w:val="1"/>
          <w:color w:val="00558C"/>
        </w:rPr>
        <w:t>Non-public board and other advisory services:</w:t>
      </w:r>
    </w:p>
    <w:p>
      <w:pPr>
        <w:spacing w:after="0" w:line="51" w:lineRule="exact"/>
        <w:rPr>
          <w:sz w:val="20"/>
          <w:szCs w:val="20"/>
          <w:color w:val="auto"/>
        </w:rPr>
      </w:pPr>
    </w:p>
    <w:p>
      <w:pPr>
        <w:ind w:left="167" w:right="240" w:hanging="167"/>
        <w:spacing w:after="0" w:line="322" w:lineRule="auto"/>
        <w:tabs>
          <w:tab w:leader="none" w:pos="167" w:val="left"/>
        </w:tabs>
        <w:numPr>
          <w:ilvl w:val="0"/>
          <w:numId w:val="43"/>
        </w:numPr>
        <w:rPr>
          <w:rFonts w:ascii="Arial" w:cs="Arial" w:eastAsia="Arial" w:hAnsi="Arial"/>
          <w:sz w:val="14"/>
          <w:szCs w:val="14"/>
          <w:b w:val="1"/>
          <w:bCs w:val="1"/>
          <w:color w:val="6AAA37"/>
        </w:rPr>
      </w:pPr>
      <w:r>
        <w:rPr>
          <w:rFonts w:ascii="Arial" w:cs="Arial" w:eastAsia="Arial" w:hAnsi="Arial"/>
          <w:sz w:val="14"/>
          <w:szCs w:val="14"/>
          <w:color w:val="auto"/>
        </w:rPr>
        <w:t>Community Choice Financial, director, 2018 - 2025</w:t>
      </w:r>
    </w:p>
    <w:p>
      <w:pPr>
        <w:ind w:left="167" w:hanging="167"/>
        <w:spacing w:after="0"/>
        <w:tabs>
          <w:tab w:leader="none" w:pos="167" w:val="left"/>
        </w:tabs>
        <w:numPr>
          <w:ilvl w:val="0"/>
          <w:numId w:val="43"/>
        </w:numPr>
        <w:rPr>
          <w:rFonts w:ascii="Arial" w:cs="Arial" w:eastAsia="Arial" w:hAnsi="Arial"/>
          <w:sz w:val="14"/>
          <w:szCs w:val="14"/>
          <w:b w:val="1"/>
          <w:bCs w:val="1"/>
          <w:color w:val="6AAA37"/>
        </w:rPr>
      </w:pPr>
      <w:r>
        <w:rPr>
          <w:rFonts w:ascii="Arial" w:cs="Arial" w:eastAsia="Arial" w:hAnsi="Arial"/>
          <w:sz w:val="14"/>
          <w:szCs w:val="14"/>
          <w:color w:val="auto"/>
        </w:rPr>
        <w:t>Ingo Payments, director since 2015</w:t>
      </w:r>
    </w:p>
    <w:p>
      <w:pPr>
        <w:spacing w:after="0" w:line="95" w:lineRule="exact"/>
        <w:rPr>
          <w:rFonts w:ascii="Arial" w:cs="Arial" w:eastAsia="Arial" w:hAnsi="Arial"/>
          <w:sz w:val="14"/>
          <w:szCs w:val="14"/>
          <w:b w:val="1"/>
          <w:bCs w:val="1"/>
          <w:color w:val="6AAA37"/>
        </w:rPr>
      </w:pPr>
    </w:p>
    <w:p>
      <w:pPr>
        <w:ind w:left="167" w:hanging="167"/>
        <w:spacing w:after="0"/>
        <w:tabs>
          <w:tab w:leader="none" w:pos="167" w:val="left"/>
        </w:tabs>
        <w:numPr>
          <w:ilvl w:val="0"/>
          <w:numId w:val="43"/>
        </w:numPr>
        <w:rPr>
          <w:rFonts w:ascii="Arial" w:cs="Arial" w:eastAsia="Arial" w:hAnsi="Arial"/>
          <w:sz w:val="14"/>
          <w:szCs w:val="14"/>
          <w:b w:val="1"/>
          <w:bCs w:val="1"/>
          <w:color w:val="6AAA37"/>
        </w:rPr>
      </w:pPr>
      <w:r>
        <w:rPr>
          <w:rFonts w:ascii="Arial" w:cs="Arial" w:eastAsia="Arial" w:hAnsi="Arial"/>
          <w:sz w:val="14"/>
          <w:szCs w:val="14"/>
          <w:color w:val="auto"/>
        </w:rPr>
        <w:t>Featurespace, director since 2019</w:t>
      </w:r>
    </w:p>
    <w:p>
      <w:pPr>
        <w:spacing w:after="0" w:line="82" w:lineRule="exact"/>
        <w:rPr>
          <w:rFonts w:ascii="Arial" w:cs="Arial" w:eastAsia="Arial" w:hAnsi="Arial"/>
          <w:sz w:val="14"/>
          <w:szCs w:val="14"/>
          <w:b w:val="1"/>
          <w:bCs w:val="1"/>
          <w:color w:val="6AAA37"/>
        </w:rPr>
      </w:pPr>
    </w:p>
    <w:p>
      <w:pPr>
        <w:ind w:left="167" w:right="280" w:hanging="167"/>
        <w:spacing w:after="0" w:line="332" w:lineRule="auto"/>
        <w:tabs>
          <w:tab w:leader="none" w:pos="167" w:val="left"/>
        </w:tabs>
        <w:numPr>
          <w:ilvl w:val="0"/>
          <w:numId w:val="43"/>
        </w:numPr>
        <w:rPr>
          <w:rFonts w:ascii="Arial" w:cs="Arial" w:eastAsia="Arial" w:hAnsi="Arial"/>
          <w:sz w:val="14"/>
          <w:szCs w:val="14"/>
          <w:b w:val="1"/>
          <w:bCs w:val="1"/>
          <w:color w:val="6AAA37"/>
        </w:rPr>
      </w:pPr>
      <w:r>
        <w:rPr>
          <w:rFonts w:ascii="Arial" w:cs="Arial" w:eastAsia="Arial" w:hAnsi="Arial"/>
          <w:sz w:val="14"/>
          <w:szCs w:val="14"/>
          <w:color w:val="auto"/>
        </w:rPr>
        <w:t>Thredd, director since 2022, currently serves as Chair</w:t>
      </w:r>
    </w:p>
    <w:p>
      <w:pPr>
        <w:ind w:left="167" w:hanging="167"/>
        <w:spacing w:after="0"/>
        <w:tabs>
          <w:tab w:leader="none" w:pos="167" w:val="left"/>
        </w:tabs>
        <w:numPr>
          <w:ilvl w:val="0"/>
          <w:numId w:val="43"/>
        </w:numPr>
        <w:rPr>
          <w:rFonts w:ascii="Arial" w:cs="Arial" w:eastAsia="Arial" w:hAnsi="Arial"/>
          <w:sz w:val="14"/>
          <w:szCs w:val="14"/>
          <w:b w:val="1"/>
          <w:bCs w:val="1"/>
          <w:color w:val="6AAA37"/>
        </w:rPr>
      </w:pPr>
      <w:r>
        <w:rPr>
          <w:rFonts w:ascii="Arial" w:cs="Arial" w:eastAsia="Arial" w:hAnsi="Arial"/>
          <w:sz w:val="14"/>
          <w:szCs w:val="14"/>
          <w:color w:val="auto"/>
        </w:rPr>
        <w:t>PayCargo LLC, director since 2022</w:t>
      </w:r>
    </w:p>
    <w:p>
      <w:pPr>
        <w:spacing w:after="0" w:line="82" w:lineRule="exact"/>
        <w:rPr>
          <w:rFonts w:ascii="Arial" w:cs="Arial" w:eastAsia="Arial" w:hAnsi="Arial"/>
          <w:sz w:val="14"/>
          <w:szCs w:val="14"/>
          <w:b w:val="1"/>
          <w:bCs w:val="1"/>
          <w:color w:val="6AAA37"/>
        </w:rPr>
      </w:pPr>
    </w:p>
    <w:p>
      <w:pPr>
        <w:ind w:left="167" w:right="220" w:hanging="167"/>
        <w:spacing w:after="0" w:line="313" w:lineRule="auto"/>
        <w:tabs>
          <w:tab w:leader="none" w:pos="167" w:val="left"/>
        </w:tabs>
        <w:numPr>
          <w:ilvl w:val="0"/>
          <w:numId w:val="43"/>
        </w:numPr>
        <w:rPr>
          <w:rFonts w:ascii="Arial" w:cs="Arial" w:eastAsia="Arial" w:hAnsi="Arial"/>
          <w:sz w:val="14"/>
          <w:szCs w:val="14"/>
          <w:b w:val="1"/>
          <w:bCs w:val="1"/>
          <w:color w:val="6AAA37"/>
        </w:rPr>
      </w:pPr>
      <w:r>
        <w:rPr>
          <w:rFonts w:ascii="Arial" w:cs="Arial" w:eastAsia="Arial" w:hAnsi="Arial"/>
          <w:sz w:val="14"/>
          <w:szCs w:val="14"/>
          <w:color w:val="auto"/>
        </w:rPr>
        <w:t>The Thomas Jefferson Foundation (Monticello), 2007 - 2013, Chair 2011 - 2012, Chaiman Emeritus 2015 - 2017</w:t>
      </w:r>
    </w:p>
    <w:p>
      <w:pPr>
        <w:spacing w:after="0" w:line="18" w:lineRule="exact"/>
        <w:rPr>
          <w:rFonts w:ascii="Arial" w:cs="Arial" w:eastAsia="Arial" w:hAnsi="Arial"/>
          <w:sz w:val="14"/>
          <w:szCs w:val="14"/>
          <w:b w:val="1"/>
          <w:bCs w:val="1"/>
          <w:color w:val="6AAA37"/>
        </w:rPr>
      </w:pPr>
    </w:p>
    <w:p>
      <w:pPr>
        <w:ind w:left="167" w:right="500" w:hanging="167"/>
        <w:spacing w:after="0" w:line="303" w:lineRule="auto"/>
        <w:tabs>
          <w:tab w:leader="none" w:pos="167" w:val="left"/>
        </w:tabs>
        <w:numPr>
          <w:ilvl w:val="0"/>
          <w:numId w:val="43"/>
        </w:numPr>
        <w:rPr>
          <w:rFonts w:ascii="Arial" w:cs="Arial" w:eastAsia="Arial" w:hAnsi="Arial"/>
          <w:sz w:val="14"/>
          <w:szCs w:val="14"/>
          <w:b w:val="1"/>
          <w:bCs w:val="1"/>
          <w:color w:val="6AAA37"/>
        </w:rPr>
      </w:pPr>
      <w:r>
        <w:rPr>
          <w:rFonts w:ascii="Arial" w:cs="Arial" w:eastAsia="Arial" w:hAnsi="Arial"/>
          <w:sz w:val="14"/>
          <w:szCs w:val="14"/>
          <w:color w:val="auto"/>
        </w:rPr>
        <w:t>The Darden School Foundation, University of Virginia, 1997 - 2008 including service as chair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2"/>
          <w:szCs w:val="22"/>
          <w:b w:val="1"/>
          <w:bCs w:val="1"/>
          <w:color w:val="B2B3B6"/>
        </w:rPr>
        <w:t>Key Skills Sets: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3"/>
          <w:szCs w:val="13"/>
          <w:b w:val="1"/>
          <w:bCs w:val="1"/>
          <w:color w:val="6AAA37"/>
        </w:rPr>
        <w:t>ACCOUNTING | FINANCE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480"/>
        <w:spacing w:after="0"/>
        <w:rPr>
          <w:sz w:val="20"/>
          <w:szCs w:val="20"/>
          <w:color w:val="auto"/>
        </w:rPr>
      </w:pPr>
      <w:r>
        <w:rPr>
          <w:rFonts w:ascii="Arial" w:cs="Arial" w:eastAsia="Arial" w:hAnsi="Arial"/>
          <w:sz w:val="12"/>
          <w:szCs w:val="12"/>
          <w:b w:val="1"/>
          <w:bCs w:val="1"/>
          <w:color w:val="6AAA37"/>
        </w:rPr>
        <w:t>CORPORATE GOVERNANCE | LAW</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520"/>
        <w:spacing w:after="0"/>
        <w:rPr>
          <w:sz w:val="20"/>
          <w:szCs w:val="20"/>
          <w:color w:val="auto"/>
        </w:rPr>
      </w:pPr>
      <w:r>
        <w:rPr>
          <w:rFonts w:ascii="Arial" w:cs="Arial" w:eastAsia="Arial" w:hAnsi="Arial"/>
          <w:sz w:val="12"/>
          <w:szCs w:val="12"/>
          <w:b w:val="1"/>
          <w:bCs w:val="1"/>
          <w:color w:val="6AAA37"/>
        </w:rPr>
        <w:t>SENIOR EXECUTIVE LEADERSHIP</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2"/>
          <w:szCs w:val="12"/>
          <w:b w:val="1"/>
          <w:bCs w:val="1"/>
          <w:color w:val="6AAA37"/>
        </w:rPr>
        <w:t>RISK MANAGEMENT &amp; OVERSIGHT</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3"/>
          <w:szCs w:val="13"/>
          <w:b w:val="1"/>
          <w:bCs w:val="1"/>
          <w:color w:val="6AAA37"/>
        </w:rPr>
        <w:t>TECHNOLOGY</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3"/>
          <w:szCs w:val="13"/>
          <w:b w:val="1"/>
          <w:bCs w:val="1"/>
          <w:color w:val="6AAA37"/>
        </w:rPr>
        <w:t>GLOBAL BUSINESS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3"/>
          <w:szCs w:val="13"/>
          <w:b w:val="1"/>
          <w:bCs w:val="1"/>
          <w:color w:val="6AAA37"/>
        </w:rPr>
        <w:t>HEALTHCARE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3"/>
          <w:szCs w:val="13"/>
          <w:b w:val="1"/>
          <w:bCs w:val="1"/>
          <w:color w:val="6AAA37"/>
        </w:rPr>
        <w:t>HIGHER EDUCATION</w:t>
      </w:r>
    </w:p>
    <w:p>
      <w:pPr>
        <w:spacing w:after="0" w:line="584" w:lineRule="exact"/>
        <w:rPr>
          <w:sz w:val="20"/>
          <w:szCs w:val="20"/>
          <w:color w:val="auto"/>
        </w:rPr>
      </w:pPr>
    </w:p>
    <w:p>
      <w:pPr>
        <w:sectPr>
          <w:pgSz w:w="11900" w:h="16953" w:orient="portrait"/>
          <w:cols w:equalWidth="0" w:num="3">
            <w:col w:w="2860" w:space="253"/>
            <w:col w:w="2827" w:space="540"/>
            <w:col w:w="2600"/>
          </w:cols>
          <w:pgMar w:left="1400" w:top="769" w:right="1419" w:bottom="0" w:gutter="0" w:footer="0" w:header="0"/>
          <w:type w:val="continuous"/>
        </w:sectPr>
      </w:pPr>
    </w:p>
    <w:p>
      <w:pPr>
        <w:spacing w:after="0" w:line="62" w:lineRule="exact"/>
        <w:rPr>
          <w:sz w:val="20"/>
          <w:szCs w:val="20"/>
          <w:color w:val="auto"/>
        </w:rPr>
      </w:pPr>
    </w:p>
    <w:p>
      <w:pPr>
        <w:jc w:val="right"/>
        <w:ind w:right="960"/>
        <w:spacing w:after="0"/>
        <w:rPr>
          <w:sz w:val="20"/>
          <w:szCs w:val="20"/>
          <w:color w:val="auto"/>
        </w:rPr>
      </w:pPr>
      <w:r>
        <w:rPr>
          <w:rFonts w:ascii="Arial" w:cs="Arial" w:eastAsia="Arial" w:hAnsi="Arial"/>
          <w:sz w:val="13"/>
          <w:szCs w:val="13"/>
          <w:b w:val="1"/>
          <w:bCs w:val="1"/>
          <w:color w:val="6AAA37"/>
        </w:rPr>
        <w:t>PUBLIC COMPANY BOARD</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Individual Contributions:</w:t>
      </w:r>
    </w:p>
    <w:p>
      <w:pPr>
        <w:sectPr>
          <w:pgSz w:w="11900" w:h="16953" w:orient="portrait"/>
          <w:cols w:equalWidth="0" w:num="1">
            <w:col w:w="9080"/>
          </w:cols>
          <w:pgMar w:left="1400" w:top="769" w:right="1419" w:bottom="0" w:gutter="0" w:footer="0" w:header="0"/>
          <w:type w:val="continuous"/>
        </w:sectPr>
      </w:pPr>
    </w:p>
    <w:p>
      <w:pPr>
        <w:spacing w:after="0" w:line="118" w:lineRule="exact"/>
        <w:rPr>
          <w:sz w:val="20"/>
          <w:szCs w:val="20"/>
          <w:color w:val="auto"/>
        </w:rPr>
      </w:pPr>
    </w:p>
    <w:p>
      <w:pPr>
        <w:ind w:right="160"/>
        <w:spacing w:after="0" w:line="325" w:lineRule="auto"/>
        <w:rPr>
          <w:sz w:val="20"/>
          <w:szCs w:val="20"/>
          <w:color w:val="auto"/>
        </w:rPr>
      </w:pPr>
      <w:r>
        <w:rPr>
          <w:rFonts w:ascii="Arial" w:cs="Arial" w:eastAsia="Arial" w:hAnsi="Arial"/>
          <w:sz w:val="14"/>
          <w:szCs w:val="14"/>
          <w:color w:val="auto"/>
        </w:rPr>
        <w:t>Mr. Lockhart brings to Huron’s board his considerable experience overseeing and growing companies in which he represents venture capital investors, his experience as chief executive officer of leading corporations, and his service on the boards of companies and foundations in</w:t>
      </w:r>
    </w:p>
    <w:p>
      <w:pPr>
        <w:sectPr>
          <w:pgSz w:w="11900" w:h="16953" w:orient="portrait"/>
          <w:cols w:equalWidth="0" w:num="1">
            <w:col w:w="9080"/>
          </w:cols>
          <w:pgMar w:left="1400" w:top="769" w:right="1419" w:bottom="0" w:gutter="0" w:footer="0" w:header="0"/>
          <w:type w:val="continuous"/>
        </w:sectPr>
      </w:pPr>
    </w:p>
    <w:bookmarkStart w:id="22" w:name="page23"/>
    <w:bookmarkEnd w:id="22"/>
    <w:p>
      <w:pPr>
        <w:ind w:right="119"/>
        <w:spacing w:after="0" w:line="344" w:lineRule="auto"/>
        <w:rPr>
          <w:sz w:val="20"/>
          <w:szCs w:val="20"/>
          <w:color w:val="auto"/>
        </w:rPr>
      </w:pPr>
      <w:r>
        <w:rPr>
          <w:rFonts w:ascii="Arial" w:cs="Arial" w:eastAsia="Arial" w:hAnsi="Arial"/>
          <w:sz w:val="14"/>
          <w:szCs w:val="14"/>
          <w:color w:val="auto"/>
        </w:rPr>
        <w:t>such fields as healthcare, education, pharmaceuticals, and financial services. In addition, as a former executive and chairman of some of the most visible companies in the world, Mr. Lockhart contributes a broad array of contacts to Huron.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-278765</wp:posOffset>
            </wp:positionV>
            <wp:extent cx="6810375" cy="10991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10375" cy="1099185"/>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ind w:left="60"/>
        <w:spacing w:after="0"/>
        <w:tabs>
          <w:tab w:leader="none" w:pos="446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13"/>
          <w:szCs w:val="13"/>
          <w:b w:val="1"/>
          <w:bCs w:val="1"/>
          <w:color w:val="00558C"/>
        </w:rPr>
        <w:t>13</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420370</wp:posOffset>
            </wp:positionV>
            <wp:extent cx="6810375" cy="88677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540" w:val="left"/>
          <w:tab w:leader="none" w:pos="7360" w:val="left"/>
          <w:tab w:leader="none" w:pos="8400" w:val="left"/>
        </w:tabs>
        <w:rPr>
          <w:sz w:val="20"/>
          <w:szCs w:val="20"/>
          <w:color w:val="auto"/>
        </w:rPr>
      </w:pPr>
      <w:r>
        <w:rPr>
          <w:rFonts w:ascii="Arial" w:cs="Arial" w:eastAsia="Arial" w:hAnsi="Arial"/>
          <w:sz w:val="13"/>
          <w:szCs w:val="13"/>
          <w:b w:val="1"/>
          <w:bCs w:val="1"/>
          <w:color w:val="B2B3B6"/>
        </w:rPr>
        <w:t>General</w:t>
      </w:r>
      <w:r>
        <w:rPr>
          <w:sz w:val="20"/>
          <w:szCs w:val="20"/>
          <w:color w:val="auto"/>
        </w:rPr>
        <w:tab/>
      </w:r>
      <w:r>
        <w:rPr>
          <w:rFonts w:ascii="Arial" w:cs="Arial" w:eastAsia="Arial" w:hAnsi="Arial"/>
          <w:sz w:val="13"/>
          <w:szCs w:val="13"/>
          <w:b w:val="1"/>
          <w:bCs w:val="1"/>
          <w:color w:val="6AAA37"/>
        </w:rPr>
        <w:t>Proposal</w:t>
      </w:r>
      <w:r>
        <w:rPr>
          <w:sz w:val="20"/>
          <w:szCs w:val="20"/>
          <w:color w:val="auto"/>
        </w:rPr>
        <w:tab/>
      </w:r>
      <w:r>
        <w:rPr>
          <w:rFonts w:ascii="Arial" w:cs="Arial" w:eastAsia="Arial" w:hAnsi="Arial"/>
          <w:sz w:val="13"/>
          <w:szCs w:val="13"/>
          <w:b w:val="1"/>
          <w:bCs w:val="1"/>
          <w:color w:val="B2B3B6"/>
        </w:rPr>
        <w:t>Corporate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Executive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Stockholder</w:t>
      </w:r>
      <w:r>
        <w:rPr>
          <w:sz w:val="20"/>
          <w:szCs w:val="20"/>
          <w:color w:val="auto"/>
        </w:rPr>
        <w:tab/>
      </w:r>
      <w:r>
        <w:rPr>
          <w:rFonts w:ascii="Arial" w:cs="Arial" w:eastAsia="Arial" w:hAnsi="Arial"/>
          <w:sz w:val="12"/>
          <w:szCs w:val="12"/>
          <w:b w:val="1"/>
          <w:bCs w:val="1"/>
          <w:color w:val="B2B3B6"/>
        </w:rPr>
        <w:t>Other</w:t>
      </w:r>
    </w:p>
    <w:p>
      <w:pPr>
        <w:spacing w:after="0" w:line="11"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540" w:val="left"/>
          <w:tab w:leader="none" w:pos="7360" w:val="left"/>
          <w:tab w:leader="none" w:pos="8400" w:val="left"/>
        </w:tabs>
        <w:rPr>
          <w:sz w:val="20"/>
          <w:szCs w:val="20"/>
          <w:color w:val="auto"/>
        </w:rPr>
      </w:pPr>
      <w:r>
        <w:rPr>
          <w:rFonts w:ascii="Arial" w:cs="Arial" w:eastAsia="Arial" w:hAnsi="Arial"/>
          <w:sz w:val="13"/>
          <w:szCs w:val="13"/>
          <w:b w:val="1"/>
          <w:bCs w:val="1"/>
          <w:color w:val="B2B3B6"/>
        </w:rPr>
        <w:t>Information</w:t>
      </w:r>
      <w:r>
        <w:rPr>
          <w:sz w:val="20"/>
          <w:szCs w:val="20"/>
          <w:color w:val="auto"/>
        </w:rPr>
        <w:tab/>
      </w:r>
      <w:r>
        <w:rPr>
          <w:rFonts w:ascii="Arial" w:cs="Arial" w:eastAsia="Arial" w:hAnsi="Arial"/>
          <w:sz w:val="13"/>
          <w:szCs w:val="13"/>
          <w:b w:val="1"/>
          <w:bCs w:val="1"/>
          <w:color w:val="6AAA37"/>
        </w:rPr>
        <w:t>One</w:t>
      </w:r>
      <w:r>
        <w:rPr>
          <w:sz w:val="20"/>
          <w:szCs w:val="20"/>
          <w:color w:val="auto"/>
        </w:rPr>
        <w:tab/>
      </w:r>
      <w:r>
        <w:rPr>
          <w:rFonts w:ascii="Arial" w:cs="Arial" w:eastAsia="Arial" w:hAnsi="Arial"/>
          <w:sz w:val="13"/>
          <w:szCs w:val="13"/>
          <w:b w:val="1"/>
          <w:bCs w:val="1"/>
          <w:color w:val="B2B3B6"/>
        </w:rPr>
        <w:t>Governance</w:t>
      </w:r>
      <w:r>
        <w:rPr>
          <w:sz w:val="20"/>
          <w:szCs w:val="20"/>
          <w:color w:val="auto"/>
        </w:rPr>
        <w:tab/>
      </w:r>
      <w:r>
        <w:rPr>
          <w:rFonts w:ascii="Arial" w:cs="Arial" w:eastAsia="Arial" w:hAnsi="Arial"/>
          <w:sz w:val="13"/>
          <w:szCs w:val="13"/>
          <w:b w:val="1"/>
          <w:bCs w:val="1"/>
          <w:color w:val="B2B3B6"/>
        </w:rPr>
        <w:t>Two</w:t>
      </w:r>
      <w:r>
        <w:rPr>
          <w:sz w:val="20"/>
          <w:szCs w:val="20"/>
          <w:color w:val="auto"/>
        </w:rPr>
        <w:tab/>
      </w:r>
      <w:r>
        <w:rPr>
          <w:rFonts w:ascii="Arial" w:cs="Arial" w:eastAsia="Arial" w:hAnsi="Arial"/>
          <w:sz w:val="13"/>
          <w:szCs w:val="13"/>
          <w:b w:val="1"/>
          <w:bCs w:val="1"/>
          <w:color w:val="B2B3B6"/>
        </w:rPr>
        <w:t>Compensation</w:t>
      </w:r>
      <w:r>
        <w:rPr>
          <w:sz w:val="20"/>
          <w:szCs w:val="20"/>
          <w:color w:val="auto"/>
        </w:rPr>
        <w:tab/>
      </w:r>
      <w:r>
        <w:rPr>
          <w:rFonts w:ascii="Arial" w:cs="Arial" w:eastAsia="Arial" w:hAnsi="Arial"/>
          <w:sz w:val="13"/>
          <w:szCs w:val="13"/>
          <w:b w:val="1"/>
          <w:bCs w:val="1"/>
          <w:color w:val="B2B3B6"/>
        </w:rPr>
        <w:t>Three</w:t>
      </w:r>
      <w:r>
        <w:rPr>
          <w:sz w:val="20"/>
          <w:szCs w:val="20"/>
          <w:color w:val="auto"/>
        </w:rPr>
        <w:tab/>
      </w:r>
      <w:r>
        <w:rPr>
          <w:rFonts w:ascii="Arial" w:cs="Arial" w:eastAsia="Arial" w:hAnsi="Arial"/>
          <w:sz w:val="13"/>
          <w:szCs w:val="13"/>
          <w:b w:val="1"/>
          <w:bCs w:val="1"/>
          <w:color w:val="B2B3B6"/>
        </w:rPr>
        <w:t>Four</w:t>
      </w:r>
      <w:r>
        <w:rPr>
          <w:sz w:val="20"/>
          <w:szCs w:val="20"/>
          <w:color w:val="auto"/>
        </w:rPr>
        <w:tab/>
      </w:r>
      <w:r>
        <w:rPr>
          <w:rFonts w:ascii="Arial" w:cs="Arial" w:eastAsia="Arial" w:hAnsi="Arial"/>
          <w:sz w:val="13"/>
          <w:szCs w:val="13"/>
          <w:b w:val="1"/>
          <w:bCs w:val="1"/>
          <w:color w:val="B2B3B6"/>
        </w:rPr>
        <w:t>Five</w:t>
      </w:r>
      <w:r>
        <w:rPr>
          <w:sz w:val="20"/>
          <w:szCs w:val="20"/>
          <w:color w:val="auto"/>
        </w:rPr>
        <w:tab/>
      </w:r>
      <w:r>
        <w:rPr>
          <w:rFonts w:ascii="Arial" w:cs="Arial" w:eastAsia="Arial" w:hAnsi="Arial"/>
          <w:sz w:val="13"/>
          <w:szCs w:val="13"/>
          <w:b w:val="1"/>
          <w:bCs w:val="1"/>
          <w:color w:val="B2B3B6"/>
        </w:rPr>
        <w:t>Proposals</w:t>
      </w:r>
      <w:r>
        <w:rPr>
          <w:sz w:val="20"/>
          <w:szCs w:val="20"/>
          <w:color w:val="auto"/>
        </w:rPr>
        <w:tab/>
      </w:r>
      <w:r>
        <w:rPr>
          <w:rFonts w:ascii="Arial" w:cs="Arial" w:eastAsia="Arial" w:hAnsi="Arial"/>
          <w:sz w:val="12"/>
          <w:szCs w:val="12"/>
          <w:b w:val="1"/>
          <w:bCs w:val="1"/>
          <w:color w:val="B2B3B6"/>
        </w:rPr>
        <w:t>Matters</w:t>
      </w:r>
    </w:p>
    <w:p>
      <w:pPr>
        <w:spacing w:after="0" w:line="200" w:lineRule="exact"/>
        <w:rPr>
          <w:sz w:val="20"/>
          <w:szCs w:val="20"/>
          <w:color w:val="auto"/>
        </w:rPr>
      </w:pPr>
    </w:p>
    <w:p>
      <w:pPr>
        <w:spacing w:after="0" w:line="294" w:lineRule="exact"/>
        <w:rPr>
          <w:sz w:val="20"/>
          <w:szCs w:val="20"/>
          <w:color w:val="auto"/>
        </w:rPr>
      </w:pPr>
    </w:p>
    <w:p>
      <w:pPr>
        <w:ind w:left="1720"/>
        <w:spacing w:after="0"/>
        <w:rPr>
          <w:sz w:val="20"/>
          <w:szCs w:val="20"/>
          <w:color w:val="auto"/>
        </w:rPr>
      </w:pPr>
      <w:r>
        <w:rPr>
          <w:rFonts w:ascii="Arial" w:cs="Arial" w:eastAsia="Arial" w:hAnsi="Arial"/>
          <w:sz w:val="47"/>
          <w:szCs w:val="47"/>
          <w:color w:val="FFFFFF"/>
        </w:rPr>
        <w:t>James H. Roth</w:t>
      </w:r>
    </w:p>
    <w:p>
      <w:pPr>
        <w:spacing w:after="0" w:line="163" w:lineRule="exact"/>
        <w:rPr>
          <w:sz w:val="20"/>
          <w:szCs w:val="20"/>
          <w:color w:val="auto"/>
        </w:rPr>
      </w:pPr>
    </w:p>
    <w:p>
      <w:pPr>
        <w:ind w:left="1880"/>
        <w:spacing w:after="0"/>
        <w:rPr>
          <w:sz w:val="20"/>
          <w:szCs w:val="20"/>
          <w:color w:val="auto"/>
        </w:rPr>
      </w:pPr>
      <w:r>
        <w:rPr>
          <w:rFonts w:ascii="Arial" w:cs="Arial" w:eastAsia="Arial" w:hAnsi="Arial"/>
          <w:sz w:val="14"/>
          <w:szCs w:val="14"/>
          <w:b w:val="1"/>
          <w:bCs w:val="1"/>
          <w:color w:val="FFFFFF"/>
        </w:rPr>
        <w:t>EMPLOYEE DIRECTOR | NOT INDEPENDENT</w:t>
      </w:r>
    </w:p>
    <w:p>
      <w:pPr>
        <w:spacing w:after="0" w:line="204" w:lineRule="exact"/>
        <w:rPr>
          <w:sz w:val="20"/>
          <w:szCs w:val="20"/>
          <w:color w:val="auto"/>
        </w:rPr>
      </w:pPr>
    </w:p>
    <w:p>
      <w:pPr>
        <w:ind w:left="1720"/>
        <w:spacing w:after="0"/>
        <w:rPr>
          <w:sz w:val="20"/>
          <w:szCs w:val="20"/>
          <w:color w:val="auto"/>
        </w:rPr>
      </w:pPr>
      <w:r>
        <w:rPr>
          <w:rFonts w:ascii="Arial" w:cs="Arial" w:eastAsia="Arial" w:hAnsi="Arial"/>
          <w:sz w:val="14"/>
          <w:szCs w:val="14"/>
          <w:b w:val="1"/>
          <w:bCs w:val="1"/>
          <w:color w:val="FFFFFF"/>
        </w:rPr>
        <w:t>AGE: 67 | DIRECTOR SINCE: NOVEMBER 2009, VICE CHAIRMAN SINCE 2023</w:t>
      </w:r>
    </w:p>
    <w:p>
      <w:pPr>
        <w:spacing w:after="0" w:line="55" w:lineRule="exact"/>
        <w:rPr>
          <w:sz w:val="20"/>
          <w:szCs w:val="20"/>
          <w:color w:val="auto"/>
        </w:rPr>
      </w:pPr>
    </w:p>
    <w:p>
      <w:pPr>
        <w:ind w:left="1720"/>
        <w:spacing w:after="0"/>
        <w:rPr>
          <w:sz w:val="20"/>
          <w:szCs w:val="20"/>
          <w:color w:val="auto"/>
        </w:rPr>
      </w:pPr>
      <w:r>
        <w:rPr>
          <w:rFonts w:ascii="Arial" w:cs="Arial" w:eastAsia="Arial" w:hAnsi="Arial"/>
          <w:sz w:val="14"/>
          <w:szCs w:val="14"/>
          <w:b w:val="1"/>
          <w:bCs w:val="1"/>
          <w:color w:val="FFFFFF"/>
        </w:rPr>
        <w:t>COMMITTEES: As an employee director, Mr. Roth does not serve on any committees.</w:t>
      </w:r>
    </w:p>
    <w:p>
      <w:pPr>
        <w:sectPr>
          <w:pgSz w:w="11900" w:h="16838" w:orient="portrait"/>
          <w:cols w:equalWidth="0" w:num="1">
            <w:col w:w="9059"/>
          </w:cols>
          <w:pgMar w:left="1400" w:top="118" w:right="1440" w:bottom="8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Professional Experience:</w:t>
      </w:r>
    </w:p>
    <w:p>
      <w:pPr>
        <w:spacing w:after="0" w:line="118" w:lineRule="exact"/>
        <w:rPr>
          <w:sz w:val="20"/>
          <w:szCs w:val="20"/>
          <w:color w:val="auto"/>
        </w:rPr>
      </w:pPr>
    </w:p>
    <w:p>
      <w:pPr>
        <w:ind w:left="180" w:right="200" w:hanging="172"/>
        <w:spacing w:after="0" w:line="322" w:lineRule="auto"/>
        <w:tabs>
          <w:tab w:leader="none" w:pos="180" w:val="left"/>
        </w:tabs>
        <w:numPr>
          <w:ilvl w:val="0"/>
          <w:numId w:val="44"/>
        </w:numPr>
        <w:rPr>
          <w:rFonts w:ascii="Arial" w:cs="Arial" w:eastAsia="Arial" w:hAnsi="Arial"/>
          <w:sz w:val="14"/>
          <w:szCs w:val="14"/>
          <w:b w:val="1"/>
          <w:bCs w:val="1"/>
          <w:color w:val="6AAA37"/>
        </w:rPr>
      </w:pPr>
      <w:r>
        <w:rPr>
          <w:rFonts w:ascii="Arial" w:cs="Arial" w:eastAsia="Arial" w:hAnsi="Arial"/>
          <w:sz w:val="14"/>
          <w:szCs w:val="14"/>
          <w:color w:val="auto"/>
        </w:rPr>
        <w:t>Vice Chairman, Client Services, Huron, since 2023</w:t>
      </w:r>
    </w:p>
    <w:p>
      <w:pPr>
        <w:ind w:left="180" w:hanging="172"/>
        <w:spacing w:after="0" w:line="294" w:lineRule="auto"/>
        <w:tabs>
          <w:tab w:leader="none" w:pos="180" w:val="left"/>
        </w:tabs>
        <w:numPr>
          <w:ilvl w:val="0"/>
          <w:numId w:val="44"/>
        </w:numPr>
        <w:rPr>
          <w:rFonts w:ascii="Arial" w:cs="Arial" w:eastAsia="Arial" w:hAnsi="Arial"/>
          <w:sz w:val="14"/>
          <w:szCs w:val="14"/>
          <w:b w:val="1"/>
          <w:bCs w:val="1"/>
          <w:color w:val="6AAA37"/>
        </w:rPr>
      </w:pPr>
      <w:r>
        <w:rPr>
          <w:rFonts w:ascii="Arial" w:cs="Arial" w:eastAsia="Arial" w:hAnsi="Arial"/>
          <w:sz w:val="14"/>
          <w:szCs w:val="14"/>
          <w:color w:val="auto"/>
        </w:rPr>
        <w:t>Founding member of Huron and served as CEO from 2009 to 2022, as President from 2011 to 2019, as a Managing Director and practice leader of the Higher Education consulting practice from 2002 to 2009, and as vice president, Health and Education Consulting from 2007 to 2009. Under his leadership, Huron was named one of Forbes’ Best Management Consulting Firms, one of Forbes’ America’s Best Employers and as one of the Best Firms to Work For by Consulting Magazine</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Professional Awards:</w:t>
      </w:r>
    </w:p>
    <w:p>
      <w:pPr>
        <w:spacing w:after="0" w:line="118" w:lineRule="exact"/>
        <w:rPr>
          <w:sz w:val="20"/>
          <w:szCs w:val="20"/>
          <w:color w:val="auto"/>
        </w:rPr>
      </w:pPr>
    </w:p>
    <w:p>
      <w:pPr>
        <w:ind w:left="180" w:right="260" w:hanging="172"/>
        <w:spacing w:after="0" w:line="313" w:lineRule="auto"/>
        <w:tabs>
          <w:tab w:leader="none" w:pos="180" w:val="left"/>
        </w:tabs>
        <w:numPr>
          <w:ilvl w:val="0"/>
          <w:numId w:val="45"/>
        </w:numPr>
        <w:rPr>
          <w:rFonts w:ascii="Arial" w:cs="Arial" w:eastAsia="Arial" w:hAnsi="Arial"/>
          <w:sz w:val="14"/>
          <w:szCs w:val="14"/>
          <w:b w:val="1"/>
          <w:bCs w:val="1"/>
          <w:color w:val="6AAA37"/>
        </w:rPr>
      </w:pPr>
      <w:r>
        <w:rPr>
          <w:rFonts w:ascii="Arial" w:cs="Arial" w:eastAsia="Arial" w:hAnsi="Arial"/>
          <w:sz w:val="14"/>
          <w:szCs w:val="14"/>
          <w:color w:val="auto"/>
        </w:rPr>
        <w:t>Consulting Magazine, twice named as one of the Top 25 Most Influential Consultants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Education/Certifications:</w:t>
      </w:r>
    </w:p>
    <w:p>
      <w:pPr>
        <w:spacing w:after="0" w:line="77" w:lineRule="exact"/>
        <w:rPr>
          <w:sz w:val="20"/>
          <w:szCs w:val="20"/>
          <w:color w:val="auto"/>
        </w:rPr>
      </w:pPr>
    </w:p>
    <w:p>
      <w:pPr>
        <w:ind w:left="180" w:right="220" w:hanging="172"/>
        <w:spacing w:after="0" w:line="332" w:lineRule="auto"/>
        <w:tabs>
          <w:tab w:leader="none" w:pos="180" w:val="left"/>
        </w:tabs>
        <w:numPr>
          <w:ilvl w:val="0"/>
          <w:numId w:val="46"/>
        </w:numPr>
        <w:rPr>
          <w:rFonts w:ascii="Arial" w:cs="Arial" w:eastAsia="Arial" w:hAnsi="Arial"/>
          <w:sz w:val="14"/>
          <w:szCs w:val="14"/>
          <w:b w:val="1"/>
          <w:bCs w:val="1"/>
          <w:color w:val="6AAA37"/>
        </w:rPr>
      </w:pPr>
      <w:r>
        <w:rPr>
          <w:rFonts w:ascii="Arial" w:cs="Arial" w:eastAsia="Arial" w:hAnsi="Arial"/>
          <w:sz w:val="14"/>
          <w:szCs w:val="14"/>
          <w:color w:val="auto"/>
        </w:rPr>
        <w:t>B.A., Political Science and Economics, Vanderbilt University</w:t>
      </w:r>
    </w:p>
    <w:p>
      <w:pPr>
        <w:ind w:left="180" w:hanging="172"/>
        <w:spacing w:after="0"/>
        <w:tabs>
          <w:tab w:leader="none" w:pos="180" w:val="left"/>
        </w:tabs>
        <w:numPr>
          <w:ilvl w:val="0"/>
          <w:numId w:val="46"/>
        </w:numPr>
        <w:rPr>
          <w:rFonts w:ascii="Arial" w:cs="Arial" w:eastAsia="Arial" w:hAnsi="Arial"/>
          <w:sz w:val="14"/>
          <w:szCs w:val="14"/>
          <w:b w:val="1"/>
          <w:bCs w:val="1"/>
          <w:color w:val="6AAA37"/>
        </w:rPr>
      </w:pPr>
      <w:r>
        <w:rPr>
          <w:rFonts w:ascii="Arial" w:cs="Arial" w:eastAsia="Arial" w:hAnsi="Arial"/>
          <w:sz w:val="14"/>
          <w:szCs w:val="14"/>
          <w:color w:val="auto"/>
        </w:rPr>
        <w:t>M.B.A., Southern Methodist University</w:t>
      </w:r>
    </w:p>
    <w:p>
      <w:pPr>
        <w:spacing w:after="0" w:line="95" w:lineRule="exact"/>
        <w:rPr>
          <w:rFonts w:ascii="Arial" w:cs="Arial" w:eastAsia="Arial" w:hAnsi="Arial"/>
          <w:sz w:val="14"/>
          <w:szCs w:val="14"/>
          <w:b w:val="1"/>
          <w:bCs w:val="1"/>
          <w:color w:val="6AAA37"/>
        </w:rPr>
      </w:pPr>
    </w:p>
    <w:p>
      <w:pPr>
        <w:ind w:left="180" w:hanging="172"/>
        <w:spacing w:after="0"/>
        <w:tabs>
          <w:tab w:leader="none" w:pos="180" w:val="left"/>
        </w:tabs>
        <w:numPr>
          <w:ilvl w:val="0"/>
          <w:numId w:val="46"/>
        </w:numPr>
        <w:rPr>
          <w:rFonts w:ascii="Arial" w:cs="Arial" w:eastAsia="Arial" w:hAnsi="Arial"/>
          <w:sz w:val="14"/>
          <w:szCs w:val="14"/>
          <w:b w:val="1"/>
          <w:bCs w:val="1"/>
          <w:color w:val="6AAA37"/>
        </w:rPr>
      </w:pPr>
      <w:r>
        <w:rPr>
          <w:rFonts w:ascii="Arial" w:cs="Arial" w:eastAsia="Arial" w:hAnsi="Arial"/>
          <w:sz w:val="14"/>
          <w:szCs w:val="14"/>
          <w:color w:val="auto"/>
        </w:rPr>
        <w:t>Certified Public Accountant (inactive)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Individual Contributions: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00558C"/>
        </w:rPr>
        <w:t>Public Board Experience:</w:t>
      </w:r>
    </w:p>
    <w:p>
      <w:pPr>
        <w:spacing w:after="0" w:line="77" w:lineRule="exact"/>
        <w:rPr>
          <w:sz w:val="20"/>
          <w:szCs w:val="20"/>
          <w:color w:val="auto"/>
        </w:rPr>
      </w:pPr>
    </w:p>
    <w:p>
      <w:pPr>
        <w:ind w:left="167" w:right="80" w:hanging="167"/>
        <w:spacing w:after="0" w:line="325" w:lineRule="auto"/>
        <w:tabs>
          <w:tab w:leader="none" w:pos="167" w:val="left"/>
        </w:tabs>
        <w:numPr>
          <w:ilvl w:val="0"/>
          <w:numId w:val="47"/>
        </w:numPr>
        <w:rPr>
          <w:rFonts w:ascii="Arial" w:cs="Arial" w:eastAsia="Arial" w:hAnsi="Arial"/>
          <w:sz w:val="14"/>
          <w:szCs w:val="14"/>
          <w:b w:val="1"/>
          <w:bCs w:val="1"/>
          <w:color w:val="6AAA37"/>
        </w:rPr>
      </w:pPr>
      <w:r>
        <w:rPr>
          <w:rFonts w:ascii="Arial" w:cs="Arial" w:eastAsia="Arial" w:hAnsi="Arial"/>
          <w:sz w:val="14"/>
          <w:szCs w:val="14"/>
          <w:color w:val="auto"/>
        </w:rPr>
        <w:t>Director, Huron Consulting Group Inc, since 2009</w:t>
      </w:r>
    </w:p>
    <w:p>
      <w:pPr>
        <w:spacing w:after="0" w:line="59" w:lineRule="exact"/>
        <w:rPr>
          <w:sz w:val="20"/>
          <w:szCs w:val="20"/>
          <w:color w:val="auto"/>
        </w:rPr>
      </w:pPr>
    </w:p>
    <w:p>
      <w:pPr>
        <w:ind w:left="7" w:right="520"/>
        <w:spacing w:after="0" w:line="296" w:lineRule="auto"/>
        <w:rPr>
          <w:sz w:val="20"/>
          <w:szCs w:val="20"/>
          <w:color w:val="auto"/>
        </w:rPr>
      </w:pPr>
      <w:r>
        <w:rPr>
          <w:rFonts w:ascii="Arial" w:cs="Arial" w:eastAsia="Arial" w:hAnsi="Arial"/>
          <w:sz w:val="16"/>
          <w:szCs w:val="16"/>
          <w:b w:val="1"/>
          <w:bCs w:val="1"/>
          <w:color w:val="00558C"/>
        </w:rPr>
        <w:t>Non-public board and other advisory services:</w:t>
      </w:r>
    </w:p>
    <w:p>
      <w:pPr>
        <w:spacing w:after="0" w:line="51" w:lineRule="exact"/>
        <w:rPr>
          <w:sz w:val="20"/>
          <w:szCs w:val="20"/>
          <w:color w:val="auto"/>
        </w:rPr>
      </w:pPr>
    </w:p>
    <w:p>
      <w:pPr>
        <w:ind w:left="167" w:hanging="167"/>
        <w:spacing w:after="0"/>
        <w:tabs>
          <w:tab w:leader="none" w:pos="167" w:val="left"/>
        </w:tabs>
        <w:numPr>
          <w:ilvl w:val="0"/>
          <w:numId w:val="48"/>
        </w:numPr>
        <w:rPr>
          <w:rFonts w:ascii="Arial" w:cs="Arial" w:eastAsia="Arial" w:hAnsi="Arial"/>
          <w:sz w:val="14"/>
          <w:szCs w:val="14"/>
          <w:b w:val="1"/>
          <w:bCs w:val="1"/>
          <w:color w:val="6AAA37"/>
        </w:rPr>
      </w:pPr>
      <w:r>
        <w:rPr>
          <w:rFonts w:ascii="Arial" w:cs="Arial" w:eastAsia="Arial" w:hAnsi="Arial"/>
          <w:sz w:val="14"/>
          <w:szCs w:val="14"/>
          <w:color w:val="auto"/>
        </w:rPr>
        <w:t>Shorelight Holdings LLC, since 2014</w:t>
      </w:r>
    </w:p>
    <w:p>
      <w:pPr>
        <w:spacing w:after="0" w:line="82" w:lineRule="exact"/>
        <w:rPr>
          <w:rFonts w:ascii="Arial" w:cs="Arial" w:eastAsia="Arial" w:hAnsi="Arial"/>
          <w:sz w:val="14"/>
          <w:szCs w:val="14"/>
          <w:b w:val="1"/>
          <w:bCs w:val="1"/>
          <w:color w:val="6AAA37"/>
        </w:rPr>
      </w:pPr>
    </w:p>
    <w:p>
      <w:pPr>
        <w:ind w:left="167" w:right="100" w:hanging="167"/>
        <w:spacing w:after="0" w:line="325" w:lineRule="auto"/>
        <w:tabs>
          <w:tab w:leader="none" w:pos="167" w:val="left"/>
        </w:tabs>
        <w:numPr>
          <w:ilvl w:val="0"/>
          <w:numId w:val="48"/>
        </w:numPr>
        <w:rPr>
          <w:rFonts w:ascii="Arial" w:cs="Arial" w:eastAsia="Arial" w:hAnsi="Arial"/>
          <w:sz w:val="14"/>
          <w:szCs w:val="14"/>
          <w:b w:val="1"/>
          <w:bCs w:val="1"/>
          <w:color w:val="6AAA37"/>
        </w:rPr>
      </w:pPr>
      <w:r>
        <w:rPr>
          <w:rFonts w:ascii="Arial" w:cs="Arial" w:eastAsia="Arial" w:hAnsi="Arial"/>
          <w:sz w:val="14"/>
          <w:szCs w:val="14"/>
          <w:color w:val="auto"/>
        </w:rPr>
        <w:t>Lurie Children's Medical Group, since 2025</w:t>
      </w:r>
    </w:p>
    <w:p>
      <w:pPr>
        <w:spacing w:after="0" w:line="9" w:lineRule="exact"/>
        <w:rPr>
          <w:rFonts w:ascii="Arial" w:cs="Arial" w:eastAsia="Arial" w:hAnsi="Arial"/>
          <w:sz w:val="14"/>
          <w:szCs w:val="14"/>
          <w:b w:val="1"/>
          <w:bCs w:val="1"/>
          <w:color w:val="6AAA37"/>
        </w:rPr>
      </w:pPr>
    </w:p>
    <w:p>
      <w:pPr>
        <w:ind w:left="167" w:right="140" w:hanging="167"/>
        <w:spacing w:after="0" w:line="325" w:lineRule="auto"/>
        <w:tabs>
          <w:tab w:leader="none" w:pos="167" w:val="left"/>
        </w:tabs>
        <w:numPr>
          <w:ilvl w:val="0"/>
          <w:numId w:val="48"/>
        </w:numPr>
        <w:rPr>
          <w:rFonts w:ascii="Arial" w:cs="Arial" w:eastAsia="Arial" w:hAnsi="Arial"/>
          <w:sz w:val="14"/>
          <w:szCs w:val="14"/>
          <w:b w:val="1"/>
          <w:bCs w:val="1"/>
          <w:color w:val="6AAA37"/>
        </w:rPr>
      </w:pPr>
      <w:r>
        <w:rPr>
          <w:rFonts w:ascii="Arial" w:cs="Arial" w:eastAsia="Arial" w:hAnsi="Arial"/>
          <w:sz w:val="14"/>
          <w:szCs w:val="14"/>
          <w:color w:val="auto"/>
        </w:rPr>
        <w:t>Lurie Children's Pediatric Anesthesia Associates, 2019 - 2024</w:t>
      </w:r>
    </w:p>
    <w:p>
      <w:pPr>
        <w:spacing w:after="0" w:line="9" w:lineRule="exact"/>
        <w:rPr>
          <w:rFonts w:ascii="Arial" w:cs="Arial" w:eastAsia="Arial" w:hAnsi="Arial"/>
          <w:sz w:val="14"/>
          <w:szCs w:val="14"/>
          <w:b w:val="1"/>
          <w:bCs w:val="1"/>
          <w:color w:val="6AAA37"/>
        </w:rPr>
      </w:pPr>
    </w:p>
    <w:p>
      <w:pPr>
        <w:ind w:left="167" w:hanging="167"/>
        <w:spacing w:after="0"/>
        <w:tabs>
          <w:tab w:leader="none" w:pos="167" w:val="left"/>
        </w:tabs>
        <w:numPr>
          <w:ilvl w:val="0"/>
          <w:numId w:val="48"/>
        </w:numPr>
        <w:rPr>
          <w:rFonts w:ascii="Arial" w:cs="Arial" w:eastAsia="Arial" w:hAnsi="Arial"/>
          <w:sz w:val="14"/>
          <w:szCs w:val="14"/>
          <w:b w:val="1"/>
          <w:bCs w:val="1"/>
          <w:color w:val="6AAA37"/>
        </w:rPr>
      </w:pPr>
      <w:r>
        <w:rPr>
          <w:rFonts w:ascii="Arial" w:cs="Arial" w:eastAsia="Arial" w:hAnsi="Arial"/>
          <w:sz w:val="14"/>
          <w:szCs w:val="14"/>
          <w:color w:val="auto"/>
        </w:rPr>
        <w:t>Gift of Adoption, since 2019</w:t>
      </w:r>
    </w:p>
    <w:p>
      <w:pPr>
        <w:spacing w:after="0" w:line="82" w:lineRule="exact"/>
        <w:rPr>
          <w:rFonts w:ascii="Arial" w:cs="Arial" w:eastAsia="Arial" w:hAnsi="Arial"/>
          <w:sz w:val="14"/>
          <w:szCs w:val="14"/>
          <w:b w:val="1"/>
          <w:bCs w:val="1"/>
          <w:color w:val="6AAA37"/>
        </w:rPr>
      </w:pPr>
    </w:p>
    <w:p>
      <w:pPr>
        <w:ind w:left="167" w:right="380" w:hanging="167"/>
        <w:spacing w:after="0" w:line="325" w:lineRule="auto"/>
        <w:tabs>
          <w:tab w:leader="none" w:pos="167" w:val="left"/>
        </w:tabs>
        <w:numPr>
          <w:ilvl w:val="0"/>
          <w:numId w:val="48"/>
        </w:numPr>
        <w:rPr>
          <w:rFonts w:ascii="Arial" w:cs="Arial" w:eastAsia="Arial" w:hAnsi="Arial"/>
          <w:sz w:val="14"/>
          <w:szCs w:val="14"/>
          <w:b w:val="1"/>
          <w:bCs w:val="1"/>
          <w:color w:val="6AAA37"/>
        </w:rPr>
      </w:pPr>
      <w:r>
        <w:rPr>
          <w:rFonts w:ascii="Arial" w:cs="Arial" w:eastAsia="Arial" w:hAnsi="Arial"/>
          <w:sz w:val="14"/>
          <w:szCs w:val="14"/>
          <w:color w:val="auto"/>
        </w:rPr>
        <w:t>Women's Health Access Matters, since 2023</w:t>
      </w:r>
    </w:p>
    <w:p>
      <w:pPr>
        <w:spacing w:after="0" w:line="9" w:lineRule="exact"/>
        <w:rPr>
          <w:rFonts w:ascii="Arial" w:cs="Arial" w:eastAsia="Arial" w:hAnsi="Arial"/>
          <w:sz w:val="14"/>
          <w:szCs w:val="14"/>
          <w:b w:val="1"/>
          <w:bCs w:val="1"/>
          <w:color w:val="6AAA37"/>
        </w:rPr>
      </w:pPr>
    </w:p>
    <w:p>
      <w:pPr>
        <w:ind w:left="167" w:right="300" w:hanging="167"/>
        <w:spacing w:after="0" w:line="325" w:lineRule="auto"/>
        <w:tabs>
          <w:tab w:leader="none" w:pos="167" w:val="left"/>
        </w:tabs>
        <w:numPr>
          <w:ilvl w:val="0"/>
          <w:numId w:val="48"/>
        </w:numPr>
        <w:rPr>
          <w:rFonts w:ascii="Arial" w:cs="Arial" w:eastAsia="Arial" w:hAnsi="Arial"/>
          <w:sz w:val="14"/>
          <w:szCs w:val="14"/>
          <w:b w:val="1"/>
          <w:bCs w:val="1"/>
          <w:color w:val="6AAA37"/>
        </w:rPr>
      </w:pPr>
      <w:r>
        <w:rPr>
          <w:rFonts w:ascii="Arial" w:cs="Arial" w:eastAsia="Arial" w:hAnsi="Arial"/>
          <w:sz w:val="14"/>
          <w:szCs w:val="14"/>
          <w:color w:val="auto"/>
        </w:rPr>
        <w:t>Keypath Education Holdings, LLC, 2016 - 2021</w:t>
      </w:r>
    </w:p>
    <w:p>
      <w:pPr>
        <w:spacing w:after="0" w:line="9" w:lineRule="exact"/>
        <w:rPr>
          <w:rFonts w:ascii="Arial" w:cs="Arial" w:eastAsia="Arial" w:hAnsi="Arial"/>
          <w:sz w:val="14"/>
          <w:szCs w:val="14"/>
          <w:b w:val="1"/>
          <w:bCs w:val="1"/>
          <w:color w:val="6AAA37"/>
        </w:rPr>
      </w:pPr>
    </w:p>
    <w:p>
      <w:pPr>
        <w:ind w:left="167" w:hanging="167"/>
        <w:spacing w:after="0"/>
        <w:tabs>
          <w:tab w:leader="none" w:pos="167" w:val="left"/>
        </w:tabs>
        <w:numPr>
          <w:ilvl w:val="0"/>
          <w:numId w:val="48"/>
        </w:numPr>
        <w:rPr>
          <w:rFonts w:ascii="Arial" w:cs="Arial" w:eastAsia="Arial" w:hAnsi="Arial"/>
          <w:sz w:val="14"/>
          <w:szCs w:val="14"/>
          <w:b w:val="1"/>
          <w:bCs w:val="1"/>
          <w:color w:val="6AAA37"/>
        </w:rPr>
      </w:pPr>
      <w:r>
        <w:rPr>
          <w:rFonts w:ascii="Arial" w:cs="Arial" w:eastAsia="Arial" w:hAnsi="Arial"/>
          <w:sz w:val="14"/>
          <w:szCs w:val="14"/>
          <w:color w:val="auto"/>
        </w:rPr>
        <w:t>Aviv REIT, 2012 – 2015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color w:val="B2B3B6"/>
        </w:rPr>
        <w:t>Key Skills Sets: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3"/>
          <w:szCs w:val="13"/>
          <w:b w:val="1"/>
          <w:bCs w:val="1"/>
          <w:color w:val="6AAA37"/>
        </w:rPr>
        <w:t>ACCOUNTING | FINANCE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2"/>
          <w:szCs w:val="12"/>
          <w:b w:val="1"/>
          <w:bCs w:val="1"/>
          <w:color w:val="6AAA37"/>
        </w:rPr>
        <w:t>CORPORATE GOVERNANCE | LAW</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3"/>
          <w:szCs w:val="13"/>
          <w:b w:val="1"/>
          <w:bCs w:val="1"/>
          <w:color w:val="6AAA37"/>
        </w:rPr>
        <w:t>SENIOR EXECUTIVE LEADERSHIP</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2"/>
          <w:szCs w:val="12"/>
          <w:b w:val="1"/>
          <w:bCs w:val="1"/>
          <w:color w:val="6AAA37"/>
        </w:rPr>
        <w:t>RISK MANAGEMENT &amp; OVERSIGHT</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3"/>
          <w:szCs w:val="13"/>
          <w:b w:val="1"/>
          <w:bCs w:val="1"/>
          <w:color w:val="6AAA37"/>
        </w:rPr>
        <w:t>TECHNOLOGY</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3"/>
          <w:szCs w:val="13"/>
          <w:b w:val="1"/>
          <w:bCs w:val="1"/>
          <w:color w:val="6AAA37"/>
        </w:rPr>
        <w:t>GLOBAL BUSINESS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3"/>
          <w:szCs w:val="13"/>
          <w:b w:val="1"/>
          <w:bCs w:val="1"/>
          <w:color w:val="6AAA37"/>
        </w:rPr>
        <w:t>HEALTHCARE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3"/>
          <w:szCs w:val="13"/>
          <w:b w:val="1"/>
          <w:bCs w:val="1"/>
          <w:color w:val="6AAA37"/>
        </w:rPr>
        <w:t>HIGHER EDUCATION</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3"/>
          <w:szCs w:val="13"/>
          <w:b w:val="1"/>
          <w:bCs w:val="1"/>
          <w:color w:val="6AAA37"/>
        </w:rPr>
        <w:t>PUBLIC COMPANY BOARD</w:t>
      </w:r>
    </w:p>
    <w:p>
      <w:pPr>
        <w:spacing w:after="0" w:line="885" w:lineRule="exact"/>
        <w:rPr>
          <w:sz w:val="20"/>
          <w:szCs w:val="20"/>
          <w:color w:val="auto"/>
        </w:rPr>
      </w:pPr>
    </w:p>
    <w:p>
      <w:pPr>
        <w:sectPr>
          <w:pgSz w:w="11900" w:h="16838" w:orient="portrait"/>
          <w:cols w:equalWidth="0" w:num="3">
            <w:col w:w="2860" w:space="253"/>
            <w:col w:w="2647" w:space="720"/>
            <w:col w:w="2579"/>
          </w:cols>
          <w:pgMar w:left="1400" w:top="118" w:right="1440" w:bottom="842" w:gutter="0" w:footer="0" w:header="0"/>
          <w:type w:val="continuous"/>
        </w:sectPr>
      </w:pPr>
    </w:p>
    <w:p>
      <w:pPr>
        <w:ind w:right="19"/>
        <w:spacing w:after="0" w:line="302" w:lineRule="auto"/>
        <w:rPr>
          <w:sz w:val="20"/>
          <w:szCs w:val="20"/>
          <w:color w:val="auto"/>
        </w:rPr>
      </w:pPr>
      <w:r>
        <w:rPr>
          <w:rFonts w:ascii="Arial" w:cs="Arial" w:eastAsia="Arial" w:hAnsi="Arial"/>
          <w:sz w:val="14"/>
          <w:szCs w:val="14"/>
          <w:color w:val="auto"/>
        </w:rPr>
        <w:t>Through his distinguished career as an officer and consultant at Huron, Mr. Roth brings to the board his hands-on perspective of the strategy and operations of institutions of higher education and academic medical centers, including their research facilities. Twice named by Consulting magazine as one of the Top 25 Most Influential Consultants, Mr. Roth contributes to the board a unique understanding of the Huron organization, the consulting business, and the businesses of our clients.</w:t>
      </w:r>
    </w:p>
    <w:p>
      <w:pPr>
        <w:sectPr>
          <w:pgSz w:w="11900" w:h="16838" w:orient="portrait"/>
          <w:cols w:equalWidth="0" w:num="1">
            <w:col w:w="9059"/>
          </w:cols>
          <w:pgMar w:left="1400" w:top="118" w:right="1440" w:bottom="842"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0"/>
        <w:spacing w:after="0"/>
        <w:tabs>
          <w:tab w:leader="none" w:pos="446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13"/>
          <w:szCs w:val="13"/>
          <w:b w:val="1"/>
          <w:bCs w:val="1"/>
          <w:color w:val="00558C"/>
        </w:rPr>
        <w:t>14</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420370</wp:posOffset>
            </wp:positionV>
            <wp:extent cx="6810375" cy="3848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10375" cy="384810"/>
                    </a:xfrm>
                    <a:prstGeom prst="rect">
                      <a:avLst/>
                    </a:prstGeom>
                    <a:noFill/>
                  </pic:spPr>
                </pic:pic>
              </a:graphicData>
            </a:graphic>
          </wp:anchor>
        </w:drawing>
      </w:r>
    </w:p>
    <w:p>
      <w:pPr>
        <w:sectPr>
          <w:pgSz w:w="11900" w:h="16838" w:orient="portrait"/>
          <w:cols w:equalWidth="0" w:num="1">
            <w:col w:w="9059"/>
          </w:cols>
          <w:pgMar w:left="1400" w:top="118" w:right="1440" w:bottom="842" w:gutter="0" w:footer="0" w:header="0"/>
          <w:type w:val="continuous"/>
        </w:sectPr>
      </w:pPr>
    </w:p>
    <w:bookmarkStart w:id="23" w:name="page24"/>
    <w:bookmarkEnd w:id="23"/>
    <w:p>
      <w:pPr>
        <w:ind w:left="60"/>
        <w:spacing w:after="0"/>
        <w:tabs>
          <w:tab w:leader="none" w:pos="1040" w:val="left"/>
          <w:tab w:leader="none" w:pos="1880" w:val="left"/>
          <w:tab w:leader="none" w:pos="2880" w:val="left"/>
          <w:tab w:leader="none" w:pos="3700" w:val="left"/>
          <w:tab w:leader="none" w:pos="4900" w:val="left"/>
          <w:tab w:leader="none" w:pos="5720" w:val="left"/>
          <w:tab w:leader="none" w:pos="6540" w:val="left"/>
          <w:tab w:leader="none" w:pos="7360" w:val="left"/>
          <w:tab w:leader="none" w:pos="8400" w:val="left"/>
        </w:tabs>
        <w:rPr>
          <w:sz w:val="20"/>
          <w:szCs w:val="20"/>
          <w:color w:val="auto"/>
        </w:rPr>
      </w:pPr>
      <w:r>
        <w:rPr>
          <w:rFonts w:ascii="Arial" w:cs="Arial" w:eastAsia="Arial" w:hAnsi="Arial"/>
          <w:sz w:val="13"/>
          <w:szCs w:val="13"/>
          <w:b w:val="1"/>
          <w:bCs w:val="1"/>
          <w:color w:val="B2B3B6"/>
        </w:rPr>
        <w:t>GeneralInformation</w:t>
      </w:r>
      <w:r>
        <w:rPr>
          <w:sz w:val="20"/>
          <w:szCs w:val="20"/>
          <w:color w:val="auto"/>
        </w:rPr>
        <w:tab/>
      </w:r>
      <w:r>
        <w:rPr>
          <w:rFonts w:ascii="Arial" w:cs="Arial" w:eastAsia="Arial" w:hAnsi="Arial"/>
          <w:sz w:val="13"/>
          <w:szCs w:val="13"/>
          <w:b w:val="1"/>
          <w:bCs w:val="1"/>
          <w:color w:val="6AAA37"/>
        </w:rPr>
        <w:t>ProposalOne</w:t>
      </w:r>
      <w:r>
        <w:rPr>
          <w:sz w:val="20"/>
          <w:szCs w:val="20"/>
          <w:color w:val="auto"/>
        </w:rPr>
        <w:tab/>
      </w:r>
      <w:r>
        <w:rPr>
          <w:rFonts w:ascii="Arial" w:cs="Arial" w:eastAsia="Arial" w:hAnsi="Arial"/>
          <w:sz w:val="13"/>
          <w:szCs w:val="13"/>
          <w:b w:val="1"/>
          <w:bCs w:val="1"/>
          <w:color w:val="B2B3B6"/>
        </w:rPr>
        <w:t>CGorporatevernance</w:t>
      </w:r>
      <w:r>
        <w:rPr>
          <w:sz w:val="20"/>
          <w:szCs w:val="20"/>
          <w:color w:val="auto"/>
        </w:rPr>
        <w:tab/>
      </w:r>
      <w:r>
        <w:rPr>
          <w:rFonts w:ascii="Arial" w:cs="Arial" w:eastAsia="Arial" w:hAnsi="Arial"/>
          <w:sz w:val="13"/>
          <w:szCs w:val="13"/>
          <w:b w:val="1"/>
          <w:bCs w:val="1"/>
          <w:color w:val="B2B3B6"/>
        </w:rPr>
        <w:t>ProposalTwo</w:t>
      </w:r>
      <w:r>
        <w:rPr>
          <w:sz w:val="20"/>
          <w:szCs w:val="20"/>
          <w:color w:val="auto"/>
        </w:rPr>
        <w:tab/>
      </w:r>
      <w:r>
        <w:rPr>
          <w:rFonts w:ascii="Arial" w:cs="Arial" w:eastAsia="Arial" w:hAnsi="Arial"/>
          <w:sz w:val="13"/>
          <w:szCs w:val="13"/>
          <w:b w:val="1"/>
          <w:bCs w:val="1"/>
          <w:color w:val="B2B3B6"/>
        </w:rPr>
        <w:t>ExecutiveCompensation</w:t>
      </w:r>
      <w:r>
        <w:rPr>
          <w:sz w:val="20"/>
          <w:szCs w:val="20"/>
          <w:color w:val="auto"/>
        </w:rPr>
        <w:tab/>
      </w:r>
      <w:r>
        <w:rPr>
          <w:rFonts w:ascii="Arial" w:cs="Arial" w:eastAsia="Arial" w:hAnsi="Arial"/>
          <w:sz w:val="13"/>
          <w:szCs w:val="13"/>
          <w:b w:val="1"/>
          <w:bCs w:val="1"/>
          <w:color w:val="B2B3B6"/>
        </w:rPr>
        <w:t>ProposalThree</w:t>
      </w:r>
      <w:r>
        <w:rPr>
          <w:sz w:val="20"/>
          <w:szCs w:val="20"/>
          <w:color w:val="auto"/>
        </w:rPr>
        <w:tab/>
      </w:r>
      <w:r>
        <w:rPr>
          <w:rFonts w:ascii="Arial" w:cs="Arial" w:eastAsia="Arial" w:hAnsi="Arial"/>
          <w:sz w:val="13"/>
          <w:szCs w:val="13"/>
          <w:b w:val="1"/>
          <w:bCs w:val="1"/>
          <w:color w:val="B2B3B6"/>
        </w:rPr>
        <w:t>ProposalFour</w:t>
      </w:r>
      <w:r>
        <w:rPr>
          <w:sz w:val="20"/>
          <w:szCs w:val="20"/>
          <w:color w:val="auto"/>
        </w:rPr>
        <w:tab/>
      </w:r>
      <w:r>
        <w:rPr>
          <w:rFonts w:ascii="Arial" w:cs="Arial" w:eastAsia="Arial" w:hAnsi="Arial"/>
          <w:sz w:val="13"/>
          <w:szCs w:val="13"/>
          <w:b w:val="1"/>
          <w:bCs w:val="1"/>
          <w:color w:val="B2B3B6"/>
        </w:rPr>
        <w:t>ProposalFive</w:t>
      </w:r>
      <w:r>
        <w:rPr>
          <w:sz w:val="20"/>
          <w:szCs w:val="20"/>
          <w:color w:val="auto"/>
        </w:rPr>
        <w:tab/>
      </w:r>
      <w:r>
        <w:rPr>
          <w:rFonts w:ascii="Arial" w:cs="Arial" w:eastAsia="Arial" w:hAnsi="Arial"/>
          <w:sz w:val="13"/>
          <w:szCs w:val="13"/>
          <w:b w:val="1"/>
          <w:bCs w:val="1"/>
          <w:color w:val="B2B3B6"/>
        </w:rPr>
        <w:t>StProckhoposalders</w:t>
      </w:r>
      <w:r>
        <w:rPr>
          <w:sz w:val="20"/>
          <w:szCs w:val="20"/>
          <w:color w:val="auto"/>
        </w:rPr>
        <w:tab/>
      </w:r>
      <w:r>
        <w:rPr>
          <w:rFonts w:ascii="Arial" w:cs="Arial" w:eastAsia="Arial" w:hAnsi="Arial"/>
          <w:sz w:val="7"/>
          <w:szCs w:val="7"/>
          <w:b w:val="1"/>
          <w:bCs w:val="1"/>
          <w:color w:val="B2B3B6"/>
        </w:rPr>
        <w:t>OtherMatters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-91440</wp:posOffset>
            </wp:positionV>
            <wp:extent cx="6810375" cy="84715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10375" cy="8471535"/>
                    </a:xfrm>
                    <a:prstGeom prst="rect">
                      <a:avLst/>
                    </a:prstGeom>
                    <a:noFill/>
                  </pic:spPr>
                </pic:pic>
              </a:graphicData>
            </a:graphic>
          </wp:anchor>
        </w:drawing>
      </w:r>
    </w:p>
    <w:p>
      <w:pPr>
        <w:spacing w:after="0" w:line="320" w:lineRule="exact"/>
        <w:rPr>
          <w:sz w:val="20"/>
          <w:szCs w:val="20"/>
          <w:color w:val="auto"/>
        </w:rPr>
      </w:pPr>
    </w:p>
    <w:p>
      <w:pPr>
        <w:spacing w:after="0"/>
        <w:rPr>
          <w:sz w:val="20"/>
          <w:szCs w:val="20"/>
          <w:color w:val="auto"/>
        </w:rPr>
      </w:pPr>
      <w:r>
        <w:rPr>
          <w:rFonts w:ascii="Arial" w:cs="Arial" w:eastAsia="Arial" w:hAnsi="Arial"/>
          <w:sz w:val="22"/>
          <w:szCs w:val="22"/>
          <w:b w:val="1"/>
          <w:bCs w:val="1"/>
          <w:color w:val="00558C"/>
        </w:rPr>
        <w:t>Director Independence</w:t>
      </w:r>
    </w:p>
    <w:p>
      <w:pPr>
        <w:spacing w:after="0" w:line="11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Our board of directors makes an annual determination regarding the independence of each of our directors. The board also makes this determination for new director nominees. The board of directors has determined that each of Ms. Brown, Mr. Lockhart, Mr. Markell, Mr. McCartney, Mr. Sawyer, Ms. Singh-Bushell and Ms. Zumwalt is “independent” as defined in the applicable listing standards of The Nasdaq Stock Market Inc. (“Nasdaq”). In making its determination, the board of directors considered the standards of independence set forth in the Nasdaq Corporate Governance Listing Standards and all relevant facts and circumstances to ascertain whether there was any relationship between a director and the Company that, in the opinion of the board of directors, would interfere with the exercise of independent judgment in carrying out the responsibilities of the director or any material relationship with the Company (either directly, or as a partner, stockholder or officer of an organization that has a relationship with the Company). In determining that Ms. Zumwalt, Mr. Markell and Ms. Brown are independent, the board of directors conducted a thorough review of payments made to the Company for consulting services performed by the Company by Stanford University, which employs Ms. Zumwalt, by Brown University Health formerly LifeSpan Health System, which employs Mr. Markell, and by Boston Medical Center Health System, which employs Ms. Brown. After taking into consideration that revenues during the prior three fiscal years from: Stanford University comprised less than 0.2% of Huron’s annual revenues; Brown University Health comprised less than .03% of Huron’s annual revenues; and Boston Medical Center Health System comprised of less than .06% of Huron’s annual revenues, the board of directors determined that these relationships would not interfere with the exercise of independent judgment in fulfilling their responsibilities as a director by Ms. Zumwalt, Mr. Markell or Ms. Brown.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0"/>
        <w:spacing w:after="0"/>
        <w:tabs>
          <w:tab w:leader="none" w:pos="446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13"/>
          <w:szCs w:val="13"/>
          <w:b w:val="1"/>
          <w:bCs w:val="1"/>
          <w:color w:val="00558C"/>
        </w:rPr>
        <w:t>15</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420370</wp:posOffset>
            </wp:positionV>
            <wp:extent cx="6810375" cy="19621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10375" cy="1962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540" w:val="left"/>
          <w:tab w:leader="none" w:pos="7360" w:val="left"/>
          <w:tab w:leader="none" w:pos="8400" w:val="left"/>
        </w:tabs>
        <w:rPr>
          <w:sz w:val="20"/>
          <w:szCs w:val="20"/>
          <w:color w:val="auto"/>
        </w:rPr>
      </w:pPr>
      <w:r>
        <w:rPr>
          <w:rFonts w:ascii="Arial" w:cs="Arial" w:eastAsia="Arial" w:hAnsi="Arial"/>
          <w:sz w:val="13"/>
          <w:szCs w:val="13"/>
          <w:b w:val="1"/>
          <w:bCs w:val="1"/>
          <w:color w:val="B2B3B6"/>
        </w:rPr>
        <w:t>General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6AAA37"/>
        </w:rPr>
        <w:t>Corporate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Executive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Stockholder</w:t>
      </w:r>
      <w:r>
        <w:rPr>
          <w:sz w:val="20"/>
          <w:szCs w:val="20"/>
          <w:color w:val="auto"/>
        </w:rPr>
        <w:tab/>
      </w:r>
      <w:r>
        <w:rPr>
          <w:rFonts w:ascii="Arial" w:cs="Arial" w:eastAsia="Arial" w:hAnsi="Arial"/>
          <w:sz w:val="12"/>
          <w:szCs w:val="12"/>
          <w:b w:val="1"/>
          <w:bCs w:val="1"/>
          <w:color w:val="B2B3B6"/>
        </w:rPr>
        <w:t>Other</w:t>
      </w:r>
    </w:p>
    <w:p>
      <w:pPr>
        <w:spacing w:after="0" w:line="11"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540" w:val="left"/>
          <w:tab w:leader="none" w:pos="7360" w:val="left"/>
          <w:tab w:leader="none" w:pos="8400" w:val="left"/>
        </w:tabs>
        <w:rPr>
          <w:sz w:val="20"/>
          <w:szCs w:val="20"/>
          <w:color w:val="auto"/>
        </w:rPr>
      </w:pPr>
      <w:r>
        <w:rPr>
          <w:rFonts w:ascii="Arial" w:cs="Arial" w:eastAsia="Arial" w:hAnsi="Arial"/>
          <w:sz w:val="13"/>
          <w:szCs w:val="13"/>
          <w:b w:val="1"/>
          <w:bCs w:val="1"/>
          <w:color w:val="B2B3B6"/>
        </w:rPr>
        <w:t>Information</w:t>
      </w:r>
      <w:r>
        <w:rPr>
          <w:sz w:val="20"/>
          <w:szCs w:val="20"/>
          <w:color w:val="auto"/>
        </w:rPr>
        <w:tab/>
      </w:r>
      <w:r>
        <w:rPr>
          <w:rFonts w:ascii="Arial" w:cs="Arial" w:eastAsia="Arial" w:hAnsi="Arial"/>
          <w:sz w:val="13"/>
          <w:szCs w:val="13"/>
          <w:b w:val="1"/>
          <w:bCs w:val="1"/>
          <w:color w:val="B2B3B6"/>
        </w:rPr>
        <w:t>One</w:t>
      </w:r>
      <w:r>
        <w:rPr>
          <w:sz w:val="20"/>
          <w:szCs w:val="20"/>
          <w:color w:val="auto"/>
        </w:rPr>
        <w:tab/>
      </w:r>
      <w:r>
        <w:rPr>
          <w:rFonts w:ascii="Arial" w:cs="Arial" w:eastAsia="Arial" w:hAnsi="Arial"/>
          <w:sz w:val="13"/>
          <w:szCs w:val="13"/>
          <w:b w:val="1"/>
          <w:bCs w:val="1"/>
          <w:color w:val="6AAA37"/>
        </w:rPr>
        <w:t>Governance</w:t>
      </w:r>
      <w:r>
        <w:rPr>
          <w:sz w:val="20"/>
          <w:szCs w:val="20"/>
          <w:color w:val="auto"/>
        </w:rPr>
        <w:tab/>
      </w:r>
      <w:r>
        <w:rPr>
          <w:rFonts w:ascii="Arial" w:cs="Arial" w:eastAsia="Arial" w:hAnsi="Arial"/>
          <w:sz w:val="13"/>
          <w:szCs w:val="13"/>
          <w:b w:val="1"/>
          <w:bCs w:val="1"/>
          <w:color w:val="B2B3B6"/>
        </w:rPr>
        <w:t>Two</w:t>
      </w:r>
      <w:r>
        <w:rPr>
          <w:sz w:val="20"/>
          <w:szCs w:val="20"/>
          <w:color w:val="auto"/>
        </w:rPr>
        <w:tab/>
      </w:r>
      <w:r>
        <w:rPr>
          <w:rFonts w:ascii="Arial" w:cs="Arial" w:eastAsia="Arial" w:hAnsi="Arial"/>
          <w:sz w:val="13"/>
          <w:szCs w:val="13"/>
          <w:b w:val="1"/>
          <w:bCs w:val="1"/>
          <w:color w:val="B2B3B6"/>
        </w:rPr>
        <w:t>Compensation</w:t>
      </w:r>
      <w:r>
        <w:rPr>
          <w:sz w:val="20"/>
          <w:szCs w:val="20"/>
          <w:color w:val="auto"/>
        </w:rPr>
        <w:tab/>
      </w:r>
      <w:r>
        <w:rPr>
          <w:rFonts w:ascii="Arial" w:cs="Arial" w:eastAsia="Arial" w:hAnsi="Arial"/>
          <w:sz w:val="13"/>
          <w:szCs w:val="13"/>
          <w:b w:val="1"/>
          <w:bCs w:val="1"/>
          <w:color w:val="B2B3B6"/>
        </w:rPr>
        <w:t>Three</w:t>
      </w:r>
      <w:r>
        <w:rPr>
          <w:sz w:val="20"/>
          <w:szCs w:val="20"/>
          <w:color w:val="auto"/>
        </w:rPr>
        <w:tab/>
      </w:r>
      <w:r>
        <w:rPr>
          <w:rFonts w:ascii="Arial" w:cs="Arial" w:eastAsia="Arial" w:hAnsi="Arial"/>
          <w:sz w:val="13"/>
          <w:szCs w:val="13"/>
          <w:b w:val="1"/>
          <w:bCs w:val="1"/>
          <w:color w:val="B2B3B6"/>
        </w:rPr>
        <w:t>Four</w:t>
      </w:r>
      <w:r>
        <w:rPr>
          <w:sz w:val="20"/>
          <w:szCs w:val="20"/>
          <w:color w:val="auto"/>
        </w:rPr>
        <w:tab/>
      </w:r>
      <w:r>
        <w:rPr>
          <w:rFonts w:ascii="Arial" w:cs="Arial" w:eastAsia="Arial" w:hAnsi="Arial"/>
          <w:sz w:val="13"/>
          <w:szCs w:val="13"/>
          <w:b w:val="1"/>
          <w:bCs w:val="1"/>
          <w:color w:val="B2B3B6"/>
        </w:rPr>
        <w:t>Five</w:t>
      </w:r>
      <w:r>
        <w:rPr>
          <w:sz w:val="20"/>
          <w:szCs w:val="20"/>
          <w:color w:val="auto"/>
        </w:rPr>
        <w:tab/>
      </w:r>
      <w:r>
        <w:rPr>
          <w:rFonts w:ascii="Arial" w:cs="Arial" w:eastAsia="Arial" w:hAnsi="Arial"/>
          <w:sz w:val="13"/>
          <w:szCs w:val="13"/>
          <w:b w:val="1"/>
          <w:bCs w:val="1"/>
          <w:color w:val="B2B3B6"/>
        </w:rPr>
        <w:t>Proposals</w:t>
      </w:r>
      <w:r>
        <w:rPr>
          <w:sz w:val="20"/>
          <w:szCs w:val="20"/>
          <w:color w:val="auto"/>
        </w:rPr>
        <w:tab/>
      </w:r>
      <w:r>
        <w:rPr>
          <w:rFonts w:ascii="Arial" w:cs="Arial" w:eastAsia="Arial" w:hAnsi="Arial"/>
          <w:sz w:val="12"/>
          <w:szCs w:val="12"/>
          <w:b w:val="1"/>
          <w:bCs w:val="1"/>
          <w:color w:val="B2B3B6"/>
        </w:rPr>
        <w:t>Matters</w:t>
      </w:r>
    </w:p>
    <w:p>
      <w:pPr>
        <w:sectPr>
          <w:pgSz w:w="11900" w:h="16838" w:orient="portrait"/>
          <w:cols w:equalWidth="0" w:num="1">
            <w:col w:w="9060"/>
          </w:cols>
          <w:pgMar w:left="1400" w:top="135" w:right="14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54"/>
          <w:szCs w:val="54"/>
          <w:color w:val="00558C"/>
        </w:rPr>
        <w:t>Corporate Governance</w:t>
      </w:r>
    </w:p>
    <w:p>
      <w:pPr>
        <w:sectPr>
          <w:pgSz w:w="11900" w:h="16838" w:orient="portrait"/>
          <w:cols w:equalWidth="0" w:num="1">
            <w:col w:w="9060"/>
          </w:cols>
          <w:pgMar w:left="1400" w:top="135" w:right="1439" w:bottom="0" w:gutter="0" w:footer="0" w:header="0"/>
          <w:type w:val="continuous"/>
        </w:sectPr>
      </w:pPr>
    </w:p>
    <w:bookmarkStart w:id="24" w:name="page25"/>
    <w:bookmarkEnd w:id="24"/>
    <w:p>
      <w:pPr>
        <w:ind w:right="3340"/>
        <w:spacing w:after="0" w:line="288" w:lineRule="auto"/>
        <w:rPr>
          <w:sz w:val="20"/>
          <w:szCs w:val="20"/>
          <w:color w:val="auto"/>
        </w:rPr>
      </w:pPr>
      <w:r>
        <w:rPr>
          <w:rFonts w:ascii="Arial" w:cs="Arial" w:eastAsia="Arial" w:hAnsi="Arial"/>
          <w:sz w:val="29"/>
          <w:szCs w:val="29"/>
          <w:b w:val="1"/>
          <w:bCs w:val="1"/>
          <w:color w:val="B2B3B6"/>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68941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10375" cy="6894195"/>
                    </a:xfrm>
                    <a:prstGeom prst="rect">
                      <a:avLst/>
                    </a:prstGeom>
                    <a:noFill/>
                  </pic:spPr>
                </pic:pic>
              </a:graphicData>
            </a:graphic>
          </wp:anchor>
        </w:drawing>
        <w:t>Board Composition, Leadership Structure and Risk Oversight</w:t>
      </w: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b w:val="1"/>
          <w:bCs w:val="1"/>
          <w:color w:val="00558C"/>
        </w:rPr>
        <w:t>Board Composition</w:t>
      </w:r>
    </w:p>
    <w:p>
      <w:pPr>
        <w:spacing w:after="0" w:line="11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Nominating and Corporate Governance Committee, in coordination with the chair and the full board, regularly evaluates the future composition of the board in light of the age, tenure, experience and capabilities of its current members. The board’s periodic board refreshment process is intended to ensure that the board has the best mix of knowledge, skills, industry expertise and business acumen, derived from high quality professional experience, to evaluate and support the Company’s strategy going forward. The Nominating and Corporate Governance Committee believes that its current directors have extensive experience leading and managing professional service businesses or relevant industry expertise which provides significant insight into the Company and its operations and provides valuable contributions to the board and our management team. The Nominating and Corporate Governance Committee also recognizes the potential benefits of the fresh perspectives that highly qualified new directors may bring to the board as well as the benefits of increased innovation and creativity that may be fostered by greater range of thought and experience on the board.</w:t>
      </w:r>
    </w:p>
    <w:p>
      <w:pPr>
        <w:spacing w:after="0" w:line="114"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 conjunction with periodic board refreshment, the board has considered certain other governance matters which are of potential concern to some stockholders. The board recognizes that Mr. McCartney and Mr. Lockhart are relatively long-tenured directors, having served 20 years and 18 years on the board, respectively. The Nominating and Governance Committee and the full board have reviewed this matter with specific regard to whether their length of service impacts their independence. It is the full board’s considered judgment that both Mr. McCartney’s and Mr. Lockhart’s independence has not been compromised by their tenure. The board also believes that both directors provide valuable institutional knowledge and significant insight to the Company, garnered through their extensive and relevant experience as active advisors and current board members of other high-growth companies. Effective January 1, 2025, Mr. McCartney stepped down as non-executive chairman of the board, and the board appointed Hugh E. Sawyer to succeed Mr. McCartney. The transition reinforces the company’s commitment to its periodic board refreshment process. The board also recognizes that it has added three new directors since 2022 each of whom provide new perspectives on the firm’s strategy and operations.</w:t>
      </w:r>
    </w:p>
    <w:p>
      <w:pPr>
        <w:spacing w:after="0" w:line="114"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The Nominating and Corporate Governance Committee will continue to consider a variety of factors as it works to enhance the composition of the board, reduce average tenure and ensure structured and orderly board succession through a process of both board member additions and retirements. As a result, during the next several years, the board may periodically expand or contract as part of its periodic refreshment process. It is the expressed desire of the board that it continue to remain relatively small in number and composed principally of non-executive independent directors.</w:t>
      </w:r>
    </w:p>
    <w:p>
      <w:pPr>
        <w:spacing w:after="0" w:line="107"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Nominating and Corporate Governance Committee will consider as director candidates qualified individuals recommended by stockholders through the process described below and, although it has not done so in the past, may consider candidates identified by professional search firms.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0"/>
        <w:spacing w:after="0"/>
        <w:tabs>
          <w:tab w:leader="none" w:pos="446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13"/>
          <w:szCs w:val="13"/>
          <w:b w:val="1"/>
          <w:bCs w:val="1"/>
          <w:color w:val="00558C"/>
        </w:rPr>
        <w:t>16</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420370</wp:posOffset>
            </wp:positionV>
            <wp:extent cx="6810375" cy="35394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10375" cy="3539490"/>
                    </a:xfrm>
                    <a:prstGeom prst="rect">
                      <a:avLst/>
                    </a:prstGeom>
                    <a:noFill/>
                  </pic:spPr>
                </pic:pic>
              </a:graphicData>
            </a:graphic>
          </wp:anchor>
        </w:drawing>
      </w:r>
    </w:p>
    <w:p>
      <w:pPr>
        <w:sectPr>
          <w:pgSz w:w="11900" w:h="16838" w:orient="portrait"/>
          <w:cols w:equalWidth="0" w:num="1">
            <w:col w:w="9080"/>
          </w:cols>
          <w:pgMar w:left="1400" w:top="213" w:right="14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0"/>
        <w:spacing w:after="0" w:line="274" w:lineRule="auto"/>
        <w:rPr>
          <w:sz w:val="20"/>
          <w:szCs w:val="20"/>
          <w:color w:val="auto"/>
        </w:rPr>
      </w:pPr>
      <w:r>
        <w:rPr>
          <w:rFonts w:ascii="Arial" w:cs="Arial" w:eastAsia="Arial" w:hAnsi="Arial"/>
          <w:sz w:val="13"/>
          <w:szCs w:val="13"/>
          <w:b w:val="1"/>
          <w:bCs w:val="1"/>
          <w:color w:val="B2B3B6"/>
        </w:rPr>
        <w:t>General Proposal Information 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line="317" w:lineRule="auto"/>
        <w:rPr>
          <w:sz w:val="20"/>
          <w:szCs w:val="20"/>
          <w:color w:val="auto"/>
        </w:rPr>
      </w:pPr>
      <w:r>
        <w:rPr>
          <w:rFonts w:ascii="Arial" w:cs="Arial" w:eastAsia="Arial" w:hAnsi="Arial"/>
          <w:sz w:val="12"/>
          <w:szCs w:val="12"/>
          <w:b w:val="1"/>
          <w:bCs w:val="1"/>
          <w:color w:val="6AAA37"/>
        </w:rPr>
        <w:t>Corporate Governance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line="274" w:lineRule="auto"/>
        <w:rPr>
          <w:sz w:val="20"/>
          <w:szCs w:val="20"/>
          <w:color w:val="auto"/>
        </w:rPr>
      </w:pPr>
      <w:r>
        <w:rPr>
          <w:rFonts w:ascii="Arial" w:cs="Arial" w:eastAsia="Arial" w:hAnsi="Arial"/>
          <w:sz w:val="13"/>
          <w:szCs w:val="13"/>
          <w:b w:val="1"/>
          <w:bCs w:val="1"/>
          <w:color w:val="B2B3B6"/>
        </w:rPr>
        <w:t>Proposal Executive Two 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200"/>
        <w:spacing w:after="0" w:line="274" w:lineRule="auto"/>
        <w:rPr>
          <w:sz w:val="20"/>
          <w:szCs w:val="20"/>
          <w:color w:val="auto"/>
        </w:rPr>
      </w:pPr>
      <w:r>
        <w:rPr>
          <w:rFonts w:ascii="Arial" w:cs="Arial" w:eastAsia="Arial" w:hAnsi="Arial"/>
          <w:sz w:val="13"/>
          <w:szCs w:val="13"/>
          <w:b w:val="1"/>
          <w:bCs w:val="1"/>
          <w:color w:val="B2B3B6"/>
        </w:rPr>
        <w:t>Proposal Proposal Proposal Stockholder Other Three Four Five Proposals Matters</w:t>
      </w:r>
    </w:p>
    <w:p>
      <w:pPr>
        <w:spacing w:after="0" w:line="223" w:lineRule="exact"/>
        <w:rPr>
          <w:sz w:val="20"/>
          <w:szCs w:val="20"/>
          <w:color w:val="auto"/>
        </w:rPr>
      </w:pPr>
    </w:p>
    <w:p>
      <w:pPr>
        <w:sectPr>
          <w:pgSz w:w="11900" w:h="16838" w:orient="portrait"/>
          <w:cols w:equalWidth="0" w:num="4">
            <w:col w:w="1600" w:space="300"/>
            <w:col w:w="720" w:space="280"/>
            <w:col w:w="1700" w:space="320"/>
            <w:col w:w="4160"/>
          </w:cols>
          <w:pgMar w:left="1400" w:top="213" w:right="1419" w:bottom="0" w:gutter="0" w:footer="0" w:header="0"/>
          <w:type w:val="continuous"/>
        </w:sectPr>
      </w:pPr>
    </w:p>
    <w:p>
      <w:pPr>
        <w:spacing w:after="0" w:line="59" w:lineRule="exact"/>
        <w:rPr>
          <w:sz w:val="20"/>
          <w:szCs w:val="20"/>
          <w:color w:val="auto"/>
        </w:rPr>
      </w:pPr>
    </w:p>
    <w:p>
      <w:pPr>
        <w:spacing w:after="0"/>
        <w:rPr>
          <w:sz w:val="20"/>
          <w:szCs w:val="20"/>
          <w:color w:val="auto"/>
        </w:rPr>
      </w:pPr>
      <w:r>
        <w:rPr>
          <w:rFonts w:ascii="Arial" w:cs="Arial" w:eastAsia="Arial" w:hAnsi="Arial"/>
          <w:sz w:val="22"/>
          <w:szCs w:val="22"/>
          <w:b w:val="1"/>
          <w:bCs w:val="1"/>
          <w:color w:val="00558C"/>
        </w:rPr>
        <w:t>Board Leadership</w:t>
      </w:r>
    </w:p>
    <w:p>
      <w:pPr>
        <w:spacing w:after="0" w:line="11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Huron formally separated the roles of chairman of the board and chief executive officer in 2010. Our non-executive chairman is Hugh E. Sawyer, our executive vice chairman, client services is James H. Roth, and our chief executive officer and president is C. Mark Hussey. As non-executive chairman, Mr. Sawyer, in consultation with Mr. Hussey, develops the agendas for board meetings, determines the appropriate scheduling for board meetings, assesses the quality, quantity and timeliness of information provided from management to the board, assists the Nominating and Corporate Governance Committee in monitoring and implementing our Corporate Governance Guidelines and otherwise takes steps to ensure that the board is acting in the long-term best interests of the Company and its stockholders. Mr. Sawyer also chairs executive sessions of the board.</w:t>
      </w:r>
    </w:p>
    <w:p>
      <w:pPr>
        <w:spacing w:after="0" w:line="31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board has determined that our current board leadership structure is appropriate for the Company, as it believes the separation of powers is beneficial for our organization. As previously announced, the board recognized that Mr. McCartney has served as non-executive chairman since 2010 and, in conjunction with the overall board refreshment process, previously discussed whether the election of a new board chair might be in the best interests of the Company in 2024. In light of the CEO leadership transition in 2023 and after extensive discussion and consultation with Mr. Roth and Mr. Hussey, the board concluded that it was not in the best interests of the Company to have simultaneous changes in CEO and board leadership. As previously disclosed, it was the board’s intention that Mr. McCartney would step down as non-executive chairman at or prior to the Company’s annual meeting in May 2025. Effective January 1, 2025, Mr. Sawyer was appointed as non-executive chairman to succeed Mr. McCartney.</w:t>
      </w:r>
    </w:p>
    <w:p>
      <w:pPr>
        <w:sectPr>
          <w:pgSz w:w="11900" w:h="16838" w:orient="portrait"/>
          <w:cols w:equalWidth="0" w:num="1">
            <w:col w:w="9080"/>
          </w:cols>
          <w:pgMar w:left="1400" w:top="213" w:right="1419" w:bottom="0" w:gutter="0" w:footer="0" w:header="0"/>
          <w:type w:val="continuous"/>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53168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10375" cy="5316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0"/>
        <w:spacing w:after="0"/>
        <w:tabs>
          <w:tab w:leader="none" w:pos="446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13"/>
          <w:szCs w:val="13"/>
          <w:b w:val="1"/>
          <w:bCs w:val="1"/>
          <w:color w:val="00558C"/>
        </w:rPr>
        <w:t>17</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420370</wp:posOffset>
            </wp:positionV>
            <wp:extent cx="6810375" cy="51168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10375" cy="511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540" w:val="left"/>
          <w:tab w:leader="none" w:pos="7360" w:val="left"/>
          <w:tab w:leader="none" w:pos="8400" w:val="left"/>
        </w:tabs>
        <w:rPr>
          <w:sz w:val="20"/>
          <w:szCs w:val="20"/>
          <w:color w:val="auto"/>
        </w:rPr>
      </w:pPr>
      <w:r>
        <w:rPr>
          <w:rFonts w:ascii="Arial" w:cs="Arial" w:eastAsia="Arial" w:hAnsi="Arial"/>
          <w:sz w:val="13"/>
          <w:szCs w:val="13"/>
          <w:b w:val="1"/>
          <w:bCs w:val="1"/>
          <w:color w:val="B2B3B6"/>
        </w:rPr>
        <w:t>General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6AAA37"/>
        </w:rPr>
        <w:t>Corporate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Executive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Stockholder</w:t>
      </w:r>
      <w:r>
        <w:rPr>
          <w:sz w:val="20"/>
          <w:szCs w:val="20"/>
          <w:color w:val="auto"/>
        </w:rPr>
        <w:tab/>
      </w:r>
      <w:r>
        <w:rPr>
          <w:rFonts w:ascii="Arial" w:cs="Arial" w:eastAsia="Arial" w:hAnsi="Arial"/>
          <w:sz w:val="12"/>
          <w:szCs w:val="12"/>
          <w:b w:val="1"/>
          <w:bCs w:val="1"/>
          <w:color w:val="B2B3B6"/>
        </w:rPr>
        <w:t>Other</w:t>
      </w:r>
    </w:p>
    <w:p>
      <w:pPr>
        <w:spacing w:after="0" w:line="11"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540" w:val="left"/>
          <w:tab w:leader="none" w:pos="7360" w:val="left"/>
          <w:tab w:leader="none" w:pos="8400" w:val="left"/>
        </w:tabs>
        <w:rPr>
          <w:sz w:val="20"/>
          <w:szCs w:val="20"/>
          <w:color w:val="auto"/>
        </w:rPr>
      </w:pPr>
      <w:r>
        <w:rPr>
          <w:rFonts w:ascii="Arial" w:cs="Arial" w:eastAsia="Arial" w:hAnsi="Arial"/>
          <w:sz w:val="13"/>
          <w:szCs w:val="13"/>
          <w:b w:val="1"/>
          <w:bCs w:val="1"/>
          <w:color w:val="B2B3B6"/>
        </w:rPr>
        <w:t>Information</w:t>
      </w:r>
      <w:r>
        <w:rPr>
          <w:sz w:val="20"/>
          <w:szCs w:val="20"/>
          <w:color w:val="auto"/>
        </w:rPr>
        <w:tab/>
      </w:r>
      <w:r>
        <w:rPr>
          <w:rFonts w:ascii="Arial" w:cs="Arial" w:eastAsia="Arial" w:hAnsi="Arial"/>
          <w:sz w:val="13"/>
          <w:szCs w:val="13"/>
          <w:b w:val="1"/>
          <w:bCs w:val="1"/>
          <w:color w:val="B2B3B6"/>
        </w:rPr>
        <w:t>One</w:t>
      </w:r>
      <w:r>
        <w:rPr>
          <w:sz w:val="20"/>
          <w:szCs w:val="20"/>
          <w:color w:val="auto"/>
        </w:rPr>
        <w:tab/>
      </w:r>
      <w:r>
        <w:rPr>
          <w:rFonts w:ascii="Arial" w:cs="Arial" w:eastAsia="Arial" w:hAnsi="Arial"/>
          <w:sz w:val="13"/>
          <w:szCs w:val="13"/>
          <w:b w:val="1"/>
          <w:bCs w:val="1"/>
          <w:color w:val="6AAA37"/>
        </w:rPr>
        <w:t>Governance</w:t>
      </w:r>
      <w:r>
        <w:rPr>
          <w:sz w:val="20"/>
          <w:szCs w:val="20"/>
          <w:color w:val="auto"/>
        </w:rPr>
        <w:tab/>
      </w:r>
      <w:r>
        <w:rPr>
          <w:rFonts w:ascii="Arial" w:cs="Arial" w:eastAsia="Arial" w:hAnsi="Arial"/>
          <w:sz w:val="13"/>
          <w:szCs w:val="13"/>
          <w:b w:val="1"/>
          <w:bCs w:val="1"/>
          <w:color w:val="B2B3B6"/>
        </w:rPr>
        <w:t>Two</w:t>
      </w:r>
      <w:r>
        <w:rPr>
          <w:sz w:val="20"/>
          <w:szCs w:val="20"/>
          <w:color w:val="auto"/>
        </w:rPr>
        <w:tab/>
      </w:r>
      <w:r>
        <w:rPr>
          <w:rFonts w:ascii="Arial" w:cs="Arial" w:eastAsia="Arial" w:hAnsi="Arial"/>
          <w:sz w:val="13"/>
          <w:szCs w:val="13"/>
          <w:b w:val="1"/>
          <w:bCs w:val="1"/>
          <w:color w:val="B2B3B6"/>
        </w:rPr>
        <w:t>Compensation</w:t>
      </w:r>
      <w:r>
        <w:rPr>
          <w:sz w:val="20"/>
          <w:szCs w:val="20"/>
          <w:color w:val="auto"/>
        </w:rPr>
        <w:tab/>
      </w:r>
      <w:r>
        <w:rPr>
          <w:rFonts w:ascii="Arial" w:cs="Arial" w:eastAsia="Arial" w:hAnsi="Arial"/>
          <w:sz w:val="13"/>
          <w:szCs w:val="13"/>
          <w:b w:val="1"/>
          <w:bCs w:val="1"/>
          <w:color w:val="B2B3B6"/>
        </w:rPr>
        <w:t>Three</w:t>
      </w:r>
      <w:r>
        <w:rPr>
          <w:sz w:val="20"/>
          <w:szCs w:val="20"/>
          <w:color w:val="auto"/>
        </w:rPr>
        <w:tab/>
      </w:r>
      <w:r>
        <w:rPr>
          <w:rFonts w:ascii="Arial" w:cs="Arial" w:eastAsia="Arial" w:hAnsi="Arial"/>
          <w:sz w:val="13"/>
          <w:szCs w:val="13"/>
          <w:b w:val="1"/>
          <w:bCs w:val="1"/>
          <w:color w:val="B2B3B6"/>
        </w:rPr>
        <w:t>Four</w:t>
      </w:r>
      <w:r>
        <w:rPr>
          <w:sz w:val="20"/>
          <w:szCs w:val="20"/>
          <w:color w:val="auto"/>
        </w:rPr>
        <w:tab/>
      </w:r>
      <w:r>
        <w:rPr>
          <w:rFonts w:ascii="Arial" w:cs="Arial" w:eastAsia="Arial" w:hAnsi="Arial"/>
          <w:sz w:val="13"/>
          <w:szCs w:val="13"/>
          <w:b w:val="1"/>
          <w:bCs w:val="1"/>
          <w:color w:val="B2B3B6"/>
        </w:rPr>
        <w:t>Five</w:t>
      </w:r>
      <w:r>
        <w:rPr>
          <w:sz w:val="20"/>
          <w:szCs w:val="20"/>
          <w:color w:val="auto"/>
        </w:rPr>
        <w:tab/>
      </w:r>
      <w:r>
        <w:rPr>
          <w:rFonts w:ascii="Arial" w:cs="Arial" w:eastAsia="Arial" w:hAnsi="Arial"/>
          <w:sz w:val="13"/>
          <w:szCs w:val="13"/>
          <w:b w:val="1"/>
          <w:bCs w:val="1"/>
          <w:color w:val="B2B3B6"/>
        </w:rPr>
        <w:t>Proposals</w:t>
      </w:r>
      <w:r>
        <w:rPr>
          <w:sz w:val="20"/>
          <w:szCs w:val="20"/>
          <w:color w:val="auto"/>
        </w:rPr>
        <w:tab/>
      </w:r>
      <w:r>
        <w:rPr>
          <w:rFonts w:ascii="Arial" w:cs="Arial" w:eastAsia="Arial" w:hAnsi="Arial"/>
          <w:sz w:val="12"/>
          <w:szCs w:val="12"/>
          <w:b w:val="1"/>
          <w:bCs w:val="1"/>
          <w:color w:val="B2B3B6"/>
        </w:rPr>
        <w:t>Matters</w:t>
      </w:r>
    </w:p>
    <w:p>
      <w:pPr>
        <w:spacing w:after="0" w:line="314" w:lineRule="exact"/>
        <w:rPr>
          <w:sz w:val="20"/>
          <w:szCs w:val="20"/>
          <w:color w:val="auto"/>
        </w:rPr>
      </w:pPr>
    </w:p>
    <w:p>
      <w:pPr>
        <w:spacing w:after="0"/>
        <w:rPr>
          <w:sz w:val="20"/>
          <w:szCs w:val="20"/>
          <w:color w:val="auto"/>
        </w:rPr>
      </w:pPr>
      <w:r>
        <w:rPr>
          <w:rFonts w:ascii="Arial" w:cs="Arial" w:eastAsia="Arial" w:hAnsi="Arial"/>
          <w:sz w:val="22"/>
          <w:szCs w:val="22"/>
          <w:b w:val="1"/>
          <w:bCs w:val="1"/>
          <w:color w:val="00558C"/>
        </w:rPr>
        <w:t>Risk Oversight</w:t>
      </w:r>
    </w:p>
    <w:p>
      <w:pPr>
        <w:spacing w:after="0" w:line="112" w:lineRule="exact"/>
        <w:rPr>
          <w:sz w:val="20"/>
          <w:szCs w:val="20"/>
          <w:color w:val="auto"/>
        </w:rPr>
      </w:pPr>
    </w:p>
    <w:p>
      <w:pPr>
        <w:ind w:right="19"/>
        <w:spacing w:after="0" w:line="310" w:lineRule="auto"/>
        <w:rPr>
          <w:sz w:val="20"/>
          <w:szCs w:val="20"/>
          <w:color w:val="auto"/>
        </w:rPr>
      </w:pPr>
      <w:r>
        <w:rPr>
          <w:rFonts w:ascii="Arial" w:cs="Arial" w:eastAsia="Arial" w:hAnsi="Arial"/>
          <w:sz w:val="16"/>
          <w:szCs w:val="16"/>
          <w:color w:val="auto"/>
        </w:rPr>
        <w:t>One of the board’s responsibilities is to review the adequacy of the Company’s systems for compliance with all applicable laws and regulations, for safeguarding the Company’s assets and for managing the major risks it faces. The board executes its responsibility for risk management directly and through its committees in a variety of ways, including the following:</w:t>
      </w:r>
    </w:p>
    <w:p>
      <w:pPr>
        <w:sectPr>
          <w:pgSz w:w="11900" w:h="16838" w:orient="portrait"/>
          <w:cols w:equalWidth="0" w:num="1">
            <w:col w:w="9059"/>
          </w:cols>
          <w:pgMar w:left="1400" w:top="1440" w:right="1440" w:bottom="0" w:gutter="0" w:footer="0" w:header="0"/>
        </w:sectPr>
      </w:pPr>
    </w:p>
    <w:p>
      <w:pPr>
        <w:spacing w:after="0" w:line="395" w:lineRule="exact"/>
        <w:rPr>
          <w:sz w:val="20"/>
          <w:szCs w:val="20"/>
          <w:color w:val="auto"/>
        </w:rPr>
      </w:pPr>
    </w:p>
    <w:p>
      <w:pPr>
        <w:ind w:left="360"/>
        <w:spacing w:after="0"/>
        <w:rPr>
          <w:sz w:val="20"/>
          <w:szCs w:val="20"/>
          <w:color w:val="auto"/>
        </w:rPr>
      </w:pPr>
      <w:r>
        <w:rPr>
          <w:rFonts w:ascii="Arial" w:cs="Arial" w:eastAsia="Arial" w:hAnsi="Arial"/>
          <w:sz w:val="22"/>
          <w:szCs w:val="22"/>
          <w:color w:val="FFFFFF"/>
        </w:rPr>
        <w:t>Board of Directors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60"/>
        <w:spacing w:after="0"/>
        <w:rPr>
          <w:sz w:val="20"/>
          <w:szCs w:val="20"/>
          <w:color w:val="auto"/>
        </w:rPr>
      </w:pPr>
      <w:r>
        <w:rPr>
          <w:rFonts w:ascii="Arial" w:cs="Arial" w:eastAsia="Arial" w:hAnsi="Arial"/>
          <w:sz w:val="12"/>
          <w:szCs w:val="12"/>
          <w:b w:val="1"/>
          <w:bCs w:val="1"/>
          <w:color w:val="00558C"/>
        </w:rPr>
        <w:t>AUDIT COMMITTEE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20"/>
        <w:spacing w:after="0"/>
        <w:rPr>
          <w:sz w:val="20"/>
          <w:szCs w:val="20"/>
          <w:color w:val="auto"/>
        </w:rPr>
      </w:pPr>
      <w:r>
        <w:rPr>
          <w:rFonts w:ascii="Arial" w:cs="Arial" w:eastAsia="Arial" w:hAnsi="Arial"/>
          <w:sz w:val="11"/>
          <w:szCs w:val="11"/>
          <w:b w:val="1"/>
          <w:bCs w:val="1"/>
          <w:color w:val="FFFFFF"/>
        </w:rPr>
        <w:t>CHAIR: MR. PETER K. MARKELL</w:t>
      </w:r>
    </w:p>
    <w:p>
      <w:pPr>
        <w:spacing w:after="0" w:line="130" w:lineRule="exact"/>
        <w:rPr>
          <w:sz w:val="20"/>
          <w:szCs w:val="20"/>
          <w:color w:val="auto"/>
        </w:rPr>
      </w:pPr>
    </w:p>
    <w:p>
      <w:pPr>
        <w:ind w:left="360"/>
        <w:spacing w:after="0" w:line="322" w:lineRule="auto"/>
        <w:rPr>
          <w:sz w:val="20"/>
          <w:szCs w:val="20"/>
          <w:color w:val="auto"/>
        </w:rPr>
      </w:pPr>
      <w:r>
        <w:rPr>
          <w:rFonts w:ascii="Arial" w:cs="Arial" w:eastAsia="Arial" w:hAnsi="Arial"/>
          <w:sz w:val="11"/>
          <w:szCs w:val="11"/>
          <w:b w:val="1"/>
          <w:bCs w:val="1"/>
          <w:color w:val="FFFFFF"/>
        </w:rPr>
        <w:t>MEMBERS: MR. LOCKHART, MR. MCCARTNEY AND MR. SAWYER</w:t>
      </w:r>
    </w:p>
    <w:p>
      <w:pPr>
        <w:spacing w:after="0" w:line="200" w:lineRule="exact"/>
        <w:rPr>
          <w:sz w:val="20"/>
          <w:szCs w:val="20"/>
          <w:color w:val="auto"/>
        </w:rPr>
      </w:pPr>
    </w:p>
    <w:p>
      <w:pPr>
        <w:spacing w:after="0" w:line="274" w:lineRule="exact"/>
        <w:rPr>
          <w:sz w:val="20"/>
          <w:szCs w:val="20"/>
          <w:color w:val="auto"/>
        </w:rPr>
      </w:pPr>
    </w:p>
    <w:p>
      <w:pPr>
        <w:ind w:left="360"/>
        <w:spacing w:after="0"/>
        <w:rPr>
          <w:sz w:val="20"/>
          <w:szCs w:val="20"/>
          <w:color w:val="auto"/>
        </w:rPr>
      </w:pPr>
      <w:r>
        <w:rPr>
          <w:rFonts w:ascii="Arial" w:cs="Arial" w:eastAsia="Arial" w:hAnsi="Arial"/>
          <w:sz w:val="12"/>
          <w:szCs w:val="12"/>
          <w:b w:val="1"/>
          <w:bCs w:val="1"/>
          <w:color w:val="00558C"/>
        </w:rPr>
        <w:t>COMPENSATION COMMITTEE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00"/>
        <w:spacing w:after="0"/>
        <w:rPr>
          <w:sz w:val="20"/>
          <w:szCs w:val="20"/>
          <w:color w:val="auto"/>
        </w:rPr>
      </w:pPr>
      <w:r>
        <w:rPr>
          <w:rFonts w:ascii="Arial" w:cs="Arial" w:eastAsia="Arial" w:hAnsi="Arial"/>
          <w:sz w:val="11"/>
          <w:szCs w:val="11"/>
          <w:b w:val="1"/>
          <w:bCs w:val="1"/>
          <w:color w:val="FFFFFF"/>
        </w:rPr>
        <w:t>CHAIR: MR. HUGH E. SAWYER</w:t>
      </w:r>
    </w:p>
    <w:p>
      <w:pPr>
        <w:spacing w:after="0" w:line="130" w:lineRule="exact"/>
        <w:rPr>
          <w:sz w:val="20"/>
          <w:szCs w:val="20"/>
          <w:color w:val="auto"/>
        </w:rPr>
      </w:pPr>
    </w:p>
    <w:p>
      <w:pPr>
        <w:ind w:left="360" w:right="260"/>
        <w:spacing w:after="0" w:line="322" w:lineRule="auto"/>
        <w:rPr>
          <w:sz w:val="20"/>
          <w:szCs w:val="20"/>
          <w:color w:val="auto"/>
        </w:rPr>
      </w:pPr>
      <w:r>
        <w:rPr>
          <w:rFonts w:ascii="Arial" w:cs="Arial" w:eastAsia="Arial" w:hAnsi="Arial"/>
          <w:sz w:val="11"/>
          <w:szCs w:val="11"/>
          <w:b w:val="1"/>
          <w:bCs w:val="1"/>
          <w:color w:val="FFFFFF"/>
        </w:rPr>
        <w:t>MEMBERS: MS. BROWN, MR. LOCKHART AND MS. ZUMWALT</w:t>
      </w:r>
    </w:p>
    <w:p>
      <w:pPr>
        <w:spacing w:after="0" w:line="200" w:lineRule="exact"/>
        <w:rPr>
          <w:sz w:val="20"/>
          <w:szCs w:val="20"/>
          <w:color w:val="auto"/>
        </w:rPr>
      </w:pPr>
    </w:p>
    <w:p>
      <w:pPr>
        <w:spacing w:after="0" w:line="207" w:lineRule="exact"/>
        <w:rPr>
          <w:sz w:val="20"/>
          <w:szCs w:val="20"/>
          <w:color w:val="auto"/>
        </w:rPr>
      </w:pPr>
    </w:p>
    <w:p>
      <w:pPr>
        <w:ind w:left="360"/>
        <w:spacing w:after="0"/>
        <w:rPr>
          <w:sz w:val="20"/>
          <w:szCs w:val="20"/>
          <w:color w:val="auto"/>
        </w:rPr>
      </w:pPr>
      <w:r>
        <w:rPr>
          <w:rFonts w:ascii="Arial" w:cs="Arial" w:eastAsia="Arial" w:hAnsi="Arial"/>
          <w:sz w:val="12"/>
          <w:szCs w:val="12"/>
          <w:b w:val="1"/>
          <w:bCs w:val="1"/>
          <w:color w:val="00558C"/>
        </w:rPr>
        <w:t>NOMINATING &amp; CORPORATE</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2"/>
          <w:szCs w:val="12"/>
          <w:b w:val="1"/>
          <w:bCs w:val="1"/>
          <w:color w:val="00558C"/>
        </w:rPr>
        <w:t>GOVERNANCE COMMITTEE</w:t>
      </w:r>
    </w:p>
    <w:p>
      <w:pPr>
        <w:spacing w:after="0" w:line="200" w:lineRule="exact"/>
        <w:rPr>
          <w:sz w:val="20"/>
          <w:szCs w:val="20"/>
          <w:color w:val="auto"/>
        </w:rPr>
      </w:pPr>
    </w:p>
    <w:p>
      <w:pPr>
        <w:spacing w:after="0" w:line="268" w:lineRule="exact"/>
        <w:rPr>
          <w:sz w:val="20"/>
          <w:szCs w:val="20"/>
          <w:color w:val="auto"/>
        </w:rPr>
      </w:pPr>
    </w:p>
    <w:p>
      <w:pPr>
        <w:ind w:left="500"/>
        <w:spacing w:after="0"/>
        <w:rPr>
          <w:sz w:val="20"/>
          <w:szCs w:val="20"/>
          <w:color w:val="auto"/>
        </w:rPr>
      </w:pPr>
      <w:r>
        <w:rPr>
          <w:rFonts w:ascii="Arial" w:cs="Arial" w:eastAsia="Arial" w:hAnsi="Arial"/>
          <w:sz w:val="11"/>
          <w:szCs w:val="11"/>
          <w:b w:val="1"/>
          <w:bCs w:val="1"/>
          <w:color w:val="FFFFFF"/>
        </w:rPr>
        <w:t>CHAIR: MS. EKTA SINGH-BUSHELL</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jc w:val="both"/>
        <w:ind w:right="279"/>
        <w:spacing w:after="0" w:line="270" w:lineRule="auto"/>
        <w:rPr>
          <w:sz w:val="20"/>
          <w:szCs w:val="20"/>
          <w:color w:val="auto"/>
        </w:rPr>
      </w:pPr>
      <w:r>
        <w:rPr>
          <w:rFonts w:ascii="Arial" w:cs="Arial" w:eastAsia="Arial" w:hAnsi="Arial"/>
          <w:sz w:val="11"/>
          <w:szCs w:val="11"/>
          <w:color w:val="auto"/>
        </w:rPr>
        <w:t>Regularly considers potential business risks facing the Company, including those surrounding security and privacy, revenue recognition, quality assurance, strategic planning, employee retention, international compliance, business continuity, merger integration and market shifts.</w:t>
      </w:r>
    </w:p>
    <w:p>
      <w:pPr>
        <w:spacing w:after="0" w:line="200" w:lineRule="exact"/>
        <w:rPr>
          <w:sz w:val="20"/>
          <w:szCs w:val="20"/>
          <w:color w:val="auto"/>
        </w:rPr>
      </w:pPr>
    </w:p>
    <w:p>
      <w:pPr>
        <w:spacing w:after="0" w:line="372" w:lineRule="exact"/>
        <w:rPr>
          <w:sz w:val="20"/>
          <w:szCs w:val="20"/>
          <w:color w:val="auto"/>
        </w:rPr>
      </w:pPr>
    </w:p>
    <w:p>
      <w:pPr>
        <w:ind w:left="160" w:hanging="158"/>
        <w:spacing w:after="0"/>
        <w:tabs>
          <w:tab w:leader="none" w:pos="160" w:val="left"/>
        </w:tabs>
        <w:numPr>
          <w:ilvl w:val="0"/>
          <w:numId w:val="49"/>
        </w:numPr>
        <w:rPr>
          <w:rFonts w:ascii="Arial" w:cs="Arial" w:eastAsia="Arial" w:hAnsi="Arial"/>
          <w:sz w:val="11"/>
          <w:szCs w:val="11"/>
          <w:b w:val="1"/>
          <w:bCs w:val="1"/>
          <w:color w:val="6AAA37"/>
        </w:rPr>
      </w:pPr>
      <w:r>
        <w:rPr>
          <w:rFonts w:ascii="Arial" w:cs="Arial" w:eastAsia="Arial" w:hAnsi="Arial"/>
          <w:sz w:val="11"/>
          <w:szCs w:val="11"/>
          <w:color w:val="auto"/>
        </w:rPr>
        <w:t>Meets with and reviews reports from independent registered public accounting firm and internal auditors</w:t>
      </w:r>
    </w:p>
    <w:p>
      <w:pPr>
        <w:spacing w:after="0" w:line="62" w:lineRule="exact"/>
        <w:rPr>
          <w:rFonts w:ascii="Arial" w:cs="Arial" w:eastAsia="Arial" w:hAnsi="Arial"/>
          <w:sz w:val="11"/>
          <w:szCs w:val="11"/>
          <w:b w:val="1"/>
          <w:bCs w:val="1"/>
          <w:color w:val="6AAA37"/>
        </w:rPr>
      </w:pPr>
    </w:p>
    <w:p>
      <w:pPr>
        <w:ind w:left="160" w:hanging="158"/>
        <w:spacing w:after="0"/>
        <w:tabs>
          <w:tab w:leader="none" w:pos="160" w:val="left"/>
        </w:tabs>
        <w:numPr>
          <w:ilvl w:val="0"/>
          <w:numId w:val="49"/>
        </w:numPr>
        <w:rPr>
          <w:rFonts w:ascii="Arial" w:cs="Arial" w:eastAsia="Arial" w:hAnsi="Arial"/>
          <w:sz w:val="11"/>
          <w:szCs w:val="11"/>
          <w:b w:val="1"/>
          <w:bCs w:val="1"/>
          <w:color w:val="6AAA37"/>
        </w:rPr>
      </w:pPr>
      <w:r>
        <w:rPr>
          <w:rFonts w:ascii="Arial" w:cs="Arial" w:eastAsia="Arial" w:hAnsi="Arial"/>
          <w:sz w:val="11"/>
          <w:szCs w:val="11"/>
          <w:color w:val="auto"/>
        </w:rPr>
        <w:t>Receives regular reports from the General Counsel on legal developments</w:t>
      </w:r>
    </w:p>
    <w:p>
      <w:pPr>
        <w:spacing w:after="0" w:line="49" w:lineRule="exact"/>
        <w:rPr>
          <w:rFonts w:ascii="Arial" w:cs="Arial" w:eastAsia="Arial" w:hAnsi="Arial"/>
          <w:sz w:val="11"/>
          <w:szCs w:val="11"/>
          <w:b w:val="1"/>
          <w:bCs w:val="1"/>
          <w:color w:val="6AAA37"/>
        </w:rPr>
      </w:pPr>
    </w:p>
    <w:p>
      <w:pPr>
        <w:ind w:left="160" w:right="219" w:hanging="158"/>
        <w:spacing w:after="0" w:line="285" w:lineRule="auto"/>
        <w:tabs>
          <w:tab w:leader="none" w:pos="160" w:val="left"/>
        </w:tabs>
        <w:numPr>
          <w:ilvl w:val="0"/>
          <w:numId w:val="49"/>
        </w:numPr>
        <w:rPr>
          <w:rFonts w:ascii="Arial" w:cs="Arial" w:eastAsia="Arial" w:hAnsi="Arial"/>
          <w:sz w:val="11"/>
          <w:szCs w:val="11"/>
          <w:b w:val="1"/>
          <w:bCs w:val="1"/>
          <w:color w:val="6AAA37"/>
        </w:rPr>
      </w:pPr>
      <w:r>
        <w:rPr>
          <w:rFonts w:ascii="Arial" w:cs="Arial" w:eastAsia="Arial" w:hAnsi="Arial"/>
          <w:sz w:val="11"/>
          <w:szCs w:val="11"/>
          <w:color w:val="auto"/>
        </w:rPr>
        <w:t>Examines issues presented by the Chief Compliance Officer on whistleblower hotline and corporate compliance-related matters</w:t>
      </w:r>
    </w:p>
    <w:p>
      <w:pPr>
        <w:spacing w:after="0" w:line="23" w:lineRule="exact"/>
        <w:rPr>
          <w:rFonts w:ascii="Arial" w:cs="Arial" w:eastAsia="Arial" w:hAnsi="Arial"/>
          <w:sz w:val="11"/>
          <w:szCs w:val="11"/>
          <w:b w:val="1"/>
          <w:bCs w:val="1"/>
          <w:color w:val="6AAA37"/>
        </w:rPr>
      </w:pPr>
    </w:p>
    <w:p>
      <w:pPr>
        <w:ind w:left="160" w:right="299" w:hanging="158"/>
        <w:spacing w:after="0" w:line="257" w:lineRule="auto"/>
        <w:tabs>
          <w:tab w:leader="none" w:pos="160" w:val="left"/>
        </w:tabs>
        <w:numPr>
          <w:ilvl w:val="0"/>
          <w:numId w:val="49"/>
        </w:numPr>
        <w:rPr>
          <w:rFonts w:ascii="Arial" w:cs="Arial" w:eastAsia="Arial" w:hAnsi="Arial"/>
          <w:sz w:val="11"/>
          <w:szCs w:val="11"/>
          <w:b w:val="1"/>
          <w:bCs w:val="1"/>
          <w:color w:val="6AAA37"/>
        </w:rPr>
      </w:pPr>
      <w:r>
        <w:rPr>
          <w:rFonts w:ascii="Arial" w:cs="Arial" w:eastAsia="Arial" w:hAnsi="Arial"/>
          <w:sz w:val="11"/>
          <w:szCs w:val="11"/>
          <w:i w:val="1"/>
          <w:iCs w:val="1"/>
          <w:color w:val="auto"/>
        </w:rPr>
        <w:t>In coordination with the Finance and Capital Allocations Committee</w:t>
      </w:r>
      <w:r>
        <w:rPr>
          <w:rFonts w:ascii="Arial" w:cs="Arial" w:eastAsia="Arial" w:hAnsi="Arial"/>
          <w:sz w:val="11"/>
          <w:szCs w:val="11"/>
          <w:color w:val="auto"/>
        </w:rPr>
        <w:t>, considers reports of the Enterprise Risk</w:t>
      </w:r>
      <w:r>
        <w:rPr>
          <w:rFonts w:ascii="Arial" w:cs="Arial" w:eastAsia="Arial" w:hAnsi="Arial"/>
          <w:sz w:val="11"/>
          <w:szCs w:val="11"/>
          <w:i w:val="1"/>
          <w:iCs w:val="1"/>
          <w:color w:val="auto"/>
        </w:rPr>
        <w:t xml:space="preserve"> </w:t>
      </w:r>
      <w:r>
        <w:rPr>
          <w:rFonts w:ascii="Arial" w:cs="Arial" w:eastAsia="Arial" w:hAnsi="Arial"/>
          <w:sz w:val="11"/>
          <w:szCs w:val="11"/>
          <w:color w:val="auto"/>
        </w:rPr>
        <w:t>Management Committee on strategic, operational, financial and compliance risks that may materially affect the Company's ability to achieve its business objectives</w:t>
      </w:r>
    </w:p>
    <w:p>
      <w:pPr>
        <w:spacing w:after="0" w:line="25" w:lineRule="exact"/>
        <w:rPr>
          <w:rFonts w:ascii="Arial" w:cs="Arial" w:eastAsia="Arial" w:hAnsi="Arial"/>
          <w:sz w:val="11"/>
          <w:szCs w:val="11"/>
          <w:b w:val="1"/>
          <w:bCs w:val="1"/>
          <w:color w:val="6AAA37"/>
        </w:rPr>
      </w:pPr>
    </w:p>
    <w:p>
      <w:pPr>
        <w:ind w:left="160" w:right="399" w:hanging="158"/>
        <w:spacing w:after="0" w:line="285" w:lineRule="auto"/>
        <w:tabs>
          <w:tab w:leader="none" w:pos="160" w:val="left"/>
        </w:tabs>
        <w:numPr>
          <w:ilvl w:val="0"/>
          <w:numId w:val="49"/>
        </w:numPr>
        <w:rPr>
          <w:rFonts w:ascii="Arial" w:cs="Arial" w:eastAsia="Arial" w:hAnsi="Arial"/>
          <w:sz w:val="11"/>
          <w:szCs w:val="11"/>
          <w:b w:val="1"/>
          <w:bCs w:val="1"/>
          <w:color w:val="6AAA37"/>
        </w:rPr>
      </w:pPr>
      <w:r>
        <w:rPr>
          <w:rFonts w:ascii="Arial" w:cs="Arial" w:eastAsia="Arial" w:hAnsi="Arial"/>
          <w:sz w:val="11"/>
          <w:szCs w:val="11"/>
          <w:color w:val="auto"/>
        </w:rPr>
        <w:t>Maintains oversight of key governance programs related to export control, business conduct and ethics, data security, FCPA and other critical issues</w:t>
      </w:r>
    </w:p>
    <w:p>
      <w:pPr>
        <w:spacing w:after="0" w:line="200" w:lineRule="exact"/>
        <w:rPr>
          <w:rFonts w:ascii="Arial" w:cs="Arial" w:eastAsia="Arial" w:hAnsi="Arial"/>
          <w:sz w:val="11"/>
          <w:szCs w:val="11"/>
          <w:b w:val="1"/>
          <w:bCs w:val="1"/>
          <w:color w:val="6AAA37"/>
        </w:rPr>
      </w:pPr>
    </w:p>
    <w:p>
      <w:pPr>
        <w:spacing w:after="0" w:line="282" w:lineRule="exact"/>
        <w:rPr>
          <w:rFonts w:ascii="Arial" w:cs="Arial" w:eastAsia="Arial" w:hAnsi="Arial"/>
          <w:sz w:val="11"/>
          <w:szCs w:val="11"/>
          <w:b w:val="1"/>
          <w:bCs w:val="1"/>
          <w:color w:val="6AAA37"/>
        </w:rPr>
      </w:pPr>
    </w:p>
    <w:p>
      <w:pPr>
        <w:ind w:left="160" w:hanging="158"/>
        <w:spacing w:after="0"/>
        <w:tabs>
          <w:tab w:leader="none" w:pos="160" w:val="left"/>
        </w:tabs>
        <w:numPr>
          <w:ilvl w:val="0"/>
          <w:numId w:val="49"/>
        </w:numPr>
        <w:rPr>
          <w:rFonts w:ascii="Arial" w:cs="Arial" w:eastAsia="Arial" w:hAnsi="Arial"/>
          <w:sz w:val="10"/>
          <w:szCs w:val="10"/>
          <w:b w:val="1"/>
          <w:bCs w:val="1"/>
          <w:color w:val="6AAA37"/>
        </w:rPr>
      </w:pPr>
      <w:r>
        <w:rPr>
          <w:rFonts w:ascii="Arial" w:cs="Arial" w:eastAsia="Arial" w:hAnsi="Arial"/>
          <w:sz w:val="10"/>
          <w:szCs w:val="10"/>
          <w:color w:val="auto"/>
        </w:rPr>
        <w:t>Annually reviews a risk assessment of all Huron compensation plans to evaluate the potential for undue risk taking</w:t>
      </w:r>
    </w:p>
    <w:p>
      <w:pPr>
        <w:spacing w:after="0" w:line="74" w:lineRule="exact"/>
        <w:rPr>
          <w:rFonts w:ascii="Arial" w:cs="Arial" w:eastAsia="Arial" w:hAnsi="Arial"/>
          <w:sz w:val="10"/>
          <w:szCs w:val="10"/>
          <w:b w:val="1"/>
          <w:bCs w:val="1"/>
          <w:color w:val="6AAA37"/>
        </w:rPr>
      </w:pPr>
    </w:p>
    <w:p>
      <w:pPr>
        <w:jc w:val="both"/>
        <w:ind w:left="160" w:right="159" w:hanging="158"/>
        <w:spacing w:after="0" w:line="257" w:lineRule="auto"/>
        <w:tabs>
          <w:tab w:leader="none" w:pos="160" w:val="left"/>
        </w:tabs>
        <w:numPr>
          <w:ilvl w:val="0"/>
          <w:numId w:val="49"/>
        </w:numPr>
        <w:rPr>
          <w:rFonts w:ascii="Arial" w:cs="Arial" w:eastAsia="Arial" w:hAnsi="Arial"/>
          <w:sz w:val="11"/>
          <w:szCs w:val="11"/>
          <w:b w:val="1"/>
          <w:bCs w:val="1"/>
          <w:color w:val="6AAA37"/>
        </w:rPr>
      </w:pPr>
      <w:r>
        <w:rPr>
          <w:rFonts w:ascii="Arial" w:cs="Arial" w:eastAsia="Arial" w:hAnsi="Arial"/>
          <w:sz w:val="11"/>
          <w:szCs w:val="11"/>
          <w:color w:val="auto"/>
        </w:rPr>
        <w:t>Maintains oversight of the design and goals of compensation programs, including that of the NEOs, to assure that the plans are effective in motivating behavior that is in the best interests of the Company and the stockholders as well as recruiting and retaining top talent, one of the key risks of the Company</w:t>
      </w:r>
    </w:p>
    <w:p>
      <w:pPr>
        <w:spacing w:after="0" w:line="25" w:lineRule="exact"/>
        <w:rPr>
          <w:rFonts w:ascii="Arial" w:cs="Arial" w:eastAsia="Arial" w:hAnsi="Arial"/>
          <w:sz w:val="11"/>
          <w:szCs w:val="11"/>
          <w:b w:val="1"/>
          <w:bCs w:val="1"/>
          <w:color w:val="6AAA37"/>
        </w:rPr>
      </w:pPr>
    </w:p>
    <w:p>
      <w:pPr>
        <w:ind w:left="160" w:right="139" w:hanging="158"/>
        <w:spacing w:after="0" w:line="285" w:lineRule="auto"/>
        <w:tabs>
          <w:tab w:leader="none" w:pos="160" w:val="left"/>
        </w:tabs>
        <w:numPr>
          <w:ilvl w:val="0"/>
          <w:numId w:val="49"/>
        </w:numPr>
        <w:rPr>
          <w:rFonts w:ascii="Arial" w:cs="Arial" w:eastAsia="Arial" w:hAnsi="Arial"/>
          <w:sz w:val="11"/>
          <w:szCs w:val="11"/>
          <w:b w:val="1"/>
          <w:bCs w:val="1"/>
          <w:color w:val="6AAA37"/>
        </w:rPr>
      </w:pPr>
      <w:r>
        <w:rPr>
          <w:rFonts w:ascii="Arial" w:cs="Arial" w:eastAsia="Arial" w:hAnsi="Arial"/>
          <w:sz w:val="11"/>
          <w:szCs w:val="11"/>
          <w:color w:val="auto"/>
        </w:rPr>
        <w:t>Retains and consults with independent experts to review and assess our compensation programs and peer group, as well as market trends and regulatory updates and best practices</w:t>
      </w:r>
    </w:p>
    <w:p>
      <w:pPr>
        <w:spacing w:after="0" w:line="23" w:lineRule="exact"/>
        <w:rPr>
          <w:rFonts w:ascii="Arial" w:cs="Arial" w:eastAsia="Arial" w:hAnsi="Arial"/>
          <w:sz w:val="11"/>
          <w:szCs w:val="11"/>
          <w:b w:val="1"/>
          <w:bCs w:val="1"/>
          <w:color w:val="6AAA37"/>
        </w:rPr>
      </w:pPr>
    </w:p>
    <w:p>
      <w:pPr>
        <w:ind w:left="160" w:right="359" w:hanging="158"/>
        <w:spacing w:after="0" w:line="259" w:lineRule="auto"/>
        <w:tabs>
          <w:tab w:leader="none" w:pos="160" w:val="left"/>
        </w:tabs>
        <w:numPr>
          <w:ilvl w:val="0"/>
          <w:numId w:val="49"/>
        </w:numPr>
        <w:rPr>
          <w:rFonts w:ascii="Arial" w:cs="Arial" w:eastAsia="Arial" w:hAnsi="Arial"/>
          <w:sz w:val="11"/>
          <w:szCs w:val="11"/>
          <w:b w:val="1"/>
          <w:bCs w:val="1"/>
          <w:color w:val="6AAA37"/>
        </w:rPr>
      </w:pPr>
      <w:r>
        <w:rPr>
          <w:rFonts w:ascii="Arial" w:cs="Arial" w:eastAsia="Arial" w:hAnsi="Arial"/>
          <w:sz w:val="11"/>
          <w:szCs w:val="11"/>
          <w:color w:val="auto"/>
        </w:rPr>
        <w:t>Reviews reports regarding human capital matters, including employee benefit offerings, talent acquisition and retention and pay equity assessments</w:t>
      </w:r>
    </w:p>
    <w:p>
      <w:pPr>
        <w:spacing w:after="0" w:line="200" w:lineRule="exact"/>
        <w:rPr>
          <w:rFonts w:ascii="Arial" w:cs="Arial" w:eastAsia="Arial" w:hAnsi="Arial"/>
          <w:sz w:val="11"/>
          <w:szCs w:val="11"/>
          <w:b w:val="1"/>
          <w:bCs w:val="1"/>
          <w:color w:val="6AAA37"/>
        </w:rPr>
      </w:pPr>
    </w:p>
    <w:p>
      <w:pPr>
        <w:spacing w:after="0" w:line="200" w:lineRule="exact"/>
        <w:rPr>
          <w:rFonts w:ascii="Arial" w:cs="Arial" w:eastAsia="Arial" w:hAnsi="Arial"/>
          <w:sz w:val="11"/>
          <w:szCs w:val="11"/>
          <w:b w:val="1"/>
          <w:bCs w:val="1"/>
          <w:color w:val="6AAA37"/>
        </w:rPr>
      </w:pPr>
    </w:p>
    <w:p>
      <w:pPr>
        <w:spacing w:after="0" w:line="258" w:lineRule="exact"/>
        <w:rPr>
          <w:rFonts w:ascii="Arial" w:cs="Arial" w:eastAsia="Arial" w:hAnsi="Arial"/>
          <w:sz w:val="11"/>
          <w:szCs w:val="11"/>
          <w:b w:val="1"/>
          <w:bCs w:val="1"/>
          <w:color w:val="6AAA37"/>
        </w:rPr>
      </w:pPr>
    </w:p>
    <w:p>
      <w:pPr>
        <w:ind w:left="160" w:hanging="158"/>
        <w:spacing w:after="0"/>
        <w:tabs>
          <w:tab w:leader="none" w:pos="160" w:val="left"/>
        </w:tabs>
        <w:numPr>
          <w:ilvl w:val="0"/>
          <w:numId w:val="49"/>
        </w:numPr>
        <w:rPr>
          <w:rFonts w:ascii="Arial" w:cs="Arial" w:eastAsia="Arial" w:hAnsi="Arial"/>
          <w:sz w:val="11"/>
          <w:szCs w:val="11"/>
          <w:b w:val="1"/>
          <w:bCs w:val="1"/>
          <w:color w:val="6AAA37"/>
        </w:rPr>
      </w:pPr>
      <w:r>
        <w:rPr>
          <w:rFonts w:ascii="Arial" w:cs="Arial" w:eastAsia="Arial" w:hAnsi="Arial"/>
          <w:sz w:val="11"/>
          <w:szCs w:val="11"/>
          <w:color w:val="auto"/>
        </w:rPr>
        <w:t>Leads an annual self-assessment to evaluate the board’s and committees’ fulfillment of their roles</w:t>
      </w:r>
    </w:p>
    <w:p>
      <w:pPr>
        <w:spacing w:after="0" w:line="49" w:lineRule="exact"/>
        <w:rPr>
          <w:rFonts w:ascii="Arial" w:cs="Arial" w:eastAsia="Arial" w:hAnsi="Arial"/>
          <w:sz w:val="11"/>
          <w:szCs w:val="11"/>
          <w:b w:val="1"/>
          <w:bCs w:val="1"/>
          <w:color w:val="6AAA37"/>
        </w:rPr>
      </w:pPr>
    </w:p>
    <w:p>
      <w:pPr>
        <w:ind w:left="160" w:right="259" w:hanging="158"/>
        <w:spacing w:after="0" w:line="285" w:lineRule="auto"/>
        <w:tabs>
          <w:tab w:leader="none" w:pos="160" w:val="left"/>
        </w:tabs>
        <w:numPr>
          <w:ilvl w:val="0"/>
          <w:numId w:val="49"/>
        </w:numPr>
        <w:rPr>
          <w:rFonts w:ascii="Arial" w:cs="Arial" w:eastAsia="Arial" w:hAnsi="Arial"/>
          <w:sz w:val="11"/>
          <w:szCs w:val="11"/>
          <w:b w:val="1"/>
          <w:bCs w:val="1"/>
          <w:color w:val="6AAA37"/>
        </w:rPr>
      </w:pPr>
      <w:r>
        <w:rPr>
          <w:rFonts w:ascii="Arial" w:cs="Arial" w:eastAsia="Arial" w:hAnsi="Arial"/>
          <w:sz w:val="11"/>
          <w:szCs w:val="11"/>
          <w:color w:val="auto"/>
        </w:rPr>
        <w:t>Reviews board candidates to ensure they possess the experience and expertise required to effectively serve on Huron's board</w:t>
      </w:r>
    </w:p>
    <w:p>
      <w:pPr>
        <w:spacing w:after="0" w:line="10" w:lineRule="exact"/>
        <w:rPr>
          <w:rFonts w:ascii="Arial" w:cs="Arial" w:eastAsia="Arial" w:hAnsi="Arial"/>
          <w:sz w:val="11"/>
          <w:szCs w:val="11"/>
          <w:b w:val="1"/>
          <w:bCs w:val="1"/>
          <w:color w:val="6AAA37"/>
        </w:rPr>
      </w:pPr>
    </w:p>
    <w:p>
      <w:pPr>
        <w:ind w:left="160" w:hanging="158"/>
        <w:spacing w:after="0"/>
        <w:tabs>
          <w:tab w:leader="none" w:pos="160" w:val="left"/>
        </w:tabs>
        <w:numPr>
          <w:ilvl w:val="0"/>
          <w:numId w:val="49"/>
        </w:numPr>
        <w:rPr>
          <w:rFonts w:ascii="Arial" w:cs="Arial" w:eastAsia="Arial" w:hAnsi="Arial"/>
          <w:sz w:val="11"/>
          <w:szCs w:val="11"/>
          <w:b w:val="1"/>
          <w:bCs w:val="1"/>
          <w:color w:val="6AAA37"/>
        </w:rPr>
      </w:pPr>
      <w:r>
        <w:rPr>
          <w:rFonts w:ascii="Arial" w:cs="Arial" w:eastAsia="Arial" w:hAnsi="Arial"/>
          <w:sz w:val="11"/>
          <w:szCs w:val="11"/>
          <w:color w:val="auto"/>
        </w:rPr>
        <w:t>Annually reviews Huron's corporate governance guidelines to confirm they reflect best practices</w:t>
      </w:r>
    </w:p>
    <w:p>
      <w:pPr>
        <w:sectPr>
          <w:pgSz w:w="11900" w:h="16838" w:orient="portrait"/>
          <w:cols w:equalWidth="0" w:num="2">
            <w:col w:w="2780" w:space="540"/>
            <w:col w:w="5739"/>
          </w:cols>
          <w:pgMar w:left="1400" w:top="1440" w:right="1440" w:bottom="0" w:gutter="0" w:footer="0" w:header="0"/>
          <w:type w:val="continuous"/>
        </w:sectPr>
      </w:pPr>
    </w:p>
    <w:bookmarkStart w:id="26" w:name="page27"/>
    <w:bookmarkEnd w:id="26"/>
    <w:tbl>
      <w:tblPr>
        <w:tblLayout w:type="fixed"/>
        <w:tblInd w:w="80" w:type="dxa"/>
        <w:tblCellMar>
          <w:top w:w="0" w:type="dxa"/>
          <w:left w:w="0" w:type="dxa"/>
          <w:bottom w:w="0" w:type="dxa"/>
          <w:right w:w="0" w:type="dxa"/>
        </w:tblCellMar>
      </w:tblPr>
      <w:tr>
        <w:trPr>
          <w:trHeight w:val="126"/>
        </w:trPr>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60" w:type="dxa"/>
            <w:vAlign w:val="bottom"/>
            <w:gridSpan w:val="3"/>
            <w:vMerge w:val="restart"/>
          </w:tcPr>
          <w:p>
            <w:pPr>
              <w:spacing w:after="0"/>
              <w:rPr>
                <w:sz w:val="20"/>
                <w:szCs w:val="20"/>
                <w:color w:val="auto"/>
              </w:rPr>
            </w:pPr>
            <w:r>
              <w:rPr>
                <w:rFonts w:ascii="Arial" w:cs="Arial" w:eastAsia="Arial" w:hAnsi="Arial"/>
                <w:sz w:val="11"/>
                <w:szCs w:val="11"/>
                <w:b w:val="1"/>
                <w:bCs w:val="1"/>
                <w:color w:val="FFFFFF"/>
              </w:rPr>
              <w:t>MEMBERS: MR. MARKELL, MR. MCCARTNEY</w:t>
            </w:r>
          </w:p>
        </w:tc>
        <w:tc>
          <w:tcPr>
            <w:tcW w:w="180" w:type="dxa"/>
            <w:vAlign w:val="bottom"/>
          </w:tcPr>
          <w:p>
            <w:pPr>
              <w:spacing w:after="0"/>
              <w:rPr>
                <w:sz w:val="10"/>
                <w:szCs w:val="10"/>
                <w:color w:val="auto"/>
              </w:rPr>
            </w:pPr>
          </w:p>
        </w:tc>
        <w:tc>
          <w:tcPr>
            <w:tcW w:w="5880" w:type="dxa"/>
            <w:vAlign w:val="bottom"/>
            <w:shd w:val="clear" w:color="auto" w:fill="F2F3F2"/>
          </w:tcPr>
          <w:p>
            <w:pPr>
              <w:ind w:left="120"/>
              <w:spacing w:after="0"/>
              <w:rPr>
                <w:sz w:val="20"/>
                <w:szCs w:val="20"/>
                <w:color w:val="auto"/>
              </w:rPr>
            </w:pPr>
            <w:r>
              <w:rPr>
                <w:rFonts w:ascii="Arial" w:cs="Arial" w:eastAsia="Arial" w:hAnsi="Arial"/>
                <w:sz w:val="11"/>
                <w:szCs w:val="11"/>
                <w:b w:val="1"/>
                <w:bCs w:val="1"/>
                <w:color w:val="6AAA37"/>
              </w:rPr>
              <w:t xml:space="preserve">•  </w:t>
            </w:r>
            <w:r>
              <w:rPr>
                <w:rFonts w:ascii="Arial" w:cs="Arial" w:eastAsia="Arial" w:hAnsi="Arial"/>
                <w:sz w:val="11"/>
                <w:szCs w:val="11"/>
                <w:color w:val="000000"/>
              </w:rPr>
              <w:t>Oversees corporate governance initiatives, activities and practices, including corporate social responsibility and</w:t>
            </w:r>
          </w:p>
        </w:tc>
        <w:tc>
          <w:tcPr>
            <w:tcW w:w="0" w:type="dxa"/>
            <w:vAlign w:val="bottom"/>
          </w:tcPr>
          <w:p>
            <w:pPr>
              <w:spacing w:after="0"/>
              <w:rPr>
                <w:sz w:val="1"/>
                <w:szCs w:val="1"/>
                <w:color w:val="auto"/>
              </w:rPr>
            </w:pPr>
          </w:p>
        </w:tc>
      </w:tr>
      <w:tr>
        <w:trPr>
          <w:trHeight w:val="95"/>
        </w:trPr>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5880" w:type="dxa"/>
            <w:vAlign w:val="bottom"/>
            <w:shd w:val="clear" w:color="auto" w:fill="F2F3F2"/>
          </w:tcPr>
          <w:p>
            <w:pPr>
              <w:ind w:left="280"/>
              <w:spacing w:after="0" w:line="95" w:lineRule="exact"/>
              <w:rPr>
                <w:sz w:val="20"/>
                <w:szCs w:val="20"/>
                <w:color w:val="auto"/>
              </w:rPr>
            </w:pPr>
            <w:r>
              <w:rPr>
                <w:rFonts w:ascii="Arial" w:cs="Arial" w:eastAsia="Arial" w:hAnsi="Arial"/>
                <w:sz w:val="10"/>
                <w:szCs w:val="10"/>
                <w:color w:val="auto"/>
              </w:rPr>
              <w:t>sustainability matters</w:t>
            </w:r>
          </w:p>
        </w:tc>
        <w:tc>
          <w:tcPr>
            <w:tcW w:w="0" w:type="dxa"/>
            <w:vAlign w:val="bottom"/>
          </w:tcPr>
          <w:p>
            <w:pPr>
              <w:spacing w:after="0"/>
              <w:rPr>
                <w:sz w:val="1"/>
                <w:szCs w:val="1"/>
                <w:color w:val="auto"/>
              </w:rPr>
            </w:pPr>
          </w:p>
        </w:tc>
      </w:tr>
      <w:tr>
        <w:trPr>
          <w:trHeight w:val="148"/>
        </w:trPr>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60" w:type="dxa"/>
            <w:vAlign w:val="bottom"/>
            <w:gridSpan w:val="3"/>
          </w:tcPr>
          <w:p>
            <w:pPr>
              <w:spacing w:after="0"/>
              <w:rPr>
                <w:sz w:val="20"/>
                <w:szCs w:val="20"/>
                <w:color w:val="auto"/>
              </w:rPr>
            </w:pPr>
            <w:r>
              <w:rPr>
                <w:rFonts w:ascii="Arial" w:cs="Arial" w:eastAsia="Arial" w:hAnsi="Arial"/>
                <w:sz w:val="11"/>
                <w:szCs w:val="11"/>
                <w:b w:val="1"/>
                <w:bCs w:val="1"/>
                <w:color w:val="FFFFFF"/>
              </w:rPr>
              <w:t>AND MS. ZUMWALT</w:t>
            </w:r>
          </w:p>
        </w:tc>
        <w:tc>
          <w:tcPr>
            <w:tcW w:w="180" w:type="dxa"/>
            <w:vAlign w:val="bottom"/>
          </w:tcPr>
          <w:p>
            <w:pPr>
              <w:spacing w:after="0"/>
              <w:rPr>
                <w:sz w:val="12"/>
                <w:szCs w:val="12"/>
                <w:color w:val="auto"/>
              </w:rPr>
            </w:pPr>
          </w:p>
        </w:tc>
        <w:tc>
          <w:tcPr>
            <w:tcW w:w="5880" w:type="dxa"/>
            <w:vAlign w:val="bottom"/>
            <w:shd w:val="clear" w:color="auto" w:fill="F2F3F2"/>
          </w:tcPr>
          <w:p>
            <w:pPr>
              <w:spacing w:after="0"/>
              <w:rPr>
                <w:sz w:val="12"/>
                <w:szCs w:val="12"/>
                <w:color w:val="auto"/>
              </w:rPr>
            </w:pPr>
          </w:p>
        </w:tc>
        <w:tc>
          <w:tcPr>
            <w:tcW w:w="0" w:type="dxa"/>
            <w:vAlign w:val="bottom"/>
          </w:tcPr>
          <w:p>
            <w:pPr>
              <w:spacing w:after="0"/>
              <w:rPr>
                <w:sz w:val="1"/>
                <w:szCs w:val="1"/>
                <w:color w:val="auto"/>
              </w:rPr>
            </w:pPr>
          </w:p>
        </w:tc>
      </w:tr>
      <w:tr>
        <w:trPr>
          <w:trHeight w:val="41"/>
        </w:trPr>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60" w:type="dxa"/>
            <w:vAlign w:val="bottom"/>
            <w:gridSpan w:val="3"/>
            <w:vMerge w:val="restart"/>
          </w:tcPr>
          <w:p>
            <w:pPr>
              <w:spacing w:after="0"/>
              <w:rPr>
                <w:sz w:val="20"/>
                <w:szCs w:val="20"/>
                <w:color w:val="auto"/>
              </w:rPr>
            </w:pPr>
            <w:r>
              <w:rPr>
                <w:rFonts w:ascii="Arial" w:cs="Arial" w:eastAsia="Arial" w:hAnsi="Arial"/>
                <w:sz w:val="12"/>
                <w:szCs w:val="12"/>
                <w:b w:val="1"/>
                <w:bCs w:val="1"/>
                <w:color w:val="00558C"/>
              </w:rPr>
              <w:t>TECHNOLOGY &amp; INFORMATION SECURITY</w:t>
            </w:r>
          </w:p>
        </w:tc>
        <w:tc>
          <w:tcPr>
            <w:tcW w:w="180" w:type="dxa"/>
            <w:vAlign w:val="bottom"/>
            <w:tcBorders>
              <w:bottom w:val="single" w:sz="8" w:color="B2B3B6"/>
            </w:tcBorders>
          </w:tcPr>
          <w:p>
            <w:pPr>
              <w:spacing w:after="0"/>
              <w:rPr>
                <w:sz w:val="3"/>
                <w:szCs w:val="3"/>
                <w:color w:val="auto"/>
              </w:rPr>
            </w:pPr>
          </w:p>
        </w:tc>
        <w:tc>
          <w:tcPr>
            <w:tcW w:w="5880" w:type="dxa"/>
            <w:vAlign w:val="bottom"/>
            <w:tcBorders>
              <w:bottom w:val="single" w:sz="8" w:color="F2F3F2"/>
            </w:tcBorders>
            <w:shd w:val="clear" w:color="auto" w:fill="F2F3F2"/>
          </w:tcPr>
          <w:p>
            <w:pPr>
              <w:spacing w:after="0"/>
              <w:rPr>
                <w:sz w:val="3"/>
                <w:szCs w:val="3"/>
                <w:color w:val="auto"/>
              </w:rPr>
            </w:pPr>
          </w:p>
        </w:tc>
        <w:tc>
          <w:tcPr>
            <w:tcW w:w="0" w:type="dxa"/>
            <w:vAlign w:val="bottom"/>
          </w:tcPr>
          <w:p>
            <w:pPr>
              <w:spacing w:after="0"/>
              <w:rPr>
                <w:sz w:val="1"/>
                <w:szCs w:val="1"/>
                <w:color w:val="auto"/>
              </w:rPr>
            </w:pPr>
          </w:p>
        </w:tc>
      </w:tr>
      <w:tr>
        <w:trPr>
          <w:trHeight w:val="344"/>
        </w:trPr>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60" w:type="dxa"/>
            <w:vAlign w:val="bottom"/>
            <w:gridSpan w:val="3"/>
            <w:vMerge w:val="continue"/>
          </w:tcPr>
          <w:p>
            <w:pPr>
              <w:spacing w:after="0"/>
              <w:rPr>
                <w:sz w:val="24"/>
                <w:szCs w:val="24"/>
                <w:color w:val="auto"/>
              </w:rPr>
            </w:pPr>
          </w:p>
        </w:tc>
        <w:tc>
          <w:tcPr>
            <w:tcW w:w="180" w:type="dxa"/>
            <w:vAlign w:val="bottom"/>
            <w:vMerge w:val="restart"/>
          </w:tcPr>
          <w:p>
            <w:pPr>
              <w:spacing w:after="0"/>
              <w:rPr>
                <w:sz w:val="24"/>
                <w:szCs w:val="24"/>
                <w:color w:val="auto"/>
              </w:rPr>
            </w:pPr>
          </w:p>
        </w:tc>
        <w:tc>
          <w:tcPr>
            <w:tcW w:w="5880" w:type="dxa"/>
            <w:vAlign w:val="bottom"/>
            <w:shd w:val="clear" w:color="auto" w:fill="F2F3F2"/>
          </w:tcPr>
          <w:p>
            <w:pPr>
              <w:spacing w:after="0"/>
              <w:rPr>
                <w:sz w:val="24"/>
                <w:szCs w:val="24"/>
                <w:color w:val="auto"/>
              </w:rPr>
            </w:pPr>
          </w:p>
        </w:tc>
        <w:tc>
          <w:tcPr>
            <w:tcW w:w="0" w:type="dxa"/>
            <w:vAlign w:val="bottom"/>
          </w:tcPr>
          <w:p>
            <w:pPr>
              <w:spacing w:after="0"/>
              <w:rPr>
                <w:sz w:val="1"/>
                <w:szCs w:val="1"/>
                <w:color w:val="auto"/>
              </w:rPr>
            </w:pPr>
          </w:p>
        </w:tc>
      </w:tr>
      <w:tr>
        <w:trPr>
          <w:trHeight w:val="71"/>
        </w:trPr>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60" w:type="dxa"/>
            <w:vAlign w:val="bottom"/>
            <w:gridSpan w:val="3"/>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5880" w:type="dxa"/>
            <w:vAlign w:val="bottom"/>
          </w:tcPr>
          <w:p>
            <w:pPr>
              <w:ind w:left="120"/>
              <w:spacing w:after="0" w:line="71" w:lineRule="exact"/>
              <w:rPr>
                <w:sz w:val="20"/>
                <w:szCs w:val="20"/>
                <w:color w:val="auto"/>
              </w:rPr>
            </w:pPr>
            <w:r>
              <w:rPr>
                <w:rFonts w:ascii="Arial" w:cs="Arial" w:eastAsia="Arial" w:hAnsi="Arial"/>
                <w:sz w:val="8"/>
                <w:szCs w:val="8"/>
                <w:b w:val="1"/>
                <w:bCs w:val="1"/>
                <w:color w:val="6AAA37"/>
              </w:rPr>
              <w:t xml:space="preserve">•  </w:t>
            </w:r>
            <w:r>
              <w:rPr>
                <w:rFonts w:ascii="Arial" w:cs="Arial" w:eastAsia="Arial" w:hAnsi="Arial"/>
                <w:sz w:val="8"/>
                <w:szCs w:val="8"/>
                <w:color w:val="000000"/>
              </w:rPr>
              <w:t>Reviews technology-related strategies and makes recommendations regarding strategy execution</w:t>
            </w:r>
          </w:p>
        </w:tc>
        <w:tc>
          <w:tcPr>
            <w:tcW w:w="0" w:type="dxa"/>
            <w:vAlign w:val="bottom"/>
          </w:tcPr>
          <w:p>
            <w:pPr>
              <w:spacing w:after="0"/>
              <w:rPr>
                <w:sz w:val="1"/>
                <w:szCs w:val="1"/>
                <w:color w:val="auto"/>
              </w:rPr>
            </w:pPr>
          </w:p>
        </w:tc>
      </w:tr>
      <w:tr>
        <w:trPr>
          <w:trHeight w:val="160"/>
        </w:trPr>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60" w:type="dxa"/>
            <w:vAlign w:val="bottom"/>
            <w:gridSpan w:val="3"/>
          </w:tcPr>
          <w:p>
            <w:pPr>
              <w:spacing w:after="0"/>
              <w:rPr>
                <w:sz w:val="20"/>
                <w:szCs w:val="20"/>
                <w:color w:val="auto"/>
              </w:rPr>
            </w:pPr>
            <w:r>
              <w:rPr>
                <w:rFonts w:ascii="Arial" w:cs="Arial" w:eastAsia="Arial" w:hAnsi="Arial"/>
                <w:sz w:val="12"/>
                <w:szCs w:val="12"/>
                <w:b w:val="1"/>
                <w:bCs w:val="1"/>
                <w:color w:val="00558C"/>
              </w:rPr>
              <w:t>COMMITTEE</w:t>
            </w:r>
          </w:p>
        </w:tc>
        <w:tc>
          <w:tcPr>
            <w:tcW w:w="180" w:type="dxa"/>
            <w:vAlign w:val="bottom"/>
          </w:tcPr>
          <w:p>
            <w:pPr>
              <w:spacing w:after="0"/>
              <w:rPr>
                <w:sz w:val="13"/>
                <w:szCs w:val="13"/>
                <w:color w:val="auto"/>
              </w:rPr>
            </w:pPr>
          </w:p>
        </w:tc>
        <w:tc>
          <w:tcPr>
            <w:tcW w:w="5880" w:type="dxa"/>
            <w:vAlign w:val="bottom"/>
            <w:vMerge w:val="restart"/>
          </w:tcPr>
          <w:p>
            <w:pPr>
              <w:ind w:left="120"/>
              <w:spacing w:after="0"/>
              <w:rPr>
                <w:sz w:val="20"/>
                <w:szCs w:val="20"/>
                <w:color w:val="auto"/>
              </w:rPr>
            </w:pPr>
            <w:r>
              <w:rPr>
                <w:rFonts w:ascii="Arial" w:cs="Arial" w:eastAsia="Arial" w:hAnsi="Arial"/>
                <w:sz w:val="11"/>
                <w:szCs w:val="11"/>
                <w:b w:val="1"/>
                <w:bCs w:val="1"/>
                <w:color w:val="6AAA37"/>
              </w:rPr>
              <w:t xml:space="preserve">•  </w:t>
            </w:r>
            <w:r>
              <w:rPr>
                <w:rFonts w:ascii="Arial" w:cs="Arial" w:eastAsia="Arial" w:hAnsi="Arial"/>
                <w:sz w:val="11"/>
                <w:szCs w:val="11"/>
                <w:color w:val="000000"/>
              </w:rPr>
              <w:t>Oversees technology related risks including information security, data protection, cybersecurity, and business</w:t>
            </w:r>
          </w:p>
        </w:tc>
        <w:tc>
          <w:tcPr>
            <w:tcW w:w="0" w:type="dxa"/>
            <w:vAlign w:val="bottom"/>
          </w:tcPr>
          <w:p>
            <w:pPr>
              <w:spacing w:after="0"/>
              <w:rPr>
                <w:sz w:val="1"/>
                <w:szCs w:val="1"/>
                <w:color w:val="auto"/>
              </w:rPr>
            </w:pPr>
          </w:p>
        </w:tc>
      </w:tr>
      <w:tr>
        <w:trPr>
          <w:trHeight w:val="59"/>
        </w:trPr>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5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80" w:type="dxa"/>
            <w:vAlign w:val="bottom"/>
            <w:shd w:val="clear" w:color="auto" w:fill="F2F3F2"/>
          </w:tcPr>
          <w:p>
            <w:pPr>
              <w:ind w:left="280"/>
              <w:spacing w:after="0"/>
              <w:rPr>
                <w:sz w:val="20"/>
                <w:szCs w:val="20"/>
                <w:color w:val="auto"/>
              </w:rPr>
            </w:pPr>
            <w:r>
              <w:rPr>
                <w:rFonts w:ascii="Arial" w:cs="Arial" w:eastAsia="Arial" w:hAnsi="Arial"/>
                <w:sz w:val="11"/>
                <w:szCs w:val="11"/>
                <w:color w:val="auto"/>
              </w:rPr>
              <w:t>continuity</w:t>
            </w:r>
          </w:p>
        </w:tc>
        <w:tc>
          <w:tcPr>
            <w:tcW w:w="0" w:type="dxa"/>
            <w:vAlign w:val="bottom"/>
          </w:tcPr>
          <w:p>
            <w:pPr>
              <w:spacing w:after="0"/>
              <w:rPr>
                <w:sz w:val="1"/>
                <w:szCs w:val="1"/>
                <w:color w:val="auto"/>
              </w:rPr>
            </w:pPr>
          </w:p>
        </w:tc>
      </w:tr>
      <w:tr>
        <w:trPr>
          <w:trHeight w:val="142"/>
        </w:trPr>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80" w:type="dxa"/>
            <w:vAlign w:val="bottom"/>
            <w:shd w:val="clear" w:color="auto" w:fill="F2F3F2"/>
          </w:tcPr>
          <w:p>
            <w:pPr>
              <w:ind w:left="120"/>
              <w:spacing w:after="0"/>
              <w:rPr>
                <w:sz w:val="20"/>
                <w:szCs w:val="20"/>
                <w:color w:val="auto"/>
              </w:rPr>
            </w:pPr>
            <w:r>
              <w:rPr>
                <w:rFonts w:ascii="Arial" w:cs="Arial" w:eastAsia="Arial" w:hAnsi="Arial"/>
                <w:sz w:val="11"/>
                <w:szCs w:val="11"/>
                <w:b w:val="1"/>
                <w:bCs w:val="1"/>
                <w:color w:val="6AAA37"/>
              </w:rPr>
              <w:t xml:space="preserve">•  </w:t>
            </w:r>
            <w:r>
              <w:rPr>
                <w:rFonts w:ascii="Arial" w:cs="Arial" w:eastAsia="Arial" w:hAnsi="Arial"/>
                <w:sz w:val="11"/>
                <w:szCs w:val="11"/>
                <w:color w:val="000000"/>
              </w:rPr>
              <w:t>Receives periodic reports from management regarding significant technology-related investments and initiatives</w:t>
            </w:r>
          </w:p>
        </w:tc>
        <w:tc>
          <w:tcPr>
            <w:tcW w:w="0" w:type="dxa"/>
            <w:vAlign w:val="bottom"/>
          </w:tcPr>
          <w:p>
            <w:pPr>
              <w:spacing w:after="0"/>
              <w:rPr>
                <w:sz w:val="1"/>
                <w:szCs w:val="1"/>
                <w:color w:val="auto"/>
              </w:rPr>
            </w:pPr>
          </w:p>
        </w:tc>
      </w:tr>
      <w:tr>
        <w:trPr>
          <w:trHeight w:val="135"/>
        </w:trPr>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80" w:type="dxa"/>
            <w:vAlign w:val="bottom"/>
            <w:shd w:val="clear" w:color="auto" w:fill="F2F3F2"/>
          </w:tcPr>
          <w:p>
            <w:pPr>
              <w:ind w:left="280"/>
              <w:spacing w:after="0"/>
              <w:rPr>
                <w:sz w:val="20"/>
                <w:szCs w:val="20"/>
                <w:color w:val="auto"/>
              </w:rPr>
            </w:pPr>
            <w:r>
              <w:rPr>
                <w:rFonts w:ascii="Arial" w:cs="Arial" w:eastAsia="Arial" w:hAnsi="Arial"/>
                <w:sz w:val="11"/>
                <w:szCs w:val="11"/>
                <w:color w:val="auto"/>
              </w:rPr>
              <w:t>and operational performance</w:t>
            </w: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gridSpan w:val="2"/>
            <w:shd w:val="clear" w:color="auto" w:fill="6AAA37"/>
          </w:tcPr>
          <w:p>
            <w:pPr>
              <w:ind w:left="140"/>
              <w:spacing w:after="0"/>
              <w:rPr>
                <w:sz w:val="20"/>
                <w:szCs w:val="20"/>
                <w:color w:val="auto"/>
              </w:rPr>
            </w:pPr>
            <w:r>
              <w:rPr>
                <w:rFonts w:ascii="Arial" w:cs="Arial" w:eastAsia="Arial" w:hAnsi="Arial"/>
                <w:sz w:val="11"/>
                <w:szCs w:val="11"/>
                <w:b w:val="1"/>
                <w:bCs w:val="1"/>
                <w:color w:val="FFFFFF"/>
              </w:rPr>
              <w:t>CHAIR: MS. JOY T. BROWN</w:t>
            </w: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80" w:type="dxa"/>
            <w:vAlign w:val="bottom"/>
            <w:shd w:val="clear" w:color="auto" w:fill="F2F3F2"/>
          </w:tcPr>
          <w:p>
            <w:pPr>
              <w:ind w:left="120"/>
              <w:spacing w:after="0"/>
              <w:rPr>
                <w:sz w:val="20"/>
                <w:szCs w:val="20"/>
                <w:color w:val="auto"/>
              </w:rPr>
            </w:pPr>
            <w:r>
              <w:rPr>
                <w:rFonts w:ascii="Arial" w:cs="Arial" w:eastAsia="Arial" w:hAnsi="Arial"/>
                <w:sz w:val="11"/>
                <w:szCs w:val="11"/>
                <w:b w:val="1"/>
                <w:bCs w:val="1"/>
                <w:color w:val="6AAA37"/>
              </w:rPr>
              <w:t xml:space="preserve">•  </w:t>
            </w:r>
            <w:r>
              <w:rPr>
                <w:rFonts w:ascii="Arial" w:cs="Arial" w:eastAsia="Arial" w:hAnsi="Arial"/>
                <w:sz w:val="11"/>
                <w:szCs w:val="11"/>
                <w:color w:val="000000"/>
              </w:rPr>
              <w:t>Monitors and evaluates existing and future trends in technology</w:t>
            </w:r>
          </w:p>
        </w:tc>
        <w:tc>
          <w:tcPr>
            <w:tcW w:w="0" w:type="dxa"/>
            <w:vAlign w:val="bottom"/>
          </w:tcPr>
          <w:p>
            <w:pPr>
              <w:spacing w:after="0"/>
              <w:rPr>
                <w:sz w:val="1"/>
                <w:szCs w:val="1"/>
                <w:color w:val="auto"/>
              </w:rPr>
            </w:pPr>
          </w:p>
        </w:tc>
      </w:tr>
      <w:tr>
        <w:trPr>
          <w:trHeight w:val="68"/>
        </w:trPr>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80" w:type="dxa"/>
            <w:vAlign w:val="bottom"/>
            <w:tcBorders>
              <w:right w:val="single" w:sz="8" w:color="B2B3B6"/>
            </w:tcBorders>
          </w:tcPr>
          <w:p>
            <w:pPr>
              <w:spacing w:after="0"/>
              <w:rPr>
                <w:sz w:val="5"/>
                <w:szCs w:val="5"/>
                <w:color w:val="auto"/>
              </w:rPr>
            </w:pPr>
          </w:p>
        </w:tc>
        <w:tc>
          <w:tcPr>
            <w:tcW w:w="5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80" w:type="dxa"/>
            <w:vAlign w:val="bottom"/>
            <w:vMerge w:val="restart"/>
            <w:shd w:val="clear" w:color="auto" w:fill="F2F3F2"/>
          </w:tcPr>
          <w:p>
            <w:pPr>
              <w:ind w:left="120"/>
              <w:spacing w:after="0"/>
              <w:rPr>
                <w:sz w:val="20"/>
                <w:szCs w:val="20"/>
                <w:color w:val="auto"/>
              </w:rPr>
            </w:pPr>
            <w:r>
              <w:rPr>
                <w:rFonts w:ascii="Arial" w:cs="Arial" w:eastAsia="Arial" w:hAnsi="Arial"/>
                <w:sz w:val="11"/>
                <w:szCs w:val="11"/>
                <w:b w:val="1"/>
                <w:bCs w:val="1"/>
                <w:color w:val="6AAA37"/>
              </w:rPr>
              <w:t xml:space="preserve">•  </w:t>
            </w:r>
            <w:r>
              <w:rPr>
                <w:rFonts w:ascii="Arial" w:cs="Arial" w:eastAsia="Arial" w:hAnsi="Arial"/>
                <w:sz w:val="11"/>
                <w:szCs w:val="11"/>
                <w:color w:val="000000"/>
              </w:rPr>
              <w:t>Reviews the adequacy of processes, tools and leadership in connection with technology-related strategies</w:t>
            </w:r>
          </w:p>
        </w:tc>
        <w:tc>
          <w:tcPr>
            <w:tcW w:w="0" w:type="dxa"/>
            <w:vAlign w:val="bottom"/>
          </w:tcPr>
          <w:p>
            <w:pPr>
              <w:spacing w:after="0"/>
              <w:rPr>
                <w:sz w:val="1"/>
                <w:szCs w:val="1"/>
                <w:color w:val="auto"/>
              </w:rPr>
            </w:pPr>
          </w:p>
        </w:tc>
      </w:tr>
      <w:tr>
        <w:trPr>
          <w:trHeight w:val="135"/>
        </w:trPr>
        <w:tc>
          <w:tcPr>
            <w:tcW w:w="160" w:type="dxa"/>
            <w:vAlign w:val="bottom"/>
          </w:tcPr>
          <w:p>
            <w:pPr>
              <w:spacing w:after="0"/>
              <w:rPr>
                <w:sz w:val="11"/>
                <w:szCs w:val="11"/>
                <w:color w:val="auto"/>
              </w:rPr>
            </w:pPr>
          </w:p>
        </w:tc>
        <w:tc>
          <w:tcPr>
            <w:tcW w:w="120" w:type="dxa"/>
            <w:vAlign w:val="bottom"/>
            <w:shd w:val="clear" w:color="auto" w:fill="00558C"/>
          </w:tcPr>
          <w:p>
            <w:pPr>
              <w:spacing w:after="0"/>
              <w:rPr>
                <w:sz w:val="11"/>
                <w:szCs w:val="11"/>
                <w:color w:val="auto"/>
              </w:rPr>
            </w:pPr>
          </w:p>
        </w:tc>
        <w:tc>
          <w:tcPr>
            <w:tcW w:w="2660" w:type="dxa"/>
            <w:vAlign w:val="bottom"/>
            <w:gridSpan w:val="3"/>
            <w:vMerge w:val="restart"/>
            <w:shd w:val="clear" w:color="auto" w:fill="00558C"/>
          </w:tcPr>
          <w:p>
            <w:pPr>
              <w:spacing w:after="0"/>
              <w:rPr>
                <w:sz w:val="20"/>
                <w:szCs w:val="20"/>
                <w:color w:val="auto"/>
              </w:rPr>
            </w:pPr>
            <w:r>
              <w:rPr>
                <w:rFonts w:ascii="Arial" w:cs="Arial" w:eastAsia="Arial" w:hAnsi="Arial"/>
                <w:sz w:val="11"/>
                <w:szCs w:val="11"/>
                <w:b w:val="1"/>
                <w:bCs w:val="1"/>
                <w:color w:val="FFFFFF"/>
              </w:rPr>
              <w:t>MEMBERS: MR. MARKELL, MS. SINGH-</w:t>
            </w:r>
          </w:p>
        </w:tc>
        <w:tc>
          <w:tcPr>
            <w:tcW w:w="180" w:type="dxa"/>
            <w:vAlign w:val="bottom"/>
          </w:tcPr>
          <w:p>
            <w:pPr>
              <w:spacing w:after="0"/>
              <w:rPr>
                <w:sz w:val="11"/>
                <w:szCs w:val="11"/>
                <w:color w:val="auto"/>
              </w:rPr>
            </w:pPr>
          </w:p>
        </w:tc>
        <w:tc>
          <w:tcPr>
            <w:tcW w:w="5880" w:type="dxa"/>
            <w:vAlign w:val="bottom"/>
            <w:vMerge w:val="continue"/>
            <w:shd w:val="clear" w:color="auto" w:fill="F2F3F2"/>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160" w:type="dxa"/>
            <w:vAlign w:val="bottom"/>
          </w:tcPr>
          <w:p>
            <w:pPr>
              <w:spacing w:after="0"/>
              <w:rPr>
                <w:sz w:val="3"/>
                <w:szCs w:val="3"/>
                <w:color w:val="auto"/>
              </w:rPr>
            </w:pPr>
          </w:p>
        </w:tc>
        <w:tc>
          <w:tcPr>
            <w:tcW w:w="120" w:type="dxa"/>
            <w:vAlign w:val="bottom"/>
            <w:shd w:val="clear" w:color="auto" w:fill="00558C"/>
          </w:tcPr>
          <w:p>
            <w:pPr>
              <w:spacing w:after="0"/>
              <w:rPr>
                <w:sz w:val="3"/>
                <w:szCs w:val="3"/>
                <w:color w:val="auto"/>
              </w:rPr>
            </w:pPr>
          </w:p>
        </w:tc>
        <w:tc>
          <w:tcPr>
            <w:tcW w:w="2660" w:type="dxa"/>
            <w:vAlign w:val="bottom"/>
            <w:gridSpan w:val="3"/>
            <w:vMerge w:val="continue"/>
            <w:shd w:val="clear" w:color="auto" w:fill="00558C"/>
          </w:tcPr>
          <w:p>
            <w:pPr>
              <w:spacing w:after="0"/>
              <w:rPr>
                <w:sz w:val="3"/>
                <w:szCs w:val="3"/>
                <w:color w:val="auto"/>
              </w:rPr>
            </w:pPr>
          </w:p>
        </w:tc>
        <w:tc>
          <w:tcPr>
            <w:tcW w:w="180" w:type="dxa"/>
            <w:vAlign w:val="bottom"/>
          </w:tcPr>
          <w:p>
            <w:pPr>
              <w:spacing w:after="0"/>
              <w:rPr>
                <w:sz w:val="3"/>
                <w:szCs w:val="3"/>
                <w:color w:val="auto"/>
              </w:rPr>
            </w:pPr>
          </w:p>
        </w:tc>
        <w:tc>
          <w:tcPr>
            <w:tcW w:w="5880" w:type="dxa"/>
            <w:vAlign w:val="bottom"/>
            <w:shd w:val="clear" w:color="auto" w:fill="F2F3F2"/>
          </w:tcPr>
          <w:p>
            <w:pPr>
              <w:spacing w:after="0"/>
              <w:rPr>
                <w:sz w:val="3"/>
                <w:szCs w:val="3"/>
                <w:color w:val="auto"/>
              </w:rPr>
            </w:pPr>
          </w:p>
        </w:tc>
        <w:tc>
          <w:tcPr>
            <w:tcW w:w="0" w:type="dxa"/>
            <w:vAlign w:val="bottom"/>
          </w:tcPr>
          <w:p>
            <w:pPr>
              <w:spacing w:after="0"/>
              <w:rPr>
                <w:sz w:val="1"/>
                <w:szCs w:val="1"/>
                <w:color w:val="auto"/>
              </w:rPr>
            </w:pPr>
          </w:p>
        </w:tc>
      </w:tr>
      <w:tr>
        <w:trPr>
          <w:trHeight w:val="122"/>
        </w:trPr>
        <w:tc>
          <w:tcPr>
            <w:tcW w:w="160" w:type="dxa"/>
            <w:vAlign w:val="bottom"/>
          </w:tcPr>
          <w:p>
            <w:pPr>
              <w:spacing w:after="0"/>
              <w:rPr>
                <w:sz w:val="10"/>
                <w:szCs w:val="10"/>
                <w:color w:val="auto"/>
              </w:rPr>
            </w:pPr>
          </w:p>
        </w:tc>
        <w:tc>
          <w:tcPr>
            <w:tcW w:w="120" w:type="dxa"/>
            <w:vAlign w:val="bottom"/>
            <w:shd w:val="clear" w:color="auto" w:fill="00558C"/>
          </w:tcPr>
          <w:p>
            <w:pPr>
              <w:spacing w:after="0"/>
              <w:rPr>
                <w:sz w:val="10"/>
                <w:szCs w:val="10"/>
                <w:color w:val="auto"/>
              </w:rPr>
            </w:pPr>
          </w:p>
        </w:tc>
        <w:tc>
          <w:tcPr>
            <w:tcW w:w="2660" w:type="dxa"/>
            <w:vAlign w:val="bottom"/>
            <w:gridSpan w:val="3"/>
            <w:shd w:val="clear" w:color="auto" w:fill="00558C"/>
          </w:tcPr>
          <w:p>
            <w:pPr>
              <w:spacing w:after="0" w:line="122" w:lineRule="exact"/>
              <w:rPr>
                <w:sz w:val="20"/>
                <w:szCs w:val="20"/>
                <w:color w:val="auto"/>
              </w:rPr>
            </w:pPr>
            <w:r>
              <w:rPr>
                <w:rFonts w:ascii="Arial" w:cs="Arial" w:eastAsia="Arial" w:hAnsi="Arial"/>
                <w:sz w:val="11"/>
                <w:szCs w:val="11"/>
                <w:b w:val="1"/>
                <w:bCs w:val="1"/>
                <w:color w:val="FFFFFF"/>
              </w:rPr>
              <w:t>BUSHELL AND MS. ZUMWALT</w:t>
            </w:r>
          </w:p>
        </w:tc>
        <w:tc>
          <w:tcPr>
            <w:tcW w:w="180" w:type="dxa"/>
            <w:vAlign w:val="bottom"/>
          </w:tcPr>
          <w:p>
            <w:pPr>
              <w:spacing w:after="0"/>
              <w:rPr>
                <w:sz w:val="10"/>
                <w:szCs w:val="10"/>
                <w:color w:val="auto"/>
              </w:rPr>
            </w:pPr>
          </w:p>
        </w:tc>
        <w:tc>
          <w:tcPr>
            <w:tcW w:w="5880" w:type="dxa"/>
            <w:vAlign w:val="bottom"/>
            <w:shd w:val="clear" w:color="auto" w:fill="F2F3F2"/>
          </w:tcPr>
          <w:p>
            <w:pPr>
              <w:ind w:left="120"/>
              <w:spacing w:after="0" w:line="122" w:lineRule="exact"/>
              <w:rPr>
                <w:sz w:val="20"/>
                <w:szCs w:val="20"/>
                <w:color w:val="auto"/>
              </w:rPr>
            </w:pPr>
            <w:r>
              <w:rPr>
                <w:rFonts w:ascii="Arial" w:cs="Arial" w:eastAsia="Arial" w:hAnsi="Arial"/>
                <w:sz w:val="11"/>
                <w:szCs w:val="11"/>
                <w:b w:val="1"/>
                <w:bCs w:val="1"/>
                <w:color w:val="6AAA37"/>
              </w:rPr>
              <w:t xml:space="preserve">•  </w:t>
            </w:r>
            <w:r>
              <w:rPr>
                <w:rFonts w:ascii="Arial" w:cs="Arial" w:eastAsia="Arial" w:hAnsi="Arial"/>
                <w:sz w:val="11"/>
                <w:szCs w:val="11"/>
                <w:i w:val="1"/>
                <w:iCs w:val="1"/>
                <w:color w:val="000000"/>
              </w:rPr>
              <w:t>In coordination with the Audit Committee</w:t>
            </w:r>
            <w:r>
              <w:rPr>
                <w:rFonts w:ascii="Arial" w:cs="Arial" w:eastAsia="Arial" w:hAnsi="Arial"/>
                <w:sz w:val="11"/>
                <w:szCs w:val="11"/>
                <w:color w:val="000000"/>
              </w:rPr>
              <w:t>, analyzes the major technology and related operational risk exposure of</w:t>
            </w:r>
          </w:p>
        </w:tc>
        <w:tc>
          <w:tcPr>
            <w:tcW w:w="0" w:type="dxa"/>
            <w:vAlign w:val="bottom"/>
          </w:tcPr>
          <w:p>
            <w:pPr>
              <w:spacing w:after="0"/>
              <w:rPr>
                <w:sz w:val="1"/>
                <w:szCs w:val="1"/>
                <w:color w:val="auto"/>
              </w:rPr>
            </w:pPr>
          </w:p>
        </w:tc>
      </w:tr>
      <w:tr>
        <w:trPr>
          <w:trHeight w:val="142"/>
        </w:trPr>
        <w:tc>
          <w:tcPr>
            <w:tcW w:w="160" w:type="dxa"/>
            <w:vAlign w:val="bottom"/>
          </w:tcPr>
          <w:p>
            <w:pPr>
              <w:spacing w:after="0"/>
              <w:rPr>
                <w:sz w:val="12"/>
                <w:szCs w:val="12"/>
                <w:color w:val="auto"/>
              </w:rPr>
            </w:pPr>
          </w:p>
        </w:tc>
        <w:tc>
          <w:tcPr>
            <w:tcW w:w="120" w:type="dxa"/>
            <w:vAlign w:val="bottom"/>
            <w:shd w:val="clear" w:color="auto" w:fill="00558C"/>
          </w:tcPr>
          <w:p>
            <w:pPr>
              <w:spacing w:after="0"/>
              <w:rPr>
                <w:sz w:val="12"/>
                <w:szCs w:val="12"/>
                <w:color w:val="auto"/>
              </w:rPr>
            </w:pPr>
          </w:p>
        </w:tc>
        <w:tc>
          <w:tcPr>
            <w:tcW w:w="1280" w:type="dxa"/>
            <w:vAlign w:val="bottom"/>
            <w:tcBorders>
              <w:right w:val="single" w:sz="8" w:color="00558C"/>
            </w:tcBorders>
            <w:shd w:val="clear" w:color="auto" w:fill="00558C"/>
          </w:tcPr>
          <w:p>
            <w:pPr>
              <w:spacing w:after="0"/>
              <w:rPr>
                <w:sz w:val="12"/>
                <w:szCs w:val="12"/>
                <w:color w:val="auto"/>
              </w:rPr>
            </w:pPr>
          </w:p>
        </w:tc>
        <w:tc>
          <w:tcPr>
            <w:tcW w:w="500" w:type="dxa"/>
            <w:vAlign w:val="bottom"/>
            <w:shd w:val="clear" w:color="auto" w:fill="00558C"/>
          </w:tcPr>
          <w:p>
            <w:pPr>
              <w:spacing w:after="0"/>
              <w:rPr>
                <w:sz w:val="12"/>
                <w:szCs w:val="12"/>
                <w:color w:val="auto"/>
              </w:rPr>
            </w:pPr>
          </w:p>
        </w:tc>
        <w:tc>
          <w:tcPr>
            <w:tcW w:w="880" w:type="dxa"/>
            <w:vAlign w:val="bottom"/>
            <w:shd w:val="clear" w:color="auto" w:fill="00558C"/>
          </w:tcPr>
          <w:p>
            <w:pPr>
              <w:spacing w:after="0"/>
              <w:rPr>
                <w:sz w:val="12"/>
                <w:szCs w:val="12"/>
                <w:color w:val="auto"/>
              </w:rPr>
            </w:pPr>
          </w:p>
        </w:tc>
        <w:tc>
          <w:tcPr>
            <w:tcW w:w="180" w:type="dxa"/>
            <w:vAlign w:val="bottom"/>
          </w:tcPr>
          <w:p>
            <w:pPr>
              <w:spacing w:after="0"/>
              <w:rPr>
                <w:sz w:val="12"/>
                <w:szCs w:val="12"/>
                <w:color w:val="auto"/>
              </w:rPr>
            </w:pPr>
          </w:p>
        </w:tc>
        <w:tc>
          <w:tcPr>
            <w:tcW w:w="5880" w:type="dxa"/>
            <w:vAlign w:val="bottom"/>
            <w:shd w:val="clear" w:color="auto" w:fill="F2F3F2"/>
          </w:tcPr>
          <w:p>
            <w:pPr>
              <w:ind w:left="280"/>
              <w:spacing w:after="0"/>
              <w:rPr>
                <w:sz w:val="20"/>
                <w:szCs w:val="20"/>
                <w:color w:val="auto"/>
              </w:rPr>
            </w:pPr>
            <w:r>
              <w:rPr>
                <w:rFonts w:ascii="Arial" w:cs="Arial" w:eastAsia="Arial" w:hAnsi="Arial"/>
                <w:sz w:val="11"/>
                <w:szCs w:val="11"/>
                <w:color w:val="auto"/>
              </w:rPr>
              <w:t>the Company</w:t>
            </w:r>
          </w:p>
        </w:tc>
        <w:tc>
          <w:tcPr>
            <w:tcW w:w="0" w:type="dxa"/>
            <w:vAlign w:val="bottom"/>
          </w:tcPr>
          <w:p>
            <w:pPr>
              <w:spacing w:after="0"/>
              <w:rPr>
                <w:sz w:val="1"/>
                <w:szCs w:val="1"/>
                <w:color w:val="auto"/>
              </w:rPr>
            </w:pPr>
          </w:p>
        </w:tc>
      </w:tr>
      <w:tr>
        <w:trPr>
          <w:trHeight w:val="61"/>
        </w:trPr>
        <w:tc>
          <w:tcPr>
            <w:tcW w:w="160" w:type="dxa"/>
            <w:vAlign w:val="bottom"/>
          </w:tcPr>
          <w:p>
            <w:pPr>
              <w:spacing w:after="0"/>
              <w:rPr>
                <w:sz w:val="5"/>
                <w:szCs w:val="5"/>
                <w:color w:val="auto"/>
              </w:rPr>
            </w:pPr>
          </w:p>
        </w:tc>
        <w:tc>
          <w:tcPr>
            <w:tcW w:w="120" w:type="dxa"/>
            <w:vAlign w:val="bottom"/>
            <w:tcBorders>
              <w:bottom w:val="single" w:sz="8" w:color="00558C"/>
            </w:tcBorders>
            <w:shd w:val="clear" w:color="auto" w:fill="00558C"/>
          </w:tcPr>
          <w:p>
            <w:pPr>
              <w:spacing w:after="0"/>
              <w:rPr>
                <w:sz w:val="5"/>
                <w:szCs w:val="5"/>
                <w:color w:val="auto"/>
              </w:rPr>
            </w:pPr>
          </w:p>
        </w:tc>
        <w:tc>
          <w:tcPr>
            <w:tcW w:w="2660" w:type="dxa"/>
            <w:vAlign w:val="bottom"/>
            <w:tcBorders>
              <w:bottom w:val="single" w:sz="8" w:color="00558C"/>
            </w:tcBorders>
            <w:gridSpan w:val="3"/>
            <w:vMerge w:val="restart"/>
            <w:shd w:val="clear" w:color="auto" w:fill="00558C"/>
          </w:tcPr>
          <w:p>
            <w:pPr>
              <w:spacing w:after="0"/>
              <w:rPr>
                <w:sz w:val="20"/>
                <w:szCs w:val="20"/>
                <w:color w:val="auto"/>
              </w:rPr>
            </w:pPr>
            <w:r>
              <w:rPr>
                <w:rFonts w:ascii="Arial" w:cs="Arial" w:eastAsia="Arial" w:hAnsi="Arial"/>
                <w:sz w:val="12"/>
                <w:szCs w:val="12"/>
                <w:b w:val="1"/>
                <w:bCs w:val="1"/>
                <w:color w:val="00558C"/>
              </w:rPr>
              <w:t>FINANCE &amp; CAPITAL ALLOCATION</w:t>
            </w:r>
          </w:p>
        </w:tc>
        <w:tc>
          <w:tcPr>
            <w:tcW w:w="180" w:type="dxa"/>
            <w:vAlign w:val="bottom"/>
            <w:tcBorders>
              <w:bottom w:val="single" w:sz="8" w:color="B2B3B6"/>
            </w:tcBorders>
          </w:tcPr>
          <w:p>
            <w:pPr>
              <w:spacing w:after="0"/>
              <w:rPr>
                <w:sz w:val="5"/>
                <w:szCs w:val="5"/>
                <w:color w:val="auto"/>
              </w:rPr>
            </w:pPr>
          </w:p>
        </w:tc>
        <w:tc>
          <w:tcPr>
            <w:tcW w:w="5880" w:type="dxa"/>
            <w:vAlign w:val="bottom"/>
            <w:tcBorders>
              <w:bottom w:val="single" w:sz="8" w:color="F2F3F2"/>
            </w:tcBorders>
            <w:vMerge w:val="restart"/>
            <w:shd w:val="clear" w:color="auto" w:fill="F2F3F2"/>
          </w:tcPr>
          <w:p>
            <w:pPr>
              <w:ind w:left="120"/>
              <w:spacing w:after="0"/>
              <w:rPr>
                <w:sz w:val="20"/>
                <w:szCs w:val="20"/>
                <w:color w:val="auto"/>
              </w:rPr>
            </w:pPr>
            <w:r>
              <w:rPr>
                <w:rFonts w:ascii="Arial" w:cs="Arial" w:eastAsia="Arial" w:hAnsi="Arial"/>
                <w:sz w:val="11"/>
                <w:szCs w:val="11"/>
                <w:b w:val="1"/>
                <w:bCs w:val="1"/>
                <w:color w:val="6AAA37"/>
              </w:rPr>
              <w:t xml:space="preserve">•  </w:t>
            </w:r>
            <w:r>
              <w:rPr>
                <w:rFonts w:ascii="Arial" w:cs="Arial" w:eastAsia="Arial" w:hAnsi="Arial"/>
                <w:sz w:val="11"/>
                <w:szCs w:val="11"/>
                <w:color w:val="000000"/>
              </w:rPr>
              <w:t>Reviews the Company’s capital structure and ongoing financing strategy and, as appropriate, makes</w:t>
            </w:r>
          </w:p>
        </w:tc>
        <w:tc>
          <w:tcPr>
            <w:tcW w:w="0" w:type="dxa"/>
            <w:vAlign w:val="bottom"/>
          </w:tcPr>
          <w:p>
            <w:pPr>
              <w:spacing w:after="0"/>
              <w:rPr>
                <w:sz w:val="1"/>
                <w:szCs w:val="1"/>
                <w:color w:val="auto"/>
              </w:rPr>
            </w:pPr>
          </w:p>
        </w:tc>
      </w:tr>
      <w:tr>
        <w:trPr>
          <w:trHeight w:val="459"/>
        </w:trPr>
        <w:tc>
          <w:tcPr>
            <w:tcW w:w="160" w:type="dxa"/>
            <w:vAlign w:val="bottom"/>
          </w:tcPr>
          <w:p>
            <w:pPr>
              <w:spacing w:after="0"/>
              <w:rPr>
                <w:sz w:val="24"/>
                <w:szCs w:val="24"/>
                <w:color w:val="auto"/>
              </w:rPr>
            </w:pPr>
          </w:p>
        </w:tc>
        <w:tc>
          <w:tcPr>
            <w:tcW w:w="120" w:type="dxa"/>
            <w:vAlign w:val="bottom"/>
            <w:tcBorders>
              <w:bottom w:val="single" w:sz="8" w:color="00558C"/>
            </w:tcBorders>
            <w:shd w:val="clear" w:color="auto" w:fill="00558C"/>
          </w:tcPr>
          <w:p>
            <w:pPr>
              <w:spacing w:after="0"/>
              <w:rPr>
                <w:sz w:val="24"/>
                <w:szCs w:val="24"/>
                <w:color w:val="auto"/>
              </w:rPr>
            </w:pPr>
          </w:p>
        </w:tc>
        <w:tc>
          <w:tcPr>
            <w:tcW w:w="2660" w:type="dxa"/>
            <w:vAlign w:val="bottom"/>
            <w:tcBorders>
              <w:bottom w:val="single" w:sz="8" w:color="00558C"/>
            </w:tcBorders>
            <w:gridSpan w:val="3"/>
            <w:vMerge w:val="continue"/>
            <w:shd w:val="clear" w:color="auto" w:fill="00558C"/>
          </w:tcPr>
          <w:p>
            <w:pPr>
              <w:spacing w:after="0"/>
              <w:rPr>
                <w:sz w:val="24"/>
                <w:szCs w:val="24"/>
                <w:color w:val="auto"/>
              </w:rPr>
            </w:pPr>
          </w:p>
        </w:tc>
        <w:tc>
          <w:tcPr>
            <w:tcW w:w="180" w:type="dxa"/>
            <w:vAlign w:val="bottom"/>
          </w:tcPr>
          <w:p>
            <w:pPr>
              <w:spacing w:after="0"/>
              <w:rPr>
                <w:sz w:val="24"/>
                <w:szCs w:val="24"/>
                <w:color w:val="auto"/>
              </w:rPr>
            </w:pPr>
          </w:p>
        </w:tc>
        <w:tc>
          <w:tcPr>
            <w:tcW w:w="5880" w:type="dxa"/>
            <w:vAlign w:val="bottom"/>
            <w:tcBorders>
              <w:bottom w:val="single" w:sz="8" w:color="F2F3F2"/>
            </w:tcBorders>
            <w:vMerge w:val="continue"/>
            <w:shd w:val="clear" w:color="auto" w:fill="F2F3F2"/>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60" w:type="dxa"/>
            <w:vAlign w:val="bottom"/>
            <w:gridSpan w:val="3"/>
          </w:tcPr>
          <w:p>
            <w:pPr>
              <w:spacing w:after="0" w:line="135" w:lineRule="exact"/>
              <w:rPr>
                <w:sz w:val="20"/>
                <w:szCs w:val="20"/>
                <w:color w:val="auto"/>
              </w:rPr>
            </w:pPr>
            <w:r>
              <w:rPr>
                <w:rFonts w:ascii="Arial" w:cs="Arial" w:eastAsia="Arial" w:hAnsi="Arial"/>
                <w:sz w:val="12"/>
                <w:szCs w:val="12"/>
                <w:b w:val="1"/>
                <w:bCs w:val="1"/>
                <w:color w:val="00558C"/>
              </w:rPr>
              <w:t>COMMITTEE</w:t>
            </w:r>
          </w:p>
        </w:tc>
        <w:tc>
          <w:tcPr>
            <w:tcW w:w="180" w:type="dxa"/>
            <w:vAlign w:val="bottom"/>
          </w:tcPr>
          <w:p>
            <w:pPr>
              <w:spacing w:after="0"/>
              <w:rPr>
                <w:sz w:val="12"/>
                <w:szCs w:val="12"/>
                <w:color w:val="auto"/>
              </w:rPr>
            </w:pPr>
          </w:p>
        </w:tc>
        <w:tc>
          <w:tcPr>
            <w:tcW w:w="5880" w:type="dxa"/>
            <w:vAlign w:val="bottom"/>
          </w:tcPr>
          <w:p>
            <w:pPr>
              <w:ind w:left="280"/>
              <w:spacing w:after="0"/>
              <w:rPr>
                <w:sz w:val="20"/>
                <w:szCs w:val="20"/>
                <w:color w:val="auto"/>
              </w:rPr>
            </w:pPr>
            <w:r>
              <w:rPr>
                <w:rFonts w:ascii="Arial" w:cs="Arial" w:eastAsia="Arial" w:hAnsi="Arial"/>
                <w:sz w:val="11"/>
                <w:szCs w:val="11"/>
                <w:color w:val="auto"/>
              </w:rPr>
              <w:t>recommendations to the Board regarding scope, direction, quality, investment levels and execution of such</w:t>
            </w:r>
          </w:p>
        </w:tc>
        <w:tc>
          <w:tcPr>
            <w:tcW w:w="0" w:type="dxa"/>
            <w:vAlign w:val="bottom"/>
          </w:tcPr>
          <w:p>
            <w:pPr>
              <w:spacing w:after="0"/>
              <w:rPr>
                <w:sz w:val="1"/>
                <w:szCs w:val="1"/>
                <w:color w:val="auto"/>
              </w:rPr>
            </w:pPr>
          </w:p>
        </w:tc>
      </w:tr>
      <w:tr>
        <w:trPr>
          <w:trHeight w:val="142"/>
        </w:trPr>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80" w:type="dxa"/>
            <w:vAlign w:val="bottom"/>
          </w:tcPr>
          <w:p>
            <w:pPr>
              <w:ind w:left="280"/>
              <w:spacing w:after="0"/>
              <w:rPr>
                <w:sz w:val="20"/>
                <w:szCs w:val="20"/>
                <w:color w:val="auto"/>
              </w:rPr>
            </w:pPr>
            <w:r>
              <w:rPr>
                <w:rFonts w:ascii="Arial" w:cs="Arial" w:eastAsia="Arial" w:hAnsi="Arial"/>
                <w:sz w:val="11"/>
                <w:szCs w:val="11"/>
                <w:color w:val="auto"/>
              </w:rPr>
              <w:t>strategies</w:t>
            </w:r>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80" w:type="dxa"/>
            <w:vAlign w:val="bottom"/>
          </w:tcPr>
          <w:p>
            <w:pPr>
              <w:ind w:left="120"/>
              <w:spacing w:after="0"/>
              <w:rPr>
                <w:sz w:val="20"/>
                <w:szCs w:val="20"/>
                <w:color w:val="auto"/>
              </w:rPr>
            </w:pPr>
            <w:r>
              <w:rPr>
                <w:rFonts w:ascii="Arial" w:cs="Arial" w:eastAsia="Arial" w:hAnsi="Arial"/>
                <w:sz w:val="11"/>
                <w:szCs w:val="11"/>
                <w:b w:val="1"/>
                <w:bCs w:val="1"/>
                <w:color w:val="6AAA37"/>
              </w:rPr>
              <w:t xml:space="preserve">•  </w:t>
            </w:r>
            <w:r>
              <w:rPr>
                <w:rFonts w:ascii="Arial" w:cs="Arial" w:eastAsia="Arial" w:hAnsi="Arial"/>
                <w:sz w:val="11"/>
                <w:szCs w:val="11"/>
                <w:color w:val="000000"/>
              </w:rPr>
              <w:t>Reviews financing and financial risk management transactions exceeding $5 million, including, but not limited to,</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9100"/>
          </w:cols>
          <w:pgMar w:left="1400" w:top="94" w:right="1399" w:bottom="0" w:gutter="0" w:footer="0" w:header="0"/>
        </w:sect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37395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10375" cy="3739515"/>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ind w:left="500"/>
        <w:spacing w:after="0"/>
        <w:rPr>
          <w:sz w:val="20"/>
          <w:szCs w:val="20"/>
          <w:color w:val="auto"/>
        </w:rPr>
      </w:pPr>
      <w:r>
        <w:rPr>
          <w:rFonts w:ascii="Arial" w:cs="Arial" w:eastAsia="Arial" w:hAnsi="Arial"/>
          <w:sz w:val="11"/>
          <w:szCs w:val="11"/>
          <w:b w:val="1"/>
          <w:bCs w:val="1"/>
          <w:color w:val="FFFFFF"/>
        </w:rPr>
        <w:t>CHAIR: MR. H. EUGENE LOCKHART</w:t>
      </w:r>
    </w:p>
    <w:p>
      <w:pPr>
        <w:spacing w:after="0" w:line="117" w:lineRule="exact"/>
        <w:rPr>
          <w:sz w:val="20"/>
          <w:szCs w:val="20"/>
          <w:color w:val="auto"/>
        </w:rPr>
      </w:pPr>
    </w:p>
    <w:p>
      <w:pPr>
        <w:ind w:left="360"/>
        <w:spacing w:after="0" w:line="322" w:lineRule="auto"/>
        <w:rPr>
          <w:sz w:val="20"/>
          <w:szCs w:val="20"/>
          <w:color w:val="auto"/>
        </w:rPr>
      </w:pPr>
      <w:r>
        <w:rPr>
          <w:rFonts w:ascii="Arial" w:cs="Arial" w:eastAsia="Arial" w:hAnsi="Arial"/>
          <w:sz w:val="11"/>
          <w:szCs w:val="11"/>
          <w:b w:val="1"/>
          <w:bCs w:val="1"/>
          <w:color w:val="FFFFFF"/>
        </w:rPr>
        <w:t>MEMBERS: MS. BROWN, MR. SAWYER AND MS. SINGH-BUSHELL</w:t>
      </w:r>
    </w:p>
    <w:p>
      <w:pPr>
        <w:spacing w:after="0" w:line="20" w:lineRule="exact"/>
        <w:rPr>
          <w:sz w:val="20"/>
          <w:szCs w:val="20"/>
          <w:color w:val="auto"/>
        </w:rPr>
      </w:pPr>
      <w:r>
        <w:rPr>
          <w:sz w:val="20"/>
          <w:szCs w:val="20"/>
          <w:color w:val="auto"/>
        </w:rPr>
        <w:br w:type="column"/>
      </w:r>
    </w:p>
    <w:p>
      <w:pPr>
        <w:ind w:left="158" w:right="180"/>
        <w:spacing w:after="0" w:line="264" w:lineRule="auto"/>
        <w:rPr>
          <w:sz w:val="20"/>
          <w:szCs w:val="20"/>
          <w:color w:val="auto"/>
        </w:rPr>
      </w:pPr>
      <w:r>
        <w:rPr>
          <w:rFonts w:ascii="Arial" w:cs="Arial" w:eastAsia="Arial" w:hAnsi="Arial"/>
          <w:sz w:val="10"/>
          <w:szCs w:val="10"/>
          <w:color w:val="auto"/>
        </w:rPr>
        <w:t>the filing of registration statements, issuance of debt or equity securities for purposes of raising funding or refinancing indebtedness or other obligations of the Company or its subsidiaries, entrance into new credit facilities</w:t>
      </w:r>
    </w:p>
    <w:p>
      <w:pPr>
        <w:ind w:left="158" w:right="140"/>
        <w:spacing w:after="0" w:line="246" w:lineRule="auto"/>
        <w:rPr>
          <w:sz w:val="20"/>
          <w:szCs w:val="20"/>
          <w:color w:val="auto"/>
        </w:rPr>
      </w:pPr>
      <w:r>
        <w:rPr>
          <w:rFonts w:ascii="Arial" w:cs="Arial" w:eastAsia="Arial" w:hAnsi="Arial"/>
          <w:sz w:val="11"/>
          <w:szCs w:val="11"/>
          <w:color w:val="auto"/>
        </w:rPr>
        <w:t>and other forms of financing, and execution of foreign exchange and interest rate hedging transactions, and makes recommendations to the Board with respect to such matters</w:t>
      </w:r>
    </w:p>
    <w:p>
      <w:pPr>
        <w:spacing w:after="0" w:line="44" w:lineRule="exact"/>
        <w:rPr>
          <w:sz w:val="20"/>
          <w:szCs w:val="20"/>
          <w:color w:val="auto"/>
        </w:rPr>
      </w:pPr>
    </w:p>
    <w:p>
      <w:pPr>
        <w:ind w:left="158" w:right="380" w:hanging="158"/>
        <w:spacing w:after="0" w:line="257" w:lineRule="auto"/>
        <w:tabs>
          <w:tab w:leader="none" w:pos="158" w:val="left"/>
        </w:tabs>
        <w:numPr>
          <w:ilvl w:val="0"/>
          <w:numId w:val="50"/>
        </w:numPr>
        <w:rPr>
          <w:rFonts w:ascii="Arial" w:cs="Arial" w:eastAsia="Arial" w:hAnsi="Arial"/>
          <w:sz w:val="11"/>
          <w:szCs w:val="11"/>
          <w:b w:val="1"/>
          <w:bCs w:val="1"/>
          <w:color w:val="6AAA37"/>
        </w:rPr>
      </w:pPr>
      <w:r>
        <w:rPr>
          <w:rFonts w:ascii="Arial" w:cs="Arial" w:eastAsia="Arial" w:hAnsi="Arial"/>
          <w:sz w:val="11"/>
          <w:szCs w:val="11"/>
          <w:color w:val="auto"/>
        </w:rPr>
        <w:t>Reviews and makes recommendations to the Board regarding the Company’s liquidity and financial condition, investment policies and practices, stock repurchase activities, financial plans and capital structure, and management’s financing plans and reports</w:t>
      </w:r>
    </w:p>
    <w:p>
      <w:pPr>
        <w:spacing w:after="0" w:line="39" w:lineRule="exact"/>
        <w:rPr>
          <w:rFonts w:ascii="Arial" w:cs="Arial" w:eastAsia="Arial" w:hAnsi="Arial"/>
          <w:sz w:val="11"/>
          <w:szCs w:val="11"/>
          <w:b w:val="1"/>
          <w:bCs w:val="1"/>
          <w:color w:val="6AAA37"/>
        </w:rPr>
      </w:pPr>
    </w:p>
    <w:p>
      <w:pPr>
        <w:ind w:left="158" w:right="280" w:hanging="158"/>
        <w:spacing w:after="0" w:line="257" w:lineRule="auto"/>
        <w:tabs>
          <w:tab w:leader="none" w:pos="158" w:val="left"/>
        </w:tabs>
        <w:numPr>
          <w:ilvl w:val="0"/>
          <w:numId w:val="50"/>
        </w:numPr>
        <w:rPr>
          <w:rFonts w:ascii="Arial" w:cs="Arial" w:eastAsia="Arial" w:hAnsi="Arial"/>
          <w:sz w:val="11"/>
          <w:szCs w:val="11"/>
          <w:b w:val="1"/>
          <w:bCs w:val="1"/>
          <w:color w:val="6AAA37"/>
        </w:rPr>
      </w:pPr>
      <w:r>
        <w:rPr>
          <w:rFonts w:ascii="Arial" w:cs="Arial" w:eastAsia="Arial" w:hAnsi="Arial"/>
          <w:sz w:val="11"/>
          <w:szCs w:val="11"/>
          <w:i w:val="1"/>
          <w:iCs w:val="1"/>
          <w:color w:val="auto"/>
        </w:rPr>
        <w:t>In coordination with the Audit Committee</w:t>
      </w:r>
      <w:r>
        <w:rPr>
          <w:rFonts w:ascii="Arial" w:cs="Arial" w:eastAsia="Arial" w:hAnsi="Arial"/>
          <w:sz w:val="11"/>
          <w:szCs w:val="11"/>
          <w:color w:val="auto"/>
        </w:rPr>
        <w:t>, reviews and discusses with management the Company’s financial risk</w:t>
      </w:r>
      <w:r>
        <w:rPr>
          <w:rFonts w:ascii="Arial" w:cs="Arial" w:eastAsia="Arial" w:hAnsi="Arial"/>
          <w:sz w:val="11"/>
          <w:szCs w:val="11"/>
          <w:i w:val="1"/>
          <w:iCs w:val="1"/>
          <w:color w:val="auto"/>
        </w:rPr>
        <w:t xml:space="preserve"> </w:t>
      </w:r>
      <w:r>
        <w:rPr>
          <w:rFonts w:ascii="Arial" w:cs="Arial" w:eastAsia="Arial" w:hAnsi="Arial"/>
          <w:sz w:val="11"/>
          <w:szCs w:val="11"/>
          <w:color w:val="auto"/>
        </w:rPr>
        <w:t>management activities and strategies, including with respect to foreign currency, credit risk and interest rate exposure, and use of hedging and other techniques to manage these risks</w:t>
      </w:r>
    </w:p>
    <w:p>
      <w:pPr>
        <w:spacing w:after="0" w:line="200" w:lineRule="exact"/>
        <w:rPr>
          <w:sz w:val="20"/>
          <w:szCs w:val="20"/>
          <w:color w:val="auto"/>
        </w:rPr>
      </w:pPr>
    </w:p>
    <w:p>
      <w:pPr>
        <w:sectPr>
          <w:pgSz w:w="11900" w:h="16838" w:orient="portrait"/>
          <w:cols w:equalWidth="0" w:num="2">
            <w:col w:w="2640" w:space="682"/>
            <w:col w:w="5778"/>
          </w:cols>
          <w:pgMar w:left="1400" w:top="94" w:right="1399" w:bottom="0" w:gutter="0" w:footer="0" w:header="0"/>
          <w:type w:val="continuous"/>
        </w:sectPr>
      </w:pPr>
    </w:p>
    <w:p>
      <w:pPr>
        <w:spacing w:after="0" w:line="200" w:lineRule="exact"/>
        <w:rPr>
          <w:sz w:val="20"/>
          <w:szCs w:val="20"/>
          <w:color w:val="auto"/>
        </w:rPr>
      </w:pPr>
    </w:p>
    <w:p>
      <w:pPr>
        <w:spacing w:after="0" w:line="228" w:lineRule="exact"/>
        <w:rPr>
          <w:sz w:val="20"/>
          <w:szCs w:val="20"/>
          <w:color w:val="auto"/>
        </w:rPr>
      </w:pPr>
    </w:p>
    <w:p>
      <w:pPr>
        <w:ind w:left="60"/>
        <w:spacing w:after="0"/>
        <w:tabs>
          <w:tab w:leader="none" w:pos="446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13"/>
          <w:szCs w:val="13"/>
          <w:b w:val="1"/>
          <w:bCs w:val="1"/>
          <w:color w:val="00558C"/>
        </w:rPr>
        <w:t>18</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420370</wp:posOffset>
            </wp:positionV>
            <wp:extent cx="6810375" cy="66941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10375" cy="6694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540" w:val="left"/>
          <w:tab w:leader="none" w:pos="7360" w:val="left"/>
          <w:tab w:leader="none" w:pos="8400" w:val="left"/>
        </w:tabs>
        <w:rPr>
          <w:sz w:val="20"/>
          <w:szCs w:val="20"/>
          <w:color w:val="auto"/>
        </w:rPr>
      </w:pPr>
      <w:r>
        <w:rPr>
          <w:rFonts w:ascii="Arial" w:cs="Arial" w:eastAsia="Arial" w:hAnsi="Arial"/>
          <w:sz w:val="13"/>
          <w:szCs w:val="13"/>
          <w:b w:val="1"/>
          <w:bCs w:val="1"/>
          <w:color w:val="B2B3B6"/>
        </w:rPr>
        <w:t>General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6AAA37"/>
        </w:rPr>
        <w:t>Corporate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Executive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Stockholder</w:t>
      </w:r>
      <w:r>
        <w:rPr>
          <w:sz w:val="20"/>
          <w:szCs w:val="20"/>
          <w:color w:val="auto"/>
        </w:rPr>
        <w:tab/>
      </w:r>
      <w:r>
        <w:rPr>
          <w:rFonts w:ascii="Arial" w:cs="Arial" w:eastAsia="Arial" w:hAnsi="Arial"/>
          <w:sz w:val="12"/>
          <w:szCs w:val="12"/>
          <w:b w:val="1"/>
          <w:bCs w:val="1"/>
          <w:color w:val="B2B3B6"/>
        </w:rPr>
        <w:t>Other</w:t>
      </w:r>
    </w:p>
    <w:p>
      <w:pPr>
        <w:spacing w:after="0" w:line="11"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540" w:val="left"/>
          <w:tab w:leader="none" w:pos="7360" w:val="left"/>
          <w:tab w:leader="none" w:pos="8400" w:val="left"/>
        </w:tabs>
        <w:rPr>
          <w:sz w:val="20"/>
          <w:szCs w:val="20"/>
          <w:color w:val="auto"/>
        </w:rPr>
      </w:pPr>
      <w:r>
        <w:rPr>
          <w:rFonts w:ascii="Arial" w:cs="Arial" w:eastAsia="Arial" w:hAnsi="Arial"/>
          <w:sz w:val="13"/>
          <w:szCs w:val="13"/>
          <w:b w:val="1"/>
          <w:bCs w:val="1"/>
          <w:color w:val="B2B3B6"/>
        </w:rPr>
        <w:t>Information</w:t>
      </w:r>
      <w:r>
        <w:rPr>
          <w:sz w:val="20"/>
          <w:szCs w:val="20"/>
          <w:color w:val="auto"/>
        </w:rPr>
        <w:tab/>
      </w:r>
      <w:r>
        <w:rPr>
          <w:rFonts w:ascii="Arial" w:cs="Arial" w:eastAsia="Arial" w:hAnsi="Arial"/>
          <w:sz w:val="13"/>
          <w:szCs w:val="13"/>
          <w:b w:val="1"/>
          <w:bCs w:val="1"/>
          <w:color w:val="B2B3B6"/>
        </w:rPr>
        <w:t>One</w:t>
      </w:r>
      <w:r>
        <w:rPr>
          <w:sz w:val="20"/>
          <w:szCs w:val="20"/>
          <w:color w:val="auto"/>
        </w:rPr>
        <w:tab/>
      </w:r>
      <w:r>
        <w:rPr>
          <w:rFonts w:ascii="Arial" w:cs="Arial" w:eastAsia="Arial" w:hAnsi="Arial"/>
          <w:sz w:val="13"/>
          <w:szCs w:val="13"/>
          <w:b w:val="1"/>
          <w:bCs w:val="1"/>
          <w:color w:val="6AAA37"/>
        </w:rPr>
        <w:t>Governance</w:t>
      </w:r>
      <w:r>
        <w:rPr>
          <w:sz w:val="20"/>
          <w:szCs w:val="20"/>
          <w:color w:val="auto"/>
        </w:rPr>
        <w:tab/>
      </w:r>
      <w:r>
        <w:rPr>
          <w:rFonts w:ascii="Arial" w:cs="Arial" w:eastAsia="Arial" w:hAnsi="Arial"/>
          <w:sz w:val="13"/>
          <w:szCs w:val="13"/>
          <w:b w:val="1"/>
          <w:bCs w:val="1"/>
          <w:color w:val="B2B3B6"/>
        </w:rPr>
        <w:t>Two</w:t>
      </w:r>
      <w:r>
        <w:rPr>
          <w:sz w:val="20"/>
          <w:szCs w:val="20"/>
          <w:color w:val="auto"/>
        </w:rPr>
        <w:tab/>
      </w:r>
      <w:r>
        <w:rPr>
          <w:rFonts w:ascii="Arial" w:cs="Arial" w:eastAsia="Arial" w:hAnsi="Arial"/>
          <w:sz w:val="13"/>
          <w:szCs w:val="13"/>
          <w:b w:val="1"/>
          <w:bCs w:val="1"/>
          <w:color w:val="B2B3B6"/>
        </w:rPr>
        <w:t>Compensation</w:t>
      </w:r>
      <w:r>
        <w:rPr>
          <w:sz w:val="20"/>
          <w:szCs w:val="20"/>
          <w:color w:val="auto"/>
        </w:rPr>
        <w:tab/>
      </w:r>
      <w:r>
        <w:rPr>
          <w:rFonts w:ascii="Arial" w:cs="Arial" w:eastAsia="Arial" w:hAnsi="Arial"/>
          <w:sz w:val="13"/>
          <w:szCs w:val="13"/>
          <w:b w:val="1"/>
          <w:bCs w:val="1"/>
          <w:color w:val="B2B3B6"/>
        </w:rPr>
        <w:t>Three</w:t>
      </w:r>
      <w:r>
        <w:rPr>
          <w:sz w:val="20"/>
          <w:szCs w:val="20"/>
          <w:color w:val="auto"/>
        </w:rPr>
        <w:tab/>
      </w:r>
      <w:r>
        <w:rPr>
          <w:rFonts w:ascii="Arial" w:cs="Arial" w:eastAsia="Arial" w:hAnsi="Arial"/>
          <w:sz w:val="13"/>
          <w:szCs w:val="13"/>
          <w:b w:val="1"/>
          <w:bCs w:val="1"/>
          <w:color w:val="B2B3B6"/>
        </w:rPr>
        <w:t>Four</w:t>
      </w:r>
      <w:r>
        <w:rPr>
          <w:sz w:val="20"/>
          <w:szCs w:val="20"/>
          <w:color w:val="auto"/>
        </w:rPr>
        <w:tab/>
      </w:r>
      <w:r>
        <w:rPr>
          <w:rFonts w:ascii="Arial" w:cs="Arial" w:eastAsia="Arial" w:hAnsi="Arial"/>
          <w:sz w:val="13"/>
          <w:szCs w:val="13"/>
          <w:b w:val="1"/>
          <w:bCs w:val="1"/>
          <w:color w:val="B2B3B6"/>
        </w:rPr>
        <w:t>Five</w:t>
      </w:r>
      <w:r>
        <w:rPr>
          <w:sz w:val="20"/>
          <w:szCs w:val="20"/>
          <w:color w:val="auto"/>
        </w:rPr>
        <w:tab/>
      </w:r>
      <w:r>
        <w:rPr>
          <w:rFonts w:ascii="Arial" w:cs="Arial" w:eastAsia="Arial" w:hAnsi="Arial"/>
          <w:sz w:val="13"/>
          <w:szCs w:val="13"/>
          <w:b w:val="1"/>
          <w:bCs w:val="1"/>
          <w:color w:val="B2B3B6"/>
        </w:rPr>
        <w:t>Proposals</w:t>
      </w:r>
      <w:r>
        <w:rPr>
          <w:sz w:val="20"/>
          <w:szCs w:val="20"/>
          <w:color w:val="auto"/>
        </w:rPr>
        <w:tab/>
      </w:r>
      <w:r>
        <w:rPr>
          <w:rFonts w:ascii="Arial" w:cs="Arial" w:eastAsia="Arial" w:hAnsi="Arial"/>
          <w:sz w:val="12"/>
          <w:szCs w:val="12"/>
          <w:b w:val="1"/>
          <w:bCs w:val="1"/>
          <w:color w:val="B2B3B6"/>
        </w:rPr>
        <w:t>Matters</w:t>
      </w:r>
    </w:p>
    <w:p>
      <w:pPr>
        <w:spacing w:after="0" w:line="314" w:lineRule="exact"/>
        <w:rPr>
          <w:sz w:val="20"/>
          <w:szCs w:val="20"/>
          <w:color w:val="auto"/>
        </w:rPr>
      </w:pPr>
    </w:p>
    <w:p>
      <w:pPr>
        <w:spacing w:after="0"/>
        <w:rPr>
          <w:sz w:val="20"/>
          <w:szCs w:val="20"/>
          <w:color w:val="auto"/>
        </w:rPr>
      </w:pPr>
      <w:r>
        <w:rPr>
          <w:rFonts w:ascii="Arial" w:cs="Arial" w:eastAsia="Arial" w:hAnsi="Arial"/>
          <w:sz w:val="22"/>
          <w:szCs w:val="22"/>
          <w:b w:val="1"/>
          <w:bCs w:val="1"/>
          <w:color w:val="00558C"/>
        </w:rPr>
        <w:t>Board Meetings and Committees</w:t>
      </w:r>
    </w:p>
    <w:p>
      <w:pPr>
        <w:spacing w:after="0" w:line="112" w:lineRule="exact"/>
        <w:rPr>
          <w:sz w:val="20"/>
          <w:szCs w:val="20"/>
          <w:color w:val="auto"/>
        </w:rPr>
      </w:pPr>
    </w:p>
    <w:p>
      <w:pPr>
        <w:ind w:right="420"/>
        <w:spacing w:after="0" w:line="321" w:lineRule="auto"/>
        <w:rPr>
          <w:sz w:val="20"/>
          <w:szCs w:val="20"/>
          <w:color w:val="auto"/>
        </w:rPr>
      </w:pPr>
      <w:r>
        <w:rPr>
          <w:rFonts w:ascii="Arial" w:cs="Arial" w:eastAsia="Arial" w:hAnsi="Arial"/>
          <w:sz w:val="16"/>
          <w:szCs w:val="16"/>
          <w:color w:val="auto"/>
        </w:rPr>
        <w:t>The board of directors conducts its business through meetings of the full board, actions taken by written consent in lieu of meetings, and by the actions of its committees. During 2024, the board of directors held eight meetings.</w:t>
      </w:r>
    </w:p>
    <w:p>
      <w:pPr>
        <w:spacing w:after="0" w:line="88"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During 2024, each board member attended at least 75% of the aggregate number of board meetings and meetings of all the committees on which the director served. In addition, the Huron board’s standard practice is for all members of the board to attend each committee meeting, whether or not they serve on that committee. Although the Company does not have a formal policy regarding director attendance at our annual meetings, we encourage directors to attend. All of the directors attended the 2024 Annual Meeting of Stockholders.</w:t>
      </w:r>
    </w:p>
    <w:p>
      <w:pPr>
        <w:spacing w:after="0" w:line="10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board of directors operates in part through its five committees: Audit, Compensation, Finance and Capital Allocation, Nominating and Corporate Governance, and Technology and Information Security. All committee members are “independent” as defined in the applicable listing standards of Nasdaq. In addition, all Compensation Committee members are “non-employee directors” within the meaning of Rule 16b-3 under the Securities Exchange Act of 1934 (the “1934 Act”). All Audit Committee members meet the criteria for independence set forth in Rule 10A-3(b)(1) under the 1934 Act. A detailed discussion of each committee’s mission, composition and responsibilities is contained within the committee charters available in the Investor Relations section of the Company’s website at www.huronconsultinggroup.com.</w:t>
      </w:r>
    </w:p>
    <w:p>
      <w:pPr>
        <w:spacing w:after="0" w:line="126" w:lineRule="exact"/>
        <w:rPr>
          <w:sz w:val="20"/>
          <w:szCs w:val="20"/>
          <w:color w:val="auto"/>
        </w:rPr>
      </w:pPr>
    </w:p>
    <w:p>
      <w:pPr>
        <w:spacing w:after="0"/>
        <w:rPr>
          <w:sz w:val="20"/>
          <w:szCs w:val="20"/>
          <w:color w:val="auto"/>
        </w:rPr>
      </w:pPr>
      <w:r>
        <w:rPr>
          <w:rFonts w:ascii="Arial" w:cs="Arial" w:eastAsia="Arial" w:hAnsi="Arial"/>
          <w:sz w:val="43"/>
          <w:szCs w:val="43"/>
          <w:color w:val="00558C"/>
        </w:rPr>
        <w:t>Audit Committee</w:t>
      </w:r>
    </w:p>
    <w:p>
      <w:pPr>
        <w:spacing w:after="0" w:line="200" w:lineRule="exact"/>
        <w:rPr>
          <w:sz w:val="20"/>
          <w:szCs w:val="20"/>
          <w:color w:val="auto"/>
        </w:rPr>
      </w:pPr>
    </w:p>
    <w:p>
      <w:pPr>
        <w:spacing w:after="0" w:line="215"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FFFFFF"/>
        </w:rPr>
        <w:t>CHAIR: MR. MARKELL</w:t>
      </w:r>
    </w:p>
    <w:p>
      <w:pPr>
        <w:spacing w:after="0" w:line="177"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FFFFFF"/>
        </w:rPr>
        <w:t>COMMITTEE MEMBERS: MR. LOCKHART, MR. MCCARTNEY AND MR. SAWYER</w:t>
      </w:r>
    </w:p>
    <w:p>
      <w:pPr>
        <w:sectPr>
          <w:pgSz w:w="11900" w:h="16838" w:orient="portrait"/>
          <w:cols w:equalWidth="0" w:num="1">
            <w:col w:w="9100"/>
          </w:cols>
          <w:pgMar w:left="1400" w:top="94" w:right="1399" w:bottom="0" w:gutter="0" w:footer="0" w:header="0"/>
          <w:type w:val="continuous"/>
        </w:sect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Audit Committee</w:t>
      </w:r>
    </w:p>
    <w:p>
      <w:pPr>
        <w:spacing w:after="0" w:line="113" w:lineRule="exact"/>
        <w:rPr>
          <w:sz w:val="20"/>
          <w:szCs w:val="20"/>
          <w:color w:val="auto"/>
        </w:rPr>
      </w:pPr>
    </w:p>
    <w:p>
      <w:pPr>
        <w:ind w:right="160"/>
        <w:spacing w:after="0" w:line="288" w:lineRule="auto"/>
        <w:rPr>
          <w:sz w:val="20"/>
          <w:szCs w:val="20"/>
          <w:color w:val="auto"/>
        </w:rPr>
      </w:pPr>
      <w:r>
        <w:rPr>
          <w:rFonts w:ascii="Arial" w:cs="Arial" w:eastAsia="Arial" w:hAnsi="Arial"/>
          <w:sz w:val="16"/>
          <w:szCs w:val="16"/>
          <w:color w:val="auto"/>
        </w:rPr>
        <w:t>The Audit Committee’s responsibilities include overseeing our accounting and financial reporting processes, the audits of our financial statements, and the Company's internal controls over financial reporting. The Audit Committee is also responsible for the appointment, compensation, retention, oversight and evaluation of the work of any registered public accounting firm engaged for the purpose of preparing or issuing an audit report or performing audit, review or attest services for us. As such, the Audit Committee approves audit and permitted non-audit services and applicable fees. The board of directors has determined that each Audit Committee member has sufficient knowledge in financial and auditing matters to serve on the Audit Committee. The board of directors has also determined that each of Mr. Markell, Mr. Lockhart, Mr. McCartney and Mr. Sawyer is an “audit committee financial expert,” as defined by the applicable securities regulations, and that each member of the Audit Committee satisfies the applicable Nasdaq listing standards for audit committee membership.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54"/>
          <w:szCs w:val="54"/>
          <w:color w:val="6AAA37"/>
        </w:rPr>
        <w:t>8</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Meetings of the Audit</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Committee in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00"/>
        <w:spacing w:after="0" w:line="265" w:lineRule="auto"/>
        <w:rPr>
          <w:sz w:val="20"/>
          <w:szCs w:val="20"/>
          <w:color w:val="auto"/>
        </w:rPr>
      </w:pPr>
      <w:r>
        <w:rPr>
          <w:rFonts w:ascii="Arial" w:cs="Arial" w:eastAsia="Arial" w:hAnsi="Arial"/>
          <w:sz w:val="16"/>
          <w:szCs w:val="16"/>
          <w:color w:val="auto"/>
        </w:rPr>
        <w:t>The Report of the Audit Committee for the fiscal year ended December 31, 2024 appears below under the</w:t>
      </w:r>
    </w:p>
    <w:p>
      <w:pPr>
        <w:sectPr>
          <w:pgSz w:w="11900" w:h="16838" w:orient="portrait"/>
          <w:cols w:equalWidth="0" w:num="2">
            <w:col w:w="6020" w:space="720"/>
            <w:col w:w="2360"/>
          </w:cols>
          <w:pgMar w:left="1400" w:top="94" w:right="1399" w:bottom="0" w:gutter="0" w:footer="0" w:header="0"/>
          <w:type w:val="continuous"/>
        </w:sectPr>
      </w:pPr>
    </w:p>
    <w:bookmarkStart w:id="27" w:name="page28"/>
    <w:bookmarkEnd w:id="27"/>
    <w:p>
      <w:pPr>
        <w:ind w:left="6740"/>
        <w:spacing w:after="0"/>
        <w:rPr>
          <w:sz w:val="20"/>
          <w:szCs w:val="20"/>
          <w:color w:val="auto"/>
        </w:rPr>
      </w:pPr>
      <w:r>
        <w:rPr>
          <w:rFonts w:ascii="Arial" w:cs="Arial" w:eastAsia="Arial" w:hAnsi="Arial"/>
          <w:sz w:val="16"/>
          <w:szCs w:val="16"/>
          <w:color w:val="auto"/>
        </w:rPr>
        <w:t>caption “Proposal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-43180</wp:posOffset>
            </wp:positionV>
            <wp:extent cx="6810375" cy="21621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10375" cy="2162175"/>
                    </a:xfrm>
                    <a:prstGeom prst="rect">
                      <a:avLst/>
                    </a:prstGeom>
                    <a:noFill/>
                  </pic:spPr>
                </pic:pic>
              </a:graphicData>
            </a:graphic>
          </wp:anchor>
        </w:drawing>
      </w:r>
    </w:p>
    <w:p>
      <w:pPr>
        <w:ind w:left="6740"/>
        <w:spacing w:after="0"/>
        <w:rPr>
          <w:sz w:val="20"/>
          <w:szCs w:val="20"/>
          <w:color w:val="auto"/>
        </w:rPr>
      </w:pPr>
      <w:r>
        <w:rPr>
          <w:rFonts w:ascii="Arial" w:cs="Arial" w:eastAsia="Arial" w:hAnsi="Arial"/>
          <w:sz w:val="16"/>
          <w:szCs w:val="16"/>
          <w:color w:val="auto"/>
        </w:rPr>
        <w:t>Ratification of Appointment</w:t>
      </w:r>
    </w:p>
    <w:p>
      <w:pPr>
        <w:spacing w:after="0" w:line="5" w:lineRule="exact"/>
        <w:rPr>
          <w:sz w:val="20"/>
          <w:szCs w:val="20"/>
          <w:color w:val="auto"/>
        </w:rPr>
      </w:pPr>
    </w:p>
    <w:p>
      <w:pPr>
        <w:ind w:left="6740"/>
        <w:spacing w:after="0"/>
        <w:rPr>
          <w:sz w:val="20"/>
          <w:szCs w:val="20"/>
          <w:color w:val="auto"/>
        </w:rPr>
      </w:pPr>
      <w:r>
        <w:rPr>
          <w:rFonts w:ascii="Arial" w:cs="Arial" w:eastAsia="Arial" w:hAnsi="Arial"/>
          <w:sz w:val="16"/>
          <w:szCs w:val="16"/>
          <w:color w:val="auto"/>
        </w:rPr>
        <w:t>of Independent Registered</w:t>
      </w:r>
    </w:p>
    <w:p>
      <w:pPr>
        <w:spacing w:after="0" w:line="15" w:lineRule="exact"/>
        <w:rPr>
          <w:sz w:val="20"/>
          <w:szCs w:val="20"/>
          <w:color w:val="auto"/>
        </w:rPr>
      </w:pPr>
    </w:p>
    <w:p>
      <w:pPr>
        <w:ind w:left="6740"/>
        <w:spacing w:after="0"/>
        <w:rPr>
          <w:sz w:val="20"/>
          <w:szCs w:val="20"/>
          <w:color w:val="auto"/>
        </w:rPr>
      </w:pPr>
      <w:r>
        <w:rPr>
          <w:rFonts w:ascii="Arial" w:cs="Arial" w:eastAsia="Arial" w:hAnsi="Arial"/>
          <w:sz w:val="16"/>
          <w:szCs w:val="16"/>
          <w:color w:val="auto"/>
        </w:rPr>
        <w:t>Public Accounting Firm —</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6"/>
          <w:szCs w:val="16"/>
          <w:color w:val="auto"/>
        </w:rPr>
        <w:t>Report of the Audit</w:t>
      </w:r>
    </w:p>
    <w:p>
      <w:pPr>
        <w:spacing w:after="0" w:line="5" w:lineRule="exact"/>
        <w:rPr>
          <w:sz w:val="20"/>
          <w:szCs w:val="20"/>
          <w:color w:val="auto"/>
        </w:rPr>
      </w:pPr>
    </w:p>
    <w:p>
      <w:pPr>
        <w:ind w:left="6740"/>
        <w:spacing w:after="0"/>
        <w:rPr>
          <w:sz w:val="20"/>
          <w:szCs w:val="20"/>
          <w:color w:val="auto"/>
        </w:rPr>
      </w:pPr>
      <w:r>
        <w:rPr>
          <w:rFonts w:ascii="Arial" w:cs="Arial" w:eastAsia="Arial" w:hAnsi="Arial"/>
          <w:sz w:val="16"/>
          <w:szCs w:val="16"/>
          <w:color w:val="auto"/>
        </w:rPr>
        <w:t>Committee.”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60" w:type="dxa"/>
        <w:tblCellMar>
          <w:top w:w="0" w:type="dxa"/>
          <w:left w:w="0" w:type="dxa"/>
          <w:bottom w:w="0" w:type="dxa"/>
          <w:right w:w="0" w:type="dxa"/>
        </w:tblCellMar>
      </w:tblPr>
      <w:tr>
        <w:trPr>
          <w:trHeight w:val="1247"/>
        </w:trPr>
        <w:tc>
          <w:tcPr>
            <w:tcW w:w="3000" w:type="dxa"/>
            <w:vAlign w:val="bottom"/>
          </w:tcPr>
          <w:p>
            <w:pPr>
              <w:spacing w:after="0"/>
              <w:rPr>
                <w:sz w:val="20"/>
                <w:szCs w:val="20"/>
                <w:color w:val="auto"/>
              </w:rPr>
            </w:pPr>
            <w:r>
              <w:rPr>
                <w:rFonts w:ascii="Arial" w:cs="Arial" w:eastAsia="Arial" w:hAnsi="Arial"/>
                <w:sz w:val="13"/>
                <w:szCs w:val="13"/>
                <w:color w:val="auto"/>
              </w:rPr>
              <w:t>Huron Consulting Group Inc.</w:t>
            </w:r>
          </w:p>
        </w:tc>
        <w:tc>
          <w:tcPr>
            <w:tcW w:w="3140" w:type="dxa"/>
            <w:vAlign w:val="bottom"/>
          </w:tcPr>
          <w:p>
            <w:pPr>
              <w:jc w:val="right"/>
              <w:ind w:right="1517"/>
              <w:spacing w:after="0"/>
              <w:rPr>
                <w:sz w:val="20"/>
                <w:szCs w:val="20"/>
                <w:color w:val="auto"/>
              </w:rPr>
            </w:pPr>
            <w:r>
              <w:rPr>
                <w:rFonts w:ascii="Arial" w:cs="Arial" w:eastAsia="Arial" w:hAnsi="Arial"/>
                <w:sz w:val="13"/>
                <w:szCs w:val="13"/>
                <w:b w:val="1"/>
                <w:bCs w:val="1"/>
                <w:color w:val="00558C"/>
              </w:rPr>
              <w:t>19</w:t>
            </w:r>
          </w:p>
        </w:tc>
        <w:tc>
          <w:tcPr>
            <w:tcW w:w="2880" w:type="dxa"/>
            <w:vAlign w:val="bottom"/>
          </w:tcPr>
          <w:p>
            <w:pPr>
              <w:ind w:left="1580"/>
              <w:spacing w:after="0"/>
              <w:rPr>
                <w:sz w:val="20"/>
                <w:szCs w:val="20"/>
                <w:color w:val="auto"/>
              </w:rPr>
            </w:pPr>
            <w:r>
              <w:rPr>
                <w:rFonts w:ascii="Arial" w:cs="Arial" w:eastAsia="Arial" w:hAnsi="Arial"/>
                <w:sz w:val="13"/>
                <w:szCs w:val="13"/>
                <w:color w:val="auto"/>
                <w:w w:val="99"/>
              </w:rPr>
              <w:t>2025 Proxy Statement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397510</wp:posOffset>
            </wp:positionV>
            <wp:extent cx="6810375" cy="82715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10375" cy="827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540" w:val="left"/>
          <w:tab w:leader="none" w:pos="7360" w:val="left"/>
          <w:tab w:leader="none" w:pos="8400" w:val="left"/>
        </w:tabs>
        <w:rPr>
          <w:sz w:val="20"/>
          <w:szCs w:val="20"/>
          <w:color w:val="auto"/>
        </w:rPr>
      </w:pPr>
      <w:r>
        <w:rPr>
          <w:rFonts w:ascii="Arial" w:cs="Arial" w:eastAsia="Arial" w:hAnsi="Arial"/>
          <w:sz w:val="13"/>
          <w:szCs w:val="13"/>
          <w:b w:val="1"/>
          <w:bCs w:val="1"/>
          <w:color w:val="B2B3B6"/>
        </w:rPr>
        <w:t>General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6AAA37"/>
        </w:rPr>
        <w:t>Corporate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Executive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Stockholder</w:t>
      </w:r>
      <w:r>
        <w:rPr>
          <w:sz w:val="20"/>
          <w:szCs w:val="20"/>
          <w:color w:val="auto"/>
        </w:rPr>
        <w:tab/>
      </w:r>
      <w:r>
        <w:rPr>
          <w:rFonts w:ascii="Arial" w:cs="Arial" w:eastAsia="Arial" w:hAnsi="Arial"/>
          <w:sz w:val="12"/>
          <w:szCs w:val="12"/>
          <w:b w:val="1"/>
          <w:bCs w:val="1"/>
          <w:color w:val="B2B3B6"/>
        </w:rPr>
        <w:t>Other</w:t>
      </w:r>
    </w:p>
    <w:p>
      <w:pPr>
        <w:spacing w:after="0" w:line="11"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540" w:val="left"/>
          <w:tab w:leader="none" w:pos="7360" w:val="left"/>
          <w:tab w:leader="none" w:pos="8400" w:val="left"/>
        </w:tabs>
        <w:rPr>
          <w:sz w:val="20"/>
          <w:szCs w:val="20"/>
          <w:color w:val="auto"/>
        </w:rPr>
      </w:pPr>
      <w:r>
        <w:rPr>
          <w:rFonts w:ascii="Arial" w:cs="Arial" w:eastAsia="Arial" w:hAnsi="Arial"/>
          <w:sz w:val="13"/>
          <w:szCs w:val="13"/>
          <w:b w:val="1"/>
          <w:bCs w:val="1"/>
          <w:color w:val="B2B3B6"/>
        </w:rPr>
        <w:t>Information</w:t>
      </w:r>
      <w:r>
        <w:rPr>
          <w:sz w:val="20"/>
          <w:szCs w:val="20"/>
          <w:color w:val="auto"/>
        </w:rPr>
        <w:tab/>
      </w:r>
      <w:r>
        <w:rPr>
          <w:rFonts w:ascii="Arial" w:cs="Arial" w:eastAsia="Arial" w:hAnsi="Arial"/>
          <w:sz w:val="13"/>
          <w:szCs w:val="13"/>
          <w:b w:val="1"/>
          <w:bCs w:val="1"/>
          <w:color w:val="B2B3B6"/>
        </w:rPr>
        <w:t>One</w:t>
      </w:r>
      <w:r>
        <w:rPr>
          <w:sz w:val="20"/>
          <w:szCs w:val="20"/>
          <w:color w:val="auto"/>
        </w:rPr>
        <w:tab/>
      </w:r>
      <w:r>
        <w:rPr>
          <w:rFonts w:ascii="Arial" w:cs="Arial" w:eastAsia="Arial" w:hAnsi="Arial"/>
          <w:sz w:val="13"/>
          <w:szCs w:val="13"/>
          <w:b w:val="1"/>
          <w:bCs w:val="1"/>
          <w:color w:val="6AAA37"/>
        </w:rPr>
        <w:t>Governance</w:t>
      </w:r>
      <w:r>
        <w:rPr>
          <w:sz w:val="20"/>
          <w:szCs w:val="20"/>
          <w:color w:val="auto"/>
        </w:rPr>
        <w:tab/>
      </w:r>
      <w:r>
        <w:rPr>
          <w:rFonts w:ascii="Arial" w:cs="Arial" w:eastAsia="Arial" w:hAnsi="Arial"/>
          <w:sz w:val="13"/>
          <w:szCs w:val="13"/>
          <w:b w:val="1"/>
          <w:bCs w:val="1"/>
          <w:color w:val="B2B3B6"/>
        </w:rPr>
        <w:t>Two</w:t>
      </w:r>
      <w:r>
        <w:rPr>
          <w:sz w:val="20"/>
          <w:szCs w:val="20"/>
          <w:color w:val="auto"/>
        </w:rPr>
        <w:tab/>
      </w:r>
      <w:r>
        <w:rPr>
          <w:rFonts w:ascii="Arial" w:cs="Arial" w:eastAsia="Arial" w:hAnsi="Arial"/>
          <w:sz w:val="13"/>
          <w:szCs w:val="13"/>
          <w:b w:val="1"/>
          <w:bCs w:val="1"/>
          <w:color w:val="B2B3B6"/>
        </w:rPr>
        <w:t>Compensation</w:t>
      </w:r>
      <w:r>
        <w:rPr>
          <w:sz w:val="20"/>
          <w:szCs w:val="20"/>
          <w:color w:val="auto"/>
        </w:rPr>
        <w:tab/>
      </w:r>
      <w:r>
        <w:rPr>
          <w:rFonts w:ascii="Arial" w:cs="Arial" w:eastAsia="Arial" w:hAnsi="Arial"/>
          <w:sz w:val="13"/>
          <w:szCs w:val="13"/>
          <w:b w:val="1"/>
          <w:bCs w:val="1"/>
          <w:color w:val="B2B3B6"/>
        </w:rPr>
        <w:t>Three</w:t>
      </w:r>
      <w:r>
        <w:rPr>
          <w:sz w:val="20"/>
          <w:szCs w:val="20"/>
          <w:color w:val="auto"/>
        </w:rPr>
        <w:tab/>
      </w:r>
      <w:r>
        <w:rPr>
          <w:rFonts w:ascii="Arial" w:cs="Arial" w:eastAsia="Arial" w:hAnsi="Arial"/>
          <w:sz w:val="13"/>
          <w:szCs w:val="13"/>
          <w:b w:val="1"/>
          <w:bCs w:val="1"/>
          <w:color w:val="B2B3B6"/>
        </w:rPr>
        <w:t>Four</w:t>
      </w:r>
      <w:r>
        <w:rPr>
          <w:sz w:val="20"/>
          <w:szCs w:val="20"/>
          <w:color w:val="auto"/>
        </w:rPr>
        <w:tab/>
      </w:r>
      <w:r>
        <w:rPr>
          <w:rFonts w:ascii="Arial" w:cs="Arial" w:eastAsia="Arial" w:hAnsi="Arial"/>
          <w:sz w:val="13"/>
          <w:szCs w:val="13"/>
          <w:b w:val="1"/>
          <w:bCs w:val="1"/>
          <w:color w:val="B2B3B6"/>
        </w:rPr>
        <w:t>Five</w:t>
      </w:r>
      <w:r>
        <w:rPr>
          <w:sz w:val="20"/>
          <w:szCs w:val="20"/>
          <w:color w:val="auto"/>
        </w:rPr>
        <w:tab/>
      </w:r>
      <w:r>
        <w:rPr>
          <w:rFonts w:ascii="Arial" w:cs="Arial" w:eastAsia="Arial" w:hAnsi="Arial"/>
          <w:sz w:val="13"/>
          <w:szCs w:val="13"/>
          <w:b w:val="1"/>
          <w:bCs w:val="1"/>
          <w:color w:val="B2B3B6"/>
        </w:rPr>
        <w:t>Proposals</w:t>
      </w:r>
      <w:r>
        <w:rPr>
          <w:sz w:val="20"/>
          <w:szCs w:val="20"/>
          <w:color w:val="auto"/>
        </w:rPr>
        <w:tab/>
      </w:r>
      <w:r>
        <w:rPr>
          <w:rFonts w:ascii="Arial" w:cs="Arial" w:eastAsia="Arial" w:hAnsi="Arial"/>
          <w:sz w:val="12"/>
          <w:szCs w:val="12"/>
          <w:b w:val="1"/>
          <w:bCs w:val="1"/>
          <w:color w:val="B2B3B6"/>
        </w:rPr>
        <w:t>Matters</w:t>
      </w:r>
    </w:p>
    <w:p>
      <w:pPr>
        <w:spacing w:after="0" w:line="315" w:lineRule="exact"/>
        <w:rPr>
          <w:sz w:val="20"/>
          <w:szCs w:val="20"/>
          <w:color w:val="auto"/>
        </w:rPr>
      </w:pPr>
    </w:p>
    <w:p>
      <w:pPr>
        <w:spacing w:after="0"/>
        <w:rPr>
          <w:sz w:val="20"/>
          <w:szCs w:val="20"/>
          <w:color w:val="auto"/>
        </w:rPr>
      </w:pPr>
      <w:r>
        <w:rPr>
          <w:rFonts w:ascii="Arial" w:cs="Arial" w:eastAsia="Arial" w:hAnsi="Arial"/>
          <w:sz w:val="43"/>
          <w:szCs w:val="43"/>
          <w:color w:val="00558C"/>
        </w:rPr>
        <w:t>Compensation Committee</w:t>
      </w:r>
    </w:p>
    <w:p>
      <w:pPr>
        <w:spacing w:after="0" w:line="388"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FFFFFF"/>
        </w:rPr>
        <w:t>CHAIR: MR. SAWYER</w:t>
      </w:r>
    </w:p>
    <w:p>
      <w:pPr>
        <w:spacing w:after="0" w:line="190"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FFFFFF"/>
        </w:rPr>
        <w:t>COMMITTEE MEMBERS: MS. BROWN, MR. LOCKHART AND MS. ZUMWALT</w:t>
      </w:r>
    </w:p>
    <w:p>
      <w:pPr>
        <w:sectPr>
          <w:pgSz w:w="11900" w:h="16838" w:orient="portrait"/>
          <w:cols w:equalWidth="0" w:num="1">
            <w:col w:w="9080"/>
          </w:cols>
          <w:pgMar w:left="1400" w:top="25" w:right="1419" w:bottom="1440" w:gutter="0" w:footer="0" w:header="0"/>
        </w:sect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Compensation Committee</w:t>
      </w:r>
    </w:p>
    <w:p>
      <w:pPr>
        <w:spacing w:after="0" w:line="113" w:lineRule="exact"/>
        <w:rPr>
          <w:sz w:val="20"/>
          <w:szCs w:val="20"/>
          <w:color w:val="auto"/>
        </w:rPr>
      </w:pPr>
    </w:p>
    <w:p>
      <w:pPr>
        <w:ind w:right="460"/>
        <w:spacing w:after="0" w:line="300" w:lineRule="auto"/>
        <w:rPr>
          <w:sz w:val="20"/>
          <w:szCs w:val="20"/>
          <w:color w:val="auto"/>
        </w:rPr>
      </w:pPr>
      <w:r>
        <w:rPr>
          <w:rFonts w:ascii="Arial" w:cs="Arial" w:eastAsia="Arial" w:hAnsi="Arial"/>
          <w:sz w:val="16"/>
          <w:szCs w:val="16"/>
          <w:color w:val="auto"/>
        </w:rPr>
        <w:t>The Compensation Committee’s responsibilities include overseeing our compensation and benefit plans, including all compensation arrangements for executive officers and directors, each of which the Compensation Committee reviews annually and makes changes as it deems appropriate.</w:t>
      </w:r>
    </w:p>
    <w:p>
      <w:pPr>
        <w:spacing w:after="0" w:line="39" w:lineRule="exact"/>
        <w:rPr>
          <w:sz w:val="20"/>
          <w:szCs w:val="20"/>
          <w:color w:val="auto"/>
        </w:rPr>
      </w:pPr>
    </w:p>
    <w:p>
      <w:pPr>
        <w:ind w:right="220"/>
        <w:spacing w:after="0" w:line="289" w:lineRule="auto"/>
        <w:rPr>
          <w:sz w:val="20"/>
          <w:szCs w:val="20"/>
          <w:color w:val="auto"/>
        </w:rPr>
      </w:pPr>
      <w:r>
        <w:rPr>
          <w:rFonts w:ascii="Arial" w:cs="Arial" w:eastAsia="Arial" w:hAnsi="Arial"/>
          <w:sz w:val="16"/>
          <w:szCs w:val="16"/>
          <w:color w:val="auto"/>
        </w:rPr>
        <w:t>Management assists the Compensation Committee in the performance of its duties as described in more detail below under “EXECUTIVE COMPENSATION —Compensation Discussion and Analysis—Role of Management.” In addition, during 2024, the CEO participated in all of the Compensation Committee’s meetings and in all of the executive sessions, except for those in which the Compensation Committee considered the CEO’s performance, compensation and incentives. The Compensation Committee engaged Pay Governance LLC as its independent compensation advisor to assist the Compensation Committee in the execution of its charter. The support provided by the advisor is described in more detail below under “EXECUTIVE COMPENSATION—Compensation Discussion and Analysis—Role of Independent Compensation Advisor.”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54"/>
          <w:szCs w:val="54"/>
          <w:color w:val="6AAA37"/>
        </w:rPr>
        <w:t>7</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Compensation</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Committee met seven</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times in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280"/>
        <w:spacing w:after="0" w:line="255" w:lineRule="auto"/>
        <w:rPr>
          <w:sz w:val="20"/>
          <w:szCs w:val="20"/>
          <w:color w:val="auto"/>
        </w:rPr>
      </w:pPr>
      <w:r>
        <w:rPr>
          <w:rFonts w:ascii="Arial" w:cs="Arial" w:eastAsia="Arial" w:hAnsi="Arial"/>
          <w:sz w:val="16"/>
          <w:szCs w:val="16"/>
          <w:color w:val="auto"/>
        </w:rPr>
        <w:t>The Report of the Compensation Committee on Executive Compensation for the fiscal year ended December 31, 2024 appears below under the caption</w:t>
      </w:r>
    </w:p>
    <w:p>
      <w:pPr>
        <w:spacing w:after="0" w:line="4" w:lineRule="exact"/>
        <w:rPr>
          <w:sz w:val="20"/>
          <w:szCs w:val="20"/>
          <w:color w:val="auto"/>
        </w:rPr>
      </w:pPr>
    </w:p>
    <w:p>
      <w:pPr>
        <w:ind w:right="460"/>
        <w:spacing w:after="0" w:line="264" w:lineRule="auto"/>
        <w:rPr>
          <w:sz w:val="20"/>
          <w:szCs w:val="20"/>
          <w:color w:val="auto"/>
        </w:rPr>
      </w:pPr>
      <w:r>
        <w:rPr>
          <w:rFonts w:ascii="Arial" w:cs="Arial" w:eastAsia="Arial" w:hAnsi="Arial"/>
          <w:sz w:val="16"/>
          <w:szCs w:val="16"/>
          <w:color w:val="auto"/>
        </w:rPr>
        <w:t>“EXECUTIVE COMPENSATION - Compensation Committee Report.”</w:t>
      </w:r>
    </w:p>
    <w:p>
      <w:pPr>
        <w:sectPr>
          <w:pgSz w:w="11900" w:h="16838" w:orient="portrait"/>
          <w:cols w:equalWidth="0" w:num="2">
            <w:col w:w="6020" w:space="720"/>
            <w:col w:w="2340"/>
          </w:cols>
          <w:pgMar w:left="1400" w:top="25" w:right="1419" w:bottom="1440" w:gutter="0" w:footer="0" w:header="0"/>
          <w:type w:val="continuous"/>
        </w:sectPr>
      </w:pPr>
    </w:p>
    <w:bookmarkStart w:id="28" w:name="page29"/>
    <w:bookmarkEnd w:id="28"/>
    <w:p>
      <w:pPr>
        <w:ind w:left="60"/>
        <w:spacing w:after="0"/>
        <w:tabs>
          <w:tab w:leader="none" w:pos="4440" w:val="left"/>
          <w:tab w:leader="none" w:pos="776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5848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10375" cy="584835"/>
                    </a:xfrm>
                    <a:prstGeom prst="rect">
                      <a:avLst/>
                    </a:prstGeom>
                    <a:noFill/>
                  </pic:spPr>
                </pic:pic>
              </a:graphicData>
            </a:graphic>
          </wp:anchor>
        </w:drawing>
        <w:t>Huron Consulting Group Inc.</w:t>
      </w:r>
      <w:r>
        <w:rPr>
          <w:sz w:val="20"/>
          <w:szCs w:val="20"/>
          <w:color w:val="auto"/>
        </w:rPr>
        <w:tab/>
      </w:r>
      <w:r>
        <w:rPr>
          <w:rFonts w:ascii="Arial" w:cs="Arial" w:eastAsia="Arial" w:hAnsi="Arial"/>
          <w:sz w:val="13"/>
          <w:szCs w:val="13"/>
          <w:b w:val="1"/>
          <w:bCs w:val="1"/>
          <w:color w:val="00558C"/>
        </w:rPr>
        <w:t>20</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420370</wp:posOffset>
            </wp:positionV>
            <wp:extent cx="6810375" cy="88677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540" w:val="left"/>
          <w:tab w:leader="none" w:pos="7360" w:val="left"/>
          <w:tab w:leader="none" w:pos="8400" w:val="left"/>
        </w:tabs>
        <w:rPr>
          <w:sz w:val="20"/>
          <w:szCs w:val="20"/>
          <w:color w:val="auto"/>
        </w:rPr>
      </w:pPr>
      <w:r>
        <w:rPr>
          <w:rFonts w:ascii="Arial" w:cs="Arial" w:eastAsia="Arial" w:hAnsi="Arial"/>
          <w:sz w:val="13"/>
          <w:szCs w:val="13"/>
          <w:b w:val="1"/>
          <w:bCs w:val="1"/>
          <w:color w:val="B2B3B6"/>
        </w:rPr>
        <w:t>General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6AAA37"/>
        </w:rPr>
        <w:t>Corporate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Executive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Stockholder</w:t>
      </w:r>
      <w:r>
        <w:rPr>
          <w:sz w:val="20"/>
          <w:szCs w:val="20"/>
          <w:color w:val="auto"/>
        </w:rPr>
        <w:tab/>
      </w:r>
      <w:r>
        <w:rPr>
          <w:rFonts w:ascii="Arial" w:cs="Arial" w:eastAsia="Arial" w:hAnsi="Arial"/>
          <w:sz w:val="12"/>
          <w:szCs w:val="12"/>
          <w:b w:val="1"/>
          <w:bCs w:val="1"/>
          <w:color w:val="B2B3B6"/>
        </w:rPr>
        <w:t>Other</w:t>
      </w:r>
    </w:p>
    <w:p>
      <w:pPr>
        <w:spacing w:after="0" w:line="11"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540" w:val="left"/>
          <w:tab w:leader="none" w:pos="7360" w:val="left"/>
          <w:tab w:leader="none" w:pos="8400" w:val="left"/>
        </w:tabs>
        <w:rPr>
          <w:sz w:val="20"/>
          <w:szCs w:val="20"/>
          <w:color w:val="auto"/>
        </w:rPr>
      </w:pPr>
      <w:r>
        <w:rPr>
          <w:rFonts w:ascii="Arial" w:cs="Arial" w:eastAsia="Arial" w:hAnsi="Arial"/>
          <w:sz w:val="13"/>
          <w:szCs w:val="13"/>
          <w:b w:val="1"/>
          <w:bCs w:val="1"/>
          <w:color w:val="B2B3B6"/>
        </w:rPr>
        <w:t>Information</w:t>
      </w:r>
      <w:r>
        <w:rPr>
          <w:sz w:val="20"/>
          <w:szCs w:val="20"/>
          <w:color w:val="auto"/>
        </w:rPr>
        <w:tab/>
      </w:r>
      <w:r>
        <w:rPr>
          <w:rFonts w:ascii="Arial" w:cs="Arial" w:eastAsia="Arial" w:hAnsi="Arial"/>
          <w:sz w:val="13"/>
          <w:szCs w:val="13"/>
          <w:b w:val="1"/>
          <w:bCs w:val="1"/>
          <w:color w:val="B2B3B6"/>
        </w:rPr>
        <w:t>One</w:t>
      </w:r>
      <w:r>
        <w:rPr>
          <w:sz w:val="20"/>
          <w:szCs w:val="20"/>
          <w:color w:val="auto"/>
        </w:rPr>
        <w:tab/>
      </w:r>
      <w:r>
        <w:rPr>
          <w:rFonts w:ascii="Arial" w:cs="Arial" w:eastAsia="Arial" w:hAnsi="Arial"/>
          <w:sz w:val="13"/>
          <w:szCs w:val="13"/>
          <w:b w:val="1"/>
          <w:bCs w:val="1"/>
          <w:color w:val="6AAA37"/>
        </w:rPr>
        <w:t>Governance</w:t>
      </w:r>
      <w:r>
        <w:rPr>
          <w:sz w:val="20"/>
          <w:szCs w:val="20"/>
          <w:color w:val="auto"/>
        </w:rPr>
        <w:tab/>
      </w:r>
      <w:r>
        <w:rPr>
          <w:rFonts w:ascii="Arial" w:cs="Arial" w:eastAsia="Arial" w:hAnsi="Arial"/>
          <w:sz w:val="13"/>
          <w:szCs w:val="13"/>
          <w:b w:val="1"/>
          <w:bCs w:val="1"/>
          <w:color w:val="B2B3B6"/>
        </w:rPr>
        <w:t>Two</w:t>
      </w:r>
      <w:r>
        <w:rPr>
          <w:sz w:val="20"/>
          <w:szCs w:val="20"/>
          <w:color w:val="auto"/>
        </w:rPr>
        <w:tab/>
      </w:r>
      <w:r>
        <w:rPr>
          <w:rFonts w:ascii="Arial" w:cs="Arial" w:eastAsia="Arial" w:hAnsi="Arial"/>
          <w:sz w:val="13"/>
          <w:szCs w:val="13"/>
          <w:b w:val="1"/>
          <w:bCs w:val="1"/>
          <w:color w:val="B2B3B6"/>
        </w:rPr>
        <w:t>Compensation</w:t>
      </w:r>
      <w:r>
        <w:rPr>
          <w:sz w:val="20"/>
          <w:szCs w:val="20"/>
          <w:color w:val="auto"/>
        </w:rPr>
        <w:tab/>
      </w:r>
      <w:r>
        <w:rPr>
          <w:rFonts w:ascii="Arial" w:cs="Arial" w:eastAsia="Arial" w:hAnsi="Arial"/>
          <w:sz w:val="13"/>
          <w:szCs w:val="13"/>
          <w:b w:val="1"/>
          <w:bCs w:val="1"/>
          <w:color w:val="B2B3B6"/>
        </w:rPr>
        <w:t>Three</w:t>
      </w:r>
      <w:r>
        <w:rPr>
          <w:sz w:val="20"/>
          <w:szCs w:val="20"/>
          <w:color w:val="auto"/>
        </w:rPr>
        <w:tab/>
      </w:r>
      <w:r>
        <w:rPr>
          <w:rFonts w:ascii="Arial" w:cs="Arial" w:eastAsia="Arial" w:hAnsi="Arial"/>
          <w:sz w:val="13"/>
          <w:szCs w:val="13"/>
          <w:b w:val="1"/>
          <w:bCs w:val="1"/>
          <w:color w:val="B2B3B6"/>
        </w:rPr>
        <w:t>Four</w:t>
      </w:r>
      <w:r>
        <w:rPr>
          <w:sz w:val="20"/>
          <w:szCs w:val="20"/>
          <w:color w:val="auto"/>
        </w:rPr>
        <w:tab/>
      </w:r>
      <w:r>
        <w:rPr>
          <w:rFonts w:ascii="Arial" w:cs="Arial" w:eastAsia="Arial" w:hAnsi="Arial"/>
          <w:sz w:val="13"/>
          <w:szCs w:val="13"/>
          <w:b w:val="1"/>
          <w:bCs w:val="1"/>
          <w:color w:val="B2B3B6"/>
        </w:rPr>
        <w:t>Five</w:t>
      </w:r>
      <w:r>
        <w:rPr>
          <w:sz w:val="20"/>
          <w:szCs w:val="20"/>
          <w:color w:val="auto"/>
        </w:rPr>
        <w:tab/>
      </w:r>
      <w:r>
        <w:rPr>
          <w:rFonts w:ascii="Arial" w:cs="Arial" w:eastAsia="Arial" w:hAnsi="Arial"/>
          <w:sz w:val="13"/>
          <w:szCs w:val="13"/>
          <w:b w:val="1"/>
          <w:bCs w:val="1"/>
          <w:color w:val="B2B3B6"/>
        </w:rPr>
        <w:t>Proposals</w:t>
      </w:r>
      <w:r>
        <w:rPr>
          <w:sz w:val="20"/>
          <w:szCs w:val="20"/>
          <w:color w:val="auto"/>
        </w:rPr>
        <w:tab/>
      </w:r>
      <w:r>
        <w:rPr>
          <w:rFonts w:ascii="Arial" w:cs="Arial" w:eastAsia="Arial" w:hAnsi="Arial"/>
          <w:sz w:val="12"/>
          <w:szCs w:val="12"/>
          <w:b w:val="1"/>
          <w:bCs w:val="1"/>
          <w:color w:val="B2B3B6"/>
        </w:rPr>
        <w:t>Matters</w:t>
      </w:r>
    </w:p>
    <w:p>
      <w:pPr>
        <w:spacing w:after="0" w:line="315" w:lineRule="exact"/>
        <w:rPr>
          <w:sz w:val="20"/>
          <w:szCs w:val="20"/>
          <w:color w:val="auto"/>
        </w:rPr>
      </w:pPr>
    </w:p>
    <w:p>
      <w:pPr>
        <w:ind w:right="3979"/>
        <w:spacing w:after="0" w:line="246" w:lineRule="auto"/>
        <w:rPr>
          <w:sz w:val="20"/>
          <w:szCs w:val="20"/>
          <w:color w:val="auto"/>
        </w:rPr>
      </w:pPr>
      <w:r>
        <w:rPr>
          <w:rFonts w:ascii="Arial" w:cs="Arial" w:eastAsia="Arial" w:hAnsi="Arial"/>
          <w:sz w:val="43"/>
          <w:szCs w:val="43"/>
          <w:color w:val="00558C"/>
        </w:rPr>
        <w:t>Nominating and Corporate Governance Committee</w:t>
      </w:r>
    </w:p>
    <w:p>
      <w:pPr>
        <w:spacing w:after="0" w:line="315"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FFFFFF"/>
        </w:rPr>
        <w:t>CHAIR: MS. SINGH-BUSHELL</w:t>
      </w:r>
    </w:p>
    <w:p>
      <w:pPr>
        <w:spacing w:after="0" w:line="177"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FFFFFF"/>
        </w:rPr>
        <w:t>COMMITTEE MEMBERS: MR. MARKELL, MR. MCCARTNEY AND MS. ZUMWALT</w:t>
      </w:r>
    </w:p>
    <w:p>
      <w:pPr>
        <w:sectPr>
          <w:pgSz w:w="11900" w:h="16838" w:orient="portrait"/>
          <w:cols w:equalWidth="0" w:num="1">
            <w:col w:w="9059"/>
          </w:cols>
          <w:pgMar w:left="1400" w:top="378" w:right="1440" w:bottom="195" w:gutter="0" w:footer="0" w:header="0"/>
        </w:sect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Nominating and Corporate Governance Committee</w:t>
      </w:r>
    </w:p>
    <w:p>
      <w:pPr>
        <w:spacing w:after="0" w:line="113" w:lineRule="exact"/>
        <w:rPr>
          <w:sz w:val="20"/>
          <w:szCs w:val="20"/>
          <w:color w:val="auto"/>
        </w:rPr>
      </w:pPr>
    </w:p>
    <w:p>
      <w:pPr>
        <w:ind w:right="200"/>
        <w:spacing w:after="0" w:line="300" w:lineRule="auto"/>
        <w:rPr>
          <w:sz w:val="20"/>
          <w:szCs w:val="20"/>
          <w:color w:val="auto"/>
        </w:rPr>
      </w:pPr>
      <w:r>
        <w:rPr>
          <w:rFonts w:ascii="Arial" w:cs="Arial" w:eastAsia="Arial" w:hAnsi="Arial"/>
          <w:sz w:val="16"/>
          <w:szCs w:val="16"/>
          <w:color w:val="auto"/>
        </w:rPr>
        <w:t>The Nominating and Corporate Governance Committee’s responsibilities include identifying and recommending to the board of directors qualified director nominee candidates and providing oversight with respect to corporate governance and corporate social responsibility matters.</w:t>
      </w:r>
    </w:p>
    <w:p>
      <w:pPr>
        <w:spacing w:after="0" w:line="93" w:lineRule="exact"/>
        <w:rPr>
          <w:sz w:val="20"/>
          <w:szCs w:val="20"/>
          <w:color w:val="auto"/>
        </w:rPr>
      </w:pPr>
    </w:p>
    <w:p>
      <w:pPr>
        <w:ind w:right="260"/>
        <w:spacing w:after="0" w:line="290" w:lineRule="auto"/>
        <w:rPr>
          <w:sz w:val="20"/>
          <w:szCs w:val="20"/>
          <w:color w:val="auto"/>
        </w:rPr>
      </w:pPr>
      <w:r>
        <w:rPr>
          <w:rFonts w:ascii="Arial" w:cs="Arial" w:eastAsia="Arial" w:hAnsi="Arial"/>
          <w:sz w:val="16"/>
          <w:szCs w:val="16"/>
          <w:color w:val="auto"/>
        </w:rPr>
        <w:t>Directors may be nominated by the board of directors or by stockholders in accordance with the bylaws of the Company. The Nominating and Corporate Governance Committee will review all candidates for nomination to the board of directors, including those proposed by stockholders as provided below. The Nominating and Corporate Governance Committee reviews the person’s judgment, experience, independence, understanding of the Company’s business or other related industries, and such other factors as the Nominating and Corporate Governance Committee determines are relevant in light of the needs of the board of directors and the Company. The Nominating and Corporate Governance Committee selects qualified candidates and reviews its recommendations with the board of directors, which will decide whether to invite the candidate to be a nominee for election to the board of directors.</w:t>
      </w:r>
    </w:p>
    <w:p>
      <w:pPr>
        <w:spacing w:after="0" w:line="113" w:lineRule="exact"/>
        <w:rPr>
          <w:sz w:val="20"/>
          <w:szCs w:val="20"/>
          <w:color w:val="auto"/>
        </w:rPr>
      </w:pPr>
    </w:p>
    <w:p>
      <w:pPr>
        <w:ind w:right="260"/>
        <w:spacing w:after="0" w:line="288" w:lineRule="auto"/>
        <w:rPr>
          <w:sz w:val="20"/>
          <w:szCs w:val="20"/>
          <w:color w:val="auto"/>
        </w:rPr>
      </w:pPr>
      <w:r>
        <w:rPr>
          <w:rFonts w:ascii="Arial" w:cs="Arial" w:eastAsia="Arial" w:hAnsi="Arial"/>
          <w:sz w:val="16"/>
          <w:szCs w:val="16"/>
          <w:color w:val="auto"/>
        </w:rPr>
        <w:t>For a stockholder to submit a candidate for consideration by the Nominating and Corporate Governance Committee, a stockholder must notify the Company’s Corporate Secretary. In addition, the Company’s bylaws permit stockholders to nominate directors at a stockholders’ meeting. To make a director nomination at the Annual Meeting, a stockholder must notify the Company’s Corporate Secretary within the time periods specified under “SUBMISSION OF STOCKHOLDER PROPOSALS” below. Notices should be sent to: Corporate Secretary, Huron Consulting Group Inc., 550 West Van Buren Street, 17th Floor, Chicago, Illinois 60607, or corporatesecretary@hcg.com. In either case, the notice must meet all of the requirements contained in the bylaws.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54"/>
          <w:szCs w:val="54"/>
          <w:color w:val="6AAA37"/>
        </w:rPr>
        <w:t>4</w:t>
      </w:r>
    </w:p>
    <w:p>
      <w:pPr>
        <w:spacing w:after="0" w:line="96" w:lineRule="exact"/>
        <w:rPr>
          <w:sz w:val="20"/>
          <w:szCs w:val="20"/>
          <w:color w:val="auto"/>
        </w:rPr>
      </w:pPr>
    </w:p>
    <w:p>
      <w:pPr>
        <w:ind w:right="679"/>
        <w:spacing w:after="0" w:line="270" w:lineRule="auto"/>
        <w:rPr>
          <w:sz w:val="20"/>
          <w:szCs w:val="20"/>
          <w:color w:val="auto"/>
        </w:rPr>
      </w:pPr>
      <w:r>
        <w:rPr>
          <w:rFonts w:ascii="Arial" w:cs="Arial" w:eastAsia="Arial" w:hAnsi="Arial"/>
          <w:sz w:val="16"/>
          <w:szCs w:val="16"/>
          <w:color w:val="auto"/>
        </w:rPr>
        <w:t>The Nominating and Corporate Governance</w:t>
      </w:r>
    </w:p>
    <w:p>
      <w:pPr>
        <w:spacing w:after="0" w:line="5" w:lineRule="exact"/>
        <w:rPr>
          <w:sz w:val="20"/>
          <w:szCs w:val="20"/>
          <w:color w:val="auto"/>
        </w:rPr>
      </w:pPr>
    </w:p>
    <w:p>
      <w:pPr>
        <w:ind w:right="439"/>
        <w:spacing w:after="0" w:line="374" w:lineRule="auto"/>
        <w:rPr>
          <w:sz w:val="20"/>
          <w:szCs w:val="20"/>
          <w:color w:val="auto"/>
        </w:rPr>
      </w:pPr>
      <w:r>
        <w:rPr>
          <w:rFonts w:ascii="Arial" w:cs="Arial" w:eastAsia="Arial" w:hAnsi="Arial"/>
          <w:sz w:val="16"/>
          <w:szCs w:val="16"/>
          <w:color w:val="auto"/>
        </w:rPr>
        <w:t>Committee met four times in 2024.</w:t>
      </w:r>
    </w:p>
    <w:p>
      <w:pPr>
        <w:spacing w:after="0" w:line="4493" w:lineRule="exact"/>
        <w:rPr>
          <w:sz w:val="20"/>
          <w:szCs w:val="20"/>
          <w:color w:val="auto"/>
        </w:rPr>
      </w:pPr>
    </w:p>
    <w:p>
      <w:pPr>
        <w:sectPr>
          <w:pgSz w:w="11900" w:h="16838" w:orient="portrait"/>
          <w:cols w:equalWidth="0" w:num="2">
            <w:col w:w="6020" w:space="720"/>
            <w:col w:w="2319"/>
          </w:cols>
          <w:pgMar w:left="1400" w:top="378" w:right="1440" w:bottom="195"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446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13"/>
          <w:szCs w:val="13"/>
          <w:b w:val="1"/>
          <w:bCs w:val="1"/>
          <w:color w:val="00558C"/>
        </w:rPr>
        <w:t>21</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420370</wp:posOffset>
            </wp:positionV>
            <wp:extent cx="6810375" cy="899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10375" cy="899160"/>
                    </a:xfrm>
                    <a:prstGeom prst="rect">
                      <a:avLst/>
                    </a:prstGeom>
                    <a:noFill/>
                  </pic:spPr>
                </pic:pic>
              </a:graphicData>
            </a:graphic>
          </wp:anchor>
        </w:drawing>
      </w:r>
    </w:p>
    <w:p>
      <w:pPr>
        <w:sectPr>
          <w:pgSz w:w="11900" w:h="16838" w:orient="portrait"/>
          <w:cols w:equalWidth="0" w:num="1">
            <w:col w:w="9059"/>
          </w:cols>
          <w:pgMar w:left="1400" w:top="378" w:right="1440" w:bottom="195"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540" w:val="left"/>
          <w:tab w:leader="none" w:pos="7360" w:val="left"/>
          <w:tab w:leader="none" w:pos="8400" w:val="left"/>
        </w:tabs>
        <w:rPr>
          <w:sz w:val="20"/>
          <w:szCs w:val="20"/>
          <w:color w:val="auto"/>
        </w:rPr>
      </w:pPr>
      <w:r>
        <w:rPr>
          <w:rFonts w:ascii="Arial" w:cs="Arial" w:eastAsia="Arial" w:hAnsi="Arial"/>
          <w:sz w:val="13"/>
          <w:szCs w:val="13"/>
          <w:b w:val="1"/>
          <w:bCs w:val="1"/>
          <w:color w:val="B2B3B6"/>
        </w:rPr>
        <w:t>General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6AAA37"/>
        </w:rPr>
        <w:t>Corporate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Executive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Stockholder</w:t>
      </w:r>
      <w:r>
        <w:rPr>
          <w:sz w:val="20"/>
          <w:szCs w:val="20"/>
          <w:color w:val="auto"/>
        </w:rPr>
        <w:tab/>
      </w:r>
      <w:r>
        <w:rPr>
          <w:rFonts w:ascii="Arial" w:cs="Arial" w:eastAsia="Arial" w:hAnsi="Arial"/>
          <w:sz w:val="12"/>
          <w:szCs w:val="12"/>
          <w:b w:val="1"/>
          <w:bCs w:val="1"/>
          <w:color w:val="B2B3B6"/>
        </w:rPr>
        <w:t>Other</w:t>
      </w:r>
    </w:p>
    <w:p>
      <w:pPr>
        <w:spacing w:after="0" w:line="11"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540" w:val="left"/>
          <w:tab w:leader="none" w:pos="7360" w:val="left"/>
          <w:tab w:leader="none" w:pos="8400" w:val="left"/>
        </w:tabs>
        <w:rPr>
          <w:sz w:val="20"/>
          <w:szCs w:val="20"/>
          <w:color w:val="auto"/>
        </w:rPr>
      </w:pPr>
      <w:r>
        <w:rPr>
          <w:rFonts w:ascii="Arial" w:cs="Arial" w:eastAsia="Arial" w:hAnsi="Arial"/>
          <w:sz w:val="13"/>
          <w:szCs w:val="13"/>
          <w:b w:val="1"/>
          <w:bCs w:val="1"/>
          <w:color w:val="B2B3B6"/>
        </w:rPr>
        <w:t>Information</w:t>
      </w:r>
      <w:r>
        <w:rPr>
          <w:sz w:val="20"/>
          <w:szCs w:val="20"/>
          <w:color w:val="auto"/>
        </w:rPr>
        <w:tab/>
      </w:r>
      <w:r>
        <w:rPr>
          <w:rFonts w:ascii="Arial" w:cs="Arial" w:eastAsia="Arial" w:hAnsi="Arial"/>
          <w:sz w:val="13"/>
          <w:szCs w:val="13"/>
          <w:b w:val="1"/>
          <w:bCs w:val="1"/>
          <w:color w:val="B2B3B6"/>
        </w:rPr>
        <w:t>One</w:t>
      </w:r>
      <w:r>
        <w:rPr>
          <w:sz w:val="20"/>
          <w:szCs w:val="20"/>
          <w:color w:val="auto"/>
        </w:rPr>
        <w:tab/>
      </w:r>
      <w:r>
        <w:rPr>
          <w:rFonts w:ascii="Arial" w:cs="Arial" w:eastAsia="Arial" w:hAnsi="Arial"/>
          <w:sz w:val="13"/>
          <w:szCs w:val="13"/>
          <w:b w:val="1"/>
          <w:bCs w:val="1"/>
          <w:color w:val="6AAA37"/>
        </w:rPr>
        <w:t>Governance</w:t>
      </w:r>
      <w:r>
        <w:rPr>
          <w:sz w:val="20"/>
          <w:szCs w:val="20"/>
          <w:color w:val="auto"/>
        </w:rPr>
        <w:tab/>
      </w:r>
      <w:r>
        <w:rPr>
          <w:rFonts w:ascii="Arial" w:cs="Arial" w:eastAsia="Arial" w:hAnsi="Arial"/>
          <w:sz w:val="13"/>
          <w:szCs w:val="13"/>
          <w:b w:val="1"/>
          <w:bCs w:val="1"/>
          <w:color w:val="B2B3B6"/>
        </w:rPr>
        <w:t>Two</w:t>
      </w:r>
      <w:r>
        <w:rPr>
          <w:sz w:val="20"/>
          <w:szCs w:val="20"/>
          <w:color w:val="auto"/>
        </w:rPr>
        <w:tab/>
      </w:r>
      <w:r>
        <w:rPr>
          <w:rFonts w:ascii="Arial" w:cs="Arial" w:eastAsia="Arial" w:hAnsi="Arial"/>
          <w:sz w:val="13"/>
          <w:szCs w:val="13"/>
          <w:b w:val="1"/>
          <w:bCs w:val="1"/>
          <w:color w:val="B2B3B6"/>
        </w:rPr>
        <w:t>Compensation</w:t>
      </w:r>
      <w:r>
        <w:rPr>
          <w:sz w:val="20"/>
          <w:szCs w:val="20"/>
          <w:color w:val="auto"/>
        </w:rPr>
        <w:tab/>
      </w:r>
      <w:r>
        <w:rPr>
          <w:rFonts w:ascii="Arial" w:cs="Arial" w:eastAsia="Arial" w:hAnsi="Arial"/>
          <w:sz w:val="13"/>
          <w:szCs w:val="13"/>
          <w:b w:val="1"/>
          <w:bCs w:val="1"/>
          <w:color w:val="B2B3B6"/>
        </w:rPr>
        <w:t>Three</w:t>
      </w:r>
      <w:r>
        <w:rPr>
          <w:sz w:val="20"/>
          <w:szCs w:val="20"/>
          <w:color w:val="auto"/>
        </w:rPr>
        <w:tab/>
      </w:r>
      <w:r>
        <w:rPr>
          <w:rFonts w:ascii="Arial" w:cs="Arial" w:eastAsia="Arial" w:hAnsi="Arial"/>
          <w:sz w:val="13"/>
          <w:szCs w:val="13"/>
          <w:b w:val="1"/>
          <w:bCs w:val="1"/>
          <w:color w:val="B2B3B6"/>
        </w:rPr>
        <w:t>Four</w:t>
      </w:r>
      <w:r>
        <w:rPr>
          <w:sz w:val="20"/>
          <w:szCs w:val="20"/>
          <w:color w:val="auto"/>
        </w:rPr>
        <w:tab/>
      </w:r>
      <w:r>
        <w:rPr>
          <w:rFonts w:ascii="Arial" w:cs="Arial" w:eastAsia="Arial" w:hAnsi="Arial"/>
          <w:sz w:val="13"/>
          <w:szCs w:val="13"/>
          <w:b w:val="1"/>
          <w:bCs w:val="1"/>
          <w:color w:val="B2B3B6"/>
        </w:rPr>
        <w:t>Five</w:t>
      </w:r>
      <w:r>
        <w:rPr>
          <w:sz w:val="20"/>
          <w:szCs w:val="20"/>
          <w:color w:val="auto"/>
        </w:rPr>
        <w:tab/>
      </w:r>
      <w:r>
        <w:rPr>
          <w:rFonts w:ascii="Arial" w:cs="Arial" w:eastAsia="Arial" w:hAnsi="Arial"/>
          <w:sz w:val="13"/>
          <w:szCs w:val="13"/>
          <w:b w:val="1"/>
          <w:bCs w:val="1"/>
          <w:color w:val="B2B3B6"/>
        </w:rPr>
        <w:t>Proposals</w:t>
      </w:r>
      <w:r>
        <w:rPr>
          <w:sz w:val="20"/>
          <w:szCs w:val="20"/>
          <w:color w:val="auto"/>
        </w:rPr>
        <w:tab/>
      </w:r>
      <w:r>
        <w:rPr>
          <w:rFonts w:ascii="Arial" w:cs="Arial" w:eastAsia="Arial" w:hAnsi="Arial"/>
          <w:sz w:val="12"/>
          <w:szCs w:val="12"/>
          <w:b w:val="1"/>
          <w:bCs w:val="1"/>
          <w:color w:val="B2B3B6"/>
        </w:rPr>
        <w:t>Matters</w:t>
      </w:r>
    </w:p>
    <w:p>
      <w:pPr>
        <w:sectPr>
          <w:pgSz w:w="11900" w:h="16838" w:orient="portrait"/>
          <w:cols w:equalWidth="0" w:num="1">
            <w:col w:w="9059"/>
          </w:cols>
          <w:pgMar w:left="1400" w:top="378" w:right="1440" w:bottom="195" w:gutter="0" w:footer="0" w:header="0"/>
          <w:type w:val="continuous"/>
        </w:sectPr>
      </w:pPr>
    </w:p>
    <w:bookmarkStart w:id="29" w:name="page30"/>
    <w:bookmarkEnd w:id="29"/>
    <w:p>
      <w:pPr>
        <w:spacing w:after="0" w:line="22" w:lineRule="exact"/>
        <w:rPr>
          <w:sz w:val="20"/>
          <w:szCs w:val="20"/>
          <w:color w:val="auto"/>
        </w:rPr>
      </w:pPr>
    </w:p>
    <w:p>
      <w:pPr>
        <w:ind w:right="700"/>
        <w:spacing w:after="0" w:line="180" w:lineRule="auto"/>
        <w:rPr>
          <w:sz w:val="20"/>
          <w:szCs w:val="20"/>
          <w:color w:val="auto"/>
        </w:rPr>
      </w:pPr>
      <w:r>
        <w:rPr>
          <w:rFonts w:ascii="Arial" w:cs="Arial" w:eastAsia="Arial" w:hAnsi="Arial"/>
          <w:sz w:val="40"/>
          <w:szCs w:val="40"/>
          <w:color w:val="00558C"/>
        </w:rPr>
        <w:t>Technology and Information Security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-427990</wp:posOffset>
            </wp:positionV>
            <wp:extent cx="6810375" cy="79571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10375" cy="7957185"/>
                    </a:xfrm>
                    <a:prstGeom prst="rect">
                      <a:avLst/>
                    </a:prstGeom>
                    <a:noFill/>
                  </pic:spPr>
                </pic:pic>
              </a:graphicData>
            </a:graphic>
          </wp:anchor>
        </w:drawing>
      </w:r>
    </w:p>
    <w:p>
      <w:pPr>
        <w:spacing w:after="0" w:line="308"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FFFFFF"/>
        </w:rPr>
        <w:t>CHAIR: MS.BROWN</w:t>
      </w:r>
    </w:p>
    <w:p>
      <w:pPr>
        <w:spacing w:after="0" w:line="177"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FFFFFF"/>
        </w:rPr>
        <w:t>COMMITTEE MEMBERS: MR. MARKELL, MS. SINGH-BUSHELL AND MS. ZUMWALT</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Technology and Information Security Committee</w:t>
      </w:r>
    </w:p>
    <w:p>
      <w:pPr>
        <w:spacing w:after="0" w:line="113" w:lineRule="exact"/>
        <w:rPr>
          <w:sz w:val="20"/>
          <w:szCs w:val="20"/>
          <w:color w:val="auto"/>
        </w:rPr>
      </w:pPr>
    </w:p>
    <w:p>
      <w:pPr>
        <w:ind w:right="200"/>
        <w:spacing w:after="0" w:line="289" w:lineRule="auto"/>
        <w:rPr>
          <w:sz w:val="20"/>
          <w:szCs w:val="20"/>
          <w:color w:val="auto"/>
        </w:rPr>
      </w:pPr>
      <w:r>
        <w:rPr>
          <w:rFonts w:ascii="Arial" w:cs="Arial" w:eastAsia="Arial" w:hAnsi="Arial"/>
          <w:sz w:val="16"/>
          <w:szCs w:val="16"/>
          <w:color w:val="auto"/>
        </w:rPr>
        <w:t>The Technology and Information Security Committee’s responsibilities include reviewing the Company's technology-related strategies and significant technology-related initiatives and operations, overseeing major technology-related risks, including information security, data protection, cybersecurity and AI, and monitoring and evaluating existing and future trends in technology that may affect the Company's strategic plan. The committee members have significant knowledge and experience in technology and information security related strategies, operations, risk management and governance through their extensive professional experience and board service. The committee members also draw upon the skills and insight of the full board and regularly liaise with the Company's Chief Information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54"/>
          <w:szCs w:val="54"/>
          <w:color w:val="6AAA37"/>
        </w:rPr>
        <w:t>5</w:t>
      </w:r>
    </w:p>
    <w:p>
      <w:pPr>
        <w:spacing w:after="0" w:line="96" w:lineRule="exact"/>
        <w:rPr>
          <w:sz w:val="20"/>
          <w:szCs w:val="20"/>
          <w:color w:val="auto"/>
        </w:rPr>
      </w:pPr>
    </w:p>
    <w:p>
      <w:pPr>
        <w:ind w:right="499"/>
        <w:spacing w:after="0" w:line="260" w:lineRule="auto"/>
        <w:rPr>
          <w:sz w:val="20"/>
          <w:szCs w:val="20"/>
          <w:color w:val="auto"/>
        </w:rPr>
      </w:pPr>
      <w:r>
        <w:rPr>
          <w:rFonts w:ascii="Arial" w:cs="Arial" w:eastAsia="Arial" w:hAnsi="Arial"/>
          <w:sz w:val="16"/>
          <w:szCs w:val="16"/>
          <w:color w:val="auto"/>
        </w:rPr>
        <w:t>The Technology and Information Security Committee met five times in 2024.</w:t>
      </w:r>
    </w:p>
    <w:p>
      <w:pPr>
        <w:spacing w:after="0" w:line="1125" w:lineRule="exact"/>
        <w:rPr>
          <w:sz w:val="20"/>
          <w:szCs w:val="20"/>
          <w:color w:val="auto"/>
        </w:rPr>
      </w:pPr>
    </w:p>
    <w:p>
      <w:pPr>
        <w:sectPr>
          <w:pgSz w:w="11900" w:h="16861" w:orient="portrait"/>
          <w:cols w:equalWidth="0" w:num="2">
            <w:col w:w="6020" w:space="720"/>
            <w:col w:w="2319"/>
          </w:cols>
          <w:pgMar w:left="1400" w:top="125" w:right="1440" w:bottom="0" w:gutter="0" w:footer="0" w:header="0"/>
        </w:sectPr>
      </w:pPr>
    </w:p>
    <w:p>
      <w:pPr>
        <w:spacing w:after="0" w:line="400" w:lineRule="exact"/>
        <w:rPr>
          <w:sz w:val="20"/>
          <w:szCs w:val="20"/>
          <w:color w:val="auto"/>
        </w:rPr>
      </w:pPr>
    </w:p>
    <w:p>
      <w:pPr>
        <w:ind w:right="1940"/>
        <w:spacing w:after="0" w:line="246" w:lineRule="auto"/>
        <w:rPr>
          <w:sz w:val="20"/>
          <w:szCs w:val="20"/>
          <w:color w:val="auto"/>
        </w:rPr>
      </w:pPr>
      <w:r>
        <w:rPr>
          <w:rFonts w:ascii="Arial" w:cs="Arial" w:eastAsia="Arial" w:hAnsi="Arial"/>
          <w:sz w:val="43"/>
          <w:szCs w:val="43"/>
          <w:color w:val="00558C"/>
        </w:rPr>
        <w:t>Finance and Capital Allocation Committee</w:t>
      </w:r>
    </w:p>
    <w:p>
      <w:pPr>
        <w:spacing w:after="0" w:line="301"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FFFFFF"/>
        </w:rPr>
        <w:t>CHAIR: MR. LOCKHART</w:t>
      </w:r>
    </w:p>
    <w:p>
      <w:pPr>
        <w:spacing w:after="0" w:line="190"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FFFFFF"/>
        </w:rPr>
        <w:t>COMMITTEE MEMBERS: MS. BROWN, MR. SAWYER AND MS. SINGH-BUSHELL</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Finance and Capital Allocation Committee</w:t>
      </w:r>
    </w:p>
    <w:p>
      <w:pPr>
        <w:spacing w:after="0" w:line="113"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The Finance and Capital Allocation Committee’s responsibilities include oversight of the Company’s financing strategy, plans and programs, including any financial risk mitigation practices, any share repurchase policy, and the Company’s approach to allocating and using its capital for strategic investments, and certain investment and investor-related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54"/>
          <w:szCs w:val="54"/>
          <w:color w:val="6AAA37"/>
        </w:rPr>
        <w:t>6</w:t>
      </w:r>
    </w:p>
    <w:p>
      <w:pPr>
        <w:spacing w:after="0" w:line="96" w:lineRule="exact"/>
        <w:rPr>
          <w:sz w:val="20"/>
          <w:szCs w:val="20"/>
          <w:color w:val="auto"/>
        </w:rPr>
      </w:pPr>
    </w:p>
    <w:p>
      <w:pPr>
        <w:jc w:val="both"/>
        <w:ind w:right="479"/>
        <w:spacing w:after="0" w:line="258" w:lineRule="auto"/>
        <w:rPr>
          <w:sz w:val="20"/>
          <w:szCs w:val="20"/>
          <w:color w:val="auto"/>
        </w:rPr>
      </w:pPr>
      <w:r>
        <w:rPr>
          <w:rFonts w:ascii="Arial" w:cs="Arial" w:eastAsia="Arial" w:hAnsi="Arial"/>
          <w:sz w:val="16"/>
          <w:szCs w:val="16"/>
          <w:color w:val="auto"/>
        </w:rPr>
        <w:t>The Finance and Capital Allocation Committee met six times in 2024.</w:t>
      </w:r>
    </w:p>
    <w:p>
      <w:pPr>
        <w:spacing w:after="0" w:line="200" w:lineRule="exact"/>
        <w:rPr>
          <w:sz w:val="20"/>
          <w:szCs w:val="20"/>
          <w:color w:val="auto"/>
        </w:rPr>
      </w:pPr>
    </w:p>
    <w:p>
      <w:pPr>
        <w:sectPr>
          <w:pgSz w:w="11900" w:h="16861" w:orient="portrait"/>
          <w:cols w:equalWidth="0" w:num="2">
            <w:col w:w="6020" w:space="720"/>
            <w:col w:w="2319"/>
          </w:cols>
          <w:pgMar w:left="1400" w:top="125"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60"/>
        <w:spacing w:after="0"/>
        <w:tabs>
          <w:tab w:leader="none" w:pos="444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13"/>
          <w:szCs w:val="13"/>
          <w:b w:val="1"/>
          <w:bCs w:val="1"/>
          <w:color w:val="00558C"/>
        </w:rPr>
        <w:t>22</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420370</wp:posOffset>
            </wp:positionV>
            <wp:extent cx="6810375" cy="24765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10375" cy="2476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540" w:val="left"/>
          <w:tab w:leader="none" w:pos="7360" w:val="left"/>
          <w:tab w:leader="none" w:pos="8400" w:val="left"/>
        </w:tabs>
        <w:rPr>
          <w:sz w:val="20"/>
          <w:szCs w:val="20"/>
          <w:color w:val="auto"/>
        </w:rPr>
      </w:pPr>
      <w:r>
        <w:rPr>
          <w:rFonts w:ascii="Arial" w:cs="Arial" w:eastAsia="Arial" w:hAnsi="Arial"/>
          <w:sz w:val="13"/>
          <w:szCs w:val="13"/>
          <w:b w:val="1"/>
          <w:bCs w:val="1"/>
          <w:color w:val="B2B3B6"/>
        </w:rPr>
        <w:t>General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6AAA37"/>
        </w:rPr>
        <w:t>Corporate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Executive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Stockholder</w:t>
      </w:r>
      <w:r>
        <w:rPr>
          <w:sz w:val="20"/>
          <w:szCs w:val="20"/>
          <w:color w:val="auto"/>
        </w:rPr>
        <w:tab/>
      </w:r>
      <w:r>
        <w:rPr>
          <w:rFonts w:ascii="Arial" w:cs="Arial" w:eastAsia="Arial" w:hAnsi="Arial"/>
          <w:sz w:val="12"/>
          <w:szCs w:val="12"/>
          <w:b w:val="1"/>
          <w:bCs w:val="1"/>
          <w:color w:val="B2B3B6"/>
        </w:rPr>
        <w:t>Other</w:t>
      </w:r>
    </w:p>
    <w:p>
      <w:pPr>
        <w:spacing w:after="0" w:line="11"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540" w:val="left"/>
          <w:tab w:leader="none" w:pos="7360" w:val="left"/>
          <w:tab w:leader="none" w:pos="8400" w:val="left"/>
        </w:tabs>
        <w:rPr>
          <w:sz w:val="20"/>
          <w:szCs w:val="20"/>
          <w:color w:val="auto"/>
        </w:rPr>
      </w:pPr>
      <w:r>
        <w:rPr>
          <w:rFonts w:ascii="Arial" w:cs="Arial" w:eastAsia="Arial" w:hAnsi="Arial"/>
          <w:sz w:val="13"/>
          <w:szCs w:val="13"/>
          <w:b w:val="1"/>
          <w:bCs w:val="1"/>
          <w:color w:val="B2B3B6"/>
        </w:rPr>
        <w:t>Information</w:t>
      </w:r>
      <w:r>
        <w:rPr>
          <w:sz w:val="20"/>
          <w:szCs w:val="20"/>
          <w:color w:val="auto"/>
        </w:rPr>
        <w:tab/>
      </w:r>
      <w:r>
        <w:rPr>
          <w:rFonts w:ascii="Arial" w:cs="Arial" w:eastAsia="Arial" w:hAnsi="Arial"/>
          <w:sz w:val="13"/>
          <w:szCs w:val="13"/>
          <w:b w:val="1"/>
          <w:bCs w:val="1"/>
          <w:color w:val="B2B3B6"/>
        </w:rPr>
        <w:t>One</w:t>
      </w:r>
      <w:r>
        <w:rPr>
          <w:sz w:val="20"/>
          <w:szCs w:val="20"/>
          <w:color w:val="auto"/>
        </w:rPr>
        <w:tab/>
      </w:r>
      <w:r>
        <w:rPr>
          <w:rFonts w:ascii="Arial" w:cs="Arial" w:eastAsia="Arial" w:hAnsi="Arial"/>
          <w:sz w:val="13"/>
          <w:szCs w:val="13"/>
          <w:b w:val="1"/>
          <w:bCs w:val="1"/>
          <w:color w:val="6AAA37"/>
        </w:rPr>
        <w:t>Governance</w:t>
      </w:r>
      <w:r>
        <w:rPr>
          <w:sz w:val="20"/>
          <w:szCs w:val="20"/>
          <w:color w:val="auto"/>
        </w:rPr>
        <w:tab/>
      </w:r>
      <w:r>
        <w:rPr>
          <w:rFonts w:ascii="Arial" w:cs="Arial" w:eastAsia="Arial" w:hAnsi="Arial"/>
          <w:sz w:val="13"/>
          <w:szCs w:val="13"/>
          <w:b w:val="1"/>
          <w:bCs w:val="1"/>
          <w:color w:val="B2B3B6"/>
        </w:rPr>
        <w:t>Two</w:t>
      </w:r>
      <w:r>
        <w:rPr>
          <w:sz w:val="20"/>
          <w:szCs w:val="20"/>
          <w:color w:val="auto"/>
        </w:rPr>
        <w:tab/>
      </w:r>
      <w:r>
        <w:rPr>
          <w:rFonts w:ascii="Arial" w:cs="Arial" w:eastAsia="Arial" w:hAnsi="Arial"/>
          <w:sz w:val="13"/>
          <w:szCs w:val="13"/>
          <w:b w:val="1"/>
          <w:bCs w:val="1"/>
          <w:color w:val="B2B3B6"/>
        </w:rPr>
        <w:t>Compensation</w:t>
      </w:r>
      <w:r>
        <w:rPr>
          <w:sz w:val="20"/>
          <w:szCs w:val="20"/>
          <w:color w:val="auto"/>
        </w:rPr>
        <w:tab/>
      </w:r>
      <w:r>
        <w:rPr>
          <w:rFonts w:ascii="Arial" w:cs="Arial" w:eastAsia="Arial" w:hAnsi="Arial"/>
          <w:sz w:val="13"/>
          <w:szCs w:val="13"/>
          <w:b w:val="1"/>
          <w:bCs w:val="1"/>
          <w:color w:val="B2B3B6"/>
        </w:rPr>
        <w:t>Three</w:t>
      </w:r>
      <w:r>
        <w:rPr>
          <w:sz w:val="20"/>
          <w:szCs w:val="20"/>
          <w:color w:val="auto"/>
        </w:rPr>
        <w:tab/>
      </w:r>
      <w:r>
        <w:rPr>
          <w:rFonts w:ascii="Arial" w:cs="Arial" w:eastAsia="Arial" w:hAnsi="Arial"/>
          <w:sz w:val="13"/>
          <w:szCs w:val="13"/>
          <w:b w:val="1"/>
          <w:bCs w:val="1"/>
          <w:color w:val="B2B3B6"/>
        </w:rPr>
        <w:t>Four</w:t>
      </w:r>
      <w:r>
        <w:rPr>
          <w:sz w:val="20"/>
          <w:szCs w:val="20"/>
          <w:color w:val="auto"/>
        </w:rPr>
        <w:tab/>
      </w:r>
      <w:r>
        <w:rPr>
          <w:rFonts w:ascii="Arial" w:cs="Arial" w:eastAsia="Arial" w:hAnsi="Arial"/>
          <w:sz w:val="13"/>
          <w:szCs w:val="13"/>
          <w:b w:val="1"/>
          <w:bCs w:val="1"/>
          <w:color w:val="B2B3B6"/>
        </w:rPr>
        <w:t>Five</w:t>
      </w:r>
      <w:r>
        <w:rPr>
          <w:sz w:val="20"/>
          <w:szCs w:val="20"/>
          <w:color w:val="auto"/>
        </w:rPr>
        <w:tab/>
      </w:r>
      <w:r>
        <w:rPr>
          <w:rFonts w:ascii="Arial" w:cs="Arial" w:eastAsia="Arial" w:hAnsi="Arial"/>
          <w:sz w:val="13"/>
          <w:szCs w:val="13"/>
          <w:b w:val="1"/>
          <w:bCs w:val="1"/>
          <w:color w:val="B2B3B6"/>
        </w:rPr>
        <w:t>Proposals</w:t>
      </w:r>
      <w:r>
        <w:rPr>
          <w:sz w:val="20"/>
          <w:szCs w:val="20"/>
          <w:color w:val="auto"/>
        </w:rPr>
        <w:tab/>
      </w:r>
      <w:r>
        <w:rPr>
          <w:rFonts w:ascii="Arial" w:cs="Arial" w:eastAsia="Arial" w:hAnsi="Arial"/>
          <w:sz w:val="12"/>
          <w:szCs w:val="12"/>
          <w:b w:val="1"/>
          <w:bCs w:val="1"/>
          <w:color w:val="B2B3B6"/>
        </w:rPr>
        <w:t>Matters</w:t>
      </w:r>
    </w:p>
    <w:p>
      <w:pPr>
        <w:spacing w:after="0" w:line="314" w:lineRule="exact"/>
        <w:rPr>
          <w:sz w:val="20"/>
          <w:szCs w:val="20"/>
          <w:color w:val="auto"/>
        </w:rPr>
      </w:pPr>
    </w:p>
    <w:p>
      <w:pPr>
        <w:spacing w:after="0"/>
        <w:rPr>
          <w:sz w:val="20"/>
          <w:szCs w:val="20"/>
          <w:color w:val="auto"/>
        </w:rPr>
      </w:pPr>
      <w:r>
        <w:rPr>
          <w:rFonts w:ascii="Arial" w:cs="Arial" w:eastAsia="Arial" w:hAnsi="Arial"/>
          <w:sz w:val="22"/>
          <w:szCs w:val="22"/>
          <w:b w:val="1"/>
          <w:bCs w:val="1"/>
          <w:color w:val="00558C"/>
        </w:rPr>
        <w:t>Director Resignation Policy</w:t>
      </w:r>
    </w:p>
    <w:p>
      <w:pPr>
        <w:spacing w:after="0" w:line="112" w:lineRule="exact"/>
        <w:rPr>
          <w:sz w:val="20"/>
          <w:szCs w:val="20"/>
          <w:color w:val="auto"/>
        </w:rPr>
      </w:pPr>
    </w:p>
    <w:p>
      <w:pPr>
        <w:ind w:right="99"/>
        <w:spacing w:after="0" w:line="291" w:lineRule="auto"/>
        <w:rPr>
          <w:sz w:val="20"/>
          <w:szCs w:val="20"/>
          <w:color w:val="auto"/>
        </w:rPr>
      </w:pPr>
      <w:r>
        <w:rPr>
          <w:rFonts w:ascii="Arial" w:cs="Arial" w:eastAsia="Arial" w:hAnsi="Arial"/>
          <w:sz w:val="16"/>
          <w:szCs w:val="16"/>
          <w:color w:val="auto"/>
        </w:rPr>
        <w:t>The Company’s Corporate Governance Guidelines provide that in an uncontested election, any nominee for director who receives a greater number of votes “withheld” from his or her election than “for” his or her election shall promptly tender his or her resignation to the board of directors following certification of the election results, subject to acceptance by the board of directors. For purposes of this policy, (i) an “uncontested” election is one in which the number of persons properly nominated for election as directors as of the date that is ten (10) days before the record date for determining stockholders entitled to notice of or to vote at such meeting is not greater than the number of directors to be elected, and (ii) broker non-votes will not be counted as either votes “withheld” from or “for” such person’s election.</w:t>
      </w:r>
    </w:p>
    <w:p>
      <w:pPr>
        <w:spacing w:after="0" w:line="112" w:lineRule="exact"/>
        <w:rPr>
          <w:sz w:val="20"/>
          <w:szCs w:val="20"/>
          <w:color w:val="auto"/>
        </w:rPr>
      </w:pPr>
    </w:p>
    <w:p>
      <w:pPr>
        <w:ind w:right="99"/>
        <w:spacing w:after="0" w:line="310" w:lineRule="auto"/>
        <w:rPr>
          <w:sz w:val="20"/>
          <w:szCs w:val="20"/>
          <w:color w:val="auto"/>
        </w:rPr>
      </w:pPr>
      <w:r>
        <w:rPr>
          <w:rFonts w:ascii="Arial" w:cs="Arial" w:eastAsia="Arial" w:hAnsi="Arial"/>
          <w:sz w:val="16"/>
          <w:szCs w:val="16"/>
          <w:color w:val="auto"/>
        </w:rPr>
        <w:t>The Nominating and Corporate Governance Committee shall make a recommendation to the board of directors as to whether to accept or reject the tendered resignation, or whether other action should be taken. The board of directors shall determine whether to accept or reject the tendered resignation, or whether other action should be taken, in its sole discretion, and</w:t>
      </w:r>
    </w:p>
    <w:p>
      <w:pPr>
        <w:sectPr>
          <w:pgSz w:w="11900" w:h="16861" w:orient="portrait"/>
          <w:cols w:equalWidth="0" w:num="1">
            <w:col w:w="9059"/>
          </w:cols>
          <w:pgMar w:left="1400" w:top="125" w:right="1440" w:bottom="0" w:gutter="0" w:footer="0" w:header="0"/>
          <w:type w:val="continuous"/>
        </w:sectPr>
      </w:pPr>
    </w:p>
    <w:bookmarkStart w:id="30" w:name="page31"/>
    <w:bookmarkEnd w:id="30"/>
    <w:p>
      <w:pPr>
        <w:ind w:right="120"/>
        <w:spacing w:after="0" w:line="226" w:lineRule="auto"/>
        <w:rPr>
          <w:sz w:val="20"/>
          <w:szCs w:val="20"/>
          <w:color w:val="auto"/>
        </w:rPr>
      </w:pPr>
      <w:r>
        <w:rPr>
          <w:rFonts w:ascii="Arial" w:cs="Arial" w:eastAsia="Arial" w:hAnsi="Arial"/>
          <w:sz w:val="16"/>
          <w:szCs w:val="16"/>
          <w:color w:val="auto"/>
        </w:rPr>
        <w:t>publicly disclose its decision regarding the tendered resignation within ninety (90) days from the date of the certification of the election results. The Nominating and Corporate Governance Committee in making its recommendation and the board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-203200</wp:posOffset>
            </wp:positionV>
            <wp:extent cx="6810375" cy="637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10375" cy="637984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directors in making its decision may each consider any factors or other information that they consider appropriate and relevant.</w:t>
      </w:r>
    </w:p>
    <w:p>
      <w:pPr>
        <w:spacing w:after="0" w:line="181"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If any director’s resignation is not accepted by the board of directors, such director shall continue to serve until such director’s successor is duly elected and qualified, or until such director’s earlier death, resignation, retirement, disqualification or removal. If a director’s resignation is accepted by the board of directors pursuant to this policy, then the board of directors, in its sole discretion, may fill any resulting vacancy pursuant to the provisions of Section 2 of Article III of the bylaws of the Company or may decrease the size of the board of directors pursuant to Section 1 of Article III of the bylaws of the Company.</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color w:val="00558C"/>
        </w:rPr>
        <w:t>Range of Board Skills and Experience</w:t>
      </w:r>
    </w:p>
    <w:p>
      <w:pPr>
        <w:spacing w:after="0" w:line="112"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Nominating and Corporate Governance Committee, in discussing board composition, has focused on including a range of experience and perspectives in relation to guiding and overseeing the development of the business. The Board believes that having a range of experience and perspectives is aligned with the board’s objective to most effectively evaluate and support the Company's strategy going forward. In addition to the considerations mentioned above under the "Nominating and Corporate Governance Committee" section, the Nominating and Corporate Governance Committee seeks highly qualified candidates from prior executive management roles, directorships on public company boards and in relevant industries and the candidate's ability to bring a range of thinking to the board, which includes various viewpoints, perspectives and experiences.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0"/>
        <w:spacing w:after="0"/>
        <w:tabs>
          <w:tab w:leader="none" w:pos="444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13"/>
          <w:szCs w:val="13"/>
          <w:b w:val="1"/>
          <w:bCs w:val="1"/>
          <w:color w:val="00558C"/>
        </w:rPr>
        <w:t>23</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420370</wp:posOffset>
            </wp:positionV>
            <wp:extent cx="6810375" cy="40538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10375" cy="4053840"/>
                    </a:xfrm>
                    <a:prstGeom prst="rect">
                      <a:avLst/>
                    </a:prstGeom>
                    <a:noFill/>
                  </pic:spPr>
                </pic:pic>
              </a:graphicData>
            </a:graphic>
          </wp:anchor>
        </w:drawing>
      </w:r>
    </w:p>
    <w:p>
      <w:pPr>
        <w:sectPr>
          <w:pgSz w:w="11900" w:h="16838" w:orient="portrait"/>
          <w:cols w:equalWidth="0" w:num="1">
            <w:col w:w="9080"/>
          </w:cols>
          <w:pgMar w:left="1400" w:top="114" w:right="14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0"/>
        <w:spacing w:after="0" w:line="274" w:lineRule="auto"/>
        <w:rPr>
          <w:sz w:val="20"/>
          <w:szCs w:val="20"/>
          <w:color w:val="auto"/>
        </w:rPr>
      </w:pPr>
      <w:r>
        <w:rPr>
          <w:rFonts w:ascii="Arial" w:cs="Arial" w:eastAsia="Arial" w:hAnsi="Arial"/>
          <w:sz w:val="13"/>
          <w:szCs w:val="13"/>
          <w:b w:val="1"/>
          <w:bCs w:val="1"/>
          <w:color w:val="B2B3B6"/>
        </w:rPr>
        <w:t>General Proposal Information 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line="317" w:lineRule="auto"/>
        <w:rPr>
          <w:sz w:val="20"/>
          <w:szCs w:val="20"/>
          <w:color w:val="auto"/>
        </w:rPr>
      </w:pPr>
      <w:r>
        <w:rPr>
          <w:rFonts w:ascii="Arial" w:cs="Arial" w:eastAsia="Arial" w:hAnsi="Arial"/>
          <w:sz w:val="12"/>
          <w:szCs w:val="12"/>
          <w:b w:val="1"/>
          <w:bCs w:val="1"/>
          <w:color w:val="6AAA37"/>
        </w:rPr>
        <w:t>Corporate Governance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line="274" w:lineRule="auto"/>
        <w:rPr>
          <w:sz w:val="20"/>
          <w:szCs w:val="20"/>
          <w:color w:val="auto"/>
        </w:rPr>
      </w:pPr>
      <w:r>
        <w:rPr>
          <w:rFonts w:ascii="Arial" w:cs="Arial" w:eastAsia="Arial" w:hAnsi="Arial"/>
          <w:sz w:val="13"/>
          <w:szCs w:val="13"/>
          <w:b w:val="1"/>
          <w:bCs w:val="1"/>
          <w:color w:val="B2B3B6"/>
        </w:rPr>
        <w:t>Proposal Executive Two 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200"/>
        <w:spacing w:after="0" w:line="274" w:lineRule="auto"/>
        <w:rPr>
          <w:sz w:val="20"/>
          <w:szCs w:val="20"/>
          <w:color w:val="auto"/>
        </w:rPr>
      </w:pPr>
      <w:r>
        <w:rPr>
          <w:rFonts w:ascii="Arial" w:cs="Arial" w:eastAsia="Arial" w:hAnsi="Arial"/>
          <w:sz w:val="13"/>
          <w:szCs w:val="13"/>
          <w:b w:val="1"/>
          <w:bCs w:val="1"/>
          <w:color w:val="B2B3B6"/>
        </w:rPr>
        <w:t>Proposal Proposal Proposal Stockholder Other Three Four Five Proposals Matters</w:t>
      </w:r>
    </w:p>
    <w:p>
      <w:pPr>
        <w:spacing w:after="0" w:line="223" w:lineRule="exact"/>
        <w:rPr>
          <w:sz w:val="20"/>
          <w:szCs w:val="20"/>
          <w:color w:val="auto"/>
        </w:rPr>
      </w:pPr>
    </w:p>
    <w:p>
      <w:pPr>
        <w:sectPr>
          <w:pgSz w:w="11900" w:h="16838" w:orient="portrait"/>
          <w:cols w:equalWidth="0" w:num="4">
            <w:col w:w="1600" w:space="300"/>
            <w:col w:w="720" w:space="280"/>
            <w:col w:w="1700" w:space="320"/>
            <w:col w:w="4160"/>
          </w:cols>
          <w:pgMar w:left="1400" w:top="114" w:right="1419" w:bottom="0" w:gutter="0" w:footer="0" w:header="0"/>
          <w:type w:val="continuous"/>
        </w:sectPr>
      </w:pPr>
    </w:p>
    <w:p>
      <w:pPr>
        <w:spacing w:after="0" w:line="59" w:lineRule="exact"/>
        <w:rPr>
          <w:sz w:val="20"/>
          <w:szCs w:val="20"/>
          <w:color w:val="auto"/>
        </w:rPr>
      </w:pPr>
    </w:p>
    <w:p>
      <w:pPr>
        <w:spacing w:after="0"/>
        <w:rPr>
          <w:sz w:val="20"/>
          <w:szCs w:val="20"/>
          <w:color w:val="auto"/>
        </w:rPr>
      </w:pPr>
      <w:r>
        <w:rPr>
          <w:rFonts w:ascii="Arial" w:cs="Arial" w:eastAsia="Arial" w:hAnsi="Arial"/>
          <w:sz w:val="22"/>
          <w:szCs w:val="22"/>
          <w:b w:val="1"/>
          <w:bCs w:val="1"/>
          <w:color w:val="00558C"/>
        </w:rPr>
        <w:t>Compensation of Directors</w:t>
      </w:r>
    </w:p>
    <w:p>
      <w:pPr>
        <w:spacing w:after="0" w:line="112"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The Huron non-employee director compensation program is designed to enhance our ability to attract and retain highly qualified directors and to align their interests with the long-term interests of our stockholders. The program consists of both a cash component, designed to compensate non-employee directors for their service on the board and its committees, and an equity component, designed to align the interests of non-employee directors and stockholders. Neither Mr. Roth nor Mr. Hussey receive compensation for their service on the board.</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Effective January 1, 2024, the director compensation program is comprised of the following elements:</w:t>
      </w:r>
    </w:p>
    <w:p>
      <w:pPr>
        <w:spacing w:after="0" w:line="361" w:lineRule="exact"/>
        <w:rPr>
          <w:sz w:val="20"/>
          <w:szCs w:val="20"/>
          <w:color w:val="auto"/>
        </w:rPr>
      </w:pPr>
    </w:p>
    <w:tbl>
      <w:tblPr>
        <w:tblLayout w:type="fixed"/>
        <w:tblInd w:w="200" w:type="dxa"/>
        <w:tblCellMar>
          <w:top w:w="0" w:type="dxa"/>
          <w:left w:w="0" w:type="dxa"/>
          <w:bottom w:w="0" w:type="dxa"/>
          <w:right w:w="0" w:type="dxa"/>
        </w:tblCellMar>
      </w:tblPr>
      <w:tr>
        <w:trPr>
          <w:trHeight w:val="196"/>
        </w:trPr>
        <w:tc>
          <w:tcPr>
            <w:tcW w:w="2800" w:type="dxa"/>
            <w:vAlign w:val="bottom"/>
          </w:tcPr>
          <w:p>
            <w:pPr>
              <w:spacing w:after="0"/>
              <w:rPr>
                <w:sz w:val="20"/>
                <w:szCs w:val="20"/>
                <w:color w:val="auto"/>
              </w:rPr>
            </w:pPr>
            <w:r>
              <w:rPr>
                <w:rFonts w:ascii="Arial" w:cs="Arial" w:eastAsia="Arial" w:hAnsi="Arial"/>
                <w:sz w:val="14"/>
                <w:szCs w:val="14"/>
                <w:b w:val="1"/>
                <w:bCs w:val="1"/>
                <w:color w:val="FFFFFF"/>
              </w:rPr>
              <w:t>Compensation Element</w:t>
            </w:r>
          </w:p>
        </w:tc>
        <w:tc>
          <w:tcPr>
            <w:tcW w:w="3980" w:type="dxa"/>
            <w:vAlign w:val="bottom"/>
          </w:tcPr>
          <w:p>
            <w:pPr>
              <w:ind w:left="120"/>
              <w:spacing w:after="0"/>
              <w:rPr>
                <w:sz w:val="20"/>
                <w:szCs w:val="20"/>
                <w:color w:val="auto"/>
              </w:rPr>
            </w:pPr>
            <w:r>
              <w:rPr>
                <w:rFonts w:ascii="Arial" w:cs="Arial" w:eastAsia="Arial" w:hAnsi="Arial"/>
                <w:sz w:val="14"/>
                <w:szCs w:val="14"/>
                <w:b w:val="1"/>
                <w:bCs w:val="1"/>
                <w:color w:val="FFFFFF"/>
              </w:rPr>
              <w:t>Compensation</w:t>
            </w:r>
          </w:p>
        </w:tc>
      </w:tr>
      <w:tr>
        <w:trPr>
          <w:trHeight w:val="399"/>
        </w:trPr>
        <w:tc>
          <w:tcPr>
            <w:tcW w:w="2800" w:type="dxa"/>
            <w:vAlign w:val="bottom"/>
          </w:tcPr>
          <w:p>
            <w:pPr>
              <w:spacing w:after="0"/>
              <w:rPr>
                <w:sz w:val="24"/>
                <w:szCs w:val="24"/>
                <w:color w:val="auto"/>
              </w:rPr>
            </w:pPr>
          </w:p>
        </w:tc>
        <w:tc>
          <w:tcPr>
            <w:tcW w:w="3980" w:type="dxa"/>
            <w:vAlign w:val="bottom"/>
          </w:tcPr>
          <w:p>
            <w:pPr>
              <w:ind w:left="120"/>
              <w:spacing w:after="0"/>
              <w:rPr>
                <w:sz w:val="20"/>
                <w:szCs w:val="20"/>
                <w:color w:val="auto"/>
              </w:rPr>
            </w:pPr>
            <w:r>
              <w:rPr>
                <w:rFonts w:ascii="Arial" w:cs="Arial" w:eastAsia="Arial" w:hAnsi="Arial"/>
                <w:sz w:val="14"/>
                <w:szCs w:val="14"/>
                <w:color w:val="auto"/>
              </w:rPr>
              <w:t>Non-executive Chairman - $160,000</w:t>
            </w:r>
          </w:p>
        </w:tc>
      </w:tr>
      <w:tr>
        <w:trPr>
          <w:trHeight w:val="412"/>
        </w:trPr>
        <w:tc>
          <w:tcPr>
            <w:tcW w:w="2800" w:type="dxa"/>
            <w:vAlign w:val="bottom"/>
          </w:tcPr>
          <w:p>
            <w:pPr>
              <w:spacing w:after="0"/>
              <w:rPr>
                <w:sz w:val="20"/>
                <w:szCs w:val="20"/>
                <w:color w:val="auto"/>
              </w:rPr>
            </w:pPr>
            <w:r>
              <w:rPr>
                <w:rFonts w:ascii="Arial" w:cs="Arial" w:eastAsia="Arial" w:hAnsi="Arial"/>
                <w:sz w:val="14"/>
                <w:szCs w:val="14"/>
                <w:b w:val="1"/>
                <w:bCs w:val="1"/>
                <w:color w:val="auto"/>
              </w:rPr>
              <w:t>Annual cash retainer</w:t>
            </w:r>
            <w:r>
              <w:rPr>
                <w:rFonts w:ascii="Arial" w:cs="Arial" w:eastAsia="Arial" w:hAnsi="Arial"/>
                <w:sz w:val="18"/>
                <w:szCs w:val="18"/>
                <w:b w:val="1"/>
                <w:bCs w:val="1"/>
                <w:color w:val="auto"/>
                <w:vertAlign w:val="superscript"/>
              </w:rPr>
              <w:t>(1)(2)</w:t>
            </w:r>
          </w:p>
        </w:tc>
        <w:tc>
          <w:tcPr>
            <w:tcW w:w="3980" w:type="dxa"/>
            <w:vAlign w:val="bottom"/>
          </w:tcPr>
          <w:p>
            <w:pPr>
              <w:ind w:left="120"/>
              <w:spacing w:after="0"/>
              <w:rPr>
                <w:sz w:val="20"/>
                <w:szCs w:val="20"/>
                <w:color w:val="auto"/>
              </w:rPr>
            </w:pPr>
            <w:r>
              <w:rPr>
                <w:rFonts w:ascii="Arial" w:cs="Arial" w:eastAsia="Arial" w:hAnsi="Arial"/>
                <w:sz w:val="14"/>
                <w:szCs w:val="14"/>
                <w:color w:val="auto"/>
              </w:rPr>
              <w:t>Vice Chairman - $85,000</w:t>
            </w:r>
            <w:r>
              <w:rPr>
                <w:rFonts w:ascii="Arial" w:cs="Arial" w:eastAsia="Arial" w:hAnsi="Arial"/>
                <w:sz w:val="18"/>
                <w:szCs w:val="18"/>
                <w:color w:val="auto"/>
                <w:vertAlign w:val="superscript"/>
              </w:rPr>
              <w:t>(3)</w:t>
            </w:r>
          </w:p>
        </w:tc>
      </w:tr>
      <w:tr>
        <w:trPr>
          <w:trHeight w:val="317"/>
        </w:trPr>
        <w:tc>
          <w:tcPr>
            <w:tcW w:w="2800" w:type="dxa"/>
            <w:vAlign w:val="bottom"/>
          </w:tcPr>
          <w:p>
            <w:pPr>
              <w:spacing w:after="0"/>
              <w:rPr>
                <w:sz w:val="24"/>
                <w:szCs w:val="24"/>
                <w:color w:val="auto"/>
              </w:rPr>
            </w:pPr>
          </w:p>
        </w:tc>
        <w:tc>
          <w:tcPr>
            <w:tcW w:w="3980" w:type="dxa"/>
            <w:vAlign w:val="bottom"/>
          </w:tcPr>
          <w:p>
            <w:pPr>
              <w:ind w:left="120"/>
              <w:spacing w:after="0"/>
              <w:rPr>
                <w:sz w:val="20"/>
                <w:szCs w:val="20"/>
                <w:color w:val="auto"/>
              </w:rPr>
            </w:pPr>
            <w:r>
              <w:rPr>
                <w:rFonts w:ascii="Arial" w:cs="Arial" w:eastAsia="Arial" w:hAnsi="Arial"/>
                <w:sz w:val="14"/>
                <w:szCs w:val="14"/>
                <w:color w:val="auto"/>
              </w:rPr>
              <w:t>All non-employee directors including the Chairman - $75,000</w:t>
            </w:r>
          </w:p>
        </w:tc>
      </w:tr>
      <w:tr>
        <w:trPr>
          <w:trHeight w:val="449"/>
        </w:trPr>
        <w:tc>
          <w:tcPr>
            <w:tcW w:w="2800" w:type="dxa"/>
            <w:vAlign w:val="bottom"/>
          </w:tcPr>
          <w:p>
            <w:pPr>
              <w:spacing w:after="0"/>
              <w:rPr>
                <w:sz w:val="20"/>
                <w:szCs w:val="20"/>
                <w:color w:val="auto"/>
              </w:rPr>
            </w:pPr>
            <w:r>
              <w:rPr>
                <w:rFonts w:ascii="Arial" w:cs="Arial" w:eastAsia="Arial" w:hAnsi="Arial"/>
                <w:sz w:val="14"/>
                <w:szCs w:val="14"/>
                <w:b w:val="1"/>
                <w:bCs w:val="1"/>
                <w:color w:val="auto"/>
              </w:rPr>
              <w:t>Annual restricted stock unit grant</w:t>
            </w:r>
          </w:p>
        </w:tc>
        <w:tc>
          <w:tcPr>
            <w:tcW w:w="3980" w:type="dxa"/>
            <w:vAlign w:val="bottom"/>
          </w:tcPr>
          <w:p>
            <w:pPr>
              <w:ind w:left="120"/>
              <w:spacing w:after="0"/>
              <w:rPr>
                <w:sz w:val="20"/>
                <w:szCs w:val="20"/>
                <w:color w:val="auto"/>
              </w:rPr>
            </w:pPr>
            <w:r>
              <w:rPr>
                <w:rFonts w:ascii="Arial" w:cs="Arial" w:eastAsia="Arial" w:hAnsi="Arial"/>
                <w:sz w:val="14"/>
                <w:szCs w:val="14"/>
                <w:color w:val="auto"/>
              </w:rPr>
              <w:t>$170,000 in the form of restricted stock units</w:t>
            </w:r>
            <w:r>
              <w:rPr>
                <w:rFonts w:ascii="Arial" w:cs="Arial" w:eastAsia="Arial" w:hAnsi="Arial"/>
                <w:sz w:val="18"/>
                <w:szCs w:val="18"/>
                <w:color w:val="auto"/>
                <w:vertAlign w:val="superscript"/>
              </w:rPr>
              <w:t>(4)</w:t>
            </w:r>
          </w:p>
        </w:tc>
      </w:tr>
      <w:tr>
        <w:trPr>
          <w:trHeight w:val="361"/>
        </w:trPr>
        <w:tc>
          <w:tcPr>
            <w:tcW w:w="2800" w:type="dxa"/>
            <w:vAlign w:val="bottom"/>
          </w:tcPr>
          <w:p>
            <w:pPr>
              <w:spacing w:after="0"/>
              <w:rPr>
                <w:sz w:val="24"/>
                <w:szCs w:val="24"/>
                <w:color w:val="auto"/>
              </w:rPr>
            </w:pPr>
          </w:p>
        </w:tc>
        <w:tc>
          <w:tcPr>
            <w:tcW w:w="3980" w:type="dxa"/>
            <w:vAlign w:val="bottom"/>
          </w:tcPr>
          <w:p>
            <w:pPr>
              <w:ind w:left="120"/>
              <w:spacing w:after="0"/>
              <w:rPr>
                <w:sz w:val="20"/>
                <w:szCs w:val="20"/>
                <w:color w:val="auto"/>
              </w:rPr>
            </w:pPr>
            <w:r>
              <w:rPr>
                <w:rFonts w:ascii="Arial" w:cs="Arial" w:eastAsia="Arial" w:hAnsi="Arial"/>
                <w:sz w:val="14"/>
                <w:szCs w:val="14"/>
                <w:color w:val="auto"/>
              </w:rPr>
              <w:t>Audit - $25,000</w:t>
            </w:r>
          </w:p>
        </w:tc>
      </w:tr>
      <w:tr>
        <w:trPr>
          <w:trHeight w:val="364"/>
        </w:trPr>
        <w:tc>
          <w:tcPr>
            <w:tcW w:w="2800" w:type="dxa"/>
            <w:vAlign w:val="bottom"/>
          </w:tcPr>
          <w:p>
            <w:pPr>
              <w:spacing w:after="0"/>
              <w:rPr>
                <w:sz w:val="24"/>
                <w:szCs w:val="24"/>
                <w:color w:val="auto"/>
              </w:rPr>
            </w:pPr>
          </w:p>
        </w:tc>
        <w:tc>
          <w:tcPr>
            <w:tcW w:w="3980" w:type="dxa"/>
            <w:vAlign w:val="bottom"/>
          </w:tcPr>
          <w:p>
            <w:pPr>
              <w:ind w:left="120"/>
              <w:spacing w:after="0"/>
              <w:rPr>
                <w:sz w:val="20"/>
                <w:szCs w:val="20"/>
                <w:color w:val="auto"/>
              </w:rPr>
            </w:pPr>
            <w:r>
              <w:rPr>
                <w:rFonts w:ascii="Arial" w:cs="Arial" w:eastAsia="Arial" w:hAnsi="Arial"/>
                <w:sz w:val="14"/>
                <w:szCs w:val="14"/>
                <w:color w:val="auto"/>
              </w:rPr>
              <w:t>Compensation - $20,000</w:t>
            </w:r>
          </w:p>
        </w:tc>
      </w:tr>
      <w:tr>
        <w:trPr>
          <w:trHeight w:val="370"/>
        </w:trPr>
        <w:tc>
          <w:tcPr>
            <w:tcW w:w="2800" w:type="dxa"/>
            <w:vAlign w:val="bottom"/>
          </w:tcPr>
          <w:p>
            <w:pPr>
              <w:spacing w:after="0"/>
              <w:rPr>
                <w:sz w:val="20"/>
                <w:szCs w:val="20"/>
                <w:color w:val="auto"/>
              </w:rPr>
            </w:pPr>
            <w:r>
              <w:rPr>
                <w:rFonts w:ascii="Arial" w:cs="Arial" w:eastAsia="Arial" w:hAnsi="Arial"/>
                <w:sz w:val="14"/>
                <w:szCs w:val="14"/>
                <w:b w:val="1"/>
                <w:bCs w:val="1"/>
                <w:color w:val="auto"/>
              </w:rPr>
              <w:t>Annual committee chairperson retainer</w:t>
            </w:r>
          </w:p>
        </w:tc>
        <w:tc>
          <w:tcPr>
            <w:tcW w:w="3980" w:type="dxa"/>
            <w:vAlign w:val="bottom"/>
          </w:tcPr>
          <w:p>
            <w:pPr>
              <w:ind w:left="120"/>
              <w:spacing w:after="0"/>
              <w:rPr>
                <w:sz w:val="20"/>
                <w:szCs w:val="20"/>
                <w:color w:val="auto"/>
              </w:rPr>
            </w:pPr>
            <w:r>
              <w:rPr>
                <w:rFonts w:ascii="Arial" w:cs="Arial" w:eastAsia="Arial" w:hAnsi="Arial"/>
                <w:sz w:val="14"/>
                <w:szCs w:val="14"/>
                <w:color w:val="auto"/>
              </w:rPr>
              <w:t>Nominating and Corporate Governance - $15,000</w:t>
            </w:r>
          </w:p>
        </w:tc>
      </w:tr>
    </w:tbl>
    <w:p>
      <w:pPr>
        <w:sectPr>
          <w:pgSz w:w="11900" w:h="16838" w:orient="portrait"/>
          <w:cols w:equalWidth="0" w:num="1">
            <w:col w:w="9080"/>
          </w:cols>
          <w:pgMar w:left="1400" w:top="114" w:right="1419" w:bottom="0" w:gutter="0" w:footer="0" w:header="0"/>
          <w:type w:val="continuous"/>
        </w:sectPr>
      </w:pPr>
    </w:p>
    <w:bookmarkStart w:id="31" w:name="page32"/>
    <w:bookmarkEnd w:id="31"/>
    <w:p>
      <w:pPr>
        <w:spacing w:after="0" w:line="48" w:lineRule="exact"/>
        <w:rPr>
          <w:sz w:val="20"/>
          <w:szCs w:val="20"/>
          <w:color w:val="auto"/>
        </w:rPr>
      </w:pPr>
    </w:p>
    <w:p>
      <w:pPr>
        <w:ind w:left="3120"/>
        <w:spacing w:after="0"/>
        <w:rPr>
          <w:sz w:val="20"/>
          <w:szCs w:val="20"/>
          <w:color w:val="auto"/>
        </w:rPr>
      </w:pPr>
      <w:r>
        <w:rPr>
          <w:rFonts w:ascii="Arial" w:cs="Arial" w:eastAsia="Arial" w:hAnsi="Arial"/>
          <w:sz w:val="14"/>
          <w:szCs w:val="14"/>
          <w:color w:val="auto"/>
        </w:rPr>
        <w:t>Technology and Information Security - $15,000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-87630</wp:posOffset>
            </wp:positionV>
            <wp:extent cx="6810375" cy="48025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10375" cy="4802505"/>
                    </a:xfrm>
                    <a:prstGeom prst="rect">
                      <a:avLst/>
                    </a:prstGeom>
                    <a:noFill/>
                  </pic:spPr>
                </pic:pic>
              </a:graphicData>
            </a:graphic>
          </wp:anchor>
        </w:drawing>
      </w:r>
    </w:p>
    <w:p>
      <w:pPr>
        <w:spacing w:after="0" w:line="102" w:lineRule="exact"/>
        <w:rPr>
          <w:sz w:val="20"/>
          <w:szCs w:val="20"/>
          <w:color w:val="auto"/>
        </w:rPr>
      </w:pPr>
    </w:p>
    <w:p>
      <w:pPr>
        <w:ind w:left="3120"/>
        <w:spacing w:after="0"/>
        <w:rPr>
          <w:sz w:val="20"/>
          <w:szCs w:val="20"/>
          <w:color w:val="auto"/>
        </w:rPr>
      </w:pPr>
      <w:r>
        <w:rPr>
          <w:rFonts w:ascii="Arial" w:cs="Arial" w:eastAsia="Arial" w:hAnsi="Arial"/>
          <w:sz w:val="14"/>
          <w:szCs w:val="14"/>
          <w:color w:val="auto"/>
        </w:rPr>
        <w:t>Finance and Capital Allocation - $15,000</w:t>
      </w:r>
    </w:p>
    <w:p>
      <w:pPr>
        <w:spacing w:after="0" w:line="204" w:lineRule="exact"/>
        <w:rPr>
          <w:sz w:val="20"/>
          <w:szCs w:val="20"/>
          <w:color w:val="auto"/>
        </w:rPr>
      </w:pPr>
    </w:p>
    <w:p>
      <w:pPr>
        <w:ind w:left="3120"/>
        <w:spacing w:after="0"/>
        <w:rPr>
          <w:sz w:val="20"/>
          <w:szCs w:val="20"/>
          <w:color w:val="auto"/>
        </w:rPr>
      </w:pPr>
      <w:r>
        <w:rPr>
          <w:rFonts w:ascii="Arial" w:cs="Arial" w:eastAsia="Arial" w:hAnsi="Arial"/>
          <w:sz w:val="14"/>
          <w:szCs w:val="14"/>
          <w:color w:val="auto"/>
        </w:rPr>
        <w:t>Audit - $10,000</w:t>
      </w:r>
    </w:p>
    <w:p>
      <w:pPr>
        <w:spacing w:after="0" w:line="204" w:lineRule="exact"/>
        <w:rPr>
          <w:sz w:val="20"/>
          <w:szCs w:val="20"/>
          <w:color w:val="auto"/>
        </w:rPr>
      </w:pPr>
    </w:p>
    <w:p>
      <w:pPr>
        <w:ind w:left="3120"/>
        <w:spacing w:after="0"/>
        <w:rPr>
          <w:sz w:val="20"/>
          <w:szCs w:val="20"/>
          <w:color w:val="auto"/>
        </w:rPr>
      </w:pPr>
      <w:r>
        <w:rPr>
          <w:rFonts w:ascii="Arial" w:cs="Arial" w:eastAsia="Arial" w:hAnsi="Arial"/>
          <w:sz w:val="14"/>
          <w:szCs w:val="14"/>
          <w:color w:val="auto"/>
        </w:rPr>
        <w:t>Compensation - $10,000</w:t>
      </w:r>
    </w:p>
    <w:p>
      <w:pPr>
        <w:spacing w:after="0" w:line="123"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780" w:type="dxa"/>
            <w:vAlign w:val="bottom"/>
          </w:tcPr>
          <w:p>
            <w:pPr>
              <w:spacing w:after="0"/>
              <w:rPr>
                <w:sz w:val="20"/>
                <w:szCs w:val="20"/>
                <w:color w:val="auto"/>
              </w:rPr>
            </w:pPr>
            <w:r>
              <w:rPr>
                <w:rFonts w:ascii="Arial" w:cs="Arial" w:eastAsia="Arial" w:hAnsi="Arial"/>
                <w:sz w:val="14"/>
                <w:szCs w:val="14"/>
                <w:b w:val="1"/>
                <w:bCs w:val="1"/>
                <w:color w:val="auto"/>
              </w:rPr>
              <w:t>Annual committee membership</w:t>
            </w:r>
          </w:p>
        </w:tc>
        <w:tc>
          <w:tcPr>
            <w:tcW w:w="6040" w:type="dxa"/>
            <w:vAlign w:val="bottom"/>
            <w:vMerge w:val="restart"/>
          </w:tcPr>
          <w:p>
            <w:pPr>
              <w:ind w:left="140"/>
              <w:spacing w:after="0"/>
              <w:rPr>
                <w:sz w:val="20"/>
                <w:szCs w:val="20"/>
                <w:color w:val="auto"/>
              </w:rPr>
            </w:pPr>
            <w:r>
              <w:rPr>
                <w:rFonts w:ascii="Arial" w:cs="Arial" w:eastAsia="Arial" w:hAnsi="Arial"/>
                <w:sz w:val="14"/>
                <w:szCs w:val="14"/>
                <w:color w:val="auto"/>
              </w:rPr>
              <w:t>Nominating and Corporate Governance - $7,500</w:t>
            </w:r>
          </w:p>
        </w:tc>
        <w:tc>
          <w:tcPr>
            <w:tcW w:w="0" w:type="dxa"/>
            <w:vAlign w:val="bottom"/>
          </w:tcPr>
          <w:p>
            <w:pPr>
              <w:spacing w:after="0"/>
              <w:rPr>
                <w:sz w:val="1"/>
                <w:szCs w:val="1"/>
                <w:color w:val="auto"/>
              </w:rPr>
            </w:pPr>
          </w:p>
        </w:tc>
      </w:tr>
      <w:tr>
        <w:trPr>
          <w:trHeight w:val="109"/>
        </w:trPr>
        <w:tc>
          <w:tcPr>
            <w:tcW w:w="2780" w:type="dxa"/>
            <w:vAlign w:val="bottom"/>
            <w:vMerge w:val="restart"/>
          </w:tcPr>
          <w:p>
            <w:pPr>
              <w:spacing w:after="0"/>
              <w:rPr>
                <w:sz w:val="20"/>
                <w:szCs w:val="20"/>
                <w:color w:val="auto"/>
              </w:rPr>
            </w:pPr>
            <w:r>
              <w:rPr>
                <w:rFonts w:ascii="Arial" w:cs="Arial" w:eastAsia="Arial" w:hAnsi="Arial"/>
                <w:sz w:val="14"/>
                <w:szCs w:val="14"/>
                <w:b w:val="1"/>
                <w:bCs w:val="1"/>
                <w:color w:val="auto"/>
              </w:rPr>
              <w:t>retainer, other than the chair</w:t>
            </w:r>
          </w:p>
        </w:tc>
        <w:tc>
          <w:tcPr>
            <w:tcW w:w="6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2780" w:type="dxa"/>
            <w:vAlign w:val="bottom"/>
            <w:vMerge w:val="continue"/>
          </w:tcPr>
          <w:p>
            <w:pPr>
              <w:spacing w:after="0"/>
              <w:rPr>
                <w:sz w:val="7"/>
                <w:szCs w:val="7"/>
                <w:color w:val="auto"/>
              </w:rPr>
            </w:pPr>
          </w:p>
        </w:tc>
        <w:tc>
          <w:tcPr>
            <w:tcW w:w="6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8"/>
        </w:trPr>
        <w:tc>
          <w:tcPr>
            <w:tcW w:w="2780" w:type="dxa"/>
            <w:vAlign w:val="bottom"/>
          </w:tcPr>
          <w:p>
            <w:pPr>
              <w:spacing w:after="0"/>
              <w:rPr>
                <w:sz w:val="24"/>
                <w:szCs w:val="24"/>
                <w:color w:val="auto"/>
              </w:rPr>
            </w:pPr>
          </w:p>
        </w:tc>
        <w:tc>
          <w:tcPr>
            <w:tcW w:w="6040" w:type="dxa"/>
            <w:vAlign w:val="bottom"/>
          </w:tcPr>
          <w:p>
            <w:pPr>
              <w:ind w:left="140"/>
              <w:spacing w:after="0"/>
              <w:rPr>
                <w:sz w:val="20"/>
                <w:szCs w:val="20"/>
                <w:color w:val="auto"/>
              </w:rPr>
            </w:pPr>
            <w:r>
              <w:rPr>
                <w:rFonts w:ascii="Arial" w:cs="Arial" w:eastAsia="Arial" w:hAnsi="Arial"/>
                <w:sz w:val="14"/>
                <w:szCs w:val="14"/>
                <w:color w:val="auto"/>
              </w:rPr>
              <w:t>Technology and Information Security - $7,500</w:t>
            </w:r>
          </w:p>
        </w:tc>
        <w:tc>
          <w:tcPr>
            <w:tcW w:w="0" w:type="dxa"/>
            <w:vAlign w:val="bottom"/>
          </w:tcPr>
          <w:p>
            <w:pPr>
              <w:spacing w:after="0"/>
              <w:rPr>
                <w:sz w:val="1"/>
                <w:szCs w:val="1"/>
                <w:color w:val="auto"/>
              </w:rPr>
            </w:pPr>
          </w:p>
        </w:tc>
      </w:tr>
      <w:tr>
        <w:trPr>
          <w:trHeight w:val="364"/>
        </w:trPr>
        <w:tc>
          <w:tcPr>
            <w:tcW w:w="2780" w:type="dxa"/>
            <w:vAlign w:val="bottom"/>
          </w:tcPr>
          <w:p>
            <w:pPr>
              <w:spacing w:after="0"/>
              <w:rPr>
                <w:sz w:val="24"/>
                <w:szCs w:val="24"/>
                <w:color w:val="auto"/>
              </w:rPr>
            </w:pPr>
          </w:p>
        </w:tc>
        <w:tc>
          <w:tcPr>
            <w:tcW w:w="6040" w:type="dxa"/>
            <w:vAlign w:val="bottom"/>
          </w:tcPr>
          <w:p>
            <w:pPr>
              <w:ind w:left="140"/>
              <w:spacing w:after="0"/>
              <w:rPr>
                <w:sz w:val="20"/>
                <w:szCs w:val="20"/>
                <w:color w:val="auto"/>
              </w:rPr>
            </w:pPr>
            <w:r>
              <w:rPr>
                <w:rFonts w:ascii="Arial" w:cs="Arial" w:eastAsia="Arial" w:hAnsi="Arial"/>
                <w:sz w:val="14"/>
                <w:szCs w:val="14"/>
                <w:color w:val="auto"/>
              </w:rPr>
              <w:t>Finance and Capital Allocation - $7,500</w:t>
            </w:r>
          </w:p>
        </w:tc>
        <w:tc>
          <w:tcPr>
            <w:tcW w:w="0" w:type="dxa"/>
            <w:vAlign w:val="bottom"/>
          </w:tcPr>
          <w:p>
            <w:pPr>
              <w:spacing w:after="0"/>
              <w:rPr>
                <w:sz w:val="1"/>
                <w:szCs w:val="1"/>
                <w:color w:val="auto"/>
              </w:rPr>
            </w:pPr>
          </w:p>
        </w:tc>
      </w:tr>
      <w:tr>
        <w:trPr>
          <w:trHeight w:val="89"/>
        </w:trPr>
        <w:tc>
          <w:tcPr>
            <w:tcW w:w="2780" w:type="dxa"/>
            <w:vAlign w:val="bottom"/>
          </w:tcPr>
          <w:p>
            <w:pPr>
              <w:spacing w:after="0"/>
              <w:rPr>
                <w:sz w:val="7"/>
                <w:szCs w:val="7"/>
                <w:color w:val="auto"/>
              </w:rPr>
            </w:pPr>
          </w:p>
        </w:tc>
        <w:tc>
          <w:tcPr>
            <w:tcW w:w="6040" w:type="dxa"/>
            <w:vAlign w:val="bottom"/>
            <w:tcBorders>
              <w:bottom w:val="single" w:sz="8" w:color="B2B3B6"/>
            </w:tcBorders>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780" w:type="dxa"/>
            <w:vAlign w:val="bottom"/>
            <w:vMerge w:val="restart"/>
          </w:tcPr>
          <w:p>
            <w:pPr>
              <w:spacing w:after="0"/>
              <w:rPr>
                <w:sz w:val="20"/>
                <w:szCs w:val="20"/>
                <w:color w:val="auto"/>
              </w:rPr>
            </w:pPr>
            <w:r>
              <w:rPr>
                <w:rFonts w:ascii="Arial" w:cs="Arial" w:eastAsia="Arial" w:hAnsi="Arial"/>
                <w:sz w:val="14"/>
                <w:szCs w:val="14"/>
                <w:b w:val="1"/>
                <w:bCs w:val="1"/>
                <w:color w:val="auto"/>
              </w:rPr>
              <w:t>Stock ownership requirement</w:t>
            </w:r>
          </w:p>
        </w:tc>
        <w:tc>
          <w:tcPr>
            <w:tcW w:w="6040" w:type="dxa"/>
            <w:vAlign w:val="bottom"/>
          </w:tcPr>
          <w:p>
            <w:pPr>
              <w:ind w:left="140"/>
              <w:spacing w:after="0"/>
              <w:rPr>
                <w:sz w:val="20"/>
                <w:szCs w:val="20"/>
                <w:color w:val="auto"/>
              </w:rPr>
            </w:pPr>
            <w:r>
              <w:rPr>
                <w:rFonts w:ascii="Arial" w:cs="Arial" w:eastAsia="Arial" w:hAnsi="Arial"/>
                <w:sz w:val="14"/>
                <w:szCs w:val="14"/>
                <w:color w:val="auto"/>
              </w:rPr>
              <w:t>Non-employee directors are expected to own Huron stock equal to five times the annual</w:t>
            </w:r>
          </w:p>
        </w:tc>
        <w:tc>
          <w:tcPr>
            <w:tcW w:w="0" w:type="dxa"/>
            <w:vAlign w:val="bottom"/>
          </w:tcPr>
          <w:p>
            <w:pPr>
              <w:spacing w:after="0"/>
              <w:rPr>
                <w:sz w:val="1"/>
                <w:szCs w:val="1"/>
                <w:color w:val="auto"/>
              </w:rPr>
            </w:pPr>
          </w:p>
        </w:tc>
      </w:tr>
      <w:tr>
        <w:trPr>
          <w:trHeight w:val="115"/>
        </w:trPr>
        <w:tc>
          <w:tcPr>
            <w:tcW w:w="2780" w:type="dxa"/>
            <w:vAlign w:val="bottom"/>
            <w:vMerge w:val="continue"/>
          </w:tcPr>
          <w:p>
            <w:pPr>
              <w:spacing w:after="0"/>
              <w:rPr>
                <w:sz w:val="10"/>
                <w:szCs w:val="10"/>
                <w:color w:val="auto"/>
              </w:rPr>
            </w:pPr>
          </w:p>
        </w:tc>
        <w:tc>
          <w:tcPr>
            <w:tcW w:w="6040" w:type="dxa"/>
            <w:vAlign w:val="bottom"/>
            <w:vMerge w:val="restart"/>
          </w:tcPr>
          <w:p>
            <w:pPr>
              <w:ind w:left="140"/>
              <w:spacing w:after="0"/>
              <w:rPr>
                <w:sz w:val="20"/>
                <w:szCs w:val="20"/>
                <w:color w:val="auto"/>
              </w:rPr>
            </w:pPr>
            <w:r>
              <w:rPr>
                <w:rFonts w:ascii="Arial" w:cs="Arial" w:eastAsia="Arial" w:hAnsi="Arial"/>
                <w:sz w:val="14"/>
                <w:szCs w:val="14"/>
                <w:color w:val="auto"/>
              </w:rPr>
              <w:t>cash retainer of $75,000</w:t>
            </w:r>
          </w:p>
        </w:tc>
        <w:tc>
          <w:tcPr>
            <w:tcW w:w="0" w:type="dxa"/>
            <w:vAlign w:val="bottom"/>
          </w:tcPr>
          <w:p>
            <w:pPr>
              <w:spacing w:after="0"/>
              <w:rPr>
                <w:sz w:val="1"/>
                <w:szCs w:val="1"/>
                <w:color w:val="auto"/>
              </w:rPr>
            </w:pPr>
          </w:p>
        </w:tc>
      </w:tr>
      <w:tr>
        <w:trPr>
          <w:trHeight w:val="75"/>
        </w:trPr>
        <w:tc>
          <w:tcPr>
            <w:tcW w:w="2780" w:type="dxa"/>
            <w:vAlign w:val="bottom"/>
          </w:tcPr>
          <w:p>
            <w:pPr>
              <w:spacing w:after="0"/>
              <w:rPr>
                <w:sz w:val="6"/>
                <w:szCs w:val="6"/>
                <w:color w:val="auto"/>
              </w:rPr>
            </w:pPr>
          </w:p>
        </w:tc>
        <w:tc>
          <w:tcPr>
            <w:tcW w:w="6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420" w:hanging="331"/>
        <w:spacing w:after="0"/>
        <w:tabs>
          <w:tab w:leader="none" w:pos="4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non-executive chairman of the board is eligible for committee chair and committee membership fees.</w:t>
      </w:r>
    </w:p>
    <w:p>
      <w:pPr>
        <w:spacing w:after="0" w:line="68" w:lineRule="exact"/>
        <w:rPr>
          <w:rFonts w:ascii="Arial" w:cs="Arial" w:eastAsia="Arial" w:hAnsi="Arial"/>
          <w:sz w:val="14"/>
          <w:szCs w:val="14"/>
          <w:color w:val="auto"/>
        </w:rPr>
      </w:pPr>
    </w:p>
    <w:p>
      <w:pPr>
        <w:ind w:left="420" w:hanging="331"/>
        <w:spacing w:after="0"/>
        <w:tabs>
          <w:tab w:leader="none" w:pos="4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All directors are reimbursed for out-of-pocket expenses for attending board and committee meetings.</w:t>
      </w:r>
    </w:p>
    <w:p>
      <w:pPr>
        <w:spacing w:after="0" w:line="68" w:lineRule="exact"/>
        <w:rPr>
          <w:rFonts w:ascii="Arial" w:cs="Arial" w:eastAsia="Arial" w:hAnsi="Arial"/>
          <w:sz w:val="14"/>
          <w:szCs w:val="14"/>
          <w:color w:val="auto"/>
        </w:rPr>
      </w:pPr>
    </w:p>
    <w:p>
      <w:pPr>
        <w:ind w:left="420" w:hanging="331"/>
        <w:spacing w:after="0"/>
        <w:tabs>
          <w:tab w:leader="none" w:pos="4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Mr. Roth, Vice Chairman, client services, is an employee, therefore, is not eligible for the Vice Chairman retainer.</w:t>
      </w:r>
    </w:p>
    <w:p>
      <w:pPr>
        <w:spacing w:after="0" w:line="55" w:lineRule="exact"/>
        <w:rPr>
          <w:rFonts w:ascii="Arial" w:cs="Arial" w:eastAsia="Arial" w:hAnsi="Arial"/>
          <w:sz w:val="14"/>
          <w:szCs w:val="14"/>
          <w:color w:val="auto"/>
        </w:rPr>
      </w:pPr>
    </w:p>
    <w:p>
      <w:pPr>
        <w:jc w:val="both"/>
        <w:ind w:left="420" w:right="140" w:hanging="331"/>
        <w:spacing w:after="0" w:line="283" w:lineRule="auto"/>
        <w:tabs>
          <w:tab w:leader="none" w:pos="4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Granted on the date of the Company’s annual meeting and priced based upon the closing stock price on the date of grant which vests ratably over 12 quarters. If a new non-employee director joins the board after the Company’s annual meeting, the award is prorated as follows:</w:t>
      </w:r>
    </w:p>
    <w:p>
      <w:pPr>
        <w:spacing w:after="0" w:line="10" w:lineRule="exact"/>
        <w:rPr>
          <w:rFonts w:ascii="Arial" w:cs="Arial" w:eastAsia="Arial" w:hAnsi="Arial"/>
          <w:sz w:val="14"/>
          <w:szCs w:val="14"/>
          <w:color w:val="auto"/>
        </w:rPr>
      </w:pPr>
    </w:p>
    <w:p>
      <w:pPr>
        <w:ind w:left="420"/>
        <w:spacing w:after="0"/>
        <w:rPr>
          <w:rFonts w:ascii="Arial" w:cs="Arial" w:eastAsia="Arial" w:hAnsi="Arial"/>
          <w:sz w:val="14"/>
          <w:szCs w:val="14"/>
          <w:color w:val="auto"/>
        </w:rPr>
      </w:pPr>
      <w:r>
        <w:rPr>
          <w:rFonts w:ascii="Arial" w:cs="Arial" w:eastAsia="Arial" w:hAnsi="Arial"/>
          <w:sz w:val="14"/>
          <w:szCs w:val="14"/>
          <w:color w:val="auto"/>
        </w:rPr>
        <w:t>–  If the new director joins within six months of the Company’s annual meeting, the director will receive half of the annual grant.</w:t>
      </w:r>
    </w:p>
    <w:p>
      <w:pPr>
        <w:spacing w:after="0" w:line="68" w:lineRule="exact"/>
        <w:rPr>
          <w:rFonts w:ascii="Arial" w:cs="Arial" w:eastAsia="Arial" w:hAnsi="Arial"/>
          <w:sz w:val="14"/>
          <w:szCs w:val="14"/>
          <w:color w:val="auto"/>
        </w:rPr>
      </w:pPr>
    </w:p>
    <w:p>
      <w:pPr>
        <w:ind w:left="420"/>
        <w:spacing w:after="0"/>
        <w:rPr>
          <w:rFonts w:ascii="Arial" w:cs="Arial" w:eastAsia="Arial" w:hAnsi="Arial"/>
          <w:sz w:val="14"/>
          <w:szCs w:val="14"/>
          <w:color w:val="auto"/>
        </w:rPr>
      </w:pPr>
      <w:r>
        <w:rPr>
          <w:rFonts w:ascii="Arial" w:cs="Arial" w:eastAsia="Arial" w:hAnsi="Arial"/>
          <w:sz w:val="14"/>
          <w:szCs w:val="14"/>
          <w:color w:val="auto"/>
        </w:rPr>
        <w:t>–  If the new director joins over six months after the Company’s annual meeting, no grant will be made.</w:t>
      </w:r>
    </w:p>
    <w:p>
      <w:pPr>
        <w:spacing w:after="0" w:line="185"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Directors are eligible to participate in our deferred compensation plan, which is described under the caption “EXECUTIVE COMPENSATION—2024 Nonqualified Deferred Compensation.” One director participated from 2013 through 2018, and again during 2024, and a second director elected to participate beginning in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60"/>
        <w:spacing w:after="0"/>
        <w:tabs>
          <w:tab w:leader="none" w:pos="444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13"/>
          <w:szCs w:val="13"/>
          <w:b w:val="1"/>
          <w:bCs w:val="1"/>
          <w:color w:val="00558C"/>
        </w:rPr>
        <w:t>24</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420370</wp:posOffset>
            </wp:positionV>
            <wp:extent cx="6810375" cy="56311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10375" cy="5631180"/>
                    </a:xfrm>
                    <a:prstGeom prst="rect">
                      <a:avLst/>
                    </a:prstGeom>
                    <a:noFill/>
                  </pic:spPr>
                </pic:pic>
              </a:graphicData>
            </a:graphic>
          </wp:anchor>
        </w:drawing>
      </w:r>
    </w:p>
    <w:p>
      <w:pPr>
        <w:sectPr>
          <w:pgSz w:w="11900" w:h="16886" w:orient="portrait"/>
          <w:cols w:equalWidth="0" w:num="1">
            <w:col w:w="9080"/>
          </w:cols>
          <w:pgMar w:left="1400" w:top="118" w:right="14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0"/>
        <w:spacing w:after="0" w:line="274" w:lineRule="auto"/>
        <w:rPr>
          <w:sz w:val="20"/>
          <w:szCs w:val="20"/>
          <w:color w:val="auto"/>
        </w:rPr>
      </w:pPr>
      <w:r>
        <w:rPr>
          <w:rFonts w:ascii="Arial" w:cs="Arial" w:eastAsia="Arial" w:hAnsi="Arial"/>
          <w:sz w:val="13"/>
          <w:szCs w:val="13"/>
          <w:b w:val="1"/>
          <w:bCs w:val="1"/>
          <w:color w:val="B2B3B6"/>
        </w:rPr>
        <w:t>General Proposal Information 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line="274" w:lineRule="auto"/>
        <w:rPr>
          <w:sz w:val="20"/>
          <w:szCs w:val="20"/>
          <w:color w:val="auto"/>
        </w:rPr>
      </w:pPr>
      <w:r>
        <w:rPr>
          <w:rFonts w:ascii="Arial" w:cs="Arial" w:eastAsia="Arial" w:hAnsi="Arial"/>
          <w:sz w:val="13"/>
          <w:szCs w:val="13"/>
          <w:b w:val="1"/>
          <w:bCs w:val="1"/>
          <w:color w:val="6AAA37"/>
        </w:rPr>
        <w:t xml:space="preserve">Corporate </w:t>
      </w:r>
      <w:r>
        <w:rPr>
          <w:rFonts w:ascii="Arial" w:cs="Arial" w:eastAsia="Arial" w:hAnsi="Arial"/>
          <w:sz w:val="13"/>
          <w:szCs w:val="13"/>
          <w:b w:val="1"/>
          <w:bCs w:val="1"/>
          <w:color w:val="B2B3B6"/>
        </w:rPr>
        <w:t>Proposal Executive</w:t>
      </w:r>
      <w:r>
        <w:rPr>
          <w:rFonts w:ascii="Arial" w:cs="Arial" w:eastAsia="Arial" w:hAnsi="Arial"/>
          <w:sz w:val="13"/>
          <w:szCs w:val="13"/>
          <w:b w:val="1"/>
          <w:bCs w:val="1"/>
          <w:color w:val="6AAA37"/>
        </w:rPr>
        <w:t xml:space="preserve"> Governance </w:t>
      </w:r>
      <w:r>
        <w:rPr>
          <w:rFonts w:ascii="Arial" w:cs="Arial" w:eastAsia="Arial" w:hAnsi="Arial"/>
          <w:sz w:val="13"/>
          <w:szCs w:val="13"/>
          <w:b w:val="1"/>
          <w:bCs w:val="1"/>
          <w:color w:val="B2B3B6"/>
        </w:rPr>
        <w:t>Two 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200"/>
        <w:spacing w:after="0" w:line="274" w:lineRule="auto"/>
        <w:rPr>
          <w:sz w:val="20"/>
          <w:szCs w:val="20"/>
          <w:color w:val="auto"/>
        </w:rPr>
      </w:pPr>
      <w:r>
        <w:rPr>
          <w:rFonts w:ascii="Arial" w:cs="Arial" w:eastAsia="Arial" w:hAnsi="Arial"/>
          <w:sz w:val="13"/>
          <w:szCs w:val="13"/>
          <w:b w:val="1"/>
          <w:bCs w:val="1"/>
          <w:color w:val="B2B3B6"/>
        </w:rPr>
        <w:t>Proposal Proposal Proposal Stockholder Other Three Four Five Proposals Matters</w:t>
      </w:r>
    </w:p>
    <w:p>
      <w:pPr>
        <w:spacing w:after="0" w:line="200" w:lineRule="exact"/>
        <w:rPr>
          <w:sz w:val="20"/>
          <w:szCs w:val="20"/>
          <w:color w:val="auto"/>
        </w:rPr>
      </w:pPr>
    </w:p>
    <w:p>
      <w:pPr>
        <w:sectPr>
          <w:pgSz w:w="11900" w:h="16886" w:orient="portrait"/>
          <w:cols w:equalWidth="0" w:num="3">
            <w:col w:w="1600" w:space="300"/>
            <w:col w:w="2700" w:space="320"/>
            <w:col w:w="4160"/>
          </w:cols>
          <w:pgMar w:left="1400" w:top="118" w:right="1419" w:bottom="0" w:gutter="0" w:footer="0" w:header="0"/>
          <w:type w:val="continuous"/>
        </w:sectPr>
      </w:pPr>
    </w:p>
    <w:p>
      <w:pPr>
        <w:spacing w:after="0" w:line="83" w:lineRule="exact"/>
        <w:rPr>
          <w:sz w:val="20"/>
          <w:szCs w:val="20"/>
          <w:color w:val="auto"/>
        </w:rPr>
      </w:pPr>
    </w:p>
    <w:p>
      <w:pPr>
        <w:spacing w:after="0"/>
        <w:rPr>
          <w:sz w:val="20"/>
          <w:szCs w:val="20"/>
          <w:color w:val="auto"/>
        </w:rPr>
      </w:pPr>
      <w:r>
        <w:rPr>
          <w:rFonts w:ascii="Arial" w:cs="Arial" w:eastAsia="Arial" w:hAnsi="Arial"/>
          <w:sz w:val="22"/>
          <w:szCs w:val="22"/>
          <w:b w:val="1"/>
          <w:bCs w:val="1"/>
          <w:color w:val="00558C"/>
        </w:rPr>
        <w:t>Director Compensation Table</w:t>
      </w:r>
    </w:p>
    <w:p>
      <w:pPr>
        <w:spacing w:after="0" w:line="112"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 xml:space="preserve">The following table summarizes the fees paid and the aggregate grant date fair value of restricted stock units granted to each of the non-employee directors in 2024. Directors who are also officers or employees of the Company receive no compensation for duties performed as a director. For a discussion of Mr. Roth's senior management agreement and employee compensation for 2024, please see the section of this Proxy Statement titled </w:t>
      </w:r>
      <w:r>
        <w:rPr>
          <w:rFonts w:ascii="Arial" w:cs="Arial" w:eastAsia="Arial" w:hAnsi="Arial"/>
          <w:sz w:val="16"/>
          <w:szCs w:val="16"/>
          <w:i w:val="1"/>
          <w:iCs w:val="1"/>
          <w:color w:val="auto"/>
        </w:rPr>
        <w:t>Certain Relationships and Related Transactions</w:t>
      </w:r>
      <w:r>
        <w:rPr>
          <w:rFonts w:ascii="Arial" w:cs="Arial" w:eastAsia="Arial" w:hAnsi="Arial"/>
          <w:sz w:val="16"/>
          <w:szCs w:val="16"/>
          <w:color w:val="auto"/>
        </w:rPr>
        <w:t xml:space="preserve">. For a discussion of Mr. Hussey's senior management agreement and employee compensation for 2024, please see the section of this Proxy Statement titled </w:t>
      </w:r>
      <w:r>
        <w:rPr>
          <w:rFonts w:ascii="Arial" w:cs="Arial" w:eastAsia="Arial" w:hAnsi="Arial"/>
          <w:sz w:val="16"/>
          <w:szCs w:val="16"/>
          <w:i w:val="1"/>
          <w:iCs w:val="1"/>
          <w:color w:val="auto"/>
        </w:rPr>
        <w:t>Executive Compensation</w:t>
      </w:r>
      <w:r>
        <w:rPr>
          <w:rFonts w:ascii="Arial" w:cs="Arial" w:eastAsia="Arial" w:hAnsi="Arial"/>
          <w:sz w:val="16"/>
          <w:szCs w:val="16"/>
          <w:color w:val="auto"/>
        </w:rPr>
        <w:t>.</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315"/>
        </w:trPr>
        <w:tc>
          <w:tcPr>
            <w:tcW w:w="4660" w:type="dxa"/>
            <w:vAlign w:val="bottom"/>
            <w:shd w:val="clear" w:color="auto" w:fill="00558C"/>
          </w:tcPr>
          <w:p>
            <w:pPr>
              <w:spacing w:after="0"/>
              <w:rPr>
                <w:sz w:val="24"/>
                <w:szCs w:val="24"/>
                <w:color w:val="auto"/>
              </w:rPr>
            </w:pPr>
          </w:p>
        </w:tc>
        <w:tc>
          <w:tcPr>
            <w:tcW w:w="1860" w:type="dxa"/>
            <w:vAlign w:val="bottom"/>
            <w:shd w:val="clear" w:color="auto" w:fill="00558C"/>
          </w:tcPr>
          <w:p>
            <w:pPr>
              <w:jc w:val="right"/>
              <w:ind w:right="468"/>
              <w:spacing w:after="0"/>
              <w:rPr>
                <w:sz w:val="20"/>
                <w:szCs w:val="20"/>
                <w:color w:val="auto"/>
              </w:rPr>
            </w:pPr>
            <w:r>
              <w:rPr>
                <w:rFonts w:ascii="Arial" w:cs="Arial" w:eastAsia="Arial" w:hAnsi="Arial"/>
                <w:sz w:val="14"/>
                <w:szCs w:val="14"/>
                <w:b w:val="1"/>
                <w:bCs w:val="1"/>
                <w:color w:val="FFFFFF"/>
              </w:rPr>
              <w:t>Fees Earned or</w:t>
            </w:r>
          </w:p>
        </w:tc>
        <w:tc>
          <w:tcPr>
            <w:tcW w:w="1460" w:type="dxa"/>
            <w:vAlign w:val="bottom"/>
            <w:shd w:val="clear" w:color="auto" w:fill="00558C"/>
          </w:tcPr>
          <w:p>
            <w:pPr>
              <w:jc w:val="right"/>
              <w:ind w:right="388"/>
              <w:spacing w:after="0"/>
              <w:rPr>
                <w:sz w:val="20"/>
                <w:szCs w:val="20"/>
                <w:color w:val="auto"/>
              </w:rPr>
            </w:pPr>
            <w:r>
              <w:rPr>
                <w:rFonts w:ascii="Arial" w:cs="Arial" w:eastAsia="Arial" w:hAnsi="Arial"/>
                <w:sz w:val="14"/>
                <w:szCs w:val="14"/>
                <w:b w:val="1"/>
                <w:bCs w:val="1"/>
                <w:color w:val="FFFFFF"/>
              </w:rPr>
              <w:t>Stock</w:t>
            </w:r>
          </w:p>
        </w:tc>
        <w:tc>
          <w:tcPr>
            <w:tcW w:w="1100" w:type="dxa"/>
            <w:vAlign w:val="bottom"/>
            <w:shd w:val="clear" w:color="auto" w:fill="00558C"/>
          </w:tcPr>
          <w:p>
            <w:pPr>
              <w:spacing w:after="0"/>
              <w:rPr>
                <w:sz w:val="24"/>
                <w:szCs w:val="24"/>
                <w:color w:val="auto"/>
              </w:rPr>
            </w:pPr>
          </w:p>
        </w:tc>
      </w:tr>
      <w:tr>
        <w:trPr>
          <w:trHeight w:val="144"/>
        </w:trPr>
        <w:tc>
          <w:tcPr>
            <w:tcW w:w="4660" w:type="dxa"/>
            <w:vAlign w:val="bottom"/>
            <w:shd w:val="clear" w:color="auto" w:fill="00558C"/>
          </w:tcPr>
          <w:p>
            <w:pPr>
              <w:spacing w:after="0"/>
              <w:rPr>
                <w:sz w:val="12"/>
                <w:szCs w:val="12"/>
                <w:color w:val="auto"/>
              </w:rPr>
            </w:pPr>
          </w:p>
        </w:tc>
        <w:tc>
          <w:tcPr>
            <w:tcW w:w="1860" w:type="dxa"/>
            <w:vAlign w:val="bottom"/>
            <w:shd w:val="clear" w:color="auto" w:fill="00558C"/>
          </w:tcPr>
          <w:p>
            <w:pPr>
              <w:jc w:val="right"/>
              <w:ind w:right="448"/>
              <w:spacing w:after="0" w:line="145" w:lineRule="exact"/>
              <w:rPr>
                <w:sz w:val="20"/>
                <w:szCs w:val="20"/>
                <w:color w:val="auto"/>
              </w:rPr>
            </w:pPr>
            <w:r>
              <w:rPr>
                <w:rFonts w:ascii="Arial" w:cs="Arial" w:eastAsia="Arial" w:hAnsi="Arial"/>
                <w:sz w:val="14"/>
                <w:szCs w:val="14"/>
                <w:b w:val="1"/>
                <w:bCs w:val="1"/>
                <w:color w:val="FFFFFF"/>
              </w:rPr>
              <w:t>Paid in Cash</w:t>
            </w:r>
          </w:p>
        </w:tc>
        <w:tc>
          <w:tcPr>
            <w:tcW w:w="1460" w:type="dxa"/>
            <w:vAlign w:val="bottom"/>
            <w:shd w:val="clear" w:color="auto" w:fill="00558C"/>
          </w:tcPr>
          <w:p>
            <w:pPr>
              <w:jc w:val="right"/>
              <w:ind w:right="408"/>
              <w:spacing w:after="0" w:line="145" w:lineRule="exact"/>
              <w:rPr>
                <w:sz w:val="20"/>
                <w:szCs w:val="20"/>
                <w:color w:val="auto"/>
              </w:rPr>
            </w:pPr>
            <w:r>
              <w:rPr>
                <w:rFonts w:ascii="Arial" w:cs="Arial" w:eastAsia="Arial" w:hAnsi="Arial"/>
                <w:sz w:val="14"/>
                <w:szCs w:val="14"/>
                <w:b w:val="1"/>
                <w:bCs w:val="1"/>
                <w:color w:val="FFFFFF"/>
              </w:rPr>
              <w:t>Awards</w:t>
            </w:r>
          </w:p>
        </w:tc>
        <w:tc>
          <w:tcPr>
            <w:tcW w:w="1100" w:type="dxa"/>
            <w:vAlign w:val="bottom"/>
            <w:shd w:val="clear" w:color="auto" w:fill="00558C"/>
          </w:tcPr>
          <w:p>
            <w:pPr>
              <w:jc w:val="right"/>
              <w:ind w:right="148"/>
              <w:spacing w:after="0" w:line="145" w:lineRule="exact"/>
              <w:rPr>
                <w:sz w:val="20"/>
                <w:szCs w:val="20"/>
                <w:color w:val="auto"/>
              </w:rPr>
            </w:pPr>
            <w:r>
              <w:rPr>
                <w:rFonts w:ascii="Arial" w:cs="Arial" w:eastAsia="Arial" w:hAnsi="Arial"/>
                <w:sz w:val="14"/>
                <w:szCs w:val="14"/>
                <w:b w:val="1"/>
                <w:bCs w:val="1"/>
                <w:color w:val="FFFFFF"/>
              </w:rPr>
              <w:t>Total</w:t>
            </w:r>
          </w:p>
        </w:tc>
      </w:tr>
      <w:tr>
        <w:trPr>
          <w:trHeight w:val="229"/>
        </w:trPr>
        <w:tc>
          <w:tcPr>
            <w:tcW w:w="4660" w:type="dxa"/>
            <w:vAlign w:val="bottom"/>
            <w:shd w:val="clear" w:color="auto" w:fill="00558C"/>
          </w:tcPr>
          <w:p>
            <w:pPr>
              <w:ind w:left="140"/>
              <w:spacing w:after="0"/>
              <w:rPr>
                <w:sz w:val="20"/>
                <w:szCs w:val="20"/>
                <w:color w:val="auto"/>
              </w:rPr>
            </w:pPr>
            <w:r>
              <w:rPr>
                <w:rFonts w:ascii="Arial" w:cs="Arial" w:eastAsia="Arial" w:hAnsi="Arial"/>
                <w:sz w:val="14"/>
                <w:szCs w:val="14"/>
                <w:b w:val="1"/>
                <w:bCs w:val="1"/>
                <w:color w:val="FFFFFF"/>
              </w:rPr>
              <w:t>Name</w:t>
            </w:r>
          </w:p>
        </w:tc>
        <w:tc>
          <w:tcPr>
            <w:tcW w:w="1860" w:type="dxa"/>
            <w:vAlign w:val="bottom"/>
            <w:shd w:val="clear" w:color="auto" w:fill="00558C"/>
          </w:tcPr>
          <w:p>
            <w:pPr>
              <w:jc w:val="right"/>
              <w:ind w:right="388"/>
              <w:spacing w:after="0"/>
              <w:rPr>
                <w:sz w:val="20"/>
                <w:szCs w:val="20"/>
                <w:color w:val="auto"/>
              </w:rPr>
            </w:pPr>
            <w:r>
              <w:rPr>
                <w:rFonts w:ascii="Arial" w:cs="Arial" w:eastAsia="Arial" w:hAnsi="Arial"/>
                <w:sz w:val="14"/>
                <w:szCs w:val="14"/>
                <w:b w:val="1"/>
                <w:bCs w:val="1"/>
                <w:color w:val="FFFFFF"/>
              </w:rPr>
              <w:t xml:space="preserve">($) </w:t>
            </w:r>
            <w:r>
              <w:rPr>
                <w:rFonts w:ascii="Arial" w:cs="Arial" w:eastAsia="Arial" w:hAnsi="Arial"/>
                <w:sz w:val="18"/>
                <w:szCs w:val="18"/>
                <w:b w:val="1"/>
                <w:bCs w:val="1"/>
                <w:color w:val="FFFFFF"/>
                <w:vertAlign w:val="superscript"/>
              </w:rPr>
              <w:t>(6)</w:t>
            </w:r>
          </w:p>
        </w:tc>
        <w:tc>
          <w:tcPr>
            <w:tcW w:w="1460" w:type="dxa"/>
            <w:vAlign w:val="bottom"/>
            <w:shd w:val="clear" w:color="auto" w:fill="00558C"/>
          </w:tcPr>
          <w:p>
            <w:pPr>
              <w:jc w:val="right"/>
              <w:ind w:right="328"/>
              <w:spacing w:after="0"/>
              <w:rPr>
                <w:sz w:val="20"/>
                <w:szCs w:val="20"/>
                <w:color w:val="auto"/>
              </w:rPr>
            </w:pPr>
            <w:r>
              <w:rPr>
                <w:rFonts w:ascii="Arial" w:cs="Arial" w:eastAsia="Arial" w:hAnsi="Arial"/>
                <w:sz w:val="14"/>
                <w:szCs w:val="14"/>
                <w:b w:val="1"/>
                <w:bCs w:val="1"/>
                <w:color w:val="FFFFFF"/>
              </w:rPr>
              <w:t xml:space="preserve">($) </w:t>
            </w:r>
            <w:r>
              <w:rPr>
                <w:rFonts w:ascii="Arial" w:cs="Arial" w:eastAsia="Arial" w:hAnsi="Arial"/>
                <w:sz w:val="18"/>
                <w:szCs w:val="18"/>
                <w:b w:val="1"/>
                <w:bCs w:val="1"/>
                <w:color w:val="FFFFFF"/>
                <w:vertAlign w:val="superscript"/>
              </w:rPr>
              <w:t>(1)</w:t>
            </w:r>
          </w:p>
        </w:tc>
        <w:tc>
          <w:tcPr>
            <w:tcW w:w="1100" w:type="dxa"/>
            <w:vAlign w:val="bottom"/>
            <w:shd w:val="clear" w:color="auto" w:fill="00558C"/>
          </w:tcPr>
          <w:p>
            <w:pPr>
              <w:jc w:val="right"/>
              <w:ind w:right="108"/>
              <w:spacing w:after="0"/>
              <w:rPr>
                <w:sz w:val="20"/>
                <w:szCs w:val="20"/>
                <w:color w:val="auto"/>
              </w:rPr>
            </w:pPr>
            <w:r>
              <w:rPr>
                <w:rFonts w:ascii="Arial" w:cs="Arial" w:eastAsia="Arial" w:hAnsi="Arial"/>
                <w:sz w:val="14"/>
                <w:szCs w:val="14"/>
                <w:b w:val="1"/>
                <w:bCs w:val="1"/>
                <w:color w:val="FFFFFF"/>
              </w:rPr>
              <w:t>($)</w:t>
            </w:r>
          </w:p>
        </w:tc>
      </w:tr>
      <w:tr>
        <w:trPr>
          <w:trHeight w:val="95"/>
        </w:trPr>
        <w:tc>
          <w:tcPr>
            <w:tcW w:w="4660" w:type="dxa"/>
            <w:vAlign w:val="bottom"/>
            <w:shd w:val="clear" w:color="auto" w:fill="00558C"/>
          </w:tcPr>
          <w:p>
            <w:pPr>
              <w:spacing w:after="0"/>
              <w:rPr>
                <w:sz w:val="8"/>
                <w:szCs w:val="8"/>
                <w:color w:val="auto"/>
              </w:rPr>
            </w:pPr>
          </w:p>
        </w:tc>
        <w:tc>
          <w:tcPr>
            <w:tcW w:w="1860" w:type="dxa"/>
            <w:vAlign w:val="bottom"/>
            <w:shd w:val="clear" w:color="auto" w:fill="00558C"/>
          </w:tcPr>
          <w:p>
            <w:pPr>
              <w:spacing w:after="0"/>
              <w:rPr>
                <w:sz w:val="8"/>
                <w:szCs w:val="8"/>
                <w:color w:val="auto"/>
              </w:rPr>
            </w:pPr>
          </w:p>
        </w:tc>
        <w:tc>
          <w:tcPr>
            <w:tcW w:w="1460" w:type="dxa"/>
            <w:vAlign w:val="bottom"/>
            <w:shd w:val="clear" w:color="auto" w:fill="00558C"/>
          </w:tcPr>
          <w:p>
            <w:pPr>
              <w:spacing w:after="0"/>
              <w:rPr>
                <w:sz w:val="8"/>
                <w:szCs w:val="8"/>
                <w:color w:val="auto"/>
              </w:rPr>
            </w:pPr>
          </w:p>
        </w:tc>
        <w:tc>
          <w:tcPr>
            <w:tcW w:w="1100" w:type="dxa"/>
            <w:vAlign w:val="bottom"/>
            <w:shd w:val="clear" w:color="auto" w:fill="00558C"/>
          </w:tcPr>
          <w:p>
            <w:pPr>
              <w:spacing w:after="0"/>
              <w:rPr>
                <w:sz w:val="8"/>
                <w:szCs w:val="8"/>
                <w:color w:val="auto"/>
              </w:rPr>
            </w:pPr>
          </w:p>
        </w:tc>
      </w:tr>
      <w:tr>
        <w:trPr>
          <w:trHeight w:val="426"/>
        </w:trPr>
        <w:tc>
          <w:tcPr>
            <w:tcW w:w="4660" w:type="dxa"/>
            <w:vAlign w:val="bottom"/>
            <w:tcBorders>
              <w:bottom w:val="single" w:sz="8" w:color="F2F3F2"/>
            </w:tcBorders>
            <w:shd w:val="clear" w:color="auto" w:fill="F2F3F2"/>
          </w:tcPr>
          <w:p>
            <w:pPr>
              <w:ind w:left="140"/>
              <w:spacing w:after="0"/>
              <w:rPr>
                <w:sz w:val="20"/>
                <w:szCs w:val="20"/>
                <w:color w:val="auto"/>
              </w:rPr>
            </w:pPr>
            <w:r>
              <w:rPr>
                <w:rFonts w:ascii="Arial" w:cs="Arial" w:eastAsia="Arial" w:hAnsi="Arial"/>
                <w:sz w:val="14"/>
                <w:szCs w:val="14"/>
                <w:b w:val="1"/>
                <w:bCs w:val="1"/>
                <w:color w:val="00558C"/>
              </w:rPr>
              <w:t>Joy T. Brown</w:t>
            </w:r>
            <w:r>
              <w:rPr>
                <w:rFonts w:ascii="Arial" w:cs="Arial" w:eastAsia="Arial" w:hAnsi="Arial"/>
                <w:sz w:val="18"/>
                <w:szCs w:val="18"/>
                <w:b w:val="1"/>
                <w:bCs w:val="1"/>
                <w:color w:val="00558C"/>
                <w:vertAlign w:val="superscript"/>
              </w:rPr>
              <w:t>(2)</w:t>
            </w:r>
          </w:p>
        </w:tc>
        <w:tc>
          <w:tcPr>
            <w:tcW w:w="1860" w:type="dxa"/>
            <w:vAlign w:val="bottom"/>
            <w:tcBorders>
              <w:bottom w:val="single" w:sz="8" w:color="F2F3F2"/>
            </w:tcBorders>
            <w:shd w:val="clear" w:color="auto" w:fill="F2F3F2"/>
          </w:tcPr>
          <w:p>
            <w:pPr>
              <w:jc w:val="right"/>
              <w:ind w:right="388"/>
              <w:spacing w:after="0"/>
              <w:rPr>
                <w:sz w:val="20"/>
                <w:szCs w:val="20"/>
                <w:color w:val="auto"/>
              </w:rPr>
            </w:pPr>
            <w:r>
              <w:rPr>
                <w:rFonts w:ascii="Arial" w:cs="Arial" w:eastAsia="Arial" w:hAnsi="Arial"/>
                <w:sz w:val="14"/>
                <w:szCs w:val="14"/>
                <w:color w:val="auto"/>
              </w:rPr>
              <w:t>107,500</w:t>
            </w:r>
          </w:p>
        </w:tc>
        <w:tc>
          <w:tcPr>
            <w:tcW w:w="1460" w:type="dxa"/>
            <w:vAlign w:val="bottom"/>
            <w:tcBorders>
              <w:bottom w:val="single" w:sz="8" w:color="F2F3F2"/>
            </w:tcBorders>
            <w:shd w:val="clear" w:color="auto" w:fill="F2F3F2"/>
          </w:tcPr>
          <w:p>
            <w:pPr>
              <w:jc w:val="right"/>
              <w:ind w:right="348"/>
              <w:spacing w:after="0"/>
              <w:rPr>
                <w:sz w:val="20"/>
                <w:szCs w:val="20"/>
                <w:color w:val="auto"/>
              </w:rPr>
            </w:pPr>
            <w:r>
              <w:rPr>
                <w:rFonts w:ascii="Arial" w:cs="Arial" w:eastAsia="Arial" w:hAnsi="Arial"/>
                <w:sz w:val="14"/>
                <w:szCs w:val="14"/>
                <w:color w:val="auto"/>
              </w:rPr>
              <w:t>169,964</w:t>
            </w:r>
          </w:p>
        </w:tc>
        <w:tc>
          <w:tcPr>
            <w:tcW w:w="1100" w:type="dxa"/>
            <w:vAlign w:val="bottom"/>
            <w:tcBorders>
              <w:bottom w:val="single" w:sz="8" w:color="F2F3F2"/>
            </w:tcBorders>
            <w:shd w:val="clear" w:color="auto" w:fill="F2F3F2"/>
          </w:tcPr>
          <w:p>
            <w:pPr>
              <w:jc w:val="right"/>
              <w:ind w:right="88"/>
              <w:spacing w:after="0"/>
              <w:rPr>
                <w:sz w:val="20"/>
                <w:szCs w:val="20"/>
                <w:color w:val="auto"/>
              </w:rPr>
            </w:pPr>
            <w:r>
              <w:rPr>
                <w:rFonts w:ascii="Arial" w:cs="Arial" w:eastAsia="Arial" w:hAnsi="Arial"/>
                <w:sz w:val="14"/>
                <w:szCs w:val="14"/>
                <w:color w:val="auto"/>
              </w:rPr>
              <w:t>277,464</w:t>
            </w:r>
          </w:p>
        </w:tc>
      </w:tr>
      <w:tr>
        <w:trPr>
          <w:trHeight w:val="391"/>
        </w:trPr>
        <w:tc>
          <w:tcPr>
            <w:tcW w:w="4660" w:type="dxa"/>
            <w:vAlign w:val="bottom"/>
          </w:tcPr>
          <w:p>
            <w:pPr>
              <w:ind w:left="140"/>
              <w:spacing w:after="0"/>
              <w:rPr>
                <w:sz w:val="20"/>
                <w:szCs w:val="20"/>
                <w:color w:val="auto"/>
              </w:rPr>
            </w:pPr>
            <w:r>
              <w:rPr>
                <w:rFonts w:ascii="Arial" w:cs="Arial" w:eastAsia="Arial" w:hAnsi="Arial"/>
                <w:sz w:val="14"/>
                <w:szCs w:val="14"/>
                <w:b w:val="1"/>
                <w:bCs w:val="1"/>
                <w:color w:val="00558C"/>
              </w:rPr>
              <w:t>H. Eugene Lockhart</w:t>
            </w:r>
            <w:r>
              <w:rPr>
                <w:rFonts w:ascii="Arial" w:cs="Arial" w:eastAsia="Arial" w:hAnsi="Arial"/>
                <w:sz w:val="18"/>
                <w:szCs w:val="18"/>
                <w:b w:val="1"/>
                <w:bCs w:val="1"/>
                <w:color w:val="00558C"/>
                <w:vertAlign w:val="superscript"/>
              </w:rPr>
              <w:t>(3)</w:t>
            </w:r>
          </w:p>
        </w:tc>
        <w:tc>
          <w:tcPr>
            <w:tcW w:w="1860" w:type="dxa"/>
            <w:vAlign w:val="bottom"/>
          </w:tcPr>
          <w:p>
            <w:pPr>
              <w:jc w:val="right"/>
              <w:ind w:right="388"/>
              <w:spacing w:after="0"/>
              <w:rPr>
                <w:sz w:val="20"/>
                <w:szCs w:val="20"/>
                <w:color w:val="auto"/>
              </w:rPr>
            </w:pPr>
            <w:r>
              <w:rPr>
                <w:rFonts w:ascii="Arial" w:cs="Arial" w:eastAsia="Arial" w:hAnsi="Arial"/>
                <w:sz w:val="14"/>
                <w:szCs w:val="14"/>
                <w:color w:val="auto"/>
              </w:rPr>
              <w:t>110,000</w:t>
            </w:r>
          </w:p>
        </w:tc>
        <w:tc>
          <w:tcPr>
            <w:tcW w:w="1460" w:type="dxa"/>
            <w:vAlign w:val="bottom"/>
          </w:tcPr>
          <w:p>
            <w:pPr>
              <w:jc w:val="right"/>
              <w:ind w:right="348"/>
              <w:spacing w:after="0"/>
              <w:rPr>
                <w:sz w:val="20"/>
                <w:szCs w:val="20"/>
                <w:color w:val="auto"/>
              </w:rPr>
            </w:pPr>
            <w:r>
              <w:rPr>
                <w:rFonts w:ascii="Arial" w:cs="Arial" w:eastAsia="Arial" w:hAnsi="Arial"/>
                <w:sz w:val="14"/>
                <w:szCs w:val="14"/>
                <w:color w:val="auto"/>
              </w:rPr>
              <w:t>169,964</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279,964</w:t>
            </w:r>
          </w:p>
        </w:tc>
      </w:tr>
      <w:tr>
        <w:trPr>
          <w:trHeight w:val="55"/>
        </w:trPr>
        <w:tc>
          <w:tcPr>
            <w:tcW w:w="4660" w:type="dxa"/>
            <w:vAlign w:val="bottom"/>
          </w:tcPr>
          <w:p>
            <w:pPr>
              <w:spacing w:after="0"/>
              <w:rPr>
                <w:sz w:val="4"/>
                <w:szCs w:val="4"/>
                <w:color w:val="auto"/>
              </w:rPr>
            </w:pPr>
          </w:p>
        </w:tc>
        <w:tc>
          <w:tcPr>
            <w:tcW w:w="18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425"/>
        </w:trPr>
        <w:tc>
          <w:tcPr>
            <w:tcW w:w="4660" w:type="dxa"/>
            <w:vAlign w:val="bottom"/>
            <w:tcBorders>
              <w:bottom w:val="single" w:sz="8" w:color="F2F3F2"/>
            </w:tcBorders>
            <w:shd w:val="clear" w:color="auto" w:fill="F2F3F2"/>
          </w:tcPr>
          <w:p>
            <w:pPr>
              <w:ind w:left="140"/>
              <w:spacing w:after="0"/>
              <w:rPr>
                <w:sz w:val="20"/>
                <w:szCs w:val="20"/>
                <w:color w:val="auto"/>
              </w:rPr>
            </w:pPr>
            <w:r>
              <w:rPr>
                <w:rFonts w:ascii="Arial" w:cs="Arial" w:eastAsia="Arial" w:hAnsi="Arial"/>
                <w:sz w:val="14"/>
                <w:szCs w:val="14"/>
                <w:b w:val="1"/>
                <w:bCs w:val="1"/>
                <w:color w:val="00558C"/>
              </w:rPr>
              <w:t>Peter K. Markell</w:t>
            </w:r>
            <w:r>
              <w:rPr>
                <w:rFonts w:ascii="Arial" w:cs="Arial" w:eastAsia="Arial" w:hAnsi="Arial"/>
                <w:sz w:val="18"/>
                <w:szCs w:val="18"/>
                <w:b w:val="1"/>
                <w:bCs w:val="1"/>
                <w:color w:val="00558C"/>
                <w:vertAlign w:val="superscript"/>
              </w:rPr>
              <w:t>(4)</w:t>
            </w:r>
          </w:p>
        </w:tc>
        <w:tc>
          <w:tcPr>
            <w:tcW w:w="1860" w:type="dxa"/>
            <w:vAlign w:val="bottom"/>
            <w:tcBorders>
              <w:bottom w:val="single" w:sz="8" w:color="F2F3F2"/>
            </w:tcBorders>
            <w:shd w:val="clear" w:color="auto" w:fill="F2F3F2"/>
          </w:tcPr>
          <w:p>
            <w:pPr>
              <w:jc w:val="right"/>
              <w:ind w:right="388"/>
              <w:spacing w:after="0"/>
              <w:rPr>
                <w:sz w:val="20"/>
                <w:szCs w:val="20"/>
                <w:color w:val="auto"/>
              </w:rPr>
            </w:pPr>
            <w:r>
              <w:rPr>
                <w:rFonts w:ascii="Arial" w:cs="Arial" w:eastAsia="Arial" w:hAnsi="Arial"/>
                <w:sz w:val="14"/>
                <w:szCs w:val="14"/>
                <w:color w:val="auto"/>
              </w:rPr>
              <w:t>115,000</w:t>
            </w:r>
          </w:p>
        </w:tc>
        <w:tc>
          <w:tcPr>
            <w:tcW w:w="1460" w:type="dxa"/>
            <w:vAlign w:val="bottom"/>
            <w:tcBorders>
              <w:bottom w:val="single" w:sz="8" w:color="F2F3F2"/>
            </w:tcBorders>
            <w:shd w:val="clear" w:color="auto" w:fill="F2F3F2"/>
          </w:tcPr>
          <w:p>
            <w:pPr>
              <w:jc w:val="right"/>
              <w:ind w:right="348"/>
              <w:spacing w:after="0"/>
              <w:rPr>
                <w:sz w:val="20"/>
                <w:szCs w:val="20"/>
                <w:color w:val="auto"/>
              </w:rPr>
            </w:pPr>
            <w:r>
              <w:rPr>
                <w:rFonts w:ascii="Arial" w:cs="Arial" w:eastAsia="Arial" w:hAnsi="Arial"/>
                <w:sz w:val="14"/>
                <w:szCs w:val="14"/>
                <w:color w:val="auto"/>
              </w:rPr>
              <w:t>169,964</w:t>
            </w:r>
          </w:p>
        </w:tc>
        <w:tc>
          <w:tcPr>
            <w:tcW w:w="1100" w:type="dxa"/>
            <w:vAlign w:val="bottom"/>
            <w:tcBorders>
              <w:bottom w:val="single" w:sz="8" w:color="F2F3F2"/>
            </w:tcBorders>
            <w:shd w:val="clear" w:color="auto" w:fill="F2F3F2"/>
          </w:tcPr>
          <w:p>
            <w:pPr>
              <w:jc w:val="right"/>
              <w:ind w:right="88"/>
              <w:spacing w:after="0"/>
              <w:rPr>
                <w:sz w:val="20"/>
                <w:szCs w:val="20"/>
                <w:color w:val="auto"/>
              </w:rPr>
            </w:pPr>
            <w:r>
              <w:rPr>
                <w:rFonts w:ascii="Arial" w:cs="Arial" w:eastAsia="Arial" w:hAnsi="Arial"/>
                <w:sz w:val="14"/>
                <w:szCs w:val="14"/>
                <w:color w:val="auto"/>
              </w:rPr>
              <w:t>284,964</w:t>
            </w:r>
          </w:p>
        </w:tc>
      </w:tr>
      <w:tr>
        <w:trPr>
          <w:trHeight w:val="391"/>
        </w:trPr>
        <w:tc>
          <w:tcPr>
            <w:tcW w:w="4660" w:type="dxa"/>
            <w:vAlign w:val="bottom"/>
          </w:tcPr>
          <w:p>
            <w:pPr>
              <w:ind w:left="140"/>
              <w:spacing w:after="0"/>
              <w:rPr>
                <w:sz w:val="20"/>
                <w:szCs w:val="20"/>
                <w:color w:val="auto"/>
              </w:rPr>
            </w:pPr>
            <w:r>
              <w:rPr>
                <w:rFonts w:ascii="Arial" w:cs="Arial" w:eastAsia="Arial" w:hAnsi="Arial"/>
                <w:sz w:val="14"/>
                <w:szCs w:val="14"/>
                <w:b w:val="1"/>
                <w:bCs w:val="1"/>
                <w:color w:val="00558C"/>
              </w:rPr>
              <w:t>John McCartney</w:t>
            </w:r>
            <w:r>
              <w:rPr>
                <w:rFonts w:ascii="Arial" w:cs="Arial" w:eastAsia="Arial" w:hAnsi="Arial"/>
                <w:sz w:val="18"/>
                <w:szCs w:val="18"/>
                <w:b w:val="1"/>
                <w:bCs w:val="1"/>
                <w:color w:val="00558C"/>
                <w:vertAlign w:val="superscript"/>
              </w:rPr>
              <w:t>(3)(5)</w:t>
            </w:r>
          </w:p>
        </w:tc>
        <w:tc>
          <w:tcPr>
            <w:tcW w:w="1860" w:type="dxa"/>
            <w:vAlign w:val="bottom"/>
          </w:tcPr>
          <w:p>
            <w:pPr>
              <w:jc w:val="right"/>
              <w:ind w:right="388"/>
              <w:spacing w:after="0"/>
              <w:rPr>
                <w:sz w:val="20"/>
                <w:szCs w:val="20"/>
                <w:color w:val="auto"/>
              </w:rPr>
            </w:pPr>
            <w:r>
              <w:rPr>
                <w:rFonts w:ascii="Arial" w:cs="Arial" w:eastAsia="Arial" w:hAnsi="Arial"/>
                <w:sz w:val="14"/>
                <w:szCs w:val="14"/>
                <w:color w:val="auto"/>
              </w:rPr>
              <w:t>252,500</w:t>
            </w:r>
          </w:p>
        </w:tc>
        <w:tc>
          <w:tcPr>
            <w:tcW w:w="1460" w:type="dxa"/>
            <w:vAlign w:val="bottom"/>
          </w:tcPr>
          <w:p>
            <w:pPr>
              <w:jc w:val="right"/>
              <w:ind w:right="348"/>
              <w:spacing w:after="0"/>
              <w:rPr>
                <w:sz w:val="20"/>
                <w:szCs w:val="20"/>
                <w:color w:val="auto"/>
              </w:rPr>
            </w:pPr>
            <w:r>
              <w:rPr>
                <w:rFonts w:ascii="Arial" w:cs="Arial" w:eastAsia="Arial" w:hAnsi="Arial"/>
                <w:sz w:val="14"/>
                <w:szCs w:val="14"/>
                <w:color w:val="auto"/>
              </w:rPr>
              <w:t>169,964</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422,464</w:t>
            </w:r>
          </w:p>
        </w:tc>
      </w:tr>
      <w:tr>
        <w:trPr>
          <w:trHeight w:val="55"/>
        </w:trPr>
        <w:tc>
          <w:tcPr>
            <w:tcW w:w="4660" w:type="dxa"/>
            <w:vAlign w:val="bottom"/>
          </w:tcPr>
          <w:p>
            <w:pPr>
              <w:spacing w:after="0"/>
              <w:rPr>
                <w:sz w:val="4"/>
                <w:szCs w:val="4"/>
                <w:color w:val="auto"/>
              </w:rPr>
            </w:pPr>
          </w:p>
        </w:tc>
        <w:tc>
          <w:tcPr>
            <w:tcW w:w="18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426"/>
        </w:trPr>
        <w:tc>
          <w:tcPr>
            <w:tcW w:w="4660" w:type="dxa"/>
            <w:vAlign w:val="bottom"/>
            <w:tcBorders>
              <w:bottom w:val="single" w:sz="8" w:color="F2F3F2"/>
            </w:tcBorders>
            <w:shd w:val="clear" w:color="auto" w:fill="F2F3F2"/>
          </w:tcPr>
          <w:p>
            <w:pPr>
              <w:ind w:left="140"/>
              <w:spacing w:after="0"/>
              <w:rPr>
                <w:sz w:val="20"/>
                <w:szCs w:val="20"/>
                <w:color w:val="auto"/>
              </w:rPr>
            </w:pPr>
            <w:r>
              <w:rPr>
                <w:rFonts w:ascii="Arial" w:cs="Arial" w:eastAsia="Arial" w:hAnsi="Arial"/>
                <w:sz w:val="14"/>
                <w:szCs w:val="14"/>
                <w:b w:val="1"/>
                <w:bCs w:val="1"/>
                <w:color w:val="00558C"/>
              </w:rPr>
              <w:t>Hugh E. Sawyer</w:t>
            </w:r>
            <w:r>
              <w:rPr>
                <w:rFonts w:ascii="Arial" w:cs="Arial" w:eastAsia="Arial" w:hAnsi="Arial"/>
                <w:sz w:val="18"/>
                <w:szCs w:val="18"/>
                <w:b w:val="1"/>
                <w:bCs w:val="1"/>
                <w:color w:val="00558C"/>
                <w:vertAlign w:val="superscript"/>
              </w:rPr>
              <w:t>(3)</w:t>
            </w:r>
          </w:p>
        </w:tc>
        <w:tc>
          <w:tcPr>
            <w:tcW w:w="1860" w:type="dxa"/>
            <w:vAlign w:val="bottom"/>
            <w:tcBorders>
              <w:bottom w:val="single" w:sz="8" w:color="F2F3F2"/>
            </w:tcBorders>
            <w:shd w:val="clear" w:color="auto" w:fill="F2F3F2"/>
          </w:tcPr>
          <w:p>
            <w:pPr>
              <w:jc w:val="right"/>
              <w:ind w:right="388"/>
              <w:spacing w:after="0"/>
              <w:rPr>
                <w:sz w:val="20"/>
                <w:szCs w:val="20"/>
                <w:color w:val="auto"/>
              </w:rPr>
            </w:pPr>
            <w:r>
              <w:rPr>
                <w:rFonts w:ascii="Arial" w:cs="Arial" w:eastAsia="Arial" w:hAnsi="Arial"/>
                <w:sz w:val="14"/>
                <w:szCs w:val="14"/>
                <w:color w:val="auto"/>
              </w:rPr>
              <w:t>112,500</w:t>
            </w:r>
          </w:p>
        </w:tc>
        <w:tc>
          <w:tcPr>
            <w:tcW w:w="1460" w:type="dxa"/>
            <w:vAlign w:val="bottom"/>
            <w:tcBorders>
              <w:bottom w:val="single" w:sz="8" w:color="F2F3F2"/>
            </w:tcBorders>
            <w:shd w:val="clear" w:color="auto" w:fill="F2F3F2"/>
          </w:tcPr>
          <w:p>
            <w:pPr>
              <w:jc w:val="right"/>
              <w:ind w:right="348"/>
              <w:spacing w:after="0"/>
              <w:rPr>
                <w:sz w:val="20"/>
                <w:szCs w:val="20"/>
                <w:color w:val="auto"/>
              </w:rPr>
            </w:pPr>
            <w:r>
              <w:rPr>
                <w:rFonts w:ascii="Arial" w:cs="Arial" w:eastAsia="Arial" w:hAnsi="Arial"/>
                <w:sz w:val="14"/>
                <w:szCs w:val="14"/>
                <w:color w:val="auto"/>
              </w:rPr>
              <w:t>169,964</w:t>
            </w:r>
          </w:p>
        </w:tc>
        <w:tc>
          <w:tcPr>
            <w:tcW w:w="1100" w:type="dxa"/>
            <w:vAlign w:val="bottom"/>
            <w:tcBorders>
              <w:bottom w:val="single" w:sz="8" w:color="F2F3F2"/>
            </w:tcBorders>
            <w:shd w:val="clear" w:color="auto" w:fill="F2F3F2"/>
          </w:tcPr>
          <w:p>
            <w:pPr>
              <w:jc w:val="right"/>
              <w:ind w:right="88"/>
              <w:spacing w:after="0"/>
              <w:rPr>
                <w:sz w:val="20"/>
                <w:szCs w:val="20"/>
                <w:color w:val="auto"/>
              </w:rPr>
            </w:pPr>
            <w:r>
              <w:rPr>
                <w:rFonts w:ascii="Arial" w:cs="Arial" w:eastAsia="Arial" w:hAnsi="Arial"/>
                <w:sz w:val="14"/>
                <w:szCs w:val="14"/>
                <w:color w:val="auto"/>
              </w:rPr>
              <w:t>282,464</w:t>
            </w:r>
          </w:p>
        </w:tc>
      </w:tr>
      <w:tr>
        <w:trPr>
          <w:trHeight w:val="391"/>
        </w:trPr>
        <w:tc>
          <w:tcPr>
            <w:tcW w:w="4660" w:type="dxa"/>
            <w:vAlign w:val="bottom"/>
          </w:tcPr>
          <w:p>
            <w:pPr>
              <w:ind w:left="140"/>
              <w:spacing w:after="0"/>
              <w:rPr>
                <w:sz w:val="20"/>
                <w:szCs w:val="20"/>
                <w:color w:val="auto"/>
              </w:rPr>
            </w:pPr>
            <w:r>
              <w:rPr>
                <w:rFonts w:ascii="Arial" w:cs="Arial" w:eastAsia="Arial" w:hAnsi="Arial"/>
                <w:sz w:val="14"/>
                <w:szCs w:val="14"/>
                <w:b w:val="1"/>
                <w:bCs w:val="1"/>
                <w:color w:val="00558C"/>
              </w:rPr>
              <w:t>Ekta Singh-Bushell</w:t>
            </w:r>
            <w:r>
              <w:rPr>
                <w:rFonts w:ascii="Arial" w:cs="Arial" w:eastAsia="Arial" w:hAnsi="Arial"/>
                <w:sz w:val="18"/>
                <w:szCs w:val="18"/>
                <w:b w:val="1"/>
                <w:bCs w:val="1"/>
                <w:color w:val="00558C"/>
                <w:vertAlign w:val="superscript"/>
              </w:rPr>
              <w:t>(3)</w:t>
            </w:r>
          </w:p>
        </w:tc>
        <w:tc>
          <w:tcPr>
            <w:tcW w:w="1860" w:type="dxa"/>
            <w:vAlign w:val="bottom"/>
          </w:tcPr>
          <w:p>
            <w:pPr>
              <w:jc w:val="right"/>
              <w:ind w:right="388"/>
              <w:spacing w:after="0"/>
              <w:rPr>
                <w:sz w:val="20"/>
                <w:szCs w:val="20"/>
                <w:color w:val="auto"/>
              </w:rPr>
            </w:pPr>
            <w:r>
              <w:rPr>
                <w:rFonts w:ascii="Arial" w:cs="Arial" w:eastAsia="Arial" w:hAnsi="Arial"/>
                <w:sz w:val="14"/>
                <w:szCs w:val="14"/>
                <w:color w:val="auto"/>
              </w:rPr>
              <w:t>105,000</w:t>
            </w:r>
          </w:p>
        </w:tc>
        <w:tc>
          <w:tcPr>
            <w:tcW w:w="1460" w:type="dxa"/>
            <w:vAlign w:val="bottom"/>
          </w:tcPr>
          <w:p>
            <w:pPr>
              <w:jc w:val="right"/>
              <w:ind w:right="348"/>
              <w:spacing w:after="0"/>
              <w:rPr>
                <w:sz w:val="20"/>
                <w:szCs w:val="20"/>
                <w:color w:val="auto"/>
              </w:rPr>
            </w:pPr>
            <w:r>
              <w:rPr>
                <w:rFonts w:ascii="Arial" w:cs="Arial" w:eastAsia="Arial" w:hAnsi="Arial"/>
                <w:sz w:val="14"/>
                <w:szCs w:val="14"/>
                <w:color w:val="auto"/>
              </w:rPr>
              <w:t>169,964</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274,964</w:t>
            </w:r>
          </w:p>
        </w:tc>
      </w:tr>
      <w:tr>
        <w:trPr>
          <w:trHeight w:val="55"/>
        </w:trPr>
        <w:tc>
          <w:tcPr>
            <w:tcW w:w="4660" w:type="dxa"/>
            <w:vAlign w:val="bottom"/>
          </w:tcPr>
          <w:p>
            <w:pPr>
              <w:spacing w:after="0"/>
              <w:rPr>
                <w:sz w:val="4"/>
                <w:szCs w:val="4"/>
                <w:color w:val="auto"/>
              </w:rPr>
            </w:pPr>
          </w:p>
        </w:tc>
        <w:tc>
          <w:tcPr>
            <w:tcW w:w="18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425"/>
        </w:trPr>
        <w:tc>
          <w:tcPr>
            <w:tcW w:w="4660" w:type="dxa"/>
            <w:vAlign w:val="bottom"/>
            <w:tcBorders>
              <w:bottom w:val="single" w:sz="8" w:color="F2F3F2"/>
            </w:tcBorders>
            <w:shd w:val="clear" w:color="auto" w:fill="F2F3F2"/>
          </w:tcPr>
          <w:p>
            <w:pPr>
              <w:ind w:left="140"/>
              <w:spacing w:after="0"/>
              <w:rPr>
                <w:sz w:val="20"/>
                <w:szCs w:val="20"/>
                <w:color w:val="auto"/>
              </w:rPr>
            </w:pPr>
            <w:r>
              <w:rPr>
                <w:rFonts w:ascii="Arial" w:cs="Arial" w:eastAsia="Arial" w:hAnsi="Arial"/>
                <w:sz w:val="14"/>
                <w:szCs w:val="14"/>
                <w:b w:val="1"/>
                <w:bCs w:val="1"/>
                <w:color w:val="00558C"/>
              </w:rPr>
              <w:t>Debra Zumwalt</w:t>
            </w:r>
            <w:r>
              <w:rPr>
                <w:rFonts w:ascii="Arial" w:cs="Arial" w:eastAsia="Arial" w:hAnsi="Arial"/>
                <w:sz w:val="18"/>
                <w:szCs w:val="18"/>
                <w:b w:val="1"/>
                <w:bCs w:val="1"/>
                <w:color w:val="00558C"/>
                <w:vertAlign w:val="superscript"/>
              </w:rPr>
              <w:t>(3)</w:t>
            </w:r>
          </w:p>
        </w:tc>
        <w:tc>
          <w:tcPr>
            <w:tcW w:w="1860" w:type="dxa"/>
            <w:vAlign w:val="bottom"/>
            <w:tcBorders>
              <w:bottom w:val="single" w:sz="8" w:color="F2F3F2"/>
            </w:tcBorders>
            <w:shd w:val="clear" w:color="auto" w:fill="F2F3F2"/>
          </w:tcPr>
          <w:p>
            <w:pPr>
              <w:jc w:val="right"/>
              <w:ind w:right="388"/>
              <w:spacing w:after="0"/>
              <w:rPr>
                <w:sz w:val="20"/>
                <w:szCs w:val="20"/>
                <w:color w:val="auto"/>
              </w:rPr>
            </w:pPr>
            <w:r>
              <w:rPr>
                <w:rFonts w:ascii="Arial" w:cs="Arial" w:eastAsia="Arial" w:hAnsi="Arial"/>
                <w:sz w:val="14"/>
                <w:szCs w:val="14"/>
                <w:color w:val="auto"/>
              </w:rPr>
              <w:t>100,000</w:t>
            </w:r>
          </w:p>
        </w:tc>
        <w:tc>
          <w:tcPr>
            <w:tcW w:w="1460" w:type="dxa"/>
            <w:vAlign w:val="bottom"/>
            <w:tcBorders>
              <w:bottom w:val="single" w:sz="8" w:color="F2F3F2"/>
            </w:tcBorders>
            <w:shd w:val="clear" w:color="auto" w:fill="F2F3F2"/>
          </w:tcPr>
          <w:p>
            <w:pPr>
              <w:jc w:val="right"/>
              <w:ind w:right="348"/>
              <w:spacing w:after="0"/>
              <w:rPr>
                <w:sz w:val="20"/>
                <w:szCs w:val="20"/>
                <w:color w:val="auto"/>
              </w:rPr>
            </w:pPr>
            <w:r>
              <w:rPr>
                <w:rFonts w:ascii="Arial" w:cs="Arial" w:eastAsia="Arial" w:hAnsi="Arial"/>
                <w:sz w:val="14"/>
                <w:szCs w:val="14"/>
                <w:color w:val="auto"/>
              </w:rPr>
              <w:t>169,964</w:t>
            </w:r>
          </w:p>
        </w:tc>
        <w:tc>
          <w:tcPr>
            <w:tcW w:w="1100" w:type="dxa"/>
            <w:vAlign w:val="bottom"/>
            <w:tcBorders>
              <w:bottom w:val="single" w:sz="8" w:color="F2F3F2"/>
            </w:tcBorders>
            <w:shd w:val="clear" w:color="auto" w:fill="F2F3F2"/>
          </w:tcPr>
          <w:p>
            <w:pPr>
              <w:jc w:val="right"/>
              <w:ind w:right="88"/>
              <w:spacing w:after="0"/>
              <w:rPr>
                <w:sz w:val="20"/>
                <w:szCs w:val="20"/>
                <w:color w:val="auto"/>
              </w:rPr>
            </w:pPr>
            <w:r>
              <w:rPr>
                <w:rFonts w:ascii="Arial" w:cs="Arial" w:eastAsia="Arial" w:hAnsi="Arial"/>
                <w:sz w:val="14"/>
                <w:szCs w:val="14"/>
                <w:color w:val="auto"/>
              </w:rPr>
              <w:t>269,964</w:t>
            </w:r>
          </w:p>
        </w:tc>
      </w:tr>
      <w:tr>
        <w:trPr>
          <w:trHeight w:val="20"/>
        </w:trPr>
        <w:tc>
          <w:tcPr>
            <w:tcW w:w="4660" w:type="dxa"/>
            <w:vAlign w:val="bottom"/>
            <w:shd w:val="clear" w:color="auto" w:fill="B2B3B6"/>
          </w:tcPr>
          <w:p>
            <w:pPr>
              <w:spacing w:after="0" w:line="20" w:lineRule="exact"/>
              <w:rPr>
                <w:sz w:val="1"/>
                <w:szCs w:val="1"/>
                <w:color w:val="auto"/>
              </w:rPr>
            </w:pPr>
          </w:p>
        </w:tc>
        <w:tc>
          <w:tcPr>
            <w:tcW w:w="1860" w:type="dxa"/>
            <w:vAlign w:val="bottom"/>
            <w:shd w:val="clear" w:color="auto" w:fill="B2B3B6"/>
          </w:tcPr>
          <w:p>
            <w:pPr>
              <w:spacing w:after="0" w:line="20" w:lineRule="exact"/>
              <w:rPr>
                <w:sz w:val="1"/>
                <w:szCs w:val="1"/>
                <w:color w:val="auto"/>
              </w:rPr>
            </w:pPr>
          </w:p>
        </w:tc>
        <w:tc>
          <w:tcPr>
            <w:tcW w:w="1460" w:type="dxa"/>
            <w:vAlign w:val="bottom"/>
            <w:shd w:val="clear" w:color="auto" w:fill="B2B3B6"/>
          </w:tcPr>
          <w:p>
            <w:pPr>
              <w:spacing w:after="0" w:line="20" w:lineRule="exact"/>
              <w:rPr>
                <w:sz w:val="1"/>
                <w:szCs w:val="1"/>
                <w:color w:val="auto"/>
              </w:rPr>
            </w:pPr>
          </w:p>
        </w:tc>
        <w:tc>
          <w:tcPr>
            <w:tcW w:w="1100" w:type="dxa"/>
            <w:vAlign w:val="bottom"/>
            <w:shd w:val="clear" w:color="auto" w:fill="B2B3B6"/>
          </w:tcPr>
          <w:p>
            <w:pPr>
              <w:spacing w:after="0" w:line="20" w:lineRule="exact"/>
              <w:rPr>
                <w:sz w:val="1"/>
                <w:szCs w:val="1"/>
                <w:color w:val="auto"/>
              </w:rPr>
            </w:pPr>
          </w:p>
        </w:tc>
      </w:tr>
    </w:tbl>
    <w:p>
      <w:pPr>
        <w:spacing w:after="0" w:line="139" w:lineRule="exact"/>
        <w:rPr>
          <w:sz w:val="20"/>
          <w:szCs w:val="20"/>
          <w:color w:val="auto"/>
        </w:rPr>
      </w:pPr>
    </w:p>
    <w:p>
      <w:pPr>
        <w:ind w:left="420" w:hanging="331"/>
        <w:spacing w:after="0" w:line="283" w:lineRule="auto"/>
        <w:tabs>
          <w:tab w:leader="none" w:pos="4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This column represents the aggregate grant date fair value of restricted stock units granted to our directors in 2024. Grant date fair value is based on the closing price of Huron stock on the day of grant. Each of these grants vests ratably over the 12 calendar quarters following the grant.</w:t>
      </w:r>
    </w:p>
    <w:p>
      <w:pPr>
        <w:spacing w:after="0" w:line="10" w:lineRule="exact"/>
        <w:rPr>
          <w:rFonts w:ascii="Arial" w:cs="Arial" w:eastAsia="Arial" w:hAnsi="Arial"/>
          <w:sz w:val="14"/>
          <w:szCs w:val="14"/>
          <w:color w:val="auto"/>
        </w:rPr>
      </w:pPr>
    </w:p>
    <w:p>
      <w:pPr>
        <w:ind w:left="420" w:hanging="331"/>
        <w:spacing w:after="0"/>
        <w:tabs>
          <w:tab w:leader="none" w:pos="4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On December 31, 2024, Ms. Brown held 4,007 unvested restricted stock units.</w:t>
      </w:r>
    </w:p>
    <w:p>
      <w:pPr>
        <w:spacing w:after="0" w:line="68" w:lineRule="exact"/>
        <w:rPr>
          <w:rFonts w:ascii="Arial" w:cs="Arial" w:eastAsia="Arial" w:hAnsi="Arial"/>
          <w:sz w:val="14"/>
          <w:szCs w:val="14"/>
          <w:color w:val="auto"/>
        </w:rPr>
      </w:pPr>
    </w:p>
    <w:p>
      <w:pPr>
        <w:ind w:left="420" w:right="240" w:hanging="331"/>
        <w:spacing w:after="0" w:line="285" w:lineRule="auto"/>
        <w:tabs>
          <w:tab w:leader="none" w:pos="4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On December 31, 2024, each of Mr. Lockhart, Mr. McCartney, Mr. Sawyer, Ms. Singh-Bushell, and Ms. Zumwalt held 3,556 unvested restricted stock units.</w:t>
      </w:r>
    </w:p>
    <w:p>
      <w:pPr>
        <w:spacing w:after="0" w:line="9" w:lineRule="exact"/>
        <w:rPr>
          <w:rFonts w:ascii="Arial" w:cs="Arial" w:eastAsia="Arial" w:hAnsi="Arial"/>
          <w:sz w:val="14"/>
          <w:szCs w:val="14"/>
          <w:color w:val="auto"/>
        </w:rPr>
      </w:pPr>
    </w:p>
    <w:p>
      <w:pPr>
        <w:ind w:left="420" w:hanging="331"/>
        <w:spacing w:after="0"/>
        <w:tabs>
          <w:tab w:leader="none" w:pos="4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On December 31, 2024, Mr. Markell held 3,913 unvested restricted stock units.</w:t>
      </w:r>
    </w:p>
    <w:p>
      <w:pPr>
        <w:spacing w:after="0" w:line="68" w:lineRule="exact"/>
        <w:rPr>
          <w:rFonts w:ascii="Arial" w:cs="Arial" w:eastAsia="Arial" w:hAnsi="Arial"/>
          <w:sz w:val="14"/>
          <w:szCs w:val="14"/>
          <w:color w:val="auto"/>
        </w:rPr>
      </w:pPr>
    </w:p>
    <w:p>
      <w:pPr>
        <w:ind w:left="420" w:right="300" w:hanging="331"/>
        <w:spacing w:after="0" w:line="305" w:lineRule="auto"/>
        <w:tabs>
          <w:tab w:leader="none" w:pos="4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Mr. McCartney has access to office space at the Company’s principal business offices in Chicago. The Company does not incur any incremental costs in connection with the provision of this office space.</w:t>
      </w:r>
    </w:p>
    <w:p>
      <w:pPr>
        <w:sectPr>
          <w:pgSz w:w="11900" w:h="16886" w:orient="portrait"/>
          <w:cols w:equalWidth="0" w:num="1">
            <w:col w:w="9080"/>
          </w:cols>
          <w:pgMar w:left="1400" w:top="118" w:right="1419" w:bottom="0" w:gutter="0" w:footer="0" w:header="0"/>
          <w:type w:val="continuous"/>
        </w:sectPr>
      </w:pPr>
    </w:p>
    <w:bookmarkStart w:id="32" w:name="page33"/>
    <w:bookmarkEnd w:id="32"/>
    <w:p>
      <w:pPr>
        <w:ind w:left="420" w:hanging="331"/>
        <w:spacing w:after="0" w:line="262" w:lineRule="auto"/>
        <w:tabs>
          <w:tab w:leader="none" w:pos="4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Includes cash board fees deferred by non-employee directors under our Deferred Compensation Plan, as further described under the heading "Deferred Compensation Plan" within the Compensation Discussion and Analysis of this Proxy Statement. During 2024, Mr. McCartney and Ms. Zumwalt were the only non-employee directors to make deferrals of cash board fees in the Deferred Compensation Plan. Ms. Zumwalt and Mr. McCartney have account balances in the Deferred Compensation Plan. The earnings on Ms. Zumwalt's and Mr. McCartney’s account balances in the Deferred Compensation Plan were $156,827 and $207,096, respectively, in 2024. Huron does not pay above-market interest or preferential dividends on investments in the Deferred Compensation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-655320</wp:posOffset>
            </wp:positionV>
            <wp:extent cx="6810375" cy="32251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10375" cy="3225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0"/>
        <w:spacing w:after="0"/>
        <w:tabs>
          <w:tab w:leader="none" w:pos="444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13"/>
          <w:szCs w:val="13"/>
          <w:b w:val="1"/>
          <w:bCs w:val="1"/>
          <w:color w:val="00558C"/>
        </w:rPr>
        <w:t>25</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420370</wp:posOffset>
            </wp:positionV>
            <wp:extent cx="6810375" cy="72085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10375" cy="7208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540" w:val="left"/>
          <w:tab w:leader="none" w:pos="7360" w:val="left"/>
          <w:tab w:leader="none" w:pos="8400" w:val="left"/>
        </w:tabs>
        <w:rPr>
          <w:sz w:val="20"/>
          <w:szCs w:val="20"/>
          <w:color w:val="auto"/>
        </w:rPr>
      </w:pPr>
      <w:r>
        <w:rPr>
          <w:rFonts w:ascii="Arial" w:cs="Arial" w:eastAsia="Arial" w:hAnsi="Arial"/>
          <w:sz w:val="13"/>
          <w:szCs w:val="13"/>
          <w:b w:val="1"/>
          <w:bCs w:val="1"/>
          <w:color w:val="B2B3B6"/>
        </w:rPr>
        <w:t>General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6AAA37"/>
        </w:rPr>
        <w:t>Corporate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Executive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Stockholder</w:t>
      </w:r>
      <w:r>
        <w:rPr>
          <w:sz w:val="20"/>
          <w:szCs w:val="20"/>
          <w:color w:val="auto"/>
        </w:rPr>
        <w:tab/>
      </w:r>
      <w:r>
        <w:rPr>
          <w:rFonts w:ascii="Arial" w:cs="Arial" w:eastAsia="Arial" w:hAnsi="Arial"/>
          <w:sz w:val="12"/>
          <w:szCs w:val="12"/>
          <w:b w:val="1"/>
          <w:bCs w:val="1"/>
          <w:color w:val="B2B3B6"/>
        </w:rPr>
        <w:t>Other</w:t>
      </w:r>
    </w:p>
    <w:p>
      <w:pPr>
        <w:spacing w:after="0" w:line="11"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540" w:val="left"/>
          <w:tab w:leader="none" w:pos="7360" w:val="left"/>
          <w:tab w:leader="none" w:pos="8400" w:val="left"/>
        </w:tabs>
        <w:rPr>
          <w:sz w:val="20"/>
          <w:szCs w:val="20"/>
          <w:color w:val="auto"/>
        </w:rPr>
      </w:pPr>
      <w:r>
        <w:rPr>
          <w:rFonts w:ascii="Arial" w:cs="Arial" w:eastAsia="Arial" w:hAnsi="Arial"/>
          <w:sz w:val="13"/>
          <w:szCs w:val="13"/>
          <w:b w:val="1"/>
          <w:bCs w:val="1"/>
          <w:color w:val="B2B3B6"/>
        </w:rPr>
        <w:t>Information</w:t>
      </w:r>
      <w:r>
        <w:rPr>
          <w:sz w:val="20"/>
          <w:szCs w:val="20"/>
          <w:color w:val="auto"/>
        </w:rPr>
        <w:tab/>
      </w:r>
      <w:r>
        <w:rPr>
          <w:rFonts w:ascii="Arial" w:cs="Arial" w:eastAsia="Arial" w:hAnsi="Arial"/>
          <w:sz w:val="13"/>
          <w:szCs w:val="13"/>
          <w:b w:val="1"/>
          <w:bCs w:val="1"/>
          <w:color w:val="B2B3B6"/>
        </w:rPr>
        <w:t>One</w:t>
      </w:r>
      <w:r>
        <w:rPr>
          <w:sz w:val="20"/>
          <w:szCs w:val="20"/>
          <w:color w:val="auto"/>
        </w:rPr>
        <w:tab/>
      </w:r>
      <w:r>
        <w:rPr>
          <w:rFonts w:ascii="Arial" w:cs="Arial" w:eastAsia="Arial" w:hAnsi="Arial"/>
          <w:sz w:val="13"/>
          <w:szCs w:val="13"/>
          <w:b w:val="1"/>
          <w:bCs w:val="1"/>
          <w:color w:val="6AAA37"/>
        </w:rPr>
        <w:t>Governance</w:t>
      </w:r>
      <w:r>
        <w:rPr>
          <w:sz w:val="20"/>
          <w:szCs w:val="20"/>
          <w:color w:val="auto"/>
        </w:rPr>
        <w:tab/>
      </w:r>
      <w:r>
        <w:rPr>
          <w:rFonts w:ascii="Arial" w:cs="Arial" w:eastAsia="Arial" w:hAnsi="Arial"/>
          <w:sz w:val="13"/>
          <w:szCs w:val="13"/>
          <w:b w:val="1"/>
          <w:bCs w:val="1"/>
          <w:color w:val="B2B3B6"/>
        </w:rPr>
        <w:t>Two</w:t>
      </w:r>
      <w:r>
        <w:rPr>
          <w:sz w:val="20"/>
          <w:szCs w:val="20"/>
          <w:color w:val="auto"/>
        </w:rPr>
        <w:tab/>
      </w:r>
      <w:r>
        <w:rPr>
          <w:rFonts w:ascii="Arial" w:cs="Arial" w:eastAsia="Arial" w:hAnsi="Arial"/>
          <w:sz w:val="13"/>
          <w:szCs w:val="13"/>
          <w:b w:val="1"/>
          <w:bCs w:val="1"/>
          <w:color w:val="B2B3B6"/>
        </w:rPr>
        <w:t>Compensation</w:t>
      </w:r>
      <w:r>
        <w:rPr>
          <w:sz w:val="20"/>
          <w:szCs w:val="20"/>
          <w:color w:val="auto"/>
        </w:rPr>
        <w:tab/>
      </w:r>
      <w:r>
        <w:rPr>
          <w:rFonts w:ascii="Arial" w:cs="Arial" w:eastAsia="Arial" w:hAnsi="Arial"/>
          <w:sz w:val="13"/>
          <w:szCs w:val="13"/>
          <w:b w:val="1"/>
          <w:bCs w:val="1"/>
          <w:color w:val="B2B3B6"/>
        </w:rPr>
        <w:t>Three</w:t>
      </w:r>
      <w:r>
        <w:rPr>
          <w:sz w:val="20"/>
          <w:szCs w:val="20"/>
          <w:color w:val="auto"/>
        </w:rPr>
        <w:tab/>
      </w:r>
      <w:r>
        <w:rPr>
          <w:rFonts w:ascii="Arial" w:cs="Arial" w:eastAsia="Arial" w:hAnsi="Arial"/>
          <w:sz w:val="13"/>
          <w:szCs w:val="13"/>
          <w:b w:val="1"/>
          <w:bCs w:val="1"/>
          <w:color w:val="B2B3B6"/>
        </w:rPr>
        <w:t>Four</w:t>
      </w:r>
      <w:r>
        <w:rPr>
          <w:sz w:val="20"/>
          <w:szCs w:val="20"/>
          <w:color w:val="auto"/>
        </w:rPr>
        <w:tab/>
      </w:r>
      <w:r>
        <w:rPr>
          <w:rFonts w:ascii="Arial" w:cs="Arial" w:eastAsia="Arial" w:hAnsi="Arial"/>
          <w:sz w:val="13"/>
          <w:szCs w:val="13"/>
          <w:b w:val="1"/>
          <w:bCs w:val="1"/>
          <w:color w:val="B2B3B6"/>
        </w:rPr>
        <w:t>Five</w:t>
      </w:r>
      <w:r>
        <w:rPr>
          <w:sz w:val="20"/>
          <w:szCs w:val="20"/>
          <w:color w:val="auto"/>
        </w:rPr>
        <w:tab/>
      </w:r>
      <w:r>
        <w:rPr>
          <w:rFonts w:ascii="Arial" w:cs="Arial" w:eastAsia="Arial" w:hAnsi="Arial"/>
          <w:sz w:val="13"/>
          <w:szCs w:val="13"/>
          <w:b w:val="1"/>
          <w:bCs w:val="1"/>
          <w:color w:val="B2B3B6"/>
        </w:rPr>
        <w:t>Proposals</w:t>
      </w:r>
      <w:r>
        <w:rPr>
          <w:sz w:val="20"/>
          <w:szCs w:val="20"/>
          <w:color w:val="auto"/>
        </w:rPr>
        <w:tab/>
      </w:r>
      <w:r>
        <w:rPr>
          <w:rFonts w:ascii="Arial" w:cs="Arial" w:eastAsia="Arial" w:hAnsi="Arial"/>
          <w:sz w:val="12"/>
          <w:szCs w:val="12"/>
          <w:b w:val="1"/>
          <w:bCs w:val="1"/>
          <w:color w:val="B2B3B6"/>
        </w:rPr>
        <w:t>Matters</w:t>
      </w:r>
    </w:p>
    <w:p>
      <w:pPr>
        <w:spacing w:after="0" w:line="314" w:lineRule="exact"/>
        <w:rPr>
          <w:sz w:val="20"/>
          <w:szCs w:val="20"/>
          <w:color w:val="auto"/>
        </w:rPr>
      </w:pPr>
    </w:p>
    <w:p>
      <w:pPr>
        <w:spacing w:after="0"/>
        <w:rPr>
          <w:sz w:val="20"/>
          <w:szCs w:val="20"/>
          <w:color w:val="auto"/>
        </w:rPr>
      </w:pPr>
      <w:r>
        <w:rPr>
          <w:rFonts w:ascii="Arial" w:cs="Arial" w:eastAsia="Arial" w:hAnsi="Arial"/>
          <w:sz w:val="22"/>
          <w:szCs w:val="22"/>
          <w:b w:val="1"/>
          <w:bCs w:val="1"/>
          <w:color w:val="00558C"/>
        </w:rPr>
        <w:t>Executive Officers</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The Company’s executive officers are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349"/>
        </w:trPr>
        <w:tc>
          <w:tcPr>
            <w:tcW w:w="1720" w:type="dxa"/>
            <w:vAlign w:val="bottom"/>
            <w:shd w:val="clear" w:color="auto" w:fill="00558C"/>
          </w:tcPr>
          <w:p>
            <w:pPr>
              <w:ind w:left="140"/>
              <w:spacing w:after="0"/>
              <w:rPr>
                <w:sz w:val="20"/>
                <w:szCs w:val="20"/>
                <w:color w:val="auto"/>
              </w:rPr>
            </w:pPr>
            <w:r>
              <w:rPr>
                <w:rFonts w:ascii="Arial" w:cs="Arial" w:eastAsia="Arial" w:hAnsi="Arial"/>
                <w:sz w:val="14"/>
                <w:szCs w:val="14"/>
                <w:b w:val="1"/>
                <w:bCs w:val="1"/>
                <w:color w:val="FFFFFF"/>
              </w:rPr>
              <w:t>Name</w:t>
            </w:r>
          </w:p>
        </w:tc>
        <w:tc>
          <w:tcPr>
            <w:tcW w:w="820" w:type="dxa"/>
            <w:vAlign w:val="bottom"/>
            <w:shd w:val="clear" w:color="auto" w:fill="00558C"/>
          </w:tcPr>
          <w:p>
            <w:pPr>
              <w:jc w:val="center"/>
              <w:ind w:left="8"/>
              <w:spacing w:after="0"/>
              <w:rPr>
                <w:sz w:val="20"/>
                <w:szCs w:val="20"/>
                <w:color w:val="auto"/>
              </w:rPr>
            </w:pPr>
            <w:r>
              <w:rPr>
                <w:rFonts w:ascii="Arial" w:cs="Arial" w:eastAsia="Arial" w:hAnsi="Arial"/>
                <w:sz w:val="14"/>
                <w:szCs w:val="14"/>
                <w:b w:val="1"/>
                <w:bCs w:val="1"/>
                <w:color w:val="FFFFFF"/>
                <w:w w:val="98"/>
              </w:rPr>
              <w:t>Age</w:t>
            </w:r>
          </w:p>
        </w:tc>
        <w:tc>
          <w:tcPr>
            <w:tcW w:w="6540" w:type="dxa"/>
            <w:vAlign w:val="bottom"/>
            <w:shd w:val="clear" w:color="auto" w:fill="00558C"/>
          </w:tcPr>
          <w:p>
            <w:pPr>
              <w:ind w:left="240"/>
              <w:spacing w:after="0"/>
              <w:rPr>
                <w:sz w:val="20"/>
                <w:szCs w:val="20"/>
                <w:color w:val="auto"/>
              </w:rPr>
            </w:pPr>
            <w:r>
              <w:rPr>
                <w:rFonts w:ascii="Arial" w:cs="Arial" w:eastAsia="Arial" w:hAnsi="Arial"/>
                <w:sz w:val="14"/>
                <w:szCs w:val="14"/>
                <w:b w:val="1"/>
                <w:bCs w:val="1"/>
                <w:color w:val="FFFFFF"/>
              </w:rPr>
              <w:t>Position</w:t>
            </w:r>
          </w:p>
        </w:tc>
      </w:tr>
      <w:tr>
        <w:trPr>
          <w:trHeight w:val="110"/>
        </w:trPr>
        <w:tc>
          <w:tcPr>
            <w:tcW w:w="1720" w:type="dxa"/>
            <w:vAlign w:val="bottom"/>
            <w:shd w:val="clear" w:color="auto" w:fill="00558C"/>
          </w:tcPr>
          <w:p>
            <w:pPr>
              <w:spacing w:after="0"/>
              <w:rPr>
                <w:sz w:val="9"/>
                <w:szCs w:val="9"/>
                <w:color w:val="auto"/>
              </w:rPr>
            </w:pPr>
          </w:p>
        </w:tc>
        <w:tc>
          <w:tcPr>
            <w:tcW w:w="820" w:type="dxa"/>
            <w:vAlign w:val="bottom"/>
            <w:shd w:val="clear" w:color="auto" w:fill="00558C"/>
          </w:tcPr>
          <w:p>
            <w:pPr>
              <w:spacing w:after="0"/>
              <w:rPr>
                <w:sz w:val="9"/>
                <w:szCs w:val="9"/>
                <w:color w:val="auto"/>
              </w:rPr>
            </w:pPr>
          </w:p>
        </w:tc>
        <w:tc>
          <w:tcPr>
            <w:tcW w:w="6540" w:type="dxa"/>
            <w:vAlign w:val="bottom"/>
            <w:shd w:val="clear" w:color="auto" w:fill="00558C"/>
          </w:tcPr>
          <w:p>
            <w:pPr>
              <w:spacing w:after="0"/>
              <w:rPr>
                <w:sz w:val="9"/>
                <w:szCs w:val="9"/>
                <w:color w:val="auto"/>
              </w:rPr>
            </w:pPr>
          </w:p>
        </w:tc>
      </w:tr>
      <w:tr>
        <w:trPr>
          <w:trHeight w:val="335"/>
        </w:trPr>
        <w:tc>
          <w:tcPr>
            <w:tcW w:w="1720" w:type="dxa"/>
            <w:vAlign w:val="bottom"/>
            <w:shd w:val="clear" w:color="auto" w:fill="F2F3F2"/>
          </w:tcPr>
          <w:p>
            <w:pPr>
              <w:ind w:left="140"/>
              <w:spacing w:after="0"/>
              <w:rPr>
                <w:sz w:val="20"/>
                <w:szCs w:val="20"/>
                <w:color w:val="auto"/>
              </w:rPr>
            </w:pPr>
            <w:r>
              <w:rPr>
                <w:rFonts w:ascii="Arial" w:cs="Arial" w:eastAsia="Arial" w:hAnsi="Arial"/>
                <w:sz w:val="14"/>
                <w:szCs w:val="14"/>
                <w:b w:val="1"/>
                <w:bCs w:val="1"/>
                <w:color w:val="00558C"/>
              </w:rPr>
              <w:t>C. Mark Hussey</w:t>
            </w:r>
          </w:p>
        </w:tc>
        <w:tc>
          <w:tcPr>
            <w:tcW w:w="820" w:type="dxa"/>
            <w:vAlign w:val="bottom"/>
            <w:shd w:val="clear" w:color="auto" w:fill="F2F3F2"/>
          </w:tcPr>
          <w:p>
            <w:pPr>
              <w:jc w:val="center"/>
              <w:ind w:left="28"/>
              <w:spacing w:after="0"/>
              <w:rPr>
                <w:sz w:val="20"/>
                <w:szCs w:val="20"/>
                <w:color w:val="auto"/>
              </w:rPr>
            </w:pPr>
            <w:r>
              <w:rPr>
                <w:rFonts w:ascii="Arial" w:cs="Arial" w:eastAsia="Arial" w:hAnsi="Arial"/>
                <w:sz w:val="14"/>
                <w:szCs w:val="14"/>
                <w:color w:val="auto"/>
              </w:rPr>
              <w:t>64</w:t>
            </w:r>
          </w:p>
        </w:tc>
        <w:tc>
          <w:tcPr>
            <w:tcW w:w="6540" w:type="dxa"/>
            <w:vAlign w:val="bottom"/>
            <w:shd w:val="clear" w:color="auto" w:fill="F2F3F2"/>
          </w:tcPr>
          <w:p>
            <w:pPr>
              <w:ind w:left="240"/>
              <w:spacing w:after="0"/>
              <w:rPr>
                <w:sz w:val="20"/>
                <w:szCs w:val="20"/>
                <w:color w:val="auto"/>
              </w:rPr>
            </w:pPr>
            <w:r>
              <w:rPr>
                <w:rFonts w:ascii="Arial" w:cs="Arial" w:eastAsia="Arial" w:hAnsi="Arial"/>
                <w:sz w:val="14"/>
                <w:szCs w:val="14"/>
                <w:color w:val="auto"/>
              </w:rPr>
              <w:t>Chief Executive Officer and President</w:t>
            </w:r>
          </w:p>
        </w:tc>
      </w:tr>
      <w:tr>
        <w:trPr>
          <w:trHeight w:val="110"/>
        </w:trPr>
        <w:tc>
          <w:tcPr>
            <w:tcW w:w="1720" w:type="dxa"/>
            <w:vAlign w:val="bottom"/>
            <w:shd w:val="clear" w:color="auto" w:fill="F2F3F2"/>
          </w:tcPr>
          <w:p>
            <w:pPr>
              <w:spacing w:after="0"/>
              <w:rPr>
                <w:sz w:val="9"/>
                <w:szCs w:val="9"/>
                <w:color w:val="auto"/>
              </w:rPr>
            </w:pPr>
          </w:p>
        </w:tc>
        <w:tc>
          <w:tcPr>
            <w:tcW w:w="820" w:type="dxa"/>
            <w:vAlign w:val="bottom"/>
            <w:shd w:val="clear" w:color="auto" w:fill="F2F3F2"/>
          </w:tcPr>
          <w:p>
            <w:pPr>
              <w:spacing w:after="0"/>
              <w:rPr>
                <w:sz w:val="9"/>
                <w:szCs w:val="9"/>
                <w:color w:val="auto"/>
              </w:rPr>
            </w:pPr>
          </w:p>
        </w:tc>
        <w:tc>
          <w:tcPr>
            <w:tcW w:w="6540" w:type="dxa"/>
            <w:vAlign w:val="bottom"/>
            <w:shd w:val="clear" w:color="auto" w:fill="F2F3F2"/>
          </w:tcPr>
          <w:p>
            <w:pPr>
              <w:spacing w:after="0"/>
              <w:rPr>
                <w:sz w:val="9"/>
                <w:szCs w:val="9"/>
                <w:color w:val="auto"/>
              </w:rPr>
            </w:pPr>
          </w:p>
        </w:tc>
      </w:tr>
      <w:tr>
        <w:trPr>
          <w:trHeight w:val="335"/>
        </w:trPr>
        <w:tc>
          <w:tcPr>
            <w:tcW w:w="1720" w:type="dxa"/>
            <w:vAlign w:val="bottom"/>
          </w:tcPr>
          <w:p>
            <w:pPr>
              <w:ind w:left="140"/>
              <w:spacing w:after="0"/>
              <w:rPr>
                <w:sz w:val="20"/>
                <w:szCs w:val="20"/>
                <w:color w:val="auto"/>
              </w:rPr>
            </w:pPr>
            <w:r>
              <w:rPr>
                <w:rFonts w:ascii="Arial" w:cs="Arial" w:eastAsia="Arial" w:hAnsi="Arial"/>
                <w:sz w:val="14"/>
                <w:szCs w:val="14"/>
                <w:b w:val="1"/>
                <w:bCs w:val="1"/>
                <w:color w:val="00558C"/>
              </w:rPr>
              <w:t>J. Ronald Dail</w:t>
            </w:r>
          </w:p>
        </w:tc>
        <w:tc>
          <w:tcPr>
            <w:tcW w:w="820" w:type="dxa"/>
            <w:vAlign w:val="bottom"/>
          </w:tcPr>
          <w:p>
            <w:pPr>
              <w:jc w:val="center"/>
              <w:ind w:left="28"/>
              <w:spacing w:after="0"/>
              <w:rPr>
                <w:sz w:val="20"/>
                <w:szCs w:val="20"/>
                <w:color w:val="auto"/>
              </w:rPr>
            </w:pPr>
            <w:r>
              <w:rPr>
                <w:rFonts w:ascii="Arial" w:cs="Arial" w:eastAsia="Arial" w:hAnsi="Arial"/>
                <w:sz w:val="14"/>
                <w:szCs w:val="14"/>
                <w:color w:val="auto"/>
              </w:rPr>
              <w:t>55</w:t>
            </w:r>
          </w:p>
        </w:tc>
        <w:tc>
          <w:tcPr>
            <w:tcW w:w="6540" w:type="dxa"/>
            <w:vAlign w:val="bottom"/>
          </w:tcPr>
          <w:p>
            <w:pPr>
              <w:ind w:left="240"/>
              <w:spacing w:after="0"/>
              <w:rPr>
                <w:sz w:val="20"/>
                <w:szCs w:val="20"/>
                <w:color w:val="auto"/>
              </w:rPr>
            </w:pPr>
            <w:r>
              <w:rPr>
                <w:rFonts w:ascii="Arial" w:cs="Arial" w:eastAsia="Arial" w:hAnsi="Arial"/>
                <w:sz w:val="14"/>
                <w:szCs w:val="14"/>
                <w:color w:val="auto"/>
              </w:rPr>
              <w:t>Executive Vice President and Chief Operating Officer</w:t>
            </w:r>
          </w:p>
        </w:tc>
      </w:tr>
      <w:tr>
        <w:trPr>
          <w:trHeight w:val="110"/>
        </w:trPr>
        <w:tc>
          <w:tcPr>
            <w:tcW w:w="1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540" w:type="dxa"/>
            <w:vAlign w:val="bottom"/>
          </w:tcPr>
          <w:p>
            <w:pPr>
              <w:spacing w:after="0"/>
              <w:rPr>
                <w:sz w:val="9"/>
                <w:szCs w:val="9"/>
                <w:color w:val="auto"/>
              </w:rPr>
            </w:pPr>
          </w:p>
        </w:tc>
      </w:tr>
      <w:tr>
        <w:trPr>
          <w:trHeight w:val="336"/>
        </w:trPr>
        <w:tc>
          <w:tcPr>
            <w:tcW w:w="1720" w:type="dxa"/>
            <w:vAlign w:val="bottom"/>
            <w:shd w:val="clear" w:color="auto" w:fill="F2F3F2"/>
          </w:tcPr>
          <w:p>
            <w:pPr>
              <w:ind w:left="140"/>
              <w:spacing w:after="0"/>
              <w:rPr>
                <w:sz w:val="20"/>
                <w:szCs w:val="20"/>
                <w:color w:val="auto"/>
              </w:rPr>
            </w:pPr>
            <w:r>
              <w:rPr>
                <w:rFonts w:ascii="Arial" w:cs="Arial" w:eastAsia="Arial" w:hAnsi="Arial"/>
                <w:sz w:val="14"/>
                <w:szCs w:val="14"/>
                <w:b w:val="1"/>
                <w:bCs w:val="1"/>
                <w:color w:val="00558C"/>
              </w:rPr>
              <w:t>John D. Kelly</w:t>
            </w:r>
          </w:p>
        </w:tc>
        <w:tc>
          <w:tcPr>
            <w:tcW w:w="820" w:type="dxa"/>
            <w:vAlign w:val="bottom"/>
            <w:shd w:val="clear" w:color="auto" w:fill="F2F3F2"/>
          </w:tcPr>
          <w:p>
            <w:pPr>
              <w:jc w:val="center"/>
              <w:ind w:left="28"/>
              <w:spacing w:after="0"/>
              <w:rPr>
                <w:sz w:val="20"/>
                <w:szCs w:val="20"/>
                <w:color w:val="auto"/>
              </w:rPr>
            </w:pPr>
            <w:r>
              <w:rPr>
                <w:rFonts w:ascii="Arial" w:cs="Arial" w:eastAsia="Arial" w:hAnsi="Arial"/>
                <w:sz w:val="14"/>
                <w:szCs w:val="14"/>
                <w:color w:val="auto"/>
              </w:rPr>
              <w:t>49</w:t>
            </w:r>
          </w:p>
        </w:tc>
        <w:tc>
          <w:tcPr>
            <w:tcW w:w="6540" w:type="dxa"/>
            <w:vAlign w:val="bottom"/>
            <w:shd w:val="clear" w:color="auto" w:fill="F2F3F2"/>
          </w:tcPr>
          <w:p>
            <w:pPr>
              <w:ind w:left="240"/>
              <w:spacing w:after="0"/>
              <w:rPr>
                <w:sz w:val="20"/>
                <w:szCs w:val="20"/>
                <w:color w:val="auto"/>
              </w:rPr>
            </w:pPr>
            <w:r>
              <w:rPr>
                <w:rFonts w:ascii="Arial" w:cs="Arial" w:eastAsia="Arial" w:hAnsi="Arial"/>
                <w:sz w:val="14"/>
                <w:szCs w:val="14"/>
                <w:color w:val="auto"/>
              </w:rPr>
              <w:t>Executive Vice President, Chief Financial Officer and Treasurer</w:t>
            </w:r>
          </w:p>
        </w:tc>
      </w:tr>
      <w:tr>
        <w:trPr>
          <w:trHeight w:val="110"/>
        </w:trPr>
        <w:tc>
          <w:tcPr>
            <w:tcW w:w="1720" w:type="dxa"/>
            <w:vAlign w:val="bottom"/>
            <w:shd w:val="clear" w:color="auto" w:fill="F2F3F2"/>
          </w:tcPr>
          <w:p>
            <w:pPr>
              <w:spacing w:after="0"/>
              <w:rPr>
                <w:sz w:val="9"/>
                <w:szCs w:val="9"/>
                <w:color w:val="auto"/>
              </w:rPr>
            </w:pPr>
          </w:p>
        </w:tc>
        <w:tc>
          <w:tcPr>
            <w:tcW w:w="820" w:type="dxa"/>
            <w:vAlign w:val="bottom"/>
            <w:shd w:val="clear" w:color="auto" w:fill="F2F3F2"/>
          </w:tcPr>
          <w:p>
            <w:pPr>
              <w:spacing w:after="0"/>
              <w:rPr>
                <w:sz w:val="9"/>
                <w:szCs w:val="9"/>
                <w:color w:val="auto"/>
              </w:rPr>
            </w:pPr>
          </w:p>
        </w:tc>
        <w:tc>
          <w:tcPr>
            <w:tcW w:w="6540" w:type="dxa"/>
            <w:vAlign w:val="bottom"/>
            <w:shd w:val="clear" w:color="auto" w:fill="F2F3F2"/>
          </w:tcPr>
          <w:p>
            <w:pPr>
              <w:spacing w:after="0"/>
              <w:rPr>
                <w:sz w:val="9"/>
                <w:szCs w:val="9"/>
                <w:color w:val="auto"/>
              </w:rPr>
            </w:pPr>
          </w:p>
        </w:tc>
      </w:tr>
      <w:tr>
        <w:trPr>
          <w:trHeight w:val="391"/>
        </w:trPr>
        <w:tc>
          <w:tcPr>
            <w:tcW w:w="1720" w:type="dxa"/>
            <w:vAlign w:val="bottom"/>
          </w:tcPr>
          <w:p>
            <w:pPr>
              <w:ind w:left="140"/>
              <w:spacing w:after="0"/>
              <w:rPr>
                <w:sz w:val="20"/>
                <w:szCs w:val="20"/>
                <w:color w:val="auto"/>
              </w:rPr>
            </w:pPr>
            <w:r>
              <w:rPr>
                <w:rFonts w:ascii="Arial" w:cs="Arial" w:eastAsia="Arial" w:hAnsi="Arial"/>
                <w:sz w:val="14"/>
                <w:szCs w:val="14"/>
                <w:b w:val="1"/>
                <w:bCs w:val="1"/>
                <w:color w:val="00558C"/>
              </w:rPr>
              <w:t xml:space="preserve">Ernest W. Torain, Jr. </w:t>
            </w:r>
            <w:r>
              <w:rPr>
                <w:rFonts w:ascii="Arial" w:cs="Arial" w:eastAsia="Arial" w:hAnsi="Arial"/>
                <w:sz w:val="18"/>
                <w:szCs w:val="18"/>
                <w:b w:val="1"/>
                <w:bCs w:val="1"/>
                <w:color w:val="00558C"/>
                <w:vertAlign w:val="superscript"/>
              </w:rPr>
              <w:t>1</w:t>
            </w:r>
          </w:p>
        </w:tc>
        <w:tc>
          <w:tcPr>
            <w:tcW w:w="820" w:type="dxa"/>
            <w:vAlign w:val="bottom"/>
          </w:tcPr>
          <w:p>
            <w:pPr>
              <w:jc w:val="center"/>
              <w:ind w:left="28"/>
              <w:spacing w:after="0"/>
              <w:rPr>
                <w:sz w:val="20"/>
                <w:szCs w:val="20"/>
                <w:color w:val="auto"/>
              </w:rPr>
            </w:pPr>
            <w:r>
              <w:rPr>
                <w:rFonts w:ascii="Arial" w:cs="Arial" w:eastAsia="Arial" w:hAnsi="Arial"/>
                <w:sz w:val="14"/>
                <w:szCs w:val="14"/>
                <w:color w:val="auto"/>
              </w:rPr>
              <w:t>60</w:t>
            </w:r>
          </w:p>
        </w:tc>
        <w:tc>
          <w:tcPr>
            <w:tcW w:w="6540" w:type="dxa"/>
            <w:vAlign w:val="bottom"/>
          </w:tcPr>
          <w:p>
            <w:pPr>
              <w:ind w:left="240"/>
              <w:spacing w:after="0"/>
              <w:rPr>
                <w:sz w:val="20"/>
                <w:szCs w:val="20"/>
                <w:color w:val="auto"/>
              </w:rPr>
            </w:pPr>
            <w:r>
              <w:rPr>
                <w:rFonts w:ascii="Arial" w:cs="Arial" w:eastAsia="Arial" w:hAnsi="Arial"/>
                <w:sz w:val="14"/>
                <w:szCs w:val="14"/>
                <w:color w:val="auto"/>
              </w:rPr>
              <w:t>Former Executive Vice President, General Counsel and Corporate Secretary</w:t>
            </w:r>
          </w:p>
        </w:tc>
      </w:tr>
      <w:tr>
        <w:trPr>
          <w:trHeight w:val="55"/>
        </w:trPr>
        <w:tc>
          <w:tcPr>
            <w:tcW w:w="1720" w:type="dxa"/>
            <w:vAlign w:val="bottom"/>
            <w:tcBorders>
              <w:bottom w:val="single" w:sz="8" w:color="B2B3B6"/>
            </w:tcBorders>
          </w:tcPr>
          <w:p>
            <w:pPr>
              <w:spacing w:after="0"/>
              <w:rPr>
                <w:sz w:val="4"/>
                <w:szCs w:val="4"/>
                <w:color w:val="auto"/>
              </w:rPr>
            </w:pPr>
          </w:p>
        </w:tc>
        <w:tc>
          <w:tcPr>
            <w:tcW w:w="820" w:type="dxa"/>
            <w:vAlign w:val="bottom"/>
            <w:tcBorders>
              <w:bottom w:val="single" w:sz="8" w:color="B2B3B6"/>
            </w:tcBorders>
          </w:tcPr>
          <w:p>
            <w:pPr>
              <w:spacing w:after="0"/>
              <w:rPr>
                <w:sz w:val="4"/>
                <w:szCs w:val="4"/>
                <w:color w:val="auto"/>
              </w:rPr>
            </w:pPr>
          </w:p>
        </w:tc>
        <w:tc>
          <w:tcPr>
            <w:tcW w:w="6540" w:type="dxa"/>
            <w:vAlign w:val="bottom"/>
            <w:tcBorders>
              <w:bottom w:val="single" w:sz="8" w:color="B2B3B6"/>
            </w:tcBorders>
          </w:tcPr>
          <w:p>
            <w:pPr>
              <w:spacing w:after="0"/>
              <w:rPr>
                <w:sz w:val="4"/>
                <w:szCs w:val="4"/>
                <w:color w:val="auto"/>
              </w:rPr>
            </w:pPr>
          </w:p>
        </w:tc>
      </w:tr>
    </w:tbl>
    <w:p>
      <w:pPr>
        <w:spacing w:after="0" w:line="139" w:lineRule="exact"/>
        <w:rPr>
          <w:sz w:val="20"/>
          <w:szCs w:val="20"/>
          <w:color w:val="auto"/>
        </w:rPr>
      </w:pPr>
    </w:p>
    <w:p>
      <w:pPr>
        <w:ind w:left="420" w:right="340" w:hanging="331"/>
        <w:spacing w:after="0" w:line="345" w:lineRule="auto"/>
        <w:tabs>
          <w:tab w:leader="none" w:pos="420" w:val="left"/>
        </w:tabs>
        <w:numPr>
          <w:ilvl w:val="1"/>
          <w:numId w:val="54"/>
        </w:numPr>
        <w:rPr>
          <w:rFonts w:ascii="Arial" w:cs="Arial" w:eastAsia="Arial" w:hAnsi="Arial"/>
          <w:sz w:val="14"/>
          <w:szCs w:val="14"/>
          <w:color w:val="auto"/>
        </w:rPr>
      </w:pPr>
      <w:r>
        <w:rPr>
          <w:rFonts w:ascii="Arial" w:cs="Arial" w:eastAsia="Arial" w:hAnsi="Arial"/>
          <w:sz w:val="14"/>
          <w:szCs w:val="14"/>
          <w:color w:val="auto"/>
        </w:rPr>
        <w:t>On March 11, 2024, Huron announced that Mr. Torain was leaving the Company, effective March 15, 2024. Additional information is provided below under the caption “Executive Leadership Transitions.”</w:t>
      </w:r>
    </w:p>
    <w:p>
      <w:pPr>
        <w:spacing w:after="0" w:line="138" w:lineRule="exact"/>
        <w:rPr>
          <w:rFonts w:ascii="Arial" w:cs="Arial" w:eastAsia="Arial" w:hAnsi="Arial"/>
          <w:sz w:val="14"/>
          <w:szCs w:val="14"/>
          <w:color w:val="auto"/>
        </w:rPr>
      </w:pPr>
    </w:p>
    <w:p>
      <w:pPr>
        <w:ind w:left="280" w:hanging="272"/>
        <w:spacing w:after="0"/>
        <w:tabs>
          <w:tab w:leader="none" w:pos="280" w:val="left"/>
        </w:tabs>
        <w:numPr>
          <w:ilvl w:val="0"/>
          <w:numId w:val="55"/>
        </w:numPr>
        <w:rPr>
          <w:rFonts w:ascii="Arial" w:cs="Arial" w:eastAsia="Arial" w:hAnsi="Arial"/>
          <w:sz w:val="22"/>
          <w:szCs w:val="22"/>
          <w:b w:val="1"/>
          <w:bCs w:val="1"/>
          <w:color w:val="00558C"/>
        </w:rPr>
      </w:pPr>
      <w:r>
        <w:rPr>
          <w:rFonts w:ascii="Arial" w:cs="Arial" w:eastAsia="Arial" w:hAnsi="Arial"/>
          <w:sz w:val="22"/>
          <w:szCs w:val="22"/>
          <w:b w:val="1"/>
          <w:bCs w:val="1"/>
          <w:color w:val="00558C"/>
        </w:rPr>
        <w:t xml:space="preserve">Mark Hussey’s  </w:t>
      </w:r>
      <w:r>
        <w:rPr>
          <w:rFonts w:ascii="Arial" w:cs="Arial" w:eastAsia="Arial" w:hAnsi="Arial"/>
          <w:sz w:val="16"/>
          <w:szCs w:val="16"/>
          <w:color w:val="000000"/>
        </w:rPr>
        <w:t>biographical information is provided above under the caption “Directors Standing for Election.”</w:t>
      </w:r>
    </w:p>
    <w:p>
      <w:pPr>
        <w:sectPr>
          <w:pgSz w:w="11900" w:h="16838" w:orient="portrait"/>
          <w:cols w:equalWidth="0" w:num="1">
            <w:col w:w="9080"/>
          </w:cols>
          <w:pgMar w:left="1400" w:top="118" w:right="14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00558C"/>
        </w:rPr>
        <w:t>J. Ronald Dail</w:t>
      </w:r>
    </w:p>
    <w:p>
      <w:pPr>
        <w:spacing w:after="0" w:line="131" w:lineRule="exact"/>
        <w:rPr>
          <w:sz w:val="20"/>
          <w:szCs w:val="20"/>
          <w:color w:val="auto"/>
        </w:rPr>
      </w:pPr>
    </w:p>
    <w:p>
      <w:pPr>
        <w:ind w:left="60"/>
        <w:spacing w:after="0" w:line="314" w:lineRule="auto"/>
        <w:rPr>
          <w:sz w:val="20"/>
          <w:szCs w:val="20"/>
          <w:color w:val="auto"/>
        </w:rPr>
      </w:pPr>
      <w:r>
        <w:rPr>
          <w:rFonts w:ascii="Arial" w:cs="Arial" w:eastAsia="Arial" w:hAnsi="Arial"/>
          <w:sz w:val="14"/>
          <w:szCs w:val="14"/>
          <w:b w:val="1"/>
          <w:bCs w:val="1"/>
          <w:color w:val="6AAA37"/>
        </w:rPr>
        <w:t>EXECUTIVE VICE PRESIDENT AND CHIEF OPERATING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00558C"/>
        </w:rPr>
        <w:t>John D. Kelly</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60"/>
        <w:spacing w:after="0" w:line="271" w:lineRule="auto"/>
        <w:rPr>
          <w:sz w:val="20"/>
          <w:szCs w:val="20"/>
          <w:color w:val="auto"/>
        </w:rPr>
      </w:pPr>
      <w:r>
        <w:rPr>
          <w:rFonts w:ascii="Arial" w:cs="Arial" w:eastAsia="Arial" w:hAnsi="Arial"/>
          <w:sz w:val="14"/>
          <w:szCs w:val="14"/>
          <w:color w:val="auto"/>
        </w:rPr>
        <w:t>Mr. Dail was appointed as Huron’s chief operating officer on July 1, 2022 succeeding C. Mark Hussey. Mr. Dail has over 30 years of management consulting experience and has worked with many of Huron's largest clients. Prior to the COO role, Mr. Dail was a member of the executive leadership team for Huron’s healthcare business and the national leader of Huron’s performance improvement business unit. Mr. Dail has led numerous large-scale transformation efforts working with a variety of clients, including children’s hospitals, large academic health centers and multihospital systems. He is an expert in health management operations, specializing in managing the design and delivery of strategic information systems and operational reengineering projects. Through his leadership, Huron’s performance improvement business unit delivered meaningful and sustainable results to clients throughout the country, enabling them to achieve hundreds of millions of dollars in annual, recurring benefits. Prior to joining Huron, Mr. Dail joined Stockamp &amp; Associates in 2004, which was acquired by Huron in 2008. Prior to joining Stockamp, he had a successful 12-year career with Accenture (formerly Andersen Consulting LLP), where he specialized in complex program management, strategic planning, systems integration and process improvement initiatives. Mr. Dail holds a Bachelor of Arts in economics from the University of North Carolina at Chapel Hill.</w:t>
      </w:r>
    </w:p>
    <w:p>
      <w:pPr>
        <w:spacing w:after="0" w:line="331" w:lineRule="exact"/>
        <w:rPr>
          <w:sz w:val="20"/>
          <w:szCs w:val="20"/>
          <w:color w:val="auto"/>
        </w:rPr>
      </w:pPr>
    </w:p>
    <w:p>
      <w:pPr>
        <w:ind w:right="40"/>
        <w:spacing w:after="0" w:line="272" w:lineRule="auto"/>
        <w:rPr>
          <w:sz w:val="20"/>
          <w:szCs w:val="20"/>
          <w:color w:val="auto"/>
        </w:rPr>
      </w:pPr>
      <w:r>
        <w:rPr>
          <w:rFonts w:ascii="Arial" w:cs="Arial" w:eastAsia="Arial" w:hAnsi="Arial"/>
          <w:sz w:val="14"/>
          <w:szCs w:val="14"/>
          <w:color w:val="auto"/>
        </w:rPr>
        <w:t>John D. Kelly was appointed executive vice president and chief financial officer of Huron effective January 3, 2017. He has served as Huron’s treasurer since February 2016. He had served as chief accounting officer of Huron from February 2015 until January 2017, and had served as corporate vice president from November 2012 until his appointment as executive vice president. Previously, Mr. Kelly had served as controller of Huron from November 2012 until February 2015, and prior to that served as assistant controller from October 2009. Mr. Kelly served as Huron's assistant treasurer from February 2015 until February 2016. Prior to joining Huron's Finance and Accounting department, Mr. Kelly was a director in the Company's Disputes and Investigations practice for three years, serving clients in the manufacturing and services industries. Before he joined the Company in December 2006, Mr. Kelly held several positions within Deloitte &amp; Touche’s Assurance and Advisory Services group, most recently as a senior manager. He received both a B.S. and M.S. in Accounting from the University of Notre Dame. Mr. Kelly is a Certified Public Accountant in Illinois (inactive). Commencing in February 2020, Mr. Kelly was appointed as a member of the board of directors of Shorelight Holdings LLC.</w:t>
      </w:r>
    </w:p>
    <w:p>
      <w:pPr>
        <w:sectPr>
          <w:pgSz w:w="11900" w:h="16838" w:orient="portrait"/>
          <w:cols w:equalWidth="0" w:num="2">
            <w:col w:w="2460" w:space="420"/>
            <w:col w:w="6200"/>
          </w:cols>
          <w:pgMar w:left="1400" w:top="118" w:right="1419" w:bottom="0" w:gutter="0" w:footer="0" w:header="0"/>
          <w:type w:val="continuous"/>
        </w:sectPr>
      </w:pPr>
    </w:p>
    <w:bookmarkStart w:id="33" w:name="page34"/>
    <w:bookmarkEnd w:id="33"/>
    <w:p>
      <w:pPr>
        <w:ind w:left="60"/>
        <w:spacing w:after="0"/>
        <w:rPr>
          <w:sz w:val="20"/>
          <w:szCs w:val="20"/>
          <w:color w:val="auto"/>
        </w:rPr>
      </w:pPr>
      <w:r>
        <w:rPr>
          <w:rFonts w:ascii="Arial" w:cs="Arial" w:eastAsia="Arial" w:hAnsi="Arial"/>
          <w:sz w:val="14"/>
          <w:szCs w:val="14"/>
          <w:b w:val="1"/>
          <w:bCs w:val="1"/>
          <w:color w:val="6AAA37"/>
        </w:rPr>
        <w:t>EXECUTIVE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-27940</wp:posOffset>
            </wp:positionV>
            <wp:extent cx="6810375" cy="16478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10375" cy="1647825"/>
                    </a:xfrm>
                    <a:prstGeom prst="rect">
                      <a:avLst/>
                    </a:prstGeom>
                    <a:noFill/>
                  </pic:spPr>
                </pic:pic>
              </a:graphicData>
            </a:graphic>
          </wp:anchor>
        </w:drawing>
      </w:r>
    </w:p>
    <w:p>
      <w:pPr>
        <w:ind w:left="60"/>
        <w:spacing w:after="0"/>
        <w:rPr>
          <w:sz w:val="20"/>
          <w:szCs w:val="20"/>
          <w:color w:val="auto"/>
        </w:rPr>
      </w:pPr>
      <w:r>
        <w:rPr>
          <w:rFonts w:ascii="Arial" w:cs="Arial" w:eastAsia="Arial" w:hAnsi="Arial"/>
          <w:sz w:val="14"/>
          <w:szCs w:val="14"/>
          <w:b w:val="1"/>
          <w:bCs w:val="1"/>
          <w:color w:val="6AAA37"/>
        </w:rPr>
        <w:t>CHIEF FINANCIAL OFFICER AND</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6AAA37"/>
        </w:rPr>
        <w:t>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60"/>
        <w:spacing w:after="0"/>
        <w:tabs>
          <w:tab w:leader="none" w:pos="444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13"/>
          <w:szCs w:val="13"/>
          <w:b w:val="1"/>
          <w:bCs w:val="1"/>
          <w:color w:val="00558C"/>
        </w:rPr>
        <w:t>26</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420370</wp:posOffset>
            </wp:positionV>
            <wp:extent cx="6810375" cy="87858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10375" cy="8785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540" w:val="left"/>
          <w:tab w:leader="none" w:pos="7360" w:val="left"/>
          <w:tab w:leader="none" w:pos="8400" w:val="left"/>
        </w:tabs>
        <w:rPr>
          <w:sz w:val="20"/>
          <w:szCs w:val="20"/>
          <w:color w:val="auto"/>
        </w:rPr>
      </w:pPr>
      <w:r>
        <w:rPr>
          <w:rFonts w:ascii="Arial" w:cs="Arial" w:eastAsia="Arial" w:hAnsi="Arial"/>
          <w:sz w:val="13"/>
          <w:szCs w:val="13"/>
          <w:b w:val="1"/>
          <w:bCs w:val="1"/>
          <w:color w:val="B2B3B6"/>
        </w:rPr>
        <w:t>General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6AAA37"/>
        </w:rPr>
        <w:t>Corporate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Executive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Stockholder</w:t>
      </w:r>
      <w:r>
        <w:rPr>
          <w:sz w:val="20"/>
          <w:szCs w:val="20"/>
          <w:color w:val="auto"/>
        </w:rPr>
        <w:tab/>
      </w:r>
      <w:r>
        <w:rPr>
          <w:rFonts w:ascii="Arial" w:cs="Arial" w:eastAsia="Arial" w:hAnsi="Arial"/>
          <w:sz w:val="12"/>
          <w:szCs w:val="12"/>
          <w:b w:val="1"/>
          <w:bCs w:val="1"/>
          <w:color w:val="B2B3B6"/>
        </w:rPr>
        <w:t>Other</w:t>
      </w:r>
    </w:p>
    <w:p>
      <w:pPr>
        <w:spacing w:after="0" w:line="11"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540" w:val="left"/>
          <w:tab w:leader="none" w:pos="7360" w:val="left"/>
          <w:tab w:leader="none" w:pos="8400" w:val="left"/>
        </w:tabs>
        <w:rPr>
          <w:sz w:val="20"/>
          <w:szCs w:val="20"/>
          <w:color w:val="auto"/>
        </w:rPr>
      </w:pPr>
      <w:r>
        <w:rPr>
          <w:rFonts w:ascii="Arial" w:cs="Arial" w:eastAsia="Arial" w:hAnsi="Arial"/>
          <w:sz w:val="13"/>
          <w:szCs w:val="13"/>
          <w:b w:val="1"/>
          <w:bCs w:val="1"/>
          <w:color w:val="B2B3B6"/>
        </w:rPr>
        <w:t>Information</w:t>
      </w:r>
      <w:r>
        <w:rPr>
          <w:sz w:val="20"/>
          <w:szCs w:val="20"/>
          <w:color w:val="auto"/>
        </w:rPr>
        <w:tab/>
      </w:r>
      <w:r>
        <w:rPr>
          <w:rFonts w:ascii="Arial" w:cs="Arial" w:eastAsia="Arial" w:hAnsi="Arial"/>
          <w:sz w:val="13"/>
          <w:szCs w:val="13"/>
          <w:b w:val="1"/>
          <w:bCs w:val="1"/>
          <w:color w:val="B2B3B6"/>
        </w:rPr>
        <w:t>One</w:t>
      </w:r>
      <w:r>
        <w:rPr>
          <w:sz w:val="20"/>
          <w:szCs w:val="20"/>
          <w:color w:val="auto"/>
        </w:rPr>
        <w:tab/>
      </w:r>
      <w:r>
        <w:rPr>
          <w:rFonts w:ascii="Arial" w:cs="Arial" w:eastAsia="Arial" w:hAnsi="Arial"/>
          <w:sz w:val="13"/>
          <w:szCs w:val="13"/>
          <w:b w:val="1"/>
          <w:bCs w:val="1"/>
          <w:color w:val="6AAA37"/>
        </w:rPr>
        <w:t>Governance</w:t>
      </w:r>
      <w:r>
        <w:rPr>
          <w:sz w:val="20"/>
          <w:szCs w:val="20"/>
          <w:color w:val="auto"/>
        </w:rPr>
        <w:tab/>
      </w:r>
      <w:r>
        <w:rPr>
          <w:rFonts w:ascii="Arial" w:cs="Arial" w:eastAsia="Arial" w:hAnsi="Arial"/>
          <w:sz w:val="13"/>
          <w:szCs w:val="13"/>
          <w:b w:val="1"/>
          <w:bCs w:val="1"/>
          <w:color w:val="B2B3B6"/>
        </w:rPr>
        <w:t>Two</w:t>
      </w:r>
      <w:r>
        <w:rPr>
          <w:sz w:val="20"/>
          <w:szCs w:val="20"/>
          <w:color w:val="auto"/>
        </w:rPr>
        <w:tab/>
      </w:r>
      <w:r>
        <w:rPr>
          <w:rFonts w:ascii="Arial" w:cs="Arial" w:eastAsia="Arial" w:hAnsi="Arial"/>
          <w:sz w:val="13"/>
          <w:szCs w:val="13"/>
          <w:b w:val="1"/>
          <w:bCs w:val="1"/>
          <w:color w:val="B2B3B6"/>
        </w:rPr>
        <w:t>Compensation</w:t>
      </w:r>
      <w:r>
        <w:rPr>
          <w:sz w:val="20"/>
          <w:szCs w:val="20"/>
          <w:color w:val="auto"/>
        </w:rPr>
        <w:tab/>
      </w:r>
      <w:r>
        <w:rPr>
          <w:rFonts w:ascii="Arial" w:cs="Arial" w:eastAsia="Arial" w:hAnsi="Arial"/>
          <w:sz w:val="13"/>
          <w:szCs w:val="13"/>
          <w:b w:val="1"/>
          <w:bCs w:val="1"/>
          <w:color w:val="B2B3B6"/>
        </w:rPr>
        <w:t>Three</w:t>
      </w:r>
      <w:r>
        <w:rPr>
          <w:sz w:val="20"/>
          <w:szCs w:val="20"/>
          <w:color w:val="auto"/>
        </w:rPr>
        <w:tab/>
      </w:r>
      <w:r>
        <w:rPr>
          <w:rFonts w:ascii="Arial" w:cs="Arial" w:eastAsia="Arial" w:hAnsi="Arial"/>
          <w:sz w:val="13"/>
          <w:szCs w:val="13"/>
          <w:b w:val="1"/>
          <w:bCs w:val="1"/>
          <w:color w:val="B2B3B6"/>
        </w:rPr>
        <w:t>Four</w:t>
      </w:r>
      <w:r>
        <w:rPr>
          <w:sz w:val="20"/>
          <w:szCs w:val="20"/>
          <w:color w:val="auto"/>
        </w:rPr>
        <w:tab/>
      </w:r>
      <w:r>
        <w:rPr>
          <w:rFonts w:ascii="Arial" w:cs="Arial" w:eastAsia="Arial" w:hAnsi="Arial"/>
          <w:sz w:val="13"/>
          <w:szCs w:val="13"/>
          <w:b w:val="1"/>
          <w:bCs w:val="1"/>
          <w:color w:val="B2B3B6"/>
        </w:rPr>
        <w:t>Five</w:t>
      </w:r>
      <w:r>
        <w:rPr>
          <w:sz w:val="20"/>
          <w:szCs w:val="20"/>
          <w:color w:val="auto"/>
        </w:rPr>
        <w:tab/>
      </w:r>
      <w:r>
        <w:rPr>
          <w:rFonts w:ascii="Arial" w:cs="Arial" w:eastAsia="Arial" w:hAnsi="Arial"/>
          <w:sz w:val="13"/>
          <w:szCs w:val="13"/>
          <w:b w:val="1"/>
          <w:bCs w:val="1"/>
          <w:color w:val="B2B3B6"/>
        </w:rPr>
        <w:t>Proposals</w:t>
      </w:r>
      <w:r>
        <w:rPr>
          <w:sz w:val="20"/>
          <w:szCs w:val="20"/>
          <w:color w:val="auto"/>
        </w:rPr>
        <w:tab/>
      </w:r>
      <w:r>
        <w:rPr>
          <w:rFonts w:ascii="Arial" w:cs="Arial" w:eastAsia="Arial" w:hAnsi="Arial"/>
          <w:sz w:val="12"/>
          <w:szCs w:val="12"/>
          <w:b w:val="1"/>
          <w:bCs w:val="1"/>
          <w:color w:val="B2B3B6"/>
        </w:rPr>
        <w:t>Matters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Leadership Transitions</w:t>
      </w:r>
    </w:p>
    <w:p>
      <w:pPr>
        <w:spacing w:after="0" w:line="68" w:lineRule="exact"/>
        <w:rPr>
          <w:sz w:val="20"/>
          <w:szCs w:val="20"/>
          <w:color w:val="auto"/>
        </w:rPr>
      </w:pPr>
    </w:p>
    <w:p>
      <w:pPr>
        <w:ind w:right="19"/>
        <w:spacing w:after="0" w:line="299" w:lineRule="auto"/>
        <w:rPr>
          <w:sz w:val="20"/>
          <w:szCs w:val="20"/>
          <w:color w:val="auto"/>
        </w:rPr>
      </w:pPr>
      <w:r>
        <w:rPr>
          <w:rFonts w:ascii="Arial" w:cs="Arial" w:eastAsia="Arial" w:hAnsi="Arial"/>
          <w:sz w:val="16"/>
          <w:szCs w:val="16"/>
          <w:color w:val="auto"/>
        </w:rPr>
        <w:t>As previously announced on March 11, 2024, Huron announced that Mr. Torain was leaving the Company, effective March 15, 2024, and Hope Katz, Corporate Vice President, Legal Affairs and Corporate Secretary assumed the majority of Mr. Torain's responsibilities. Effective January 1, 2025, Ms. Katz was appointed Executive Vice President and General Counsel in addition to her role as Corporate Secretary. Ms. Katz joined Huron in 2018 and served as Deputy General Counsel prior to her new role.</w:t>
      </w:r>
    </w:p>
    <w:p>
      <w:pPr>
        <w:spacing w:after="0" w:line="378" w:lineRule="exact"/>
        <w:rPr>
          <w:sz w:val="20"/>
          <w:szCs w:val="20"/>
          <w:color w:val="auto"/>
        </w:rPr>
      </w:pPr>
    </w:p>
    <w:p>
      <w:pPr>
        <w:spacing w:after="0"/>
        <w:rPr>
          <w:sz w:val="20"/>
          <w:szCs w:val="20"/>
          <w:color w:val="auto"/>
        </w:rPr>
      </w:pPr>
      <w:r>
        <w:rPr>
          <w:rFonts w:ascii="Arial" w:cs="Arial" w:eastAsia="Arial" w:hAnsi="Arial"/>
          <w:sz w:val="22"/>
          <w:szCs w:val="22"/>
          <w:b w:val="1"/>
          <w:bCs w:val="1"/>
          <w:color w:val="00558C"/>
        </w:rPr>
        <w:t>Stock Ownership of Certain Beneficial Owners and Management</w:t>
      </w:r>
    </w:p>
    <w:p>
      <w:pPr>
        <w:spacing w:after="0" w:line="112" w:lineRule="exact"/>
        <w:rPr>
          <w:sz w:val="20"/>
          <w:szCs w:val="20"/>
          <w:color w:val="auto"/>
        </w:rPr>
      </w:pPr>
    </w:p>
    <w:p>
      <w:pPr>
        <w:ind w:right="259"/>
        <w:spacing w:after="0" w:line="321" w:lineRule="auto"/>
        <w:rPr>
          <w:sz w:val="20"/>
          <w:szCs w:val="20"/>
          <w:color w:val="auto"/>
        </w:rPr>
      </w:pPr>
      <w:r>
        <w:rPr>
          <w:rFonts w:ascii="Arial" w:cs="Arial" w:eastAsia="Arial" w:hAnsi="Arial"/>
          <w:sz w:val="16"/>
          <w:szCs w:val="16"/>
          <w:color w:val="auto"/>
        </w:rPr>
        <w:t>The following table sets forth, as of the Record Date, certain information regarding the beneficial ownership of our common stock by:</w:t>
      </w:r>
    </w:p>
    <w:p>
      <w:pPr>
        <w:spacing w:after="0" w:line="34" w:lineRule="exact"/>
        <w:rPr>
          <w:sz w:val="20"/>
          <w:szCs w:val="20"/>
          <w:color w:val="auto"/>
        </w:rPr>
      </w:pPr>
    </w:p>
    <w:p>
      <w:pPr>
        <w:ind w:left="180" w:hanging="172"/>
        <w:spacing w:after="0"/>
        <w:tabs>
          <w:tab w:leader="none" w:pos="180" w:val="left"/>
        </w:tabs>
        <w:numPr>
          <w:ilvl w:val="0"/>
          <w:numId w:val="56"/>
        </w:numPr>
        <w:rPr>
          <w:rFonts w:ascii="Arial" w:cs="Arial" w:eastAsia="Arial" w:hAnsi="Arial"/>
          <w:sz w:val="16"/>
          <w:szCs w:val="16"/>
          <w:b w:val="1"/>
          <w:bCs w:val="1"/>
          <w:color w:val="6AAA37"/>
        </w:rPr>
      </w:pPr>
      <w:r>
        <w:rPr>
          <w:rFonts w:ascii="Arial" w:cs="Arial" w:eastAsia="Arial" w:hAnsi="Arial"/>
          <w:sz w:val="16"/>
          <w:szCs w:val="16"/>
          <w:color w:val="auto"/>
        </w:rPr>
        <w:t>each person known by us to beneficially own more than 5% of our common stock;</w:t>
      </w:r>
    </w:p>
    <w:p>
      <w:pPr>
        <w:spacing w:after="0" w:line="126" w:lineRule="exact"/>
        <w:rPr>
          <w:rFonts w:ascii="Arial" w:cs="Arial" w:eastAsia="Arial" w:hAnsi="Arial"/>
          <w:sz w:val="16"/>
          <w:szCs w:val="16"/>
          <w:b w:val="1"/>
          <w:bCs w:val="1"/>
          <w:color w:val="6AAA37"/>
        </w:rPr>
      </w:pPr>
    </w:p>
    <w:p>
      <w:pPr>
        <w:ind w:left="180" w:hanging="172"/>
        <w:spacing w:after="0"/>
        <w:tabs>
          <w:tab w:leader="none" w:pos="180" w:val="left"/>
        </w:tabs>
        <w:numPr>
          <w:ilvl w:val="0"/>
          <w:numId w:val="56"/>
        </w:numPr>
        <w:rPr>
          <w:rFonts w:ascii="Arial" w:cs="Arial" w:eastAsia="Arial" w:hAnsi="Arial"/>
          <w:sz w:val="16"/>
          <w:szCs w:val="16"/>
          <w:b w:val="1"/>
          <w:bCs w:val="1"/>
          <w:color w:val="6AAA37"/>
        </w:rPr>
      </w:pPr>
      <w:r>
        <w:rPr>
          <w:rFonts w:ascii="Arial" w:cs="Arial" w:eastAsia="Arial" w:hAnsi="Arial"/>
          <w:sz w:val="16"/>
          <w:szCs w:val="16"/>
          <w:color w:val="auto"/>
        </w:rPr>
        <w:t>each of our NEOs;</w:t>
      </w:r>
    </w:p>
    <w:p>
      <w:pPr>
        <w:spacing w:after="0" w:line="126" w:lineRule="exact"/>
        <w:rPr>
          <w:rFonts w:ascii="Arial" w:cs="Arial" w:eastAsia="Arial" w:hAnsi="Arial"/>
          <w:sz w:val="16"/>
          <w:szCs w:val="16"/>
          <w:b w:val="1"/>
          <w:bCs w:val="1"/>
          <w:color w:val="6AAA37"/>
        </w:rPr>
      </w:pPr>
    </w:p>
    <w:p>
      <w:pPr>
        <w:ind w:left="180" w:hanging="172"/>
        <w:spacing w:after="0"/>
        <w:tabs>
          <w:tab w:leader="none" w:pos="180" w:val="left"/>
        </w:tabs>
        <w:numPr>
          <w:ilvl w:val="0"/>
          <w:numId w:val="56"/>
        </w:numPr>
        <w:rPr>
          <w:rFonts w:ascii="Arial" w:cs="Arial" w:eastAsia="Arial" w:hAnsi="Arial"/>
          <w:sz w:val="16"/>
          <w:szCs w:val="16"/>
          <w:b w:val="1"/>
          <w:bCs w:val="1"/>
          <w:color w:val="6AAA37"/>
        </w:rPr>
      </w:pPr>
      <w:r>
        <w:rPr>
          <w:rFonts w:ascii="Arial" w:cs="Arial" w:eastAsia="Arial" w:hAnsi="Arial"/>
          <w:sz w:val="16"/>
          <w:szCs w:val="16"/>
          <w:color w:val="auto"/>
        </w:rPr>
        <w:t>each member of our Board; and</w:t>
      </w:r>
    </w:p>
    <w:p>
      <w:pPr>
        <w:spacing w:after="0" w:line="126" w:lineRule="exact"/>
        <w:rPr>
          <w:rFonts w:ascii="Arial" w:cs="Arial" w:eastAsia="Arial" w:hAnsi="Arial"/>
          <w:sz w:val="16"/>
          <w:szCs w:val="16"/>
          <w:b w:val="1"/>
          <w:bCs w:val="1"/>
          <w:color w:val="6AAA37"/>
        </w:rPr>
      </w:pPr>
    </w:p>
    <w:p>
      <w:pPr>
        <w:ind w:left="180" w:hanging="172"/>
        <w:spacing w:after="0"/>
        <w:tabs>
          <w:tab w:leader="none" w:pos="180" w:val="left"/>
        </w:tabs>
        <w:numPr>
          <w:ilvl w:val="0"/>
          <w:numId w:val="56"/>
        </w:numPr>
        <w:rPr>
          <w:rFonts w:ascii="Arial" w:cs="Arial" w:eastAsia="Arial" w:hAnsi="Arial"/>
          <w:sz w:val="16"/>
          <w:szCs w:val="16"/>
          <w:b w:val="1"/>
          <w:bCs w:val="1"/>
          <w:color w:val="6AAA37"/>
        </w:rPr>
      </w:pPr>
      <w:r>
        <w:rPr>
          <w:rFonts w:ascii="Arial" w:cs="Arial" w:eastAsia="Arial" w:hAnsi="Arial"/>
          <w:sz w:val="16"/>
          <w:szCs w:val="16"/>
          <w:color w:val="auto"/>
        </w:rPr>
        <w:t>all directors and executive officers as a group.</w:t>
      </w:r>
    </w:p>
    <w:p>
      <w:pPr>
        <w:spacing w:after="0" w:line="181" w:lineRule="exact"/>
        <w:rPr>
          <w:sz w:val="20"/>
          <w:szCs w:val="20"/>
          <w:color w:val="auto"/>
        </w:rPr>
      </w:pPr>
    </w:p>
    <w:p>
      <w:pPr>
        <w:ind w:right="59"/>
        <w:spacing w:after="0" w:line="293" w:lineRule="auto"/>
        <w:rPr>
          <w:sz w:val="20"/>
          <w:szCs w:val="20"/>
          <w:color w:val="auto"/>
        </w:rPr>
      </w:pPr>
      <w:r>
        <w:rPr>
          <w:rFonts w:ascii="Arial" w:cs="Arial" w:eastAsia="Arial" w:hAnsi="Arial"/>
          <w:sz w:val="16"/>
          <w:szCs w:val="16"/>
          <w:color w:val="auto"/>
        </w:rPr>
        <w:t>Beneficial ownership is determined according to the rules of the SEC and generally means that a person has beneficial ownership of a security if he or she possesses sole or shared voting or investment power of that security and includes options that are currently exercisable or exercisable within 60 days as of the record date. Each director, officer or greater than 5% beneficial owner, as the case may be, has furnished us with information with respect to beneficial ownership. Except as otherwise indicated, beneficial owners of common stock listed below, based on the information each of them has given to us, have sole investment and voting power with respect to their shares, except where community property laws may apply.</w:t>
      </w:r>
    </w:p>
    <w:p>
      <w:pPr>
        <w:sectPr>
          <w:pgSz w:w="11900" w:h="16838" w:orient="portrait"/>
          <w:cols w:equalWidth="0" w:num="1">
            <w:col w:w="9059"/>
          </w:cols>
          <w:pgMar w:left="1400" w:top="2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0"/>
        <w:spacing w:after="0"/>
        <w:tabs>
          <w:tab w:leader="none" w:pos="444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13"/>
          <w:szCs w:val="13"/>
          <w:b w:val="1"/>
          <w:bCs w:val="1"/>
          <w:color w:val="00558C"/>
        </w:rPr>
        <w:t>27</w:t>
      </w:r>
      <w:r>
        <w:rPr>
          <w:sz w:val="20"/>
          <w:szCs w:val="20"/>
          <w:color w:val="auto"/>
        </w:rPr>
        <w:tab/>
      </w:r>
      <w:r>
        <w:rPr>
          <w:rFonts w:ascii="Arial" w:cs="Arial" w:eastAsia="Arial" w:hAnsi="Arial"/>
          <w:sz w:val="12"/>
          <w:szCs w:val="12"/>
          <w:color w:val="auto"/>
        </w:rPr>
        <w:t>2025 Proxy Statement</w:t>
      </w:r>
    </w:p>
    <w:p>
      <w:pPr>
        <w:sectPr>
          <w:pgSz w:w="11900" w:h="16838" w:orient="portrait"/>
          <w:cols w:equalWidth="0" w:num="1">
            <w:col w:w="9059"/>
          </w:cols>
          <w:pgMar w:left="1400" w:top="24" w:right="1440" w:bottom="0" w:gutter="0" w:footer="0" w:header="0"/>
          <w:type w:val="continuous"/>
        </w:sectPr>
      </w:pPr>
    </w:p>
    <w:bookmarkStart w:id="34" w:name="page35"/>
    <w:bookmarkEnd w:id="34"/>
    <w:p>
      <w:pPr>
        <w:spacing w:after="0" w:line="6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90201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10375" cy="9020175"/>
                    </a:xfrm>
                    <a:prstGeom prst="rect">
                      <a:avLst/>
                    </a:prstGeom>
                    <a:noFill/>
                  </pic:spPr>
                </pic:pic>
              </a:graphicData>
            </a:graphic>
          </wp:anchor>
        </w:drawing>
      </w:r>
    </w:p>
    <w:p>
      <w:pPr>
        <w:ind w:left="60" w:right="200"/>
        <w:spacing w:after="0" w:line="274" w:lineRule="auto"/>
        <w:rPr>
          <w:sz w:val="20"/>
          <w:szCs w:val="20"/>
          <w:color w:val="auto"/>
        </w:rPr>
      </w:pPr>
      <w:r>
        <w:rPr>
          <w:rFonts w:ascii="Arial" w:cs="Arial" w:eastAsia="Arial" w:hAnsi="Arial"/>
          <w:sz w:val="13"/>
          <w:szCs w:val="13"/>
          <w:b w:val="1"/>
          <w:bCs w:val="1"/>
          <w:color w:val="B2B3B6"/>
        </w:rPr>
        <w:t xml:space="preserve">General Proposal </w:t>
      </w:r>
      <w:r>
        <w:rPr>
          <w:rFonts w:ascii="Arial" w:cs="Arial" w:eastAsia="Arial" w:hAnsi="Arial"/>
          <w:sz w:val="13"/>
          <w:szCs w:val="13"/>
          <w:b w:val="1"/>
          <w:bCs w:val="1"/>
          <w:color w:val="6AAA37"/>
        </w:rPr>
        <w:t>Corporate</w:t>
      </w:r>
      <w:r>
        <w:rPr>
          <w:rFonts w:ascii="Arial" w:cs="Arial" w:eastAsia="Arial" w:hAnsi="Arial"/>
          <w:sz w:val="13"/>
          <w:szCs w:val="13"/>
          <w:b w:val="1"/>
          <w:bCs w:val="1"/>
          <w:color w:val="B2B3B6"/>
        </w:rPr>
        <w:t xml:space="preserve"> Proposal Executive Proposal Proposal Proposal Stockholder Other Information One </w:t>
      </w:r>
      <w:r>
        <w:rPr>
          <w:rFonts w:ascii="Arial" w:cs="Arial" w:eastAsia="Arial" w:hAnsi="Arial"/>
          <w:sz w:val="13"/>
          <w:szCs w:val="13"/>
          <w:b w:val="1"/>
          <w:bCs w:val="1"/>
          <w:color w:val="6AAA37"/>
        </w:rPr>
        <w:t>Governance</w:t>
      </w:r>
      <w:r>
        <w:rPr>
          <w:rFonts w:ascii="Arial" w:cs="Arial" w:eastAsia="Arial" w:hAnsi="Arial"/>
          <w:sz w:val="13"/>
          <w:szCs w:val="13"/>
          <w:b w:val="1"/>
          <w:bCs w:val="1"/>
          <w:color w:val="B2B3B6"/>
        </w:rPr>
        <w:t xml:space="preserve"> Two Compensation Three Four Five Proposals Matters</w:t>
      </w:r>
    </w:p>
    <w:p>
      <w:pPr>
        <w:spacing w:after="0" w:line="200" w:lineRule="exact"/>
        <w:rPr>
          <w:sz w:val="20"/>
          <w:szCs w:val="20"/>
          <w:color w:val="auto"/>
        </w:rPr>
      </w:pPr>
    </w:p>
    <w:p>
      <w:pPr>
        <w:spacing w:after="0" w:line="250" w:lineRule="exact"/>
        <w:rPr>
          <w:sz w:val="20"/>
          <w:szCs w:val="20"/>
          <w:color w:val="auto"/>
        </w:rPr>
      </w:pPr>
    </w:p>
    <w:p>
      <w:pPr>
        <w:ind w:left="6940"/>
        <w:spacing w:after="0"/>
        <w:rPr>
          <w:sz w:val="20"/>
          <w:szCs w:val="20"/>
          <w:color w:val="auto"/>
        </w:rPr>
      </w:pPr>
      <w:r>
        <w:rPr>
          <w:rFonts w:ascii="Arial" w:cs="Arial" w:eastAsia="Arial" w:hAnsi="Arial"/>
          <w:sz w:val="14"/>
          <w:szCs w:val="14"/>
          <w:b w:val="1"/>
          <w:bCs w:val="1"/>
          <w:color w:val="FFFFFF"/>
        </w:rPr>
        <w:t>Beneficial Ownership</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327"/>
        </w:trPr>
        <w:tc>
          <w:tcPr>
            <w:tcW w:w="2080" w:type="dxa"/>
            <w:vAlign w:val="bottom"/>
            <w:vMerge w:val="restart"/>
          </w:tcPr>
          <w:p>
            <w:pPr>
              <w:ind w:left="140"/>
              <w:spacing w:after="0"/>
              <w:rPr>
                <w:sz w:val="20"/>
                <w:szCs w:val="20"/>
                <w:color w:val="auto"/>
              </w:rPr>
            </w:pPr>
            <w:r>
              <w:rPr>
                <w:rFonts w:ascii="Arial" w:cs="Arial" w:eastAsia="Arial" w:hAnsi="Arial"/>
                <w:sz w:val="14"/>
                <w:szCs w:val="14"/>
                <w:b w:val="1"/>
                <w:bCs w:val="1"/>
                <w:color w:val="FFFFFF"/>
              </w:rPr>
              <w:t>Name of beneficial owner</w:t>
            </w:r>
          </w:p>
        </w:tc>
        <w:tc>
          <w:tcPr>
            <w:tcW w:w="4400" w:type="dxa"/>
            <w:vAlign w:val="bottom"/>
          </w:tcPr>
          <w:p>
            <w:pPr>
              <w:jc w:val="right"/>
              <w:ind w:right="4193"/>
              <w:spacing w:after="0"/>
              <w:rPr>
                <w:sz w:val="20"/>
                <w:szCs w:val="20"/>
                <w:color w:val="auto"/>
              </w:rPr>
            </w:pPr>
            <w:r>
              <w:rPr>
                <w:rFonts w:ascii="Arial" w:cs="Arial" w:eastAsia="Arial" w:hAnsi="Arial"/>
                <w:sz w:val="9"/>
                <w:szCs w:val="9"/>
                <w:b w:val="1"/>
                <w:bCs w:val="1"/>
                <w:color w:val="FFFFFF"/>
              </w:rPr>
              <w:t>(1)</w:t>
            </w:r>
          </w:p>
        </w:tc>
        <w:tc>
          <w:tcPr>
            <w:tcW w:w="1360" w:type="dxa"/>
            <w:vAlign w:val="bottom"/>
            <w:vMerge w:val="restart"/>
            <w:shd w:val="clear" w:color="auto" w:fill="00558C"/>
          </w:tcPr>
          <w:p>
            <w:pPr>
              <w:jc w:val="right"/>
              <w:ind w:right="388"/>
              <w:spacing w:after="0"/>
              <w:rPr>
                <w:sz w:val="20"/>
                <w:szCs w:val="20"/>
                <w:color w:val="auto"/>
              </w:rPr>
            </w:pPr>
            <w:r>
              <w:rPr>
                <w:rFonts w:ascii="Arial" w:cs="Arial" w:eastAsia="Arial" w:hAnsi="Arial"/>
                <w:sz w:val="14"/>
                <w:szCs w:val="14"/>
                <w:b w:val="1"/>
                <w:bCs w:val="1"/>
                <w:color w:val="FFFFFF"/>
              </w:rPr>
              <w:t>Shares</w:t>
            </w:r>
          </w:p>
        </w:tc>
        <w:tc>
          <w:tcPr>
            <w:tcW w:w="1180" w:type="dxa"/>
            <w:vAlign w:val="bottom"/>
            <w:vMerge w:val="restart"/>
            <w:shd w:val="clear" w:color="auto" w:fill="00558C"/>
          </w:tcPr>
          <w:p>
            <w:pPr>
              <w:jc w:val="center"/>
              <w:spacing w:after="0"/>
              <w:rPr>
                <w:sz w:val="20"/>
                <w:szCs w:val="20"/>
                <w:color w:val="auto"/>
              </w:rPr>
            </w:pPr>
            <w:r>
              <w:rPr>
                <w:rFonts w:ascii="Arial" w:cs="Arial" w:eastAsia="Arial" w:hAnsi="Arial"/>
                <w:sz w:val="14"/>
                <w:szCs w:val="14"/>
                <w:b w:val="1"/>
                <w:bCs w:val="1"/>
                <w:color w:val="FFFFFF"/>
              </w:rPr>
              <w:t>%</w:t>
            </w:r>
          </w:p>
        </w:tc>
        <w:tc>
          <w:tcPr>
            <w:tcW w:w="60" w:type="dxa"/>
            <w:vAlign w:val="bottom"/>
            <w:shd w:val="clear" w:color="auto" w:fill="00558C"/>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2080" w:type="dxa"/>
            <w:vAlign w:val="bottom"/>
            <w:vMerge w:val="continue"/>
          </w:tcPr>
          <w:p>
            <w:pPr>
              <w:spacing w:after="0"/>
              <w:rPr>
                <w:sz w:val="9"/>
                <w:szCs w:val="9"/>
                <w:color w:val="auto"/>
              </w:rPr>
            </w:pPr>
          </w:p>
        </w:tc>
        <w:tc>
          <w:tcPr>
            <w:tcW w:w="4400" w:type="dxa"/>
            <w:vAlign w:val="bottom"/>
          </w:tcPr>
          <w:p>
            <w:pPr>
              <w:spacing w:after="0"/>
              <w:rPr>
                <w:sz w:val="9"/>
                <w:szCs w:val="9"/>
                <w:color w:val="auto"/>
              </w:rPr>
            </w:pPr>
          </w:p>
        </w:tc>
        <w:tc>
          <w:tcPr>
            <w:tcW w:w="1360" w:type="dxa"/>
            <w:vAlign w:val="bottom"/>
            <w:vMerge w:val="continue"/>
            <w:shd w:val="clear" w:color="auto" w:fill="00558C"/>
          </w:tcPr>
          <w:p>
            <w:pPr>
              <w:spacing w:after="0"/>
              <w:rPr>
                <w:sz w:val="9"/>
                <w:szCs w:val="9"/>
                <w:color w:val="auto"/>
              </w:rPr>
            </w:pPr>
          </w:p>
        </w:tc>
        <w:tc>
          <w:tcPr>
            <w:tcW w:w="1180" w:type="dxa"/>
            <w:vAlign w:val="bottom"/>
            <w:vMerge w:val="continue"/>
            <w:shd w:val="clear" w:color="auto" w:fill="00558C"/>
          </w:tcPr>
          <w:p>
            <w:pPr>
              <w:spacing w:after="0"/>
              <w:rPr>
                <w:sz w:val="9"/>
                <w:szCs w:val="9"/>
                <w:color w:val="auto"/>
              </w:rPr>
            </w:pPr>
          </w:p>
        </w:tc>
        <w:tc>
          <w:tcPr>
            <w:tcW w:w="60" w:type="dxa"/>
            <w:vAlign w:val="bottom"/>
            <w:shd w:val="clear" w:color="auto" w:fill="00558C"/>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6480" w:type="dxa"/>
            <w:vAlign w:val="bottom"/>
            <w:gridSpan w:val="2"/>
          </w:tcPr>
          <w:p>
            <w:pPr>
              <w:spacing w:after="0"/>
              <w:rPr>
                <w:sz w:val="9"/>
                <w:szCs w:val="9"/>
                <w:color w:val="auto"/>
              </w:rPr>
            </w:pPr>
          </w:p>
        </w:tc>
        <w:tc>
          <w:tcPr>
            <w:tcW w:w="1360" w:type="dxa"/>
            <w:vAlign w:val="bottom"/>
            <w:shd w:val="clear" w:color="auto" w:fill="00558C"/>
          </w:tcPr>
          <w:p>
            <w:pPr>
              <w:spacing w:after="0"/>
              <w:rPr>
                <w:sz w:val="9"/>
                <w:szCs w:val="9"/>
                <w:color w:val="auto"/>
              </w:rPr>
            </w:pPr>
          </w:p>
        </w:tc>
        <w:tc>
          <w:tcPr>
            <w:tcW w:w="1180" w:type="dxa"/>
            <w:vAlign w:val="bottom"/>
            <w:shd w:val="clear" w:color="auto" w:fill="00558C"/>
          </w:tcPr>
          <w:p>
            <w:pPr>
              <w:spacing w:after="0"/>
              <w:rPr>
                <w:sz w:val="9"/>
                <w:szCs w:val="9"/>
                <w:color w:val="auto"/>
              </w:rPr>
            </w:pPr>
          </w:p>
        </w:tc>
        <w:tc>
          <w:tcPr>
            <w:tcW w:w="60" w:type="dxa"/>
            <w:vAlign w:val="bottom"/>
            <w:shd w:val="clear" w:color="auto" w:fill="00558C"/>
          </w:tcPr>
          <w:p>
            <w:pPr>
              <w:spacing w:after="0"/>
              <w:rPr>
                <w:sz w:val="9"/>
                <w:szCs w:val="9"/>
                <w:color w:val="auto"/>
              </w:rPr>
            </w:pPr>
          </w:p>
        </w:tc>
        <w:tc>
          <w:tcPr>
            <w:tcW w:w="0" w:type="dxa"/>
            <w:vAlign w:val="bottom"/>
          </w:tcPr>
          <w:p>
            <w:pPr>
              <w:spacing w:after="0"/>
              <w:rPr>
                <w:sz w:val="1"/>
                <w:szCs w:val="1"/>
                <w:color w:val="auto"/>
              </w:rPr>
            </w:pPr>
          </w:p>
        </w:tc>
      </w:tr>
      <w:tr>
        <w:trPr>
          <w:trHeight w:val="349"/>
        </w:trPr>
        <w:tc>
          <w:tcPr>
            <w:tcW w:w="6480" w:type="dxa"/>
            <w:vAlign w:val="bottom"/>
            <w:gridSpan w:val="2"/>
            <w:shd w:val="clear" w:color="auto" w:fill="6AAA37"/>
          </w:tcPr>
          <w:p>
            <w:pPr>
              <w:ind w:left="140"/>
              <w:spacing w:after="0"/>
              <w:rPr>
                <w:sz w:val="20"/>
                <w:szCs w:val="20"/>
                <w:color w:val="auto"/>
              </w:rPr>
            </w:pPr>
            <w:r>
              <w:rPr>
                <w:rFonts w:ascii="Arial" w:cs="Arial" w:eastAsia="Arial" w:hAnsi="Arial"/>
                <w:sz w:val="14"/>
                <w:szCs w:val="14"/>
                <w:b w:val="1"/>
                <w:bCs w:val="1"/>
                <w:color w:val="FFFFFF"/>
              </w:rPr>
              <w:t>Beneficial owners of more than 5%:</w:t>
            </w:r>
          </w:p>
        </w:tc>
        <w:tc>
          <w:tcPr>
            <w:tcW w:w="1360" w:type="dxa"/>
            <w:vAlign w:val="bottom"/>
            <w:shd w:val="clear" w:color="auto" w:fill="6AAA37"/>
          </w:tcPr>
          <w:p>
            <w:pPr>
              <w:spacing w:after="0"/>
              <w:rPr>
                <w:sz w:val="24"/>
                <w:szCs w:val="24"/>
                <w:color w:val="auto"/>
              </w:rPr>
            </w:pPr>
          </w:p>
        </w:tc>
        <w:tc>
          <w:tcPr>
            <w:tcW w:w="1180" w:type="dxa"/>
            <w:vAlign w:val="bottom"/>
            <w:shd w:val="clear" w:color="auto" w:fill="6AAA37"/>
          </w:tcPr>
          <w:p>
            <w:pPr>
              <w:spacing w:after="0"/>
              <w:rPr>
                <w:sz w:val="24"/>
                <w:szCs w:val="24"/>
                <w:color w:val="auto"/>
              </w:rPr>
            </w:pPr>
          </w:p>
        </w:tc>
        <w:tc>
          <w:tcPr>
            <w:tcW w:w="60" w:type="dxa"/>
            <w:vAlign w:val="bottom"/>
            <w:shd w:val="clear" w:color="auto" w:fill="6AAA37"/>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80" w:type="dxa"/>
            <w:vAlign w:val="bottom"/>
            <w:shd w:val="clear" w:color="auto" w:fill="6AAA37"/>
          </w:tcPr>
          <w:p>
            <w:pPr>
              <w:spacing w:after="0"/>
              <w:rPr>
                <w:sz w:val="9"/>
                <w:szCs w:val="9"/>
                <w:color w:val="auto"/>
              </w:rPr>
            </w:pPr>
          </w:p>
        </w:tc>
        <w:tc>
          <w:tcPr>
            <w:tcW w:w="4400" w:type="dxa"/>
            <w:vAlign w:val="bottom"/>
            <w:shd w:val="clear" w:color="auto" w:fill="6AAA37"/>
          </w:tcPr>
          <w:p>
            <w:pPr>
              <w:spacing w:after="0"/>
              <w:rPr>
                <w:sz w:val="9"/>
                <w:szCs w:val="9"/>
                <w:color w:val="auto"/>
              </w:rPr>
            </w:pPr>
          </w:p>
        </w:tc>
        <w:tc>
          <w:tcPr>
            <w:tcW w:w="1360" w:type="dxa"/>
            <w:vAlign w:val="bottom"/>
            <w:shd w:val="clear" w:color="auto" w:fill="6AAA37"/>
          </w:tcPr>
          <w:p>
            <w:pPr>
              <w:spacing w:after="0"/>
              <w:rPr>
                <w:sz w:val="9"/>
                <w:szCs w:val="9"/>
                <w:color w:val="auto"/>
              </w:rPr>
            </w:pPr>
          </w:p>
        </w:tc>
        <w:tc>
          <w:tcPr>
            <w:tcW w:w="1180" w:type="dxa"/>
            <w:vAlign w:val="bottom"/>
            <w:shd w:val="clear" w:color="auto" w:fill="6AAA37"/>
          </w:tcPr>
          <w:p>
            <w:pPr>
              <w:spacing w:after="0"/>
              <w:rPr>
                <w:sz w:val="9"/>
                <w:szCs w:val="9"/>
                <w:color w:val="auto"/>
              </w:rPr>
            </w:pPr>
          </w:p>
        </w:tc>
        <w:tc>
          <w:tcPr>
            <w:tcW w:w="60" w:type="dxa"/>
            <w:vAlign w:val="bottom"/>
            <w:shd w:val="clear" w:color="auto" w:fill="6AAA37"/>
          </w:tcPr>
          <w:p>
            <w:pPr>
              <w:spacing w:after="0"/>
              <w:rPr>
                <w:sz w:val="9"/>
                <w:szCs w:val="9"/>
                <w:color w:val="auto"/>
              </w:rPr>
            </w:pPr>
          </w:p>
        </w:tc>
        <w:tc>
          <w:tcPr>
            <w:tcW w:w="0" w:type="dxa"/>
            <w:vAlign w:val="bottom"/>
          </w:tcPr>
          <w:p>
            <w:pPr>
              <w:spacing w:after="0"/>
              <w:rPr>
                <w:sz w:val="1"/>
                <w:szCs w:val="1"/>
                <w:color w:val="auto"/>
              </w:rPr>
            </w:pPr>
          </w:p>
        </w:tc>
      </w:tr>
      <w:tr>
        <w:trPr>
          <w:trHeight w:val="377"/>
        </w:trPr>
        <w:tc>
          <w:tcPr>
            <w:tcW w:w="2080" w:type="dxa"/>
            <w:vAlign w:val="bottom"/>
            <w:shd w:val="clear" w:color="auto" w:fill="F2F3F2"/>
          </w:tcPr>
          <w:p>
            <w:pPr>
              <w:ind w:left="140"/>
              <w:spacing w:after="0"/>
              <w:rPr>
                <w:sz w:val="20"/>
                <w:szCs w:val="20"/>
                <w:color w:val="auto"/>
              </w:rPr>
            </w:pPr>
            <w:r>
              <w:rPr>
                <w:rFonts w:ascii="Arial" w:cs="Arial" w:eastAsia="Arial" w:hAnsi="Arial"/>
                <w:sz w:val="14"/>
                <w:szCs w:val="14"/>
                <w:b w:val="1"/>
                <w:bCs w:val="1"/>
                <w:color w:val="auto"/>
              </w:rPr>
              <w:t xml:space="preserve">The Vanguard Group, Inc. </w:t>
            </w:r>
            <w:r>
              <w:rPr>
                <w:rFonts w:ascii="Arial" w:cs="Arial" w:eastAsia="Arial" w:hAnsi="Arial"/>
                <w:sz w:val="18"/>
                <w:szCs w:val="18"/>
                <w:b w:val="1"/>
                <w:bCs w:val="1"/>
                <w:color w:val="auto"/>
                <w:vertAlign w:val="superscript"/>
              </w:rPr>
              <w:t>(2)</w:t>
            </w:r>
          </w:p>
        </w:tc>
        <w:tc>
          <w:tcPr>
            <w:tcW w:w="4400" w:type="dxa"/>
            <w:vAlign w:val="bottom"/>
            <w:shd w:val="clear" w:color="auto" w:fill="F2F3F2"/>
          </w:tcPr>
          <w:p>
            <w:pPr>
              <w:spacing w:after="0"/>
              <w:rPr>
                <w:sz w:val="24"/>
                <w:szCs w:val="24"/>
                <w:color w:val="auto"/>
              </w:rPr>
            </w:pPr>
          </w:p>
        </w:tc>
        <w:tc>
          <w:tcPr>
            <w:tcW w:w="1360" w:type="dxa"/>
            <w:vAlign w:val="bottom"/>
            <w:shd w:val="clear" w:color="auto" w:fill="F2F3F2"/>
          </w:tcPr>
          <w:p>
            <w:pPr>
              <w:jc w:val="center"/>
              <w:spacing w:after="0"/>
              <w:rPr>
                <w:sz w:val="20"/>
                <w:szCs w:val="20"/>
                <w:color w:val="auto"/>
              </w:rPr>
            </w:pPr>
            <w:r>
              <w:rPr>
                <w:rFonts w:ascii="Arial" w:cs="Arial" w:eastAsia="Arial" w:hAnsi="Arial"/>
                <w:sz w:val="14"/>
                <w:szCs w:val="14"/>
                <w:color w:val="auto"/>
              </w:rPr>
              <w:t>2,047,974</w:t>
            </w:r>
          </w:p>
        </w:tc>
        <w:tc>
          <w:tcPr>
            <w:tcW w:w="1180" w:type="dxa"/>
            <w:vAlign w:val="bottom"/>
            <w:shd w:val="clear" w:color="auto" w:fill="F2F3F2"/>
          </w:tcPr>
          <w:p>
            <w:pPr>
              <w:jc w:val="center"/>
              <w:spacing w:after="0"/>
              <w:rPr>
                <w:sz w:val="20"/>
                <w:szCs w:val="20"/>
                <w:color w:val="auto"/>
              </w:rPr>
            </w:pPr>
            <w:r>
              <w:rPr>
                <w:rFonts w:ascii="Arial" w:cs="Arial" w:eastAsia="Arial" w:hAnsi="Arial"/>
                <w:sz w:val="14"/>
                <w:szCs w:val="14"/>
                <w:color w:val="auto"/>
              </w:rPr>
              <w:t>10.9</w:t>
            </w:r>
          </w:p>
        </w:tc>
        <w:tc>
          <w:tcPr>
            <w:tcW w:w="60" w:type="dxa"/>
            <w:vAlign w:val="bottom"/>
            <w:shd w:val="clear" w:color="auto" w:fill="F2F3F2"/>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80" w:type="dxa"/>
            <w:vAlign w:val="bottom"/>
            <w:shd w:val="clear" w:color="auto" w:fill="F2F3F2"/>
          </w:tcPr>
          <w:p>
            <w:pPr>
              <w:spacing w:after="0"/>
              <w:rPr>
                <w:sz w:val="5"/>
                <w:szCs w:val="5"/>
                <w:color w:val="auto"/>
              </w:rPr>
            </w:pPr>
          </w:p>
        </w:tc>
        <w:tc>
          <w:tcPr>
            <w:tcW w:w="4400" w:type="dxa"/>
            <w:vAlign w:val="bottom"/>
            <w:shd w:val="clear" w:color="auto" w:fill="F2F3F2"/>
          </w:tcPr>
          <w:p>
            <w:pPr>
              <w:spacing w:after="0"/>
              <w:rPr>
                <w:sz w:val="5"/>
                <w:szCs w:val="5"/>
                <w:color w:val="auto"/>
              </w:rPr>
            </w:pPr>
          </w:p>
        </w:tc>
        <w:tc>
          <w:tcPr>
            <w:tcW w:w="1360" w:type="dxa"/>
            <w:vAlign w:val="bottom"/>
            <w:shd w:val="clear" w:color="auto" w:fill="F2F3F2"/>
          </w:tcPr>
          <w:p>
            <w:pPr>
              <w:spacing w:after="0"/>
              <w:rPr>
                <w:sz w:val="5"/>
                <w:szCs w:val="5"/>
                <w:color w:val="auto"/>
              </w:rPr>
            </w:pPr>
          </w:p>
        </w:tc>
        <w:tc>
          <w:tcPr>
            <w:tcW w:w="1180" w:type="dxa"/>
            <w:vAlign w:val="bottom"/>
            <w:shd w:val="clear" w:color="auto" w:fill="F2F3F2"/>
          </w:tcPr>
          <w:p>
            <w:pPr>
              <w:spacing w:after="0"/>
              <w:rPr>
                <w:sz w:val="5"/>
                <w:szCs w:val="5"/>
                <w:color w:val="auto"/>
              </w:rPr>
            </w:pPr>
          </w:p>
        </w:tc>
        <w:tc>
          <w:tcPr>
            <w:tcW w:w="60" w:type="dxa"/>
            <w:vAlign w:val="bottom"/>
            <w:shd w:val="clear" w:color="auto" w:fill="F2F3F2"/>
          </w:tcPr>
          <w:p>
            <w:pPr>
              <w:spacing w:after="0"/>
              <w:rPr>
                <w:sz w:val="5"/>
                <w:szCs w:val="5"/>
                <w:color w:val="auto"/>
              </w:rPr>
            </w:pPr>
          </w:p>
        </w:tc>
        <w:tc>
          <w:tcPr>
            <w:tcW w:w="0" w:type="dxa"/>
            <w:vAlign w:val="bottom"/>
          </w:tcPr>
          <w:p>
            <w:pPr>
              <w:spacing w:after="0"/>
              <w:rPr>
                <w:sz w:val="1"/>
                <w:szCs w:val="1"/>
                <w:color w:val="auto"/>
              </w:rPr>
            </w:pPr>
          </w:p>
        </w:tc>
      </w:tr>
      <w:tr>
        <w:trPr>
          <w:trHeight w:val="377"/>
        </w:trPr>
        <w:tc>
          <w:tcPr>
            <w:tcW w:w="2080" w:type="dxa"/>
            <w:vAlign w:val="bottom"/>
          </w:tcPr>
          <w:p>
            <w:pPr>
              <w:ind w:left="140"/>
              <w:spacing w:after="0"/>
              <w:rPr>
                <w:sz w:val="20"/>
                <w:szCs w:val="20"/>
                <w:color w:val="auto"/>
              </w:rPr>
            </w:pPr>
            <w:r>
              <w:rPr>
                <w:rFonts w:ascii="Arial" w:cs="Arial" w:eastAsia="Arial" w:hAnsi="Arial"/>
                <w:sz w:val="14"/>
                <w:szCs w:val="14"/>
                <w:b w:val="1"/>
                <w:bCs w:val="1"/>
                <w:color w:val="auto"/>
              </w:rPr>
              <w:t xml:space="preserve">BlackRock, Inc. </w:t>
            </w:r>
            <w:r>
              <w:rPr>
                <w:rFonts w:ascii="Arial" w:cs="Arial" w:eastAsia="Arial" w:hAnsi="Arial"/>
                <w:sz w:val="18"/>
                <w:szCs w:val="18"/>
                <w:b w:val="1"/>
                <w:bCs w:val="1"/>
                <w:color w:val="auto"/>
                <w:vertAlign w:val="superscript"/>
              </w:rPr>
              <w:t>(3)</w:t>
            </w:r>
          </w:p>
        </w:tc>
        <w:tc>
          <w:tcPr>
            <w:tcW w:w="44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rPr>
              <w:t>1,352,664</w:t>
            </w:r>
          </w:p>
        </w:tc>
        <w:tc>
          <w:tcPr>
            <w:tcW w:w="1180" w:type="dxa"/>
            <w:vAlign w:val="bottom"/>
          </w:tcPr>
          <w:p>
            <w:pPr>
              <w:jc w:val="center"/>
              <w:spacing w:after="0"/>
              <w:rPr>
                <w:sz w:val="20"/>
                <w:szCs w:val="20"/>
                <w:color w:val="auto"/>
              </w:rPr>
            </w:pPr>
            <w:r>
              <w:rPr>
                <w:rFonts w:ascii="Arial" w:cs="Arial" w:eastAsia="Arial" w:hAnsi="Arial"/>
                <w:sz w:val="14"/>
                <w:szCs w:val="14"/>
                <w:color w:val="auto"/>
              </w:rPr>
              <w:t>7.6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6480" w:type="dxa"/>
            <w:vAlign w:val="bottom"/>
            <w:gridSpan w:val="2"/>
          </w:tcPr>
          <w:p>
            <w:pPr>
              <w:spacing w:after="0"/>
              <w:rPr>
                <w:sz w:val="5"/>
                <w:szCs w:val="5"/>
                <w:color w:val="auto"/>
              </w:rPr>
            </w:pPr>
          </w:p>
        </w:tc>
        <w:tc>
          <w:tcPr>
            <w:tcW w:w="13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7"/>
        </w:trPr>
        <w:tc>
          <w:tcPr>
            <w:tcW w:w="6480" w:type="dxa"/>
            <w:vAlign w:val="bottom"/>
            <w:gridSpan w:val="2"/>
            <w:shd w:val="clear" w:color="auto" w:fill="F2F3F2"/>
          </w:tcPr>
          <w:p>
            <w:pPr>
              <w:ind w:left="140"/>
              <w:spacing w:after="0"/>
              <w:rPr>
                <w:sz w:val="20"/>
                <w:szCs w:val="20"/>
                <w:color w:val="auto"/>
              </w:rPr>
            </w:pPr>
            <w:r>
              <w:rPr>
                <w:rFonts w:ascii="Arial" w:cs="Arial" w:eastAsia="Arial" w:hAnsi="Arial"/>
                <w:sz w:val="14"/>
                <w:szCs w:val="14"/>
                <w:b w:val="1"/>
                <w:bCs w:val="1"/>
                <w:color w:val="auto"/>
              </w:rPr>
              <w:t xml:space="preserve">Dimensional Fund Advisors LP </w:t>
            </w:r>
            <w:r>
              <w:rPr>
                <w:rFonts w:ascii="Arial" w:cs="Arial" w:eastAsia="Arial" w:hAnsi="Arial"/>
                <w:sz w:val="18"/>
                <w:szCs w:val="18"/>
                <w:b w:val="1"/>
                <w:bCs w:val="1"/>
                <w:color w:val="auto"/>
                <w:vertAlign w:val="superscript"/>
              </w:rPr>
              <w:t>(4)</w:t>
            </w:r>
          </w:p>
        </w:tc>
        <w:tc>
          <w:tcPr>
            <w:tcW w:w="1360" w:type="dxa"/>
            <w:vAlign w:val="bottom"/>
            <w:shd w:val="clear" w:color="auto" w:fill="F2F3F2"/>
          </w:tcPr>
          <w:p>
            <w:pPr>
              <w:jc w:val="center"/>
              <w:spacing w:after="0"/>
              <w:rPr>
                <w:sz w:val="20"/>
                <w:szCs w:val="20"/>
                <w:color w:val="auto"/>
              </w:rPr>
            </w:pPr>
            <w:r>
              <w:rPr>
                <w:rFonts w:ascii="Arial" w:cs="Arial" w:eastAsia="Arial" w:hAnsi="Arial"/>
                <w:sz w:val="14"/>
                <w:szCs w:val="14"/>
                <w:color w:val="auto"/>
              </w:rPr>
              <w:t>942,571</w:t>
            </w:r>
          </w:p>
        </w:tc>
        <w:tc>
          <w:tcPr>
            <w:tcW w:w="1180" w:type="dxa"/>
            <w:vAlign w:val="bottom"/>
            <w:shd w:val="clear" w:color="auto" w:fill="F2F3F2"/>
          </w:tcPr>
          <w:p>
            <w:pPr>
              <w:jc w:val="center"/>
              <w:spacing w:after="0"/>
              <w:rPr>
                <w:sz w:val="20"/>
                <w:szCs w:val="20"/>
                <w:color w:val="auto"/>
              </w:rPr>
            </w:pPr>
            <w:r>
              <w:rPr>
                <w:rFonts w:ascii="Arial" w:cs="Arial" w:eastAsia="Arial" w:hAnsi="Arial"/>
                <w:sz w:val="14"/>
                <w:szCs w:val="14"/>
                <w:color w:val="auto"/>
              </w:rPr>
              <w:t>5.3</w:t>
            </w:r>
          </w:p>
        </w:tc>
        <w:tc>
          <w:tcPr>
            <w:tcW w:w="60" w:type="dxa"/>
            <w:vAlign w:val="bottom"/>
            <w:shd w:val="clear" w:color="auto" w:fill="F2F3F2"/>
          </w:tcPr>
          <w:p>
            <w:pPr>
              <w:spacing w:after="0"/>
              <w:rPr>
                <w:sz w:val="24"/>
                <w:szCs w:val="24"/>
                <w:color w:val="auto"/>
              </w:rPr>
            </w:pPr>
          </w:p>
        </w:tc>
        <w:tc>
          <w:tcPr>
            <w:tcW w:w="0" w:type="dxa"/>
            <w:vAlign w:val="bottom"/>
          </w:tcPr>
          <w:p>
            <w:pPr>
              <w:spacing w:after="0"/>
              <w:rPr>
                <w:sz w:val="1"/>
                <w:szCs w:val="1"/>
                <w:color w:val="auto"/>
              </w:rPr>
            </w:pPr>
          </w:p>
        </w:tc>
      </w:tr>
      <w:tr>
        <w:trPr>
          <w:trHeight w:val="69"/>
        </w:trPr>
        <w:tc>
          <w:tcPr>
            <w:tcW w:w="6480" w:type="dxa"/>
            <w:vAlign w:val="bottom"/>
            <w:gridSpan w:val="2"/>
            <w:shd w:val="clear" w:color="auto" w:fill="F2F3F2"/>
          </w:tcPr>
          <w:p>
            <w:pPr>
              <w:spacing w:after="0"/>
              <w:rPr>
                <w:sz w:val="5"/>
                <w:szCs w:val="5"/>
                <w:color w:val="auto"/>
              </w:rPr>
            </w:pPr>
          </w:p>
        </w:tc>
        <w:tc>
          <w:tcPr>
            <w:tcW w:w="1360" w:type="dxa"/>
            <w:vAlign w:val="bottom"/>
            <w:shd w:val="clear" w:color="auto" w:fill="F2F3F2"/>
          </w:tcPr>
          <w:p>
            <w:pPr>
              <w:spacing w:after="0"/>
              <w:rPr>
                <w:sz w:val="5"/>
                <w:szCs w:val="5"/>
                <w:color w:val="auto"/>
              </w:rPr>
            </w:pPr>
          </w:p>
        </w:tc>
        <w:tc>
          <w:tcPr>
            <w:tcW w:w="1180" w:type="dxa"/>
            <w:vAlign w:val="bottom"/>
            <w:shd w:val="clear" w:color="auto" w:fill="F2F3F2"/>
          </w:tcPr>
          <w:p>
            <w:pPr>
              <w:spacing w:after="0"/>
              <w:rPr>
                <w:sz w:val="5"/>
                <w:szCs w:val="5"/>
                <w:color w:val="auto"/>
              </w:rPr>
            </w:pPr>
          </w:p>
        </w:tc>
        <w:tc>
          <w:tcPr>
            <w:tcW w:w="60" w:type="dxa"/>
            <w:vAlign w:val="bottom"/>
            <w:shd w:val="clear" w:color="auto" w:fill="F2F3F2"/>
          </w:tcPr>
          <w:p>
            <w:pPr>
              <w:spacing w:after="0"/>
              <w:rPr>
                <w:sz w:val="5"/>
                <w:szCs w:val="5"/>
                <w:color w:val="auto"/>
              </w:rPr>
            </w:pPr>
          </w:p>
        </w:tc>
        <w:tc>
          <w:tcPr>
            <w:tcW w:w="0" w:type="dxa"/>
            <w:vAlign w:val="bottom"/>
          </w:tcPr>
          <w:p>
            <w:pPr>
              <w:spacing w:after="0"/>
              <w:rPr>
                <w:sz w:val="1"/>
                <w:szCs w:val="1"/>
                <w:color w:val="auto"/>
              </w:rPr>
            </w:pPr>
          </w:p>
        </w:tc>
      </w:tr>
      <w:tr>
        <w:trPr>
          <w:trHeight w:val="349"/>
        </w:trPr>
        <w:tc>
          <w:tcPr>
            <w:tcW w:w="6480" w:type="dxa"/>
            <w:vAlign w:val="bottom"/>
            <w:gridSpan w:val="2"/>
            <w:shd w:val="clear" w:color="auto" w:fill="6AAA37"/>
          </w:tcPr>
          <w:p>
            <w:pPr>
              <w:ind w:left="140"/>
              <w:spacing w:after="0"/>
              <w:rPr>
                <w:sz w:val="20"/>
                <w:szCs w:val="20"/>
                <w:color w:val="auto"/>
              </w:rPr>
            </w:pPr>
            <w:r>
              <w:rPr>
                <w:rFonts w:ascii="Arial" w:cs="Arial" w:eastAsia="Arial" w:hAnsi="Arial"/>
                <w:sz w:val="14"/>
                <w:szCs w:val="14"/>
                <w:b w:val="1"/>
                <w:bCs w:val="1"/>
                <w:color w:val="FFFFFF"/>
              </w:rPr>
              <w:t>Directors and Executive Officers:</w:t>
            </w:r>
          </w:p>
        </w:tc>
        <w:tc>
          <w:tcPr>
            <w:tcW w:w="1360" w:type="dxa"/>
            <w:vAlign w:val="bottom"/>
            <w:shd w:val="clear" w:color="auto" w:fill="6AAA37"/>
          </w:tcPr>
          <w:p>
            <w:pPr>
              <w:spacing w:after="0"/>
              <w:rPr>
                <w:sz w:val="24"/>
                <w:szCs w:val="24"/>
                <w:color w:val="auto"/>
              </w:rPr>
            </w:pPr>
          </w:p>
        </w:tc>
        <w:tc>
          <w:tcPr>
            <w:tcW w:w="1180" w:type="dxa"/>
            <w:vAlign w:val="bottom"/>
            <w:shd w:val="clear" w:color="auto" w:fill="6AAA37"/>
          </w:tcPr>
          <w:p>
            <w:pPr>
              <w:spacing w:after="0"/>
              <w:rPr>
                <w:sz w:val="24"/>
                <w:szCs w:val="24"/>
                <w:color w:val="auto"/>
              </w:rPr>
            </w:pPr>
          </w:p>
        </w:tc>
        <w:tc>
          <w:tcPr>
            <w:tcW w:w="60" w:type="dxa"/>
            <w:vAlign w:val="bottom"/>
            <w:shd w:val="clear" w:color="auto" w:fill="6AAA37"/>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80" w:type="dxa"/>
            <w:vAlign w:val="bottom"/>
            <w:shd w:val="clear" w:color="auto" w:fill="6AAA37"/>
          </w:tcPr>
          <w:p>
            <w:pPr>
              <w:spacing w:after="0"/>
              <w:rPr>
                <w:sz w:val="9"/>
                <w:szCs w:val="9"/>
                <w:color w:val="auto"/>
              </w:rPr>
            </w:pPr>
          </w:p>
        </w:tc>
        <w:tc>
          <w:tcPr>
            <w:tcW w:w="4400" w:type="dxa"/>
            <w:vAlign w:val="bottom"/>
            <w:shd w:val="clear" w:color="auto" w:fill="6AAA37"/>
          </w:tcPr>
          <w:p>
            <w:pPr>
              <w:spacing w:after="0"/>
              <w:rPr>
                <w:sz w:val="9"/>
                <w:szCs w:val="9"/>
                <w:color w:val="auto"/>
              </w:rPr>
            </w:pPr>
          </w:p>
        </w:tc>
        <w:tc>
          <w:tcPr>
            <w:tcW w:w="1360" w:type="dxa"/>
            <w:vAlign w:val="bottom"/>
            <w:shd w:val="clear" w:color="auto" w:fill="6AAA37"/>
          </w:tcPr>
          <w:p>
            <w:pPr>
              <w:spacing w:after="0"/>
              <w:rPr>
                <w:sz w:val="9"/>
                <w:szCs w:val="9"/>
                <w:color w:val="auto"/>
              </w:rPr>
            </w:pPr>
          </w:p>
        </w:tc>
        <w:tc>
          <w:tcPr>
            <w:tcW w:w="1180" w:type="dxa"/>
            <w:vAlign w:val="bottom"/>
            <w:shd w:val="clear" w:color="auto" w:fill="6AAA37"/>
          </w:tcPr>
          <w:p>
            <w:pPr>
              <w:spacing w:after="0"/>
              <w:rPr>
                <w:sz w:val="9"/>
                <w:szCs w:val="9"/>
                <w:color w:val="auto"/>
              </w:rPr>
            </w:pPr>
          </w:p>
        </w:tc>
        <w:tc>
          <w:tcPr>
            <w:tcW w:w="60" w:type="dxa"/>
            <w:vAlign w:val="bottom"/>
            <w:shd w:val="clear" w:color="auto" w:fill="6AAA37"/>
          </w:tcPr>
          <w:p>
            <w:pPr>
              <w:spacing w:after="0"/>
              <w:rPr>
                <w:sz w:val="9"/>
                <w:szCs w:val="9"/>
                <w:color w:val="auto"/>
              </w:rPr>
            </w:pPr>
          </w:p>
        </w:tc>
        <w:tc>
          <w:tcPr>
            <w:tcW w:w="0" w:type="dxa"/>
            <w:vAlign w:val="bottom"/>
          </w:tcPr>
          <w:p>
            <w:pPr>
              <w:spacing w:after="0"/>
              <w:rPr>
                <w:sz w:val="1"/>
                <w:szCs w:val="1"/>
                <w:color w:val="auto"/>
              </w:rPr>
            </w:pPr>
          </w:p>
        </w:tc>
      </w:tr>
      <w:tr>
        <w:trPr>
          <w:trHeight w:val="377"/>
        </w:trPr>
        <w:tc>
          <w:tcPr>
            <w:tcW w:w="2080" w:type="dxa"/>
            <w:vAlign w:val="bottom"/>
            <w:shd w:val="clear" w:color="auto" w:fill="F2F3F2"/>
          </w:tcPr>
          <w:p>
            <w:pPr>
              <w:ind w:left="140"/>
              <w:spacing w:after="0"/>
              <w:rPr>
                <w:sz w:val="20"/>
                <w:szCs w:val="20"/>
                <w:color w:val="auto"/>
              </w:rPr>
            </w:pPr>
            <w:r>
              <w:rPr>
                <w:rFonts w:ascii="Arial" w:cs="Arial" w:eastAsia="Arial" w:hAnsi="Arial"/>
                <w:sz w:val="14"/>
                <w:szCs w:val="14"/>
                <w:b w:val="1"/>
                <w:bCs w:val="1"/>
                <w:color w:val="00558C"/>
              </w:rPr>
              <w:t>Joy T. Brown</w:t>
            </w:r>
            <w:r>
              <w:rPr>
                <w:rFonts w:ascii="Arial" w:cs="Arial" w:eastAsia="Arial" w:hAnsi="Arial"/>
                <w:sz w:val="18"/>
                <w:szCs w:val="18"/>
                <w:b w:val="1"/>
                <w:bCs w:val="1"/>
                <w:color w:val="00558C"/>
                <w:vertAlign w:val="superscript"/>
              </w:rPr>
              <w:t>(5)</w:t>
            </w:r>
          </w:p>
        </w:tc>
        <w:tc>
          <w:tcPr>
            <w:tcW w:w="4400" w:type="dxa"/>
            <w:vAlign w:val="bottom"/>
            <w:shd w:val="clear" w:color="auto" w:fill="F2F3F2"/>
          </w:tcPr>
          <w:p>
            <w:pPr>
              <w:spacing w:after="0"/>
              <w:rPr>
                <w:sz w:val="24"/>
                <w:szCs w:val="24"/>
                <w:color w:val="auto"/>
              </w:rPr>
            </w:pPr>
          </w:p>
        </w:tc>
        <w:tc>
          <w:tcPr>
            <w:tcW w:w="1360" w:type="dxa"/>
            <w:vAlign w:val="bottom"/>
            <w:shd w:val="clear" w:color="auto" w:fill="F2F3F2"/>
          </w:tcPr>
          <w:p>
            <w:pPr>
              <w:jc w:val="center"/>
              <w:spacing w:after="0"/>
              <w:rPr>
                <w:sz w:val="20"/>
                <w:szCs w:val="20"/>
                <w:color w:val="auto"/>
              </w:rPr>
            </w:pPr>
            <w:r>
              <w:rPr>
                <w:rFonts w:ascii="Arial" w:cs="Arial" w:eastAsia="Arial" w:hAnsi="Arial"/>
                <w:sz w:val="14"/>
                <w:szCs w:val="14"/>
                <w:color w:val="auto"/>
              </w:rPr>
              <w:t>6,104</w:t>
            </w:r>
          </w:p>
        </w:tc>
        <w:tc>
          <w:tcPr>
            <w:tcW w:w="1180" w:type="dxa"/>
            <w:vAlign w:val="bottom"/>
            <w:shd w:val="clear" w:color="auto" w:fill="F2F3F2"/>
          </w:tcPr>
          <w:p>
            <w:pPr>
              <w:jc w:val="center"/>
              <w:spacing w:after="0"/>
              <w:rPr>
                <w:sz w:val="20"/>
                <w:szCs w:val="20"/>
                <w:color w:val="auto"/>
              </w:rPr>
            </w:pPr>
            <w:r>
              <w:rPr>
                <w:rFonts w:ascii="Arial" w:cs="Arial" w:eastAsia="Arial" w:hAnsi="Arial"/>
                <w:sz w:val="14"/>
                <w:szCs w:val="14"/>
                <w:color w:val="auto"/>
              </w:rPr>
              <w:t>*</w:t>
            </w:r>
          </w:p>
        </w:tc>
        <w:tc>
          <w:tcPr>
            <w:tcW w:w="60" w:type="dxa"/>
            <w:vAlign w:val="bottom"/>
            <w:shd w:val="clear" w:color="auto" w:fill="F2F3F2"/>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80" w:type="dxa"/>
            <w:vAlign w:val="bottom"/>
            <w:shd w:val="clear" w:color="auto" w:fill="F2F3F2"/>
          </w:tcPr>
          <w:p>
            <w:pPr>
              <w:spacing w:after="0"/>
              <w:rPr>
                <w:sz w:val="5"/>
                <w:szCs w:val="5"/>
                <w:color w:val="auto"/>
              </w:rPr>
            </w:pPr>
          </w:p>
        </w:tc>
        <w:tc>
          <w:tcPr>
            <w:tcW w:w="4400" w:type="dxa"/>
            <w:vAlign w:val="bottom"/>
            <w:shd w:val="clear" w:color="auto" w:fill="F2F3F2"/>
          </w:tcPr>
          <w:p>
            <w:pPr>
              <w:spacing w:after="0"/>
              <w:rPr>
                <w:sz w:val="5"/>
                <w:szCs w:val="5"/>
                <w:color w:val="auto"/>
              </w:rPr>
            </w:pPr>
          </w:p>
        </w:tc>
        <w:tc>
          <w:tcPr>
            <w:tcW w:w="1360" w:type="dxa"/>
            <w:vAlign w:val="bottom"/>
            <w:shd w:val="clear" w:color="auto" w:fill="F2F3F2"/>
          </w:tcPr>
          <w:p>
            <w:pPr>
              <w:spacing w:after="0"/>
              <w:rPr>
                <w:sz w:val="5"/>
                <w:szCs w:val="5"/>
                <w:color w:val="auto"/>
              </w:rPr>
            </w:pPr>
          </w:p>
        </w:tc>
        <w:tc>
          <w:tcPr>
            <w:tcW w:w="1180" w:type="dxa"/>
            <w:vAlign w:val="bottom"/>
            <w:shd w:val="clear" w:color="auto" w:fill="F2F3F2"/>
          </w:tcPr>
          <w:p>
            <w:pPr>
              <w:spacing w:after="0"/>
              <w:rPr>
                <w:sz w:val="5"/>
                <w:szCs w:val="5"/>
                <w:color w:val="auto"/>
              </w:rPr>
            </w:pPr>
          </w:p>
        </w:tc>
        <w:tc>
          <w:tcPr>
            <w:tcW w:w="60" w:type="dxa"/>
            <w:vAlign w:val="bottom"/>
            <w:shd w:val="clear" w:color="auto" w:fill="F2F3F2"/>
          </w:tcPr>
          <w:p>
            <w:pPr>
              <w:spacing w:after="0"/>
              <w:rPr>
                <w:sz w:val="5"/>
                <w:szCs w:val="5"/>
                <w:color w:val="auto"/>
              </w:rPr>
            </w:pPr>
          </w:p>
        </w:tc>
        <w:tc>
          <w:tcPr>
            <w:tcW w:w="0" w:type="dxa"/>
            <w:vAlign w:val="bottom"/>
          </w:tcPr>
          <w:p>
            <w:pPr>
              <w:spacing w:after="0"/>
              <w:rPr>
                <w:sz w:val="1"/>
                <w:szCs w:val="1"/>
                <w:color w:val="auto"/>
              </w:rPr>
            </w:pPr>
          </w:p>
        </w:tc>
      </w:tr>
      <w:tr>
        <w:trPr>
          <w:trHeight w:val="377"/>
        </w:trPr>
        <w:tc>
          <w:tcPr>
            <w:tcW w:w="2080" w:type="dxa"/>
            <w:vAlign w:val="bottom"/>
          </w:tcPr>
          <w:p>
            <w:pPr>
              <w:ind w:left="140"/>
              <w:spacing w:after="0"/>
              <w:rPr>
                <w:sz w:val="20"/>
                <w:szCs w:val="20"/>
                <w:color w:val="auto"/>
              </w:rPr>
            </w:pPr>
            <w:r>
              <w:rPr>
                <w:rFonts w:ascii="Arial" w:cs="Arial" w:eastAsia="Arial" w:hAnsi="Arial"/>
                <w:sz w:val="14"/>
                <w:szCs w:val="14"/>
                <w:b w:val="1"/>
                <w:bCs w:val="1"/>
                <w:color w:val="00558C"/>
              </w:rPr>
              <w:t xml:space="preserve">J. Ronald Dail </w:t>
            </w:r>
            <w:r>
              <w:rPr>
                <w:rFonts w:ascii="Arial" w:cs="Arial" w:eastAsia="Arial" w:hAnsi="Arial"/>
                <w:sz w:val="18"/>
                <w:szCs w:val="18"/>
                <w:b w:val="1"/>
                <w:bCs w:val="1"/>
                <w:color w:val="00558C"/>
                <w:vertAlign w:val="superscript"/>
              </w:rPr>
              <w:t>(6)</w:t>
            </w:r>
          </w:p>
        </w:tc>
        <w:tc>
          <w:tcPr>
            <w:tcW w:w="44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rPr>
              <w:t>37,570</w:t>
            </w:r>
          </w:p>
        </w:tc>
        <w:tc>
          <w:tcPr>
            <w:tcW w:w="1180" w:type="dxa"/>
            <w:vAlign w:val="bottom"/>
          </w:tcPr>
          <w:p>
            <w:pPr>
              <w:jc w:val="center"/>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9"/>
        </w:trPr>
        <w:tc>
          <w:tcPr>
            <w:tcW w:w="2080" w:type="dxa"/>
            <w:vAlign w:val="bottom"/>
          </w:tcPr>
          <w:p>
            <w:pPr>
              <w:spacing w:after="0"/>
              <w:rPr>
                <w:sz w:val="5"/>
                <w:szCs w:val="5"/>
                <w:color w:val="auto"/>
              </w:rPr>
            </w:pPr>
          </w:p>
        </w:tc>
        <w:tc>
          <w:tcPr>
            <w:tcW w:w="440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7"/>
        </w:trPr>
        <w:tc>
          <w:tcPr>
            <w:tcW w:w="2080" w:type="dxa"/>
            <w:vAlign w:val="bottom"/>
            <w:shd w:val="clear" w:color="auto" w:fill="F2F3F2"/>
          </w:tcPr>
          <w:p>
            <w:pPr>
              <w:ind w:left="140"/>
              <w:spacing w:after="0"/>
              <w:rPr>
                <w:sz w:val="20"/>
                <w:szCs w:val="20"/>
                <w:color w:val="auto"/>
              </w:rPr>
            </w:pPr>
            <w:r>
              <w:rPr>
                <w:rFonts w:ascii="Arial" w:cs="Arial" w:eastAsia="Arial" w:hAnsi="Arial"/>
                <w:sz w:val="14"/>
                <w:szCs w:val="14"/>
                <w:b w:val="1"/>
                <w:bCs w:val="1"/>
                <w:color w:val="00558C"/>
              </w:rPr>
              <w:t xml:space="preserve">C. Mark Hussey </w:t>
            </w:r>
            <w:r>
              <w:rPr>
                <w:rFonts w:ascii="Arial" w:cs="Arial" w:eastAsia="Arial" w:hAnsi="Arial"/>
                <w:sz w:val="18"/>
                <w:szCs w:val="18"/>
                <w:b w:val="1"/>
                <w:bCs w:val="1"/>
                <w:color w:val="00558C"/>
                <w:vertAlign w:val="superscript"/>
              </w:rPr>
              <w:t>(7)</w:t>
            </w:r>
          </w:p>
        </w:tc>
        <w:tc>
          <w:tcPr>
            <w:tcW w:w="4400" w:type="dxa"/>
            <w:vAlign w:val="bottom"/>
            <w:shd w:val="clear" w:color="auto" w:fill="F2F3F2"/>
          </w:tcPr>
          <w:p>
            <w:pPr>
              <w:spacing w:after="0"/>
              <w:rPr>
                <w:sz w:val="24"/>
                <w:szCs w:val="24"/>
                <w:color w:val="auto"/>
              </w:rPr>
            </w:pPr>
          </w:p>
        </w:tc>
        <w:tc>
          <w:tcPr>
            <w:tcW w:w="1360" w:type="dxa"/>
            <w:vAlign w:val="bottom"/>
            <w:shd w:val="clear" w:color="auto" w:fill="F2F3F2"/>
          </w:tcPr>
          <w:p>
            <w:pPr>
              <w:jc w:val="center"/>
              <w:spacing w:after="0"/>
              <w:rPr>
                <w:sz w:val="20"/>
                <w:szCs w:val="20"/>
                <w:color w:val="auto"/>
              </w:rPr>
            </w:pPr>
            <w:r>
              <w:rPr>
                <w:rFonts w:ascii="Arial" w:cs="Arial" w:eastAsia="Arial" w:hAnsi="Arial"/>
                <w:sz w:val="14"/>
                <w:szCs w:val="14"/>
                <w:color w:val="auto"/>
              </w:rPr>
              <w:t>62,320</w:t>
            </w:r>
          </w:p>
        </w:tc>
        <w:tc>
          <w:tcPr>
            <w:tcW w:w="1180" w:type="dxa"/>
            <w:vAlign w:val="bottom"/>
            <w:shd w:val="clear" w:color="auto" w:fill="F2F3F2"/>
          </w:tcPr>
          <w:p>
            <w:pPr>
              <w:jc w:val="center"/>
              <w:spacing w:after="0"/>
              <w:rPr>
                <w:sz w:val="20"/>
                <w:szCs w:val="20"/>
                <w:color w:val="auto"/>
              </w:rPr>
            </w:pPr>
            <w:r>
              <w:rPr>
                <w:rFonts w:ascii="Arial" w:cs="Arial" w:eastAsia="Arial" w:hAnsi="Arial"/>
                <w:sz w:val="14"/>
                <w:szCs w:val="14"/>
                <w:color w:val="auto"/>
              </w:rPr>
              <w:t>*</w:t>
            </w:r>
          </w:p>
        </w:tc>
        <w:tc>
          <w:tcPr>
            <w:tcW w:w="60" w:type="dxa"/>
            <w:vAlign w:val="bottom"/>
            <w:shd w:val="clear" w:color="auto" w:fill="F2F3F2"/>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80" w:type="dxa"/>
            <w:vAlign w:val="bottom"/>
            <w:shd w:val="clear" w:color="auto" w:fill="F2F3F2"/>
          </w:tcPr>
          <w:p>
            <w:pPr>
              <w:spacing w:after="0"/>
              <w:rPr>
                <w:sz w:val="5"/>
                <w:szCs w:val="5"/>
                <w:color w:val="auto"/>
              </w:rPr>
            </w:pPr>
          </w:p>
        </w:tc>
        <w:tc>
          <w:tcPr>
            <w:tcW w:w="4400" w:type="dxa"/>
            <w:vAlign w:val="bottom"/>
            <w:shd w:val="clear" w:color="auto" w:fill="F2F3F2"/>
          </w:tcPr>
          <w:p>
            <w:pPr>
              <w:spacing w:after="0"/>
              <w:rPr>
                <w:sz w:val="5"/>
                <w:szCs w:val="5"/>
                <w:color w:val="auto"/>
              </w:rPr>
            </w:pPr>
          </w:p>
        </w:tc>
        <w:tc>
          <w:tcPr>
            <w:tcW w:w="1360" w:type="dxa"/>
            <w:vAlign w:val="bottom"/>
            <w:shd w:val="clear" w:color="auto" w:fill="F2F3F2"/>
          </w:tcPr>
          <w:p>
            <w:pPr>
              <w:spacing w:after="0"/>
              <w:rPr>
                <w:sz w:val="5"/>
                <w:szCs w:val="5"/>
                <w:color w:val="auto"/>
              </w:rPr>
            </w:pPr>
          </w:p>
        </w:tc>
        <w:tc>
          <w:tcPr>
            <w:tcW w:w="1180" w:type="dxa"/>
            <w:vAlign w:val="bottom"/>
            <w:shd w:val="clear" w:color="auto" w:fill="F2F3F2"/>
          </w:tcPr>
          <w:p>
            <w:pPr>
              <w:spacing w:after="0"/>
              <w:rPr>
                <w:sz w:val="5"/>
                <w:szCs w:val="5"/>
                <w:color w:val="auto"/>
              </w:rPr>
            </w:pPr>
          </w:p>
        </w:tc>
        <w:tc>
          <w:tcPr>
            <w:tcW w:w="60" w:type="dxa"/>
            <w:vAlign w:val="bottom"/>
            <w:shd w:val="clear" w:color="auto" w:fill="F2F3F2"/>
          </w:tcPr>
          <w:p>
            <w:pPr>
              <w:spacing w:after="0"/>
              <w:rPr>
                <w:sz w:val="5"/>
                <w:szCs w:val="5"/>
                <w:color w:val="auto"/>
              </w:rPr>
            </w:pPr>
          </w:p>
        </w:tc>
        <w:tc>
          <w:tcPr>
            <w:tcW w:w="0" w:type="dxa"/>
            <w:vAlign w:val="bottom"/>
          </w:tcPr>
          <w:p>
            <w:pPr>
              <w:spacing w:after="0"/>
              <w:rPr>
                <w:sz w:val="1"/>
                <w:szCs w:val="1"/>
                <w:color w:val="auto"/>
              </w:rPr>
            </w:pPr>
          </w:p>
        </w:tc>
      </w:tr>
      <w:tr>
        <w:trPr>
          <w:trHeight w:val="377"/>
        </w:trPr>
        <w:tc>
          <w:tcPr>
            <w:tcW w:w="2080" w:type="dxa"/>
            <w:vAlign w:val="bottom"/>
          </w:tcPr>
          <w:p>
            <w:pPr>
              <w:ind w:left="140"/>
              <w:spacing w:after="0"/>
              <w:rPr>
                <w:sz w:val="20"/>
                <w:szCs w:val="20"/>
                <w:color w:val="auto"/>
              </w:rPr>
            </w:pPr>
            <w:r>
              <w:rPr>
                <w:rFonts w:ascii="Arial" w:cs="Arial" w:eastAsia="Arial" w:hAnsi="Arial"/>
                <w:sz w:val="14"/>
                <w:szCs w:val="14"/>
                <w:b w:val="1"/>
                <w:bCs w:val="1"/>
                <w:color w:val="00558C"/>
              </w:rPr>
              <w:t xml:space="preserve">John D. Kelly </w:t>
            </w:r>
            <w:r>
              <w:rPr>
                <w:rFonts w:ascii="Arial" w:cs="Arial" w:eastAsia="Arial" w:hAnsi="Arial"/>
                <w:sz w:val="18"/>
                <w:szCs w:val="18"/>
                <w:b w:val="1"/>
                <w:bCs w:val="1"/>
                <w:color w:val="00558C"/>
                <w:vertAlign w:val="superscript"/>
              </w:rPr>
              <w:t>(8)</w:t>
            </w:r>
          </w:p>
        </w:tc>
        <w:tc>
          <w:tcPr>
            <w:tcW w:w="4400" w:type="dxa"/>
            <w:vAlign w:val="bottom"/>
          </w:tcPr>
          <w:p>
            <w:pPr>
              <w:spacing w:after="0"/>
              <w:rPr>
                <w:sz w:val="24"/>
                <w:szCs w:val="24"/>
                <w:color w:val="auto"/>
              </w:rPr>
            </w:pPr>
          </w:p>
        </w:tc>
        <w:tc>
          <w:tcPr>
            <w:tcW w:w="1360" w:type="dxa"/>
            <w:vAlign w:val="bottom"/>
          </w:tcPr>
          <w:p>
            <w:pPr>
              <w:jc w:val="right"/>
              <w:ind w:right="368"/>
              <w:spacing w:after="0"/>
              <w:rPr>
                <w:sz w:val="20"/>
                <w:szCs w:val="20"/>
                <w:color w:val="auto"/>
              </w:rPr>
            </w:pPr>
            <w:r>
              <w:rPr>
                <w:rFonts w:ascii="Arial" w:cs="Arial" w:eastAsia="Arial" w:hAnsi="Arial"/>
                <w:sz w:val="14"/>
                <w:szCs w:val="14"/>
                <w:color w:val="auto"/>
              </w:rPr>
              <w:t>63,502</w:t>
            </w:r>
          </w:p>
        </w:tc>
        <w:tc>
          <w:tcPr>
            <w:tcW w:w="1180" w:type="dxa"/>
            <w:vAlign w:val="bottom"/>
          </w:tcPr>
          <w:p>
            <w:pPr>
              <w:jc w:val="center"/>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80" w:type="dxa"/>
            <w:vAlign w:val="bottom"/>
          </w:tcPr>
          <w:p>
            <w:pPr>
              <w:spacing w:after="0"/>
              <w:rPr>
                <w:sz w:val="5"/>
                <w:szCs w:val="5"/>
                <w:color w:val="auto"/>
              </w:rPr>
            </w:pPr>
          </w:p>
        </w:tc>
        <w:tc>
          <w:tcPr>
            <w:tcW w:w="440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7"/>
        </w:trPr>
        <w:tc>
          <w:tcPr>
            <w:tcW w:w="2080" w:type="dxa"/>
            <w:vAlign w:val="bottom"/>
            <w:shd w:val="clear" w:color="auto" w:fill="F2F3F2"/>
          </w:tcPr>
          <w:p>
            <w:pPr>
              <w:ind w:left="140"/>
              <w:spacing w:after="0"/>
              <w:rPr>
                <w:sz w:val="20"/>
                <w:szCs w:val="20"/>
                <w:color w:val="auto"/>
              </w:rPr>
            </w:pPr>
            <w:r>
              <w:rPr>
                <w:rFonts w:ascii="Arial" w:cs="Arial" w:eastAsia="Arial" w:hAnsi="Arial"/>
                <w:sz w:val="14"/>
                <w:szCs w:val="14"/>
                <w:b w:val="1"/>
                <w:bCs w:val="1"/>
                <w:color w:val="00558C"/>
              </w:rPr>
              <w:t xml:space="preserve">H. Eugene Lockhart </w:t>
            </w:r>
            <w:r>
              <w:rPr>
                <w:rFonts w:ascii="Arial" w:cs="Arial" w:eastAsia="Arial" w:hAnsi="Arial"/>
                <w:sz w:val="18"/>
                <w:szCs w:val="18"/>
                <w:b w:val="1"/>
                <w:bCs w:val="1"/>
                <w:color w:val="00558C"/>
                <w:vertAlign w:val="superscript"/>
              </w:rPr>
              <w:t>(9)</w:t>
            </w:r>
          </w:p>
        </w:tc>
        <w:tc>
          <w:tcPr>
            <w:tcW w:w="4400" w:type="dxa"/>
            <w:vAlign w:val="bottom"/>
            <w:shd w:val="clear" w:color="auto" w:fill="F2F3F2"/>
          </w:tcPr>
          <w:p>
            <w:pPr>
              <w:spacing w:after="0"/>
              <w:rPr>
                <w:sz w:val="24"/>
                <w:szCs w:val="24"/>
                <w:color w:val="auto"/>
              </w:rPr>
            </w:pPr>
          </w:p>
        </w:tc>
        <w:tc>
          <w:tcPr>
            <w:tcW w:w="1360" w:type="dxa"/>
            <w:vAlign w:val="bottom"/>
            <w:shd w:val="clear" w:color="auto" w:fill="F2F3F2"/>
          </w:tcPr>
          <w:p>
            <w:pPr>
              <w:jc w:val="center"/>
              <w:spacing w:after="0"/>
              <w:rPr>
                <w:sz w:val="20"/>
                <w:szCs w:val="20"/>
                <w:color w:val="auto"/>
              </w:rPr>
            </w:pPr>
            <w:r>
              <w:rPr>
                <w:rFonts w:ascii="Arial" w:cs="Arial" w:eastAsia="Arial" w:hAnsi="Arial"/>
                <w:sz w:val="14"/>
                <w:szCs w:val="14"/>
                <w:color w:val="auto"/>
              </w:rPr>
              <w:t>9,117</w:t>
            </w:r>
          </w:p>
        </w:tc>
        <w:tc>
          <w:tcPr>
            <w:tcW w:w="1180" w:type="dxa"/>
            <w:vAlign w:val="bottom"/>
            <w:shd w:val="clear" w:color="auto" w:fill="F2F3F2"/>
          </w:tcPr>
          <w:p>
            <w:pPr>
              <w:jc w:val="center"/>
              <w:spacing w:after="0"/>
              <w:rPr>
                <w:sz w:val="20"/>
                <w:szCs w:val="20"/>
                <w:color w:val="auto"/>
              </w:rPr>
            </w:pPr>
            <w:r>
              <w:rPr>
                <w:rFonts w:ascii="Arial" w:cs="Arial" w:eastAsia="Arial" w:hAnsi="Arial"/>
                <w:sz w:val="14"/>
                <w:szCs w:val="14"/>
                <w:color w:val="auto"/>
              </w:rPr>
              <w:t>*</w:t>
            </w:r>
          </w:p>
        </w:tc>
        <w:tc>
          <w:tcPr>
            <w:tcW w:w="60" w:type="dxa"/>
            <w:vAlign w:val="bottom"/>
            <w:shd w:val="clear" w:color="auto" w:fill="F2F3F2"/>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80" w:type="dxa"/>
            <w:vAlign w:val="bottom"/>
            <w:shd w:val="clear" w:color="auto" w:fill="F2F3F2"/>
          </w:tcPr>
          <w:p>
            <w:pPr>
              <w:spacing w:after="0"/>
              <w:rPr>
                <w:sz w:val="5"/>
                <w:szCs w:val="5"/>
                <w:color w:val="auto"/>
              </w:rPr>
            </w:pPr>
          </w:p>
        </w:tc>
        <w:tc>
          <w:tcPr>
            <w:tcW w:w="4400" w:type="dxa"/>
            <w:vAlign w:val="bottom"/>
            <w:shd w:val="clear" w:color="auto" w:fill="F2F3F2"/>
          </w:tcPr>
          <w:p>
            <w:pPr>
              <w:spacing w:after="0"/>
              <w:rPr>
                <w:sz w:val="5"/>
                <w:szCs w:val="5"/>
                <w:color w:val="auto"/>
              </w:rPr>
            </w:pPr>
          </w:p>
        </w:tc>
        <w:tc>
          <w:tcPr>
            <w:tcW w:w="1360" w:type="dxa"/>
            <w:vAlign w:val="bottom"/>
            <w:shd w:val="clear" w:color="auto" w:fill="F2F3F2"/>
          </w:tcPr>
          <w:p>
            <w:pPr>
              <w:spacing w:after="0"/>
              <w:rPr>
                <w:sz w:val="5"/>
                <w:szCs w:val="5"/>
                <w:color w:val="auto"/>
              </w:rPr>
            </w:pPr>
          </w:p>
        </w:tc>
        <w:tc>
          <w:tcPr>
            <w:tcW w:w="1180" w:type="dxa"/>
            <w:vAlign w:val="bottom"/>
            <w:shd w:val="clear" w:color="auto" w:fill="F2F3F2"/>
          </w:tcPr>
          <w:p>
            <w:pPr>
              <w:spacing w:after="0"/>
              <w:rPr>
                <w:sz w:val="5"/>
                <w:szCs w:val="5"/>
                <w:color w:val="auto"/>
              </w:rPr>
            </w:pPr>
          </w:p>
        </w:tc>
        <w:tc>
          <w:tcPr>
            <w:tcW w:w="60" w:type="dxa"/>
            <w:vAlign w:val="bottom"/>
            <w:shd w:val="clear" w:color="auto" w:fill="F2F3F2"/>
          </w:tcPr>
          <w:p>
            <w:pPr>
              <w:spacing w:after="0"/>
              <w:rPr>
                <w:sz w:val="5"/>
                <w:szCs w:val="5"/>
                <w:color w:val="auto"/>
              </w:rPr>
            </w:pPr>
          </w:p>
        </w:tc>
        <w:tc>
          <w:tcPr>
            <w:tcW w:w="0" w:type="dxa"/>
            <w:vAlign w:val="bottom"/>
          </w:tcPr>
          <w:p>
            <w:pPr>
              <w:spacing w:after="0"/>
              <w:rPr>
                <w:sz w:val="1"/>
                <w:szCs w:val="1"/>
                <w:color w:val="auto"/>
              </w:rPr>
            </w:pPr>
          </w:p>
        </w:tc>
      </w:tr>
      <w:tr>
        <w:trPr>
          <w:trHeight w:val="377"/>
        </w:trPr>
        <w:tc>
          <w:tcPr>
            <w:tcW w:w="2080" w:type="dxa"/>
            <w:vAlign w:val="bottom"/>
          </w:tcPr>
          <w:p>
            <w:pPr>
              <w:ind w:left="140"/>
              <w:spacing w:after="0"/>
              <w:rPr>
                <w:sz w:val="20"/>
                <w:szCs w:val="20"/>
                <w:color w:val="auto"/>
              </w:rPr>
            </w:pPr>
            <w:r>
              <w:rPr>
                <w:rFonts w:ascii="Arial" w:cs="Arial" w:eastAsia="Arial" w:hAnsi="Arial"/>
                <w:sz w:val="14"/>
                <w:szCs w:val="14"/>
                <w:b w:val="1"/>
                <w:bCs w:val="1"/>
                <w:color w:val="00558C"/>
              </w:rPr>
              <w:t xml:space="preserve">Peter K. Markell </w:t>
            </w:r>
            <w:r>
              <w:rPr>
                <w:rFonts w:ascii="Arial" w:cs="Arial" w:eastAsia="Arial" w:hAnsi="Arial"/>
                <w:sz w:val="18"/>
                <w:szCs w:val="18"/>
                <w:b w:val="1"/>
                <w:bCs w:val="1"/>
                <w:color w:val="00558C"/>
                <w:vertAlign w:val="superscript"/>
              </w:rPr>
              <w:t>(10)</w:t>
            </w:r>
          </w:p>
        </w:tc>
        <w:tc>
          <w:tcPr>
            <w:tcW w:w="44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rPr>
              <w:t>9,562</w:t>
            </w:r>
          </w:p>
        </w:tc>
        <w:tc>
          <w:tcPr>
            <w:tcW w:w="1180" w:type="dxa"/>
            <w:vAlign w:val="bottom"/>
          </w:tcPr>
          <w:p>
            <w:pPr>
              <w:jc w:val="center"/>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80" w:type="dxa"/>
            <w:vAlign w:val="bottom"/>
          </w:tcPr>
          <w:p>
            <w:pPr>
              <w:spacing w:after="0"/>
              <w:rPr>
                <w:sz w:val="5"/>
                <w:szCs w:val="5"/>
                <w:color w:val="auto"/>
              </w:rPr>
            </w:pPr>
          </w:p>
        </w:tc>
        <w:tc>
          <w:tcPr>
            <w:tcW w:w="440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7"/>
        </w:trPr>
        <w:tc>
          <w:tcPr>
            <w:tcW w:w="2080" w:type="dxa"/>
            <w:vAlign w:val="bottom"/>
            <w:shd w:val="clear" w:color="auto" w:fill="F2F3F2"/>
          </w:tcPr>
          <w:p>
            <w:pPr>
              <w:ind w:left="140"/>
              <w:spacing w:after="0"/>
              <w:rPr>
                <w:sz w:val="20"/>
                <w:szCs w:val="20"/>
                <w:color w:val="auto"/>
              </w:rPr>
            </w:pPr>
            <w:r>
              <w:rPr>
                <w:rFonts w:ascii="Arial" w:cs="Arial" w:eastAsia="Arial" w:hAnsi="Arial"/>
                <w:sz w:val="14"/>
                <w:szCs w:val="14"/>
                <w:b w:val="1"/>
                <w:bCs w:val="1"/>
                <w:color w:val="00558C"/>
              </w:rPr>
              <w:t xml:space="preserve">John McCartney </w:t>
            </w:r>
            <w:r>
              <w:rPr>
                <w:rFonts w:ascii="Arial" w:cs="Arial" w:eastAsia="Arial" w:hAnsi="Arial"/>
                <w:sz w:val="18"/>
                <w:szCs w:val="18"/>
                <w:b w:val="1"/>
                <w:bCs w:val="1"/>
                <w:color w:val="00558C"/>
                <w:vertAlign w:val="superscript"/>
              </w:rPr>
              <w:t>(11)</w:t>
            </w:r>
          </w:p>
        </w:tc>
        <w:tc>
          <w:tcPr>
            <w:tcW w:w="4400" w:type="dxa"/>
            <w:vAlign w:val="bottom"/>
            <w:shd w:val="clear" w:color="auto" w:fill="F2F3F2"/>
          </w:tcPr>
          <w:p>
            <w:pPr>
              <w:spacing w:after="0"/>
              <w:rPr>
                <w:sz w:val="24"/>
                <w:szCs w:val="24"/>
                <w:color w:val="auto"/>
              </w:rPr>
            </w:pPr>
          </w:p>
        </w:tc>
        <w:tc>
          <w:tcPr>
            <w:tcW w:w="1360" w:type="dxa"/>
            <w:vAlign w:val="bottom"/>
            <w:shd w:val="clear" w:color="auto" w:fill="F2F3F2"/>
          </w:tcPr>
          <w:p>
            <w:pPr>
              <w:jc w:val="center"/>
              <w:spacing w:after="0"/>
              <w:rPr>
                <w:sz w:val="20"/>
                <w:szCs w:val="20"/>
                <w:color w:val="auto"/>
              </w:rPr>
            </w:pPr>
            <w:r>
              <w:rPr>
                <w:rFonts w:ascii="Arial" w:cs="Arial" w:eastAsia="Arial" w:hAnsi="Arial"/>
                <w:sz w:val="14"/>
                <w:szCs w:val="14"/>
                <w:color w:val="auto"/>
              </w:rPr>
              <w:t>53,675</w:t>
            </w:r>
          </w:p>
        </w:tc>
        <w:tc>
          <w:tcPr>
            <w:tcW w:w="1180" w:type="dxa"/>
            <w:vAlign w:val="bottom"/>
            <w:shd w:val="clear" w:color="auto" w:fill="F2F3F2"/>
          </w:tcPr>
          <w:p>
            <w:pPr>
              <w:jc w:val="center"/>
              <w:spacing w:after="0"/>
              <w:rPr>
                <w:sz w:val="20"/>
                <w:szCs w:val="20"/>
                <w:color w:val="auto"/>
              </w:rPr>
            </w:pPr>
            <w:r>
              <w:rPr>
                <w:rFonts w:ascii="Arial" w:cs="Arial" w:eastAsia="Arial" w:hAnsi="Arial"/>
                <w:sz w:val="14"/>
                <w:szCs w:val="14"/>
                <w:color w:val="auto"/>
              </w:rPr>
              <w:t>*</w:t>
            </w:r>
          </w:p>
        </w:tc>
        <w:tc>
          <w:tcPr>
            <w:tcW w:w="60" w:type="dxa"/>
            <w:vAlign w:val="bottom"/>
            <w:shd w:val="clear" w:color="auto" w:fill="F2F3F2"/>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80" w:type="dxa"/>
            <w:vAlign w:val="bottom"/>
            <w:shd w:val="clear" w:color="auto" w:fill="F2F3F2"/>
          </w:tcPr>
          <w:p>
            <w:pPr>
              <w:spacing w:after="0"/>
              <w:rPr>
                <w:sz w:val="5"/>
                <w:szCs w:val="5"/>
                <w:color w:val="auto"/>
              </w:rPr>
            </w:pPr>
          </w:p>
        </w:tc>
        <w:tc>
          <w:tcPr>
            <w:tcW w:w="4400" w:type="dxa"/>
            <w:vAlign w:val="bottom"/>
            <w:shd w:val="clear" w:color="auto" w:fill="F2F3F2"/>
          </w:tcPr>
          <w:p>
            <w:pPr>
              <w:spacing w:after="0"/>
              <w:rPr>
                <w:sz w:val="5"/>
                <w:szCs w:val="5"/>
                <w:color w:val="auto"/>
              </w:rPr>
            </w:pPr>
          </w:p>
        </w:tc>
        <w:tc>
          <w:tcPr>
            <w:tcW w:w="1360" w:type="dxa"/>
            <w:vAlign w:val="bottom"/>
            <w:shd w:val="clear" w:color="auto" w:fill="F2F3F2"/>
          </w:tcPr>
          <w:p>
            <w:pPr>
              <w:spacing w:after="0"/>
              <w:rPr>
                <w:sz w:val="5"/>
                <w:szCs w:val="5"/>
                <w:color w:val="auto"/>
              </w:rPr>
            </w:pPr>
          </w:p>
        </w:tc>
        <w:tc>
          <w:tcPr>
            <w:tcW w:w="1180" w:type="dxa"/>
            <w:vAlign w:val="bottom"/>
            <w:shd w:val="clear" w:color="auto" w:fill="F2F3F2"/>
          </w:tcPr>
          <w:p>
            <w:pPr>
              <w:spacing w:after="0"/>
              <w:rPr>
                <w:sz w:val="5"/>
                <w:szCs w:val="5"/>
                <w:color w:val="auto"/>
              </w:rPr>
            </w:pPr>
          </w:p>
        </w:tc>
        <w:tc>
          <w:tcPr>
            <w:tcW w:w="60" w:type="dxa"/>
            <w:vAlign w:val="bottom"/>
            <w:shd w:val="clear" w:color="auto" w:fill="F2F3F2"/>
          </w:tcPr>
          <w:p>
            <w:pPr>
              <w:spacing w:after="0"/>
              <w:rPr>
                <w:sz w:val="5"/>
                <w:szCs w:val="5"/>
                <w:color w:val="auto"/>
              </w:rPr>
            </w:pPr>
          </w:p>
        </w:tc>
        <w:tc>
          <w:tcPr>
            <w:tcW w:w="0" w:type="dxa"/>
            <w:vAlign w:val="bottom"/>
          </w:tcPr>
          <w:p>
            <w:pPr>
              <w:spacing w:after="0"/>
              <w:rPr>
                <w:sz w:val="1"/>
                <w:szCs w:val="1"/>
                <w:color w:val="auto"/>
              </w:rPr>
            </w:pPr>
          </w:p>
        </w:tc>
      </w:tr>
      <w:tr>
        <w:trPr>
          <w:trHeight w:val="377"/>
        </w:trPr>
        <w:tc>
          <w:tcPr>
            <w:tcW w:w="2080" w:type="dxa"/>
            <w:vAlign w:val="bottom"/>
          </w:tcPr>
          <w:p>
            <w:pPr>
              <w:ind w:left="140"/>
              <w:spacing w:after="0"/>
              <w:rPr>
                <w:sz w:val="20"/>
                <w:szCs w:val="20"/>
                <w:color w:val="auto"/>
              </w:rPr>
            </w:pPr>
            <w:r>
              <w:rPr>
                <w:rFonts w:ascii="Arial" w:cs="Arial" w:eastAsia="Arial" w:hAnsi="Arial"/>
                <w:sz w:val="14"/>
                <w:szCs w:val="14"/>
                <w:b w:val="1"/>
                <w:bCs w:val="1"/>
                <w:color w:val="00558C"/>
              </w:rPr>
              <w:t xml:space="preserve">James H. Roth </w:t>
            </w:r>
            <w:r>
              <w:rPr>
                <w:rFonts w:ascii="Arial" w:cs="Arial" w:eastAsia="Arial" w:hAnsi="Arial"/>
                <w:sz w:val="18"/>
                <w:szCs w:val="18"/>
                <w:b w:val="1"/>
                <w:bCs w:val="1"/>
                <w:color w:val="00558C"/>
                <w:vertAlign w:val="superscript"/>
              </w:rPr>
              <w:t>(12)</w:t>
            </w:r>
          </w:p>
        </w:tc>
        <w:tc>
          <w:tcPr>
            <w:tcW w:w="44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rPr>
              <w:t>73,707</w:t>
            </w:r>
          </w:p>
        </w:tc>
        <w:tc>
          <w:tcPr>
            <w:tcW w:w="1180" w:type="dxa"/>
            <w:vAlign w:val="bottom"/>
          </w:tcPr>
          <w:p>
            <w:pPr>
              <w:jc w:val="center"/>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80" w:type="dxa"/>
            <w:vAlign w:val="bottom"/>
          </w:tcPr>
          <w:p>
            <w:pPr>
              <w:spacing w:after="0"/>
              <w:rPr>
                <w:sz w:val="5"/>
                <w:szCs w:val="5"/>
                <w:color w:val="auto"/>
              </w:rPr>
            </w:pPr>
          </w:p>
        </w:tc>
        <w:tc>
          <w:tcPr>
            <w:tcW w:w="440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7"/>
        </w:trPr>
        <w:tc>
          <w:tcPr>
            <w:tcW w:w="2080" w:type="dxa"/>
            <w:vAlign w:val="bottom"/>
            <w:shd w:val="clear" w:color="auto" w:fill="F2F3F2"/>
          </w:tcPr>
          <w:p>
            <w:pPr>
              <w:ind w:left="140"/>
              <w:spacing w:after="0"/>
              <w:rPr>
                <w:sz w:val="20"/>
                <w:szCs w:val="20"/>
                <w:color w:val="auto"/>
              </w:rPr>
            </w:pPr>
            <w:r>
              <w:rPr>
                <w:rFonts w:ascii="Arial" w:cs="Arial" w:eastAsia="Arial" w:hAnsi="Arial"/>
                <w:sz w:val="14"/>
                <w:szCs w:val="14"/>
                <w:b w:val="1"/>
                <w:bCs w:val="1"/>
                <w:color w:val="00558C"/>
              </w:rPr>
              <w:t xml:space="preserve">Hugh E. Sawyer </w:t>
            </w:r>
            <w:r>
              <w:rPr>
                <w:rFonts w:ascii="Arial" w:cs="Arial" w:eastAsia="Arial" w:hAnsi="Arial"/>
                <w:sz w:val="18"/>
                <w:szCs w:val="18"/>
                <w:b w:val="1"/>
                <w:bCs w:val="1"/>
                <w:color w:val="00558C"/>
                <w:vertAlign w:val="superscript"/>
              </w:rPr>
              <w:t>(13)</w:t>
            </w:r>
          </w:p>
        </w:tc>
        <w:tc>
          <w:tcPr>
            <w:tcW w:w="4400" w:type="dxa"/>
            <w:vAlign w:val="bottom"/>
            <w:shd w:val="clear" w:color="auto" w:fill="F2F3F2"/>
          </w:tcPr>
          <w:p>
            <w:pPr>
              <w:spacing w:after="0"/>
              <w:rPr>
                <w:sz w:val="24"/>
                <w:szCs w:val="24"/>
                <w:color w:val="auto"/>
              </w:rPr>
            </w:pPr>
          </w:p>
        </w:tc>
        <w:tc>
          <w:tcPr>
            <w:tcW w:w="1360" w:type="dxa"/>
            <w:vAlign w:val="bottom"/>
            <w:shd w:val="clear" w:color="auto" w:fill="F2F3F2"/>
          </w:tcPr>
          <w:p>
            <w:pPr>
              <w:jc w:val="center"/>
              <w:spacing w:after="0"/>
              <w:rPr>
                <w:sz w:val="20"/>
                <w:szCs w:val="20"/>
                <w:color w:val="auto"/>
              </w:rPr>
            </w:pPr>
            <w:r>
              <w:rPr>
                <w:rFonts w:ascii="Arial" w:cs="Arial" w:eastAsia="Arial" w:hAnsi="Arial"/>
                <w:sz w:val="14"/>
                <w:szCs w:val="14"/>
                <w:color w:val="auto"/>
              </w:rPr>
              <w:t>21,789</w:t>
            </w:r>
          </w:p>
        </w:tc>
        <w:tc>
          <w:tcPr>
            <w:tcW w:w="1180" w:type="dxa"/>
            <w:vAlign w:val="bottom"/>
            <w:shd w:val="clear" w:color="auto" w:fill="F2F3F2"/>
          </w:tcPr>
          <w:p>
            <w:pPr>
              <w:jc w:val="center"/>
              <w:spacing w:after="0"/>
              <w:rPr>
                <w:sz w:val="20"/>
                <w:szCs w:val="20"/>
                <w:color w:val="auto"/>
              </w:rPr>
            </w:pPr>
            <w:r>
              <w:rPr>
                <w:rFonts w:ascii="Arial" w:cs="Arial" w:eastAsia="Arial" w:hAnsi="Arial"/>
                <w:sz w:val="14"/>
                <w:szCs w:val="14"/>
                <w:color w:val="auto"/>
              </w:rPr>
              <w:t>*</w:t>
            </w:r>
          </w:p>
        </w:tc>
        <w:tc>
          <w:tcPr>
            <w:tcW w:w="60" w:type="dxa"/>
            <w:vAlign w:val="bottom"/>
            <w:shd w:val="clear" w:color="auto" w:fill="F2F3F2"/>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80" w:type="dxa"/>
            <w:vAlign w:val="bottom"/>
            <w:shd w:val="clear" w:color="auto" w:fill="F2F3F2"/>
          </w:tcPr>
          <w:p>
            <w:pPr>
              <w:spacing w:after="0"/>
              <w:rPr>
                <w:sz w:val="5"/>
                <w:szCs w:val="5"/>
                <w:color w:val="auto"/>
              </w:rPr>
            </w:pPr>
          </w:p>
        </w:tc>
        <w:tc>
          <w:tcPr>
            <w:tcW w:w="4400" w:type="dxa"/>
            <w:vAlign w:val="bottom"/>
            <w:shd w:val="clear" w:color="auto" w:fill="F2F3F2"/>
          </w:tcPr>
          <w:p>
            <w:pPr>
              <w:spacing w:after="0"/>
              <w:rPr>
                <w:sz w:val="5"/>
                <w:szCs w:val="5"/>
                <w:color w:val="auto"/>
              </w:rPr>
            </w:pPr>
          </w:p>
        </w:tc>
        <w:tc>
          <w:tcPr>
            <w:tcW w:w="1360" w:type="dxa"/>
            <w:vAlign w:val="bottom"/>
            <w:shd w:val="clear" w:color="auto" w:fill="F2F3F2"/>
          </w:tcPr>
          <w:p>
            <w:pPr>
              <w:spacing w:after="0"/>
              <w:rPr>
                <w:sz w:val="5"/>
                <w:szCs w:val="5"/>
                <w:color w:val="auto"/>
              </w:rPr>
            </w:pPr>
          </w:p>
        </w:tc>
        <w:tc>
          <w:tcPr>
            <w:tcW w:w="1180" w:type="dxa"/>
            <w:vAlign w:val="bottom"/>
            <w:shd w:val="clear" w:color="auto" w:fill="F2F3F2"/>
          </w:tcPr>
          <w:p>
            <w:pPr>
              <w:spacing w:after="0"/>
              <w:rPr>
                <w:sz w:val="5"/>
                <w:szCs w:val="5"/>
                <w:color w:val="auto"/>
              </w:rPr>
            </w:pPr>
          </w:p>
        </w:tc>
        <w:tc>
          <w:tcPr>
            <w:tcW w:w="60" w:type="dxa"/>
            <w:vAlign w:val="bottom"/>
            <w:shd w:val="clear" w:color="auto" w:fill="F2F3F2"/>
          </w:tcPr>
          <w:p>
            <w:pPr>
              <w:spacing w:after="0"/>
              <w:rPr>
                <w:sz w:val="5"/>
                <w:szCs w:val="5"/>
                <w:color w:val="auto"/>
              </w:rPr>
            </w:pPr>
          </w:p>
        </w:tc>
        <w:tc>
          <w:tcPr>
            <w:tcW w:w="0" w:type="dxa"/>
            <w:vAlign w:val="bottom"/>
          </w:tcPr>
          <w:p>
            <w:pPr>
              <w:spacing w:after="0"/>
              <w:rPr>
                <w:sz w:val="1"/>
                <w:szCs w:val="1"/>
                <w:color w:val="auto"/>
              </w:rPr>
            </w:pPr>
          </w:p>
        </w:tc>
      </w:tr>
      <w:tr>
        <w:trPr>
          <w:trHeight w:val="377"/>
        </w:trPr>
        <w:tc>
          <w:tcPr>
            <w:tcW w:w="2080" w:type="dxa"/>
            <w:vAlign w:val="bottom"/>
          </w:tcPr>
          <w:p>
            <w:pPr>
              <w:ind w:left="140"/>
              <w:spacing w:after="0"/>
              <w:rPr>
                <w:sz w:val="20"/>
                <w:szCs w:val="20"/>
                <w:color w:val="auto"/>
              </w:rPr>
            </w:pPr>
            <w:r>
              <w:rPr>
                <w:rFonts w:ascii="Arial" w:cs="Arial" w:eastAsia="Arial" w:hAnsi="Arial"/>
                <w:sz w:val="14"/>
                <w:szCs w:val="14"/>
                <w:b w:val="1"/>
                <w:bCs w:val="1"/>
                <w:color w:val="00558C"/>
              </w:rPr>
              <w:t xml:space="preserve">Ekta Singh-Bushell </w:t>
            </w:r>
            <w:r>
              <w:rPr>
                <w:rFonts w:ascii="Arial" w:cs="Arial" w:eastAsia="Arial" w:hAnsi="Arial"/>
                <w:sz w:val="18"/>
                <w:szCs w:val="18"/>
                <w:b w:val="1"/>
                <w:bCs w:val="1"/>
                <w:color w:val="00558C"/>
                <w:vertAlign w:val="superscript"/>
              </w:rPr>
              <w:t>(14)</w:t>
            </w:r>
          </w:p>
        </w:tc>
        <w:tc>
          <w:tcPr>
            <w:tcW w:w="44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rPr>
              <w:t>12,484</w:t>
            </w:r>
          </w:p>
        </w:tc>
        <w:tc>
          <w:tcPr>
            <w:tcW w:w="1180" w:type="dxa"/>
            <w:vAlign w:val="bottom"/>
          </w:tcPr>
          <w:p>
            <w:pPr>
              <w:jc w:val="center"/>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80" w:type="dxa"/>
            <w:vAlign w:val="bottom"/>
          </w:tcPr>
          <w:p>
            <w:pPr>
              <w:spacing w:after="0"/>
              <w:rPr>
                <w:sz w:val="5"/>
                <w:szCs w:val="5"/>
                <w:color w:val="auto"/>
              </w:rPr>
            </w:pPr>
          </w:p>
        </w:tc>
        <w:tc>
          <w:tcPr>
            <w:tcW w:w="440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7"/>
        </w:trPr>
        <w:tc>
          <w:tcPr>
            <w:tcW w:w="2080" w:type="dxa"/>
            <w:vAlign w:val="bottom"/>
            <w:shd w:val="clear" w:color="auto" w:fill="F2F3F2"/>
          </w:tcPr>
          <w:p>
            <w:pPr>
              <w:ind w:left="140"/>
              <w:spacing w:after="0"/>
              <w:rPr>
                <w:sz w:val="20"/>
                <w:szCs w:val="20"/>
                <w:color w:val="auto"/>
              </w:rPr>
            </w:pPr>
            <w:r>
              <w:rPr>
                <w:rFonts w:ascii="Arial" w:cs="Arial" w:eastAsia="Arial" w:hAnsi="Arial"/>
                <w:sz w:val="14"/>
                <w:szCs w:val="14"/>
                <w:b w:val="1"/>
                <w:bCs w:val="1"/>
                <w:color w:val="00558C"/>
              </w:rPr>
              <w:t xml:space="preserve">Ernest W. Torain, Jr. </w:t>
            </w:r>
            <w:r>
              <w:rPr>
                <w:rFonts w:ascii="Arial" w:cs="Arial" w:eastAsia="Arial" w:hAnsi="Arial"/>
                <w:sz w:val="18"/>
                <w:szCs w:val="18"/>
                <w:b w:val="1"/>
                <w:bCs w:val="1"/>
                <w:color w:val="00558C"/>
                <w:vertAlign w:val="superscript"/>
              </w:rPr>
              <w:t>(15)</w:t>
            </w:r>
          </w:p>
        </w:tc>
        <w:tc>
          <w:tcPr>
            <w:tcW w:w="4400" w:type="dxa"/>
            <w:vAlign w:val="bottom"/>
            <w:shd w:val="clear" w:color="auto" w:fill="F2F3F2"/>
          </w:tcPr>
          <w:p>
            <w:pPr>
              <w:spacing w:after="0"/>
              <w:rPr>
                <w:sz w:val="24"/>
                <w:szCs w:val="24"/>
                <w:color w:val="auto"/>
              </w:rPr>
            </w:pPr>
          </w:p>
        </w:tc>
        <w:tc>
          <w:tcPr>
            <w:tcW w:w="1360" w:type="dxa"/>
            <w:vAlign w:val="bottom"/>
            <w:shd w:val="clear" w:color="auto" w:fill="F2F3F2"/>
          </w:tcPr>
          <w:p>
            <w:pPr>
              <w:jc w:val="center"/>
              <w:spacing w:after="0"/>
              <w:rPr>
                <w:sz w:val="20"/>
                <w:szCs w:val="20"/>
                <w:color w:val="auto"/>
              </w:rPr>
            </w:pPr>
            <w:r>
              <w:rPr>
                <w:rFonts w:ascii="Arial" w:cs="Arial" w:eastAsia="Arial" w:hAnsi="Arial"/>
                <w:sz w:val="14"/>
                <w:szCs w:val="14"/>
                <w:color w:val="auto"/>
              </w:rPr>
              <w:t>11,016</w:t>
            </w:r>
          </w:p>
        </w:tc>
        <w:tc>
          <w:tcPr>
            <w:tcW w:w="1180" w:type="dxa"/>
            <w:vAlign w:val="bottom"/>
            <w:shd w:val="clear" w:color="auto" w:fill="F2F3F2"/>
          </w:tcPr>
          <w:p>
            <w:pPr>
              <w:jc w:val="center"/>
              <w:spacing w:after="0"/>
              <w:rPr>
                <w:sz w:val="20"/>
                <w:szCs w:val="20"/>
                <w:color w:val="auto"/>
              </w:rPr>
            </w:pPr>
            <w:r>
              <w:rPr>
                <w:rFonts w:ascii="Arial" w:cs="Arial" w:eastAsia="Arial" w:hAnsi="Arial"/>
                <w:sz w:val="14"/>
                <w:szCs w:val="14"/>
                <w:color w:val="auto"/>
              </w:rPr>
              <w:t>*</w:t>
            </w:r>
          </w:p>
        </w:tc>
        <w:tc>
          <w:tcPr>
            <w:tcW w:w="60" w:type="dxa"/>
            <w:vAlign w:val="bottom"/>
            <w:shd w:val="clear" w:color="auto" w:fill="F2F3F2"/>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80" w:type="dxa"/>
            <w:vAlign w:val="bottom"/>
            <w:shd w:val="clear" w:color="auto" w:fill="F2F3F2"/>
          </w:tcPr>
          <w:p>
            <w:pPr>
              <w:spacing w:after="0"/>
              <w:rPr>
                <w:sz w:val="5"/>
                <w:szCs w:val="5"/>
                <w:color w:val="auto"/>
              </w:rPr>
            </w:pPr>
          </w:p>
        </w:tc>
        <w:tc>
          <w:tcPr>
            <w:tcW w:w="4400" w:type="dxa"/>
            <w:vAlign w:val="bottom"/>
            <w:shd w:val="clear" w:color="auto" w:fill="F2F3F2"/>
          </w:tcPr>
          <w:p>
            <w:pPr>
              <w:spacing w:after="0"/>
              <w:rPr>
                <w:sz w:val="5"/>
                <w:szCs w:val="5"/>
                <w:color w:val="auto"/>
              </w:rPr>
            </w:pPr>
          </w:p>
        </w:tc>
        <w:tc>
          <w:tcPr>
            <w:tcW w:w="1360" w:type="dxa"/>
            <w:vAlign w:val="bottom"/>
            <w:shd w:val="clear" w:color="auto" w:fill="F2F3F2"/>
          </w:tcPr>
          <w:p>
            <w:pPr>
              <w:spacing w:after="0"/>
              <w:rPr>
                <w:sz w:val="5"/>
                <w:szCs w:val="5"/>
                <w:color w:val="auto"/>
              </w:rPr>
            </w:pPr>
          </w:p>
        </w:tc>
        <w:tc>
          <w:tcPr>
            <w:tcW w:w="1180" w:type="dxa"/>
            <w:vAlign w:val="bottom"/>
            <w:shd w:val="clear" w:color="auto" w:fill="F2F3F2"/>
          </w:tcPr>
          <w:p>
            <w:pPr>
              <w:spacing w:after="0"/>
              <w:rPr>
                <w:sz w:val="5"/>
                <w:szCs w:val="5"/>
                <w:color w:val="auto"/>
              </w:rPr>
            </w:pPr>
          </w:p>
        </w:tc>
        <w:tc>
          <w:tcPr>
            <w:tcW w:w="60" w:type="dxa"/>
            <w:vAlign w:val="bottom"/>
            <w:shd w:val="clear" w:color="auto" w:fill="F2F3F2"/>
          </w:tcPr>
          <w:p>
            <w:pPr>
              <w:spacing w:after="0"/>
              <w:rPr>
                <w:sz w:val="5"/>
                <w:szCs w:val="5"/>
                <w:color w:val="auto"/>
              </w:rPr>
            </w:pPr>
          </w:p>
        </w:tc>
        <w:tc>
          <w:tcPr>
            <w:tcW w:w="0" w:type="dxa"/>
            <w:vAlign w:val="bottom"/>
          </w:tcPr>
          <w:p>
            <w:pPr>
              <w:spacing w:after="0"/>
              <w:rPr>
                <w:sz w:val="1"/>
                <w:szCs w:val="1"/>
                <w:color w:val="auto"/>
              </w:rPr>
            </w:pPr>
          </w:p>
        </w:tc>
      </w:tr>
      <w:tr>
        <w:trPr>
          <w:trHeight w:val="377"/>
        </w:trPr>
        <w:tc>
          <w:tcPr>
            <w:tcW w:w="2080" w:type="dxa"/>
            <w:vAlign w:val="bottom"/>
          </w:tcPr>
          <w:p>
            <w:pPr>
              <w:ind w:left="140"/>
              <w:spacing w:after="0"/>
              <w:rPr>
                <w:sz w:val="20"/>
                <w:szCs w:val="20"/>
                <w:color w:val="auto"/>
              </w:rPr>
            </w:pPr>
            <w:r>
              <w:rPr>
                <w:rFonts w:ascii="Arial" w:cs="Arial" w:eastAsia="Arial" w:hAnsi="Arial"/>
                <w:sz w:val="14"/>
                <w:szCs w:val="14"/>
                <w:b w:val="1"/>
                <w:bCs w:val="1"/>
                <w:color w:val="00558C"/>
              </w:rPr>
              <w:t xml:space="preserve">Debra Zumwalt </w:t>
            </w:r>
            <w:r>
              <w:rPr>
                <w:rFonts w:ascii="Arial" w:cs="Arial" w:eastAsia="Arial" w:hAnsi="Arial"/>
                <w:sz w:val="18"/>
                <w:szCs w:val="18"/>
                <w:b w:val="1"/>
                <w:bCs w:val="1"/>
                <w:color w:val="00558C"/>
                <w:vertAlign w:val="superscript"/>
              </w:rPr>
              <w:t>(16)</w:t>
            </w:r>
          </w:p>
        </w:tc>
        <w:tc>
          <w:tcPr>
            <w:tcW w:w="44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rPr>
              <w:t>23,993</w:t>
            </w:r>
          </w:p>
        </w:tc>
        <w:tc>
          <w:tcPr>
            <w:tcW w:w="1180" w:type="dxa"/>
            <w:vAlign w:val="bottom"/>
          </w:tcPr>
          <w:p>
            <w:pPr>
              <w:jc w:val="center"/>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6480" w:type="dxa"/>
            <w:vAlign w:val="bottom"/>
            <w:gridSpan w:val="2"/>
          </w:tcPr>
          <w:p>
            <w:pPr>
              <w:spacing w:after="0"/>
              <w:rPr>
                <w:sz w:val="5"/>
                <w:szCs w:val="5"/>
                <w:color w:val="auto"/>
              </w:rPr>
            </w:pPr>
          </w:p>
        </w:tc>
        <w:tc>
          <w:tcPr>
            <w:tcW w:w="13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7"/>
        </w:trPr>
        <w:tc>
          <w:tcPr>
            <w:tcW w:w="6480" w:type="dxa"/>
            <w:vAlign w:val="bottom"/>
            <w:gridSpan w:val="2"/>
            <w:shd w:val="clear" w:color="auto" w:fill="F2F3F2"/>
          </w:tcPr>
          <w:p>
            <w:pPr>
              <w:ind w:left="140"/>
              <w:spacing w:after="0"/>
              <w:rPr>
                <w:sz w:val="20"/>
                <w:szCs w:val="20"/>
                <w:color w:val="auto"/>
              </w:rPr>
            </w:pPr>
            <w:r>
              <w:rPr>
                <w:rFonts w:ascii="Arial" w:cs="Arial" w:eastAsia="Arial" w:hAnsi="Arial"/>
                <w:sz w:val="14"/>
                <w:szCs w:val="14"/>
                <w:b w:val="1"/>
                <w:bCs w:val="1"/>
                <w:color w:val="00558C"/>
              </w:rPr>
              <w:t xml:space="preserve">All directors and executive officers as a group (11 persons) </w:t>
            </w:r>
            <w:r>
              <w:rPr>
                <w:rFonts w:ascii="Arial" w:cs="Arial" w:eastAsia="Arial" w:hAnsi="Arial"/>
                <w:sz w:val="18"/>
                <w:szCs w:val="18"/>
                <w:b w:val="1"/>
                <w:bCs w:val="1"/>
                <w:color w:val="00558C"/>
                <w:vertAlign w:val="superscript"/>
              </w:rPr>
              <w:t>(17)</w:t>
            </w:r>
          </w:p>
        </w:tc>
        <w:tc>
          <w:tcPr>
            <w:tcW w:w="1360" w:type="dxa"/>
            <w:vAlign w:val="bottom"/>
            <w:shd w:val="clear" w:color="auto" w:fill="F2F3F2"/>
          </w:tcPr>
          <w:p>
            <w:pPr>
              <w:jc w:val="center"/>
              <w:spacing w:after="0"/>
              <w:rPr>
                <w:sz w:val="20"/>
                <w:szCs w:val="20"/>
                <w:color w:val="auto"/>
              </w:rPr>
            </w:pPr>
            <w:r>
              <w:rPr>
                <w:rFonts w:ascii="Arial" w:cs="Arial" w:eastAsia="Arial" w:hAnsi="Arial"/>
                <w:sz w:val="14"/>
                <w:szCs w:val="14"/>
                <w:color w:val="auto"/>
              </w:rPr>
              <w:t>384,839</w:t>
            </w:r>
          </w:p>
        </w:tc>
        <w:tc>
          <w:tcPr>
            <w:tcW w:w="1180" w:type="dxa"/>
            <w:vAlign w:val="bottom"/>
            <w:shd w:val="clear" w:color="auto" w:fill="F2F3F2"/>
          </w:tcPr>
          <w:p>
            <w:pPr>
              <w:jc w:val="center"/>
              <w:spacing w:after="0"/>
              <w:rPr>
                <w:sz w:val="20"/>
                <w:szCs w:val="20"/>
                <w:color w:val="auto"/>
              </w:rPr>
            </w:pPr>
            <w:r>
              <w:rPr>
                <w:rFonts w:ascii="Arial" w:cs="Arial" w:eastAsia="Arial" w:hAnsi="Arial"/>
                <w:sz w:val="14"/>
                <w:szCs w:val="14"/>
                <w:color w:val="auto"/>
              </w:rPr>
              <w:t>2.15</w:t>
            </w:r>
          </w:p>
        </w:tc>
        <w:tc>
          <w:tcPr>
            <w:tcW w:w="60" w:type="dxa"/>
            <w:vAlign w:val="bottom"/>
            <w:shd w:val="clear" w:color="auto" w:fill="F2F3F2"/>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80" w:type="dxa"/>
            <w:vAlign w:val="bottom"/>
            <w:tcBorders>
              <w:bottom w:val="single" w:sz="8" w:color="B2B3B6"/>
            </w:tcBorders>
            <w:shd w:val="clear" w:color="auto" w:fill="F2F3F2"/>
          </w:tcPr>
          <w:p>
            <w:pPr>
              <w:spacing w:after="0"/>
              <w:rPr>
                <w:sz w:val="5"/>
                <w:szCs w:val="5"/>
                <w:color w:val="auto"/>
              </w:rPr>
            </w:pPr>
          </w:p>
        </w:tc>
        <w:tc>
          <w:tcPr>
            <w:tcW w:w="4400" w:type="dxa"/>
            <w:vAlign w:val="bottom"/>
            <w:tcBorders>
              <w:bottom w:val="single" w:sz="8" w:color="B2B3B6"/>
            </w:tcBorders>
            <w:shd w:val="clear" w:color="auto" w:fill="F2F3F2"/>
          </w:tcPr>
          <w:p>
            <w:pPr>
              <w:spacing w:after="0"/>
              <w:rPr>
                <w:sz w:val="5"/>
                <w:szCs w:val="5"/>
                <w:color w:val="auto"/>
              </w:rPr>
            </w:pPr>
          </w:p>
        </w:tc>
        <w:tc>
          <w:tcPr>
            <w:tcW w:w="1360" w:type="dxa"/>
            <w:vAlign w:val="bottom"/>
            <w:tcBorders>
              <w:bottom w:val="single" w:sz="8" w:color="B2B3B6"/>
            </w:tcBorders>
            <w:shd w:val="clear" w:color="auto" w:fill="F2F3F2"/>
          </w:tcPr>
          <w:p>
            <w:pPr>
              <w:spacing w:after="0"/>
              <w:rPr>
                <w:sz w:val="5"/>
                <w:szCs w:val="5"/>
                <w:color w:val="auto"/>
              </w:rPr>
            </w:pPr>
          </w:p>
        </w:tc>
        <w:tc>
          <w:tcPr>
            <w:tcW w:w="1180" w:type="dxa"/>
            <w:vAlign w:val="bottom"/>
            <w:tcBorders>
              <w:bottom w:val="single" w:sz="8" w:color="B2B3B6"/>
            </w:tcBorders>
            <w:shd w:val="clear" w:color="auto" w:fill="F2F3F2"/>
          </w:tcPr>
          <w:p>
            <w:pPr>
              <w:spacing w:after="0"/>
              <w:rPr>
                <w:sz w:val="5"/>
                <w:szCs w:val="5"/>
                <w:color w:val="auto"/>
              </w:rPr>
            </w:pPr>
          </w:p>
        </w:tc>
        <w:tc>
          <w:tcPr>
            <w:tcW w:w="60" w:type="dxa"/>
            <w:vAlign w:val="bottom"/>
            <w:tcBorders>
              <w:bottom w:val="single" w:sz="8" w:color="B2B3B6"/>
            </w:tcBorders>
            <w:shd w:val="clear" w:color="auto" w:fill="F2F3F2"/>
          </w:tcPr>
          <w:p>
            <w:pPr>
              <w:spacing w:after="0"/>
              <w:rPr>
                <w:sz w:val="5"/>
                <w:szCs w:val="5"/>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420" w:hanging="331"/>
        <w:spacing w:after="0"/>
        <w:tabs>
          <w:tab w:leader="none" w:pos="420" w:val="left"/>
        </w:tabs>
        <w:numPr>
          <w:ilvl w:val="0"/>
          <w:numId w:val="57"/>
        </w:numPr>
        <w:rPr>
          <w:rFonts w:ascii="Arial" w:cs="Arial" w:eastAsia="Arial" w:hAnsi="Arial"/>
          <w:sz w:val="14"/>
          <w:szCs w:val="14"/>
          <w:color w:val="auto"/>
          <w:highlight w:val="white"/>
        </w:rPr>
      </w:pPr>
      <w:r>
        <w:rPr>
          <w:rFonts w:ascii="Arial" w:cs="Arial" w:eastAsia="Arial" w:hAnsi="Arial"/>
          <w:sz w:val="14"/>
          <w:szCs w:val="14"/>
          <w:color w:val="auto"/>
        </w:rPr>
        <w:t>Indicates less than 1% ownership.</w:t>
      </w:r>
    </w:p>
    <w:p>
      <w:pPr>
        <w:spacing w:after="0" w:line="96" w:lineRule="exact"/>
        <w:rPr>
          <w:sz w:val="20"/>
          <w:szCs w:val="20"/>
          <w:color w:val="auto"/>
        </w:rPr>
      </w:pPr>
    </w:p>
    <w:p>
      <w:pPr>
        <w:ind w:left="420" w:right="520" w:hanging="331"/>
        <w:spacing w:after="0" w:line="291" w:lineRule="auto"/>
        <w:tabs>
          <w:tab w:leader="none" w:pos="4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The principal address for each of the stockholders, other than The Vanguard Group, Inc., BlackRock, Inc. and Dimensional Fund Advisors LP listed below is c/o Huron Consulting Group Inc., 550 West Van Buren Street, Chicago, Illinois 60607.</w:t>
      </w:r>
    </w:p>
    <w:p>
      <w:pPr>
        <w:spacing w:after="0" w:line="1" w:lineRule="exact"/>
        <w:rPr>
          <w:rFonts w:ascii="Arial" w:cs="Arial" w:eastAsia="Arial" w:hAnsi="Arial"/>
          <w:sz w:val="14"/>
          <w:szCs w:val="14"/>
          <w:color w:val="auto"/>
        </w:rPr>
      </w:pPr>
    </w:p>
    <w:p>
      <w:pPr>
        <w:ind w:left="420" w:right="100" w:hanging="331"/>
        <w:spacing w:after="0" w:line="283" w:lineRule="auto"/>
        <w:tabs>
          <w:tab w:leader="none" w:pos="4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Includes (i) shared voting power over 35,453 shares of Common Stock, (ii) sole dispositive power over 1,992,133 shares of Common Stock and (iii) shared dispositive power over 55,841 shares of Common Stock as reported in the Schedule 13G/A filed with the SEC on February 13, 2024. The principal address of The Vanguard Group, Inc. is 100 Vanguard Blvd., Malvern, Pennsylvania 19355.</w:t>
      </w:r>
    </w:p>
    <w:p>
      <w:pPr>
        <w:spacing w:after="0" w:line="10" w:lineRule="exact"/>
        <w:rPr>
          <w:rFonts w:ascii="Arial" w:cs="Arial" w:eastAsia="Arial" w:hAnsi="Arial"/>
          <w:sz w:val="14"/>
          <w:szCs w:val="14"/>
          <w:color w:val="auto"/>
        </w:rPr>
      </w:pPr>
    </w:p>
    <w:p>
      <w:pPr>
        <w:ind w:left="420" w:right="40" w:hanging="331"/>
        <w:spacing w:after="0" w:line="265" w:lineRule="auto"/>
        <w:tabs>
          <w:tab w:leader="none" w:pos="4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Includes (i) sole voting power over 1,331,056 shares of Common Stock and (ii) sole dispositive power over 1,352,664 shares of Common Stock as reported in the Schedule 13G/A filed with the SEC on November 8, 2024. The principal address of BlackRock, Inc. is 50 Hudson Yards, New York, New York 10001. The shares are owned by the following subsidiaries of BlackRock, Inc.: Aperio Group, LLC, BlackRock Advisors, LLC, BlackRock Institutional Trust Company, National Association, BlackRock Asset Management Ireland Limited, BlackRock Financial Management, Inc., BlackRock Japan Co., Ltd., BlackRock Asset Management Schweiz AG, BlackRock Investment Management, LLC, BlackRock Investment Management (UK) Limited, BlackRock Asset Management Canada Limited, BlackRock Investment Management (Australia) Limited, BlackRock Fund Advisors, and BlackRock Fund Managers Ltd.</w:t>
      </w:r>
    </w:p>
    <w:p>
      <w:pPr>
        <w:spacing w:after="0" w:line="200" w:lineRule="exact"/>
        <w:rPr>
          <w:sz w:val="20"/>
          <w:szCs w:val="20"/>
          <w:color w:val="auto"/>
        </w:rPr>
      </w:pPr>
    </w:p>
    <w:p>
      <w:pPr>
        <w:spacing w:after="0" w:line="369" w:lineRule="exact"/>
        <w:rPr>
          <w:sz w:val="20"/>
          <w:szCs w:val="20"/>
          <w:color w:val="auto"/>
        </w:rPr>
      </w:pPr>
    </w:p>
    <w:p>
      <w:pPr>
        <w:ind w:left="60"/>
        <w:spacing w:after="0"/>
        <w:tabs>
          <w:tab w:leader="none" w:pos="444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13"/>
          <w:szCs w:val="13"/>
          <w:b w:val="1"/>
          <w:bCs w:val="1"/>
          <w:color w:val="00558C"/>
        </w:rPr>
        <w:t>28</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420370</wp:posOffset>
            </wp:positionV>
            <wp:extent cx="6810375" cy="14135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10375" cy="1413510"/>
                    </a:xfrm>
                    <a:prstGeom prst="rect">
                      <a:avLst/>
                    </a:prstGeom>
                    <a:noFill/>
                  </pic:spPr>
                </pic:pic>
              </a:graphicData>
            </a:graphic>
          </wp:anchor>
        </w:drawing>
      </w:r>
    </w:p>
    <w:p>
      <w:pPr>
        <w:sectPr>
          <w:pgSz w:w="11900" w:h="16908" w:orient="portrait"/>
          <w:cols w:equalWidth="0" w:num="1">
            <w:col w:w="9080"/>
          </w:cols>
          <w:pgMar w:left="1400" w:top="864" w:right="14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0"/>
        <w:spacing w:after="0" w:line="274" w:lineRule="auto"/>
        <w:rPr>
          <w:sz w:val="20"/>
          <w:szCs w:val="20"/>
          <w:color w:val="auto"/>
        </w:rPr>
      </w:pPr>
      <w:r>
        <w:rPr>
          <w:rFonts w:ascii="Arial" w:cs="Arial" w:eastAsia="Arial" w:hAnsi="Arial"/>
          <w:sz w:val="13"/>
          <w:szCs w:val="13"/>
          <w:b w:val="1"/>
          <w:bCs w:val="1"/>
          <w:color w:val="B2B3B6"/>
        </w:rPr>
        <w:t>General Proposal Information 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line="274" w:lineRule="auto"/>
        <w:rPr>
          <w:sz w:val="20"/>
          <w:szCs w:val="20"/>
          <w:color w:val="auto"/>
        </w:rPr>
      </w:pPr>
      <w:r>
        <w:rPr>
          <w:rFonts w:ascii="Arial" w:cs="Arial" w:eastAsia="Arial" w:hAnsi="Arial"/>
          <w:sz w:val="13"/>
          <w:szCs w:val="13"/>
          <w:b w:val="1"/>
          <w:bCs w:val="1"/>
          <w:color w:val="6AAA37"/>
        </w:rPr>
        <w:t xml:space="preserve">Corporate </w:t>
      </w:r>
      <w:r>
        <w:rPr>
          <w:rFonts w:ascii="Arial" w:cs="Arial" w:eastAsia="Arial" w:hAnsi="Arial"/>
          <w:sz w:val="13"/>
          <w:szCs w:val="13"/>
          <w:b w:val="1"/>
          <w:bCs w:val="1"/>
          <w:color w:val="B2B3B6"/>
        </w:rPr>
        <w:t>Proposal Executive</w:t>
      </w:r>
      <w:r>
        <w:rPr>
          <w:rFonts w:ascii="Arial" w:cs="Arial" w:eastAsia="Arial" w:hAnsi="Arial"/>
          <w:sz w:val="13"/>
          <w:szCs w:val="13"/>
          <w:b w:val="1"/>
          <w:bCs w:val="1"/>
          <w:color w:val="6AAA37"/>
        </w:rPr>
        <w:t xml:space="preserve"> Governance </w:t>
      </w:r>
      <w:r>
        <w:rPr>
          <w:rFonts w:ascii="Arial" w:cs="Arial" w:eastAsia="Arial" w:hAnsi="Arial"/>
          <w:sz w:val="13"/>
          <w:szCs w:val="13"/>
          <w:b w:val="1"/>
          <w:bCs w:val="1"/>
          <w:color w:val="B2B3B6"/>
        </w:rPr>
        <w:t>Two 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200"/>
        <w:spacing w:after="0" w:line="274" w:lineRule="auto"/>
        <w:rPr>
          <w:sz w:val="20"/>
          <w:szCs w:val="20"/>
          <w:color w:val="auto"/>
        </w:rPr>
      </w:pPr>
      <w:r>
        <w:rPr>
          <w:rFonts w:ascii="Arial" w:cs="Arial" w:eastAsia="Arial" w:hAnsi="Arial"/>
          <w:sz w:val="13"/>
          <w:szCs w:val="13"/>
          <w:b w:val="1"/>
          <w:bCs w:val="1"/>
          <w:color w:val="B2B3B6"/>
        </w:rPr>
        <w:t>Proposal Proposal Proposal Stockholder Other Three Four Five Proposals Matters</w:t>
      </w:r>
    </w:p>
    <w:p>
      <w:pPr>
        <w:spacing w:after="0" w:line="200" w:lineRule="exact"/>
        <w:rPr>
          <w:sz w:val="20"/>
          <w:szCs w:val="20"/>
          <w:color w:val="auto"/>
        </w:rPr>
      </w:pPr>
    </w:p>
    <w:p>
      <w:pPr>
        <w:sectPr>
          <w:pgSz w:w="11900" w:h="16908" w:orient="portrait"/>
          <w:cols w:equalWidth="0" w:num="3">
            <w:col w:w="1600" w:space="300"/>
            <w:col w:w="2700" w:space="320"/>
            <w:col w:w="4160"/>
          </w:cols>
          <w:pgMar w:left="1400" w:top="864" w:right="1419" w:bottom="0" w:gutter="0" w:footer="0" w:header="0"/>
          <w:type w:val="continuous"/>
        </w:sectPr>
      </w:pPr>
    </w:p>
    <w:p>
      <w:pPr>
        <w:spacing w:after="0" w:line="75" w:lineRule="exact"/>
        <w:rPr>
          <w:sz w:val="20"/>
          <w:szCs w:val="20"/>
          <w:color w:val="auto"/>
        </w:rPr>
      </w:pPr>
    </w:p>
    <w:p>
      <w:pPr>
        <w:ind w:left="420" w:right="120" w:hanging="331"/>
        <w:spacing w:after="0" w:line="273" w:lineRule="auto"/>
        <w:tabs>
          <w:tab w:leader="none" w:pos="420" w:val="left"/>
        </w:tabs>
        <w:numPr>
          <w:ilvl w:val="0"/>
          <w:numId w:val="59"/>
        </w:numPr>
        <w:rPr>
          <w:rFonts w:ascii="Arial" w:cs="Arial" w:eastAsia="Arial" w:hAnsi="Arial"/>
          <w:sz w:val="14"/>
          <w:szCs w:val="14"/>
          <w:color w:val="auto"/>
        </w:rPr>
      </w:pPr>
      <w:r>
        <w:rPr>
          <w:rFonts w:ascii="Arial" w:cs="Arial" w:eastAsia="Arial" w:hAnsi="Arial"/>
          <w:sz w:val="14"/>
          <w:szCs w:val="14"/>
          <w:color w:val="auto"/>
        </w:rPr>
        <w:t>Includes (i) sole voting power over 921,236 shares of Common Stock and (ii) sole dispositive power over 942,571 shares of Common Stock as reported in the Schedule 13G/A filed with the SEC on January 23, 2025. The principal address of Dimensional Fund Advisors LP is 6300 Bee Cave Road, Building One, Austin, Texas 78746.</w:t>
      </w:r>
    </w:p>
    <w:p>
      <w:pPr>
        <w:spacing w:after="0" w:line="17" w:lineRule="exact"/>
        <w:rPr>
          <w:rFonts w:ascii="Arial" w:cs="Arial" w:eastAsia="Arial" w:hAnsi="Arial"/>
          <w:sz w:val="14"/>
          <w:szCs w:val="14"/>
          <w:color w:val="auto"/>
        </w:rPr>
      </w:pPr>
    </w:p>
    <w:p>
      <w:pPr>
        <w:ind w:left="420" w:right="280" w:hanging="331"/>
        <w:spacing w:after="0" w:line="301" w:lineRule="auto"/>
        <w:tabs>
          <w:tab w:leader="none" w:pos="420" w:val="left"/>
        </w:tabs>
        <w:numPr>
          <w:ilvl w:val="0"/>
          <w:numId w:val="59"/>
        </w:numPr>
        <w:rPr>
          <w:rFonts w:ascii="Arial" w:cs="Arial" w:eastAsia="Arial" w:hAnsi="Arial"/>
          <w:sz w:val="14"/>
          <w:szCs w:val="14"/>
          <w:color w:val="auto"/>
        </w:rPr>
      </w:pPr>
      <w:r>
        <w:rPr>
          <w:rFonts w:ascii="Arial" w:cs="Arial" w:eastAsia="Arial" w:hAnsi="Arial"/>
          <w:sz w:val="14"/>
          <w:szCs w:val="14"/>
          <w:color w:val="auto"/>
        </w:rPr>
        <w:t>Includes 708 unvested restricted stock units that will vest within 60 days of the Record Date and excludes 2,972 additional unvested restricted stock units.</w:t>
      </w:r>
    </w:p>
    <w:p>
      <w:pPr>
        <w:spacing w:after="0" w:line="1" w:lineRule="exact"/>
        <w:rPr>
          <w:rFonts w:ascii="Arial" w:cs="Arial" w:eastAsia="Arial" w:hAnsi="Arial"/>
          <w:sz w:val="14"/>
          <w:szCs w:val="14"/>
          <w:color w:val="auto"/>
        </w:rPr>
      </w:pPr>
    </w:p>
    <w:p>
      <w:pPr>
        <w:ind w:left="420" w:hanging="331"/>
        <w:spacing w:after="0"/>
        <w:tabs>
          <w:tab w:leader="none" w:pos="420" w:val="left"/>
        </w:tabs>
        <w:numPr>
          <w:ilvl w:val="0"/>
          <w:numId w:val="59"/>
        </w:numPr>
        <w:rPr>
          <w:rFonts w:ascii="Arial" w:cs="Arial" w:eastAsia="Arial" w:hAnsi="Arial"/>
          <w:sz w:val="14"/>
          <w:szCs w:val="14"/>
          <w:color w:val="auto"/>
        </w:rPr>
      </w:pPr>
      <w:r>
        <w:rPr>
          <w:rFonts w:ascii="Arial" w:cs="Arial" w:eastAsia="Arial" w:hAnsi="Arial"/>
          <w:sz w:val="14"/>
          <w:szCs w:val="14"/>
          <w:color w:val="auto"/>
        </w:rPr>
        <w:t>Includes 3,677 shares issuable upon exercise of options that are exercisable currently or within 60 days of the Record Date and</w:t>
      </w:r>
    </w:p>
    <w:p>
      <w:pPr>
        <w:sectPr>
          <w:pgSz w:w="11900" w:h="16908" w:orient="portrait"/>
          <w:cols w:equalWidth="0" w:num="1">
            <w:col w:w="9080"/>
          </w:cols>
          <w:pgMar w:left="1400" w:top="864" w:right="1419" w:bottom="0" w:gutter="0" w:footer="0" w:header="0"/>
          <w:type w:val="continuous"/>
        </w:sectPr>
      </w:pPr>
    </w:p>
    <w:bookmarkStart w:id="35" w:name="page36"/>
    <w:bookmarkEnd w:id="35"/>
    <w:p>
      <w:pPr>
        <w:spacing w:after="0" w:line="85" w:lineRule="exact"/>
        <w:rPr>
          <w:sz w:val="20"/>
          <w:szCs w:val="20"/>
          <w:color w:val="auto"/>
        </w:rPr>
      </w:pPr>
    </w:p>
    <w:p>
      <w:pPr>
        <w:ind w:left="420"/>
        <w:spacing w:after="0"/>
        <w:rPr>
          <w:sz w:val="20"/>
          <w:szCs w:val="20"/>
          <w:color w:val="auto"/>
        </w:rPr>
      </w:pPr>
      <w:r>
        <w:rPr>
          <w:rFonts w:ascii="Arial" w:cs="Arial" w:eastAsia="Arial" w:hAnsi="Arial"/>
          <w:sz w:val="14"/>
          <w:szCs w:val="14"/>
          <w:color w:val="auto"/>
        </w:rPr>
        <w:t>excludes 7,136 additional unvested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-95885</wp:posOffset>
            </wp:positionV>
            <wp:extent cx="6810375" cy="74428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10375" cy="7442835"/>
                    </a:xfrm>
                    <a:prstGeom prst="rect">
                      <a:avLst/>
                    </a:prstGeom>
                    <a:noFill/>
                  </pic:spPr>
                </pic:pic>
              </a:graphicData>
            </a:graphic>
          </wp:anchor>
        </w:drawing>
      </w:r>
    </w:p>
    <w:p>
      <w:pPr>
        <w:spacing w:after="0" w:line="49" w:lineRule="exact"/>
        <w:rPr>
          <w:sz w:val="20"/>
          <w:szCs w:val="20"/>
          <w:color w:val="auto"/>
        </w:rPr>
      </w:pPr>
    </w:p>
    <w:p>
      <w:pPr>
        <w:ind w:left="420" w:hanging="331"/>
        <w:spacing w:after="0"/>
        <w:tabs>
          <w:tab w:leader="none" w:pos="4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Excludes 18,798 unvested restricted stock units.</w:t>
      </w:r>
    </w:p>
    <w:p>
      <w:pPr>
        <w:spacing w:after="0" w:line="68" w:lineRule="exact"/>
        <w:rPr>
          <w:rFonts w:ascii="Arial" w:cs="Arial" w:eastAsia="Arial" w:hAnsi="Arial"/>
          <w:sz w:val="14"/>
          <w:szCs w:val="14"/>
          <w:color w:val="auto"/>
        </w:rPr>
      </w:pPr>
    </w:p>
    <w:p>
      <w:pPr>
        <w:ind w:left="420" w:hanging="331"/>
        <w:spacing w:after="0"/>
        <w:tabs>
          <w:tab w:leader="none" w:pos="4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Excludes 7,090 unvested restricted stock units.</w:t>
      </w:r>
    </w:p>
    <w:p>
      <w:pPr>
        <w:spacing w:after="0" w:line="68" w:lineRule="exact"/>
        <w:rPr>
          <w:rFonts w:ascii="Arial" w:cs="Arial" w:eastAsia="Arial" w:hAnsi="Arial"/>
          <w:sz w:val="14"/>
          <w:szCs w:val="14"/>
          <w:color w:val="auto"/>
        </w:rPr>
      </w:pPr>
    </w:p>
    <w:p>
      <w:pPr>
        <w:ind w:left="420" w:right="160" w:hanging="331"/>
        <w:spacing w:after="0" w:line="291" w:lineRule="auto"/>
        <w:tabs>
          <w:tab w:leader="none" w:pos="4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Includes 608 unvested restricted stock units which will vest within 60 days of the Record Date and excludes 2,621 additional unvested restricted stock units.</w:t>
      </w:r>
    </w:p>
    <w:p>
      <w:pPr>
        <w:spacing w:after="0" w:line="1" w:lineRule="exact"/>
        <w:rPr>
          <w:rFonts w:ascii="Arial" w:cs="Arial" w:eastAsia="Arial" w:hAnsi="Arial"/>
          <w:sz w:val="14"/>
          <w:szCs w:val="14"/>
          <w:color w:val="auto"/>
        </w:rPr>
      </w:pPr>
    </w:p>
    <w:p>
      <w:pPr>
        <w:ind w:left="420" w:right="280" w:hanging="331"/>
        <w:spacing w:after="0" w:line="301" w:lineRule="auto"/>
        <w:tabs>
          <w:tab w:leader="none" w:pos="4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Includes 608 unvested restricted stock units that will vest within 60 days of the Record Date and excludes 2,621 additional unvested restricted stock units.</w:t>
      </w:r>
    </w:p>
    <w:p>
      <w:pPr>
        <w:spacing w:after="0" w:line="1" w:lineRule="exact"/>
        <w:rPr>
          <w:rFonts w:ascii="Arial" w:cs="Arial" w:eastAsia="Arial" w:hAnsi="Arial"/>
          <w:sz w:val="14"/>
          <w:szCs w:val="14"/>
          <w:color w:val="auto"/>
        </w:rPr>
      </w:pPr>
    </w:p>
    <w:p>
      <w:pPr>
        <w:ind w:left="420" w:right="160" w:hanging="331"/>
        <w:spacing w:after="0" w:line="301" w:lineRule="auto"/>
        <w:tabs>
          <w:tab w:leader="none" w:pos="4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Includes 608 unvested shares of restricted stock units which will vest within 60 days of the Record Date and excludes 2,621 additional unvested restricted stock units.</w:t>
      </w:r>
    </w:p>
    <w:p>
      <w:pPr>
        <w:spacing w:after="0" w:line="1" w:lineRule="exact"/>
        <w:rPr>
          <w:rFonts w:ascii="Arial" w:cs="Arial" w:eastAsia="Arial" w:hAnsi="Arial"/>
          <w:sz w:val="14"/>
          <w:szCs w:val="14"/>
          <w:color w:val="auto"/>
        </w:rPr>
      </w:pPr>
    </w:p>
    <w:p>
      <w:pPr>
        <w:ind w:left="420" w:hanging="331"/>
        <w:spacing w:after="0"/>
        <w:tabs>
          <w:tab w:leader="none" w:pos="4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Includes 3,855 shares held by a family limited liability company and excludes 3,711 unvested restricted stock units.</w:t>
      </w:r>
    </w:p>
    <w:p>
      <w:pPr>
        <w:spacing w:after="0" w:line="55" w:lineRule="exact"/>
        <w:rPr>
          <w:rFonts w:ascii="Arial" w:cs="Arial" w:eastAsia="Arial" w:hAnsi="Arial"/>
          <w:sz w:val="14"/>
          <w:szCs w:val="14"/>
          <w:color w:val="auto"/>
        </w:rPr>
      </w:pPr>
    </w:p>
    <w:p>
      <w:pPr>
        <w:ind w:left="420" w:right="520" w:hanging="331"/>
        <w:spacing w:after="0" w:line="301" w:lineRule="auto"/>
        <w:tabs>
          <w:tab w:leader="none" w:pos="4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Includes 608 unvested shares of restricted units which will vest within 60 days of the Record Date and excludes 2,621 additional unvested restricted stock units.</w:t>
      </w:r>
    </w:p>
    <w:p>
      <w:pPr>
        <w:spacing w:after="0" w:line="1" w:lineRule="exact"/>
        <w:rPr>
          <w:rFonts w:ascii="Arial" w:cs="Arial" w:eastAsia="Arial" w:hAnsi="Arial"/>
          <w:sz w:val="14"/>
          <w:szCs w:val="14"/>
          <w:color w:val="auto"/>
        </w:rPr>
      </w:pPr>
    </w:p>
    <w:p>
      <w:pPr>
        <w:ind w:left="420" w:right="160" w:hanging="331"/>
        <w:spacing w:after="0" w:line="301" w:lineRule="auto"/>
        <w:tabs>
          <w:tab w:leader="none" w:pos="4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Includes 608 unvested shares of restricted stock units which will vest within 60 days of the Record Date and excludes 2,621 additional unvested restricted stock units.</w:t>
      </w:r>
    </w:p>
    <w:p>
      <w:pPr>
        <w:spacing w:after="0" w:line="1" w:lineRule="exact"/>
        <w:rPr>
          <w:rFonts w:ascii="Arial" w:cs="Arial" w:eastAsia="Arial" w:hAnsi="Arial"/>
          <w:sz w:val="14"/>
          <w:szCs w:val="14"/>
          <w:color w:val="auto"/>
        </w:rPr>
      </w:pPr>
    </w:p>
    <w:p>
      <w:pPr>
        <w:ind w:left="420" w:hanging="331"/>
        <w:spacing w:after="0"/>
        <w:tabs>
          <w:tab w:leader="none" w:pos="4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As of March 15, 2024, the date Mr. Torain left the Company.</w:t>
      </w:r>
    </w:p>
    <w:p>
      <w:pPr>
        <w:spacing w:after="0" w:line="55" w:lineRule="exact"/>
        <w:rPr>
          <w:rFonts w:ascii="Arial" w:cs="Arial" w:eastAsia="Arial" w:hAnsi="Arial"/>
          <w:sz w:val="14"/>
          <w:szCs w:val="14"/>
          <w:color w:val="auto"/>
        </w:rPr>
      </w:pPr>
    </w:p>
    <w:p>
      <w:pPr>
        <w:ind w:left="420" w:right="160" w:hanging="331"/>
        <w:spacing w:after="0" w:line="301" w:lineRule="auto"/>
        <w:tabs>
          <w:tab w:leader="none" w:pos="4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Includes 608 unvested shares of restricted stock units which will vest within 60 days of the Record Date and excludes 2,621 additional unvested restricted stock units.</w:t>
      </w:r>
    </w:p>
    <w:p>
      <w:pPr>
        <w:spacing w:after="0" w:line="1" w:lineRule="exact"/>
        <w:rPr>
          <w:rFonts w:ascii="Arial" w:cs="Arial" w:eastAsia="Arial" w:hAnsi="Arial"/>
          <w:sz w:val="14"/>
          <w:szCs w:val="14"/>
          <w:color w:val="auto"/>
        </w:rPr>
      </w:pPr>
    </w:p>
    <w:p>
      <w:pPr>
        <w:ind w:left="420" w:right="120" w:hanging="331"/>
        <w:spacing w:after="0" w:line="283" w:lineRule="auto"/>
        <w:tabs>
          <w:tab w:leader="none" w:pos="4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Includes 3,677 shares issuable upon exercise of options held by one member of the group that are exercisable currently or within 60 days of the Record Date; an aggregate of 4,356 restricted stock units that will vest and are issuable within 60 days of the Record Date; and excludes an aggregate of 55,433 unvested restricted stock units held by the Directors and Executive Officers listed above.</w:t>
      </w:r>
    </w:p>
    <w:p>
      <w:pPr>
        <w:spacing w:after="0" w:line="140" w:lineRule="exact"/>
        <w:rPr>
          <w:sz w:val="20"/>
          <w:szCs w:val="20"/>
          <w:color w:val="auto"/>
        </w:rPr>
      </w:pPr>
    </w:p>
    <w:p>
      <w:pPr>
        <w:spacing w:after="0"/>
        <w:rPr>
          <w:sz w:val="20"/>
          <w:szCs w:val="20"/>
          <w:color w:val="auto"/>
        </w:rPr>
      </w:pPr>
      <w:r>
        <w:rPr>
          <w:rFonts w:ascii="Arial" w:cs="Arial" w:eastAsia="Arial" w:hAnsi="Arial"/>
          <w:sz w:val="22"/>
          <w:szCs w:val="22"/>
          <w:b w:val="1"/>
          <w:bCs w:val="1"/>
          <w:color w:val="00558C"/>
        </w:rPr>
        <w:t>Delinquent Section 16(a) Reports</w:t>
      </w:r>
    </w:p>
    <w:p>
      <w:pPr>
        <w:spacing w:after="0" w:line="11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Pursuant to Section 16(a) of the 1934 Act, the Company’s directors, executive officers and persons who beneficially own 10% or more of our common stock (the “Section 16 Reporting Persons”) are required to report their initial ownership of common stock and subsequent changes in that ownership to the SEC. Section 16 Reporting Persons are required to furnish the Company with copies of all Section 16(a) forms that they file. Based upon our review of forms filed by the Section 16 Reporting Persons pursuant to the 1934 Act, we identified two late filings in 2024, one by James H. Roth, the Company's Vice Chair, Client Services for one transaction, and Kyle Featherstone, the Company’s Corporate Vice President, Chief Accounting Officer and Controller for one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tabs>
          <w:tab w:leader="none" w:pos="444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13"/>
          <w:szCs w:val="13"/>
          <w:b w:val="1"/>
          <w:bCs w:val="1"/>
          <w:color w:val="00558C"/>
        </w:rPr>
        <w:t>29</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420370</wp:posOffset>
            </wp:positionV>
            <wp:extent cx="6810375" cy="29908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10375" cy="2990850"/>
                    </a:xfrm>
                    <a:prstGeom prst="rect">
                      <a:avLst/>
                    </a:prstGeom>
                    <a:noFill/>
                  </pic:spPr>
                </pic:pic>
              </a:graphicData>
            </a:graphic>
          </wp:anchor>
        </w:drawing>
      </w:r>
    </w:p>
    <w:p>
      <w:pPr>
        <w:sectPr>
          <w:pgSz w:w="11900" w:h="16924" w:orient="portrait"/>
          <w:cols w:equalWidth="0" w:num="1">
            <w:col w:w="9080"/>
          </w:cols>
          <w:pgMar w:left="1400" w:top="130" w:right="14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0"/>
        <w:spacing w:after="0" w:line="274" w:lineRule="auto"/>
        <w:rPr>
          <w:sz w:val="20"/>
          <w:szCs w:val="20"/>
          <w:color w:val="auto"/>
        </w:rPr>
      </w:pPr>
      <w:r>
        <w:rPr>
          <w:rFonts w:ascii="Arial" w:cs="Arial" w:eastAsia="Arial" w:hAnsi="Arial"/>
          <w:sz w:val="13"/>
          <w:szCs w:val="13"/>
          <w:b w:val="1"/>
          <w:bCs w:val="1"/>
          <w:color w:val="B2B3B6"/>
        </w:rPr>
        <w:t>General Proposal Information 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line="274" w:lineRule="auto"/>
        <w:rPr>
          <w:sz w:val="20"/>
          <w:szCs w:val="20"/>
          <w:color w:val="auto"/>
        </w:rPr>
      </w:pPr>
      <w:r>
        <w:rPr>
          <w:rFonts w:ascii="Arial" w:cs="Arial" w:eastAsia="Arial" w:hAnsi="Arial"/>
          <w:sz w:val="13"/>
          <w:szCs w:val="13"/>
          <w:b w:val="1"/>
          <w:bCs w:val="1"/>
          <w:color w:val="6AAA37"/>
        </w:rPr>
        <w:t xml:space="preserve">Corporate </w:t>
      </w:r>
      <w:r>
        <w:rPr>
          <w:rFonts w:ascii="Arial" w:cs="Arial" w:eastAsia="Arial" w:hAnsi="Arial"/>
          <w:sz w:val="13"/>
          <w:szCs w:val="13"/>
          <w:b w:val="1"/>
          <w:bCs w:val="1"/>
          <w:color w:val="B2B3B6"/>
        </w:rPr>
        <w:t>Proposal Executive</w:t>
      </w:r>
      <w:r>
        <w:rPr>
          <w:rFonts w:ascii="Arial" w:cs="Arial" w:eastAsia="Arial" w:hAnsi="Arial"/>
          <w:sz w:val="13"/>
          <w:szCs w:val="13"/>
          <w:b w:val="1"/>
          <w:bCs w:val="1"/>
          <w:color w:val="6AAA37"/>
        </w:rPr>
        <w:t xml:space="preserve"> Governance </w:t>
      </w:r>
      <w:r>
        <w:rPr>
          <w:rFonts w:ascii="Arial" w:cs="Arial" w:eastAsia="Arial" w:hAnsi="Arial"/>
          <w:sz w:val="13"/>
          <w:szCs w:val="13"/>
          <w:b w:val="1"/>
          <w:bCs w:val="1"/>
          <w:color w:val="B2B3B6"/>
        </w:rPr>
        <w:t>Two 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200"/>
        <w:spacing w:after="0" w:line="274" w:lineRule="auto"/>
        <w:rPr>
          <w:sz w:val="20"/>
          <w:szCs w:val="20"/>
          <w:color w:val="auto"/>
        </w:rPr>
      </w:pPr>
      <w:r>
        <w:rPr>
          <w:rFonts w:ascii="Arial" w:cs="Arial" w:eastAsia="Arial" w:hAnsi="Arial"/>
          <w:sz w:val="13"/>
          <w:szCs w:val="13"/>
          <w:b w:val="1"/>
          <w:bCs w:val="1"/>
          <w:color w:val="B2B3B6"/>
        </w:rPr>
        <w:t>Proposal Proposal Proposal Stockholder Other Three Four Five Proposals Matters</w:t>
      </w:r>
    </w:p>
    <w:p>
      <w:pPr>
        <w:spacing w:after="0" w:line="200" w:lineRule="exact"/>
        <w:rPr>
          <w:sz w:val="20"/>
          <w:szCs w:val="20"/>
          <w:color w:val="auto"/>
        </w:rPr>
      </w:pPr>
    </w:p>
    <w:p>
      <w:pPr>
        <w:sectPr>
          <w:pgSz w:w="11900" w:h="16924" w:orient="portrait"/>
          <w:cols w:equalWidth="0" w:num="3">
            <w:col w:w="1600" w:space="300"/>
            <w:col w:w="2700" w:space="320"/>
            <w:col w:w="4160"/>
          </w:cols>
          <w:pgMar w:left="1400" w:top="130" w:right="1419" w:bottom="0" w:gutter="0" w:footer="0" w:header="0"/>
          <w:type w:val="continuous"/>
        </w:sectPr>
      </w:pPr>
    </w:p>
    <w:p>
      <w:pPr>
        <w:spacing w:after="0" w:line="83" w:lineRule="exact"/>
        <w:rPr>
          <w:sz w:val="20"/>
          <w:szCs w:val="20"/>
          <w:color w:val="auto"/>
        </w:rPr>
      </w:pPr>
    </w:p>
    <w:p>
      <w:pPr>
        <w:spacing w:after="0"/>
        <w:rPr>
          <w:sz w:val="20"/>
          <w:szCs w:val="20"/>
          <w:color w:val="auto"/>
        </w:rPr>
      </w:pPr>
      <w:r>
        <w:rPr>
          <w:rFonts w:ascii="Arial" w:cs="Arial" w:eastAsia="Arial" w:hAnsi="Arial"/>
          <w:sz w:val="22"/>
          <w:szCs w:val="22"/>
          <w:b w:val="1"/>
          <w:bCs w:val="1"/>
          <w:color w:val="00558C"/>
        </w:rPr>
        <w:t>Corporate Social Responsibility</w:t>
      </w:r>
    </w:p>
    <w:p>
      <w:pPr>
        <w:spacing w:after="0" w:line="112" w:lineRule="exact"/>
        <w:rPr>
          <w:sz w:val="20"/>
          <w:szCs w:val="20"/>
          <w:color w:val="auto"/>
        </w:rPr>
      </w:pPr>
    </w:p>
    <w:p>
      <w:pPr>
        <w:ind w:right="200"/>
        <w:spacing w:after="0" w:line="296" w:lineRule="auto"/>
        <w:rPr>
          <w:sz w:val="20"/>
          <w:szCs w:val="20"/>
          <w:color w:val="auto"/>
        </w:rPr>
      </w:pPr>
      <w:r>
        <w:rPr>
          <w:rFonts w:ascii="Arial" w:cs="Arial" w:eastAsia="Arial" w:hAnsi="Arial"/>
          <w:sz w:val="16"/>
          <w:szCs w:val="16"/>
          <w:color w:val="auto"/>
        </w:rPr>
        <w:t>We prioritize investing in the growth and development of our people, fostering and supporting programs to advance social responsibility, and upholding strong governance practices. We are guided by the United Nations Sustainable Development Goals (SDGs) with a focus on five goals that resonate with our values-driven culture and the work we do for our clients each day: good health and well-being, quality education, gender equality, decent work and economic growth, and climate action. Below are the highlights of how we have advanced those SDGs in 2024.</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In and Supporting Our People</w:t>
      </w:r>
    </w:p>
    <w:p>
      <w:pPr>
        <w:spacing w:after="0" w:line="81"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We show our commitment to our employees by striving to provide an enriching culture that inspires, supports and rewards. Our objective is to craft holistic and meaningful programs and experiences that enrich their careers, personal growth and holistic well-being. Our market-competitive total rewards package is a core element of our employee value proposition to attract, motivate and retain top talent. In 2024, we enhanced employee benefits to further support the physical and mental well-being of our employees and their families.</w:t>
      </w:r>
    </w:p>
    <w:p>
      <w:pPr>
        <w:spacing w:after="0" w:line="107" w:lineRule="exact"/>
        <w:rPr>
          <w:sz w:val="20"/>
          <w:szCs w:val="20"/>
          <w:color w:val="auto"/>
        </w:rPr>
      </w:pPr>
    </w:p>
    <w:p>
      <w:pPr>
        <w:ind w:right="120"/>
        <w:spacing w:after="0" w:line="321" w:lineRule="auto"/>
        <w:rPr>
          <w:sz w:val="20"/>
          <w:szCs w:val="20"/>
          <w:color w:val="auto"/>
        </w:rPr>
      </w:pPr>
      <w:r>
        <w:rPr>
          <w:rFonts w:ascii="Arial" w:cs="Arial" w:eastAsia="Arial" w:hAnsi="Arial"/>
          <w:sz w:val="16"/>
          <w:szCs w:val="16"/>
          <w:color w:val="auto"/>
        </w:rPr>
        <w:t>Providing professional advancement and career growth opportunities for our people is at the heart of our mission. To facilitate advancement and growth, we offer a wide array of learning and development opportunities and experiences that can be</w:t>
      </w:r>
    </w:p>
    <w:p>
      <w:pPr>
        <w:sectPr>
          <w:pgSz w:w="11900" w:h="16924" w:orient="portrait"/>
          <w:cols w:equalWidth="0" w:num="1">
            <w:col w:w="9080"/>
          </w:cols>
          <w:pgMar w:left="1400" w:top="130" w:right="1419" w:bottom="0" w:gutter="0" w:footer="0" w:header="0"/>
          <w:type w:val="continuous"/>
        </w:sectPr>
      </w:pPr>
    </w:p>
    <w:bookmarkStart w:id="36" w:name="page37"/>
    <w:bookmarkEnd w:id="36"/>
    <w:p>
      <w:pPr>
        <w:spacing w:after="0"/>
        <w:rPr>
          <w:sz w:val="20"/>
          <w:szCs w:val="20"/>
          <w:color w:val="auto"/>
        </w:rPr>
      </w:pPr>
      <w:r>
        <w:rPr>
          <w:rFonts w:ascii="Arial" w:cs="Arial" w:eastAsia="Arial" w:hAnsi="Arial"/>
          <w:sz w:val="16"/>
          <w:szCs w:val="16"/>
          <w:color w:val="auto"/>
        </w:rPr>
        <w:t>tailored to personal needs. We continue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-99695</wp:posOffset>
            </wp:positionV>
            <wp:extent cx="6810375" cy="58654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10375" cy="5865495"/>
                    </a:xfrm>
                    <a:prstGeom prst="rect">
                      <a:avLst/>
                    </a:prstGeom>
                    <a:noFill/>
                  </pic:spPr>
                </pic:pic>
              </a:graphicData>
            </a:graphic>
          </wp:anchor>
        </w:drawing>
      </w:r>
    </w:p>
    <w:p>
      <w:pPr>
        <w:spacing w:after="0" w:line="132" w:lineRule="exact"/>
        <w:rPr>
          <w:sz w:val="20"/>
          <w:szCs w:val="20"/>
          <w:color w:val="auto"/>
        </w:rPr>
      </w:pPr>
    </w:p>
    <w:p>
      <w:pPr>
        <w:ind w:left="180" w:right="420" w:hanging="172"/>
        <w:spacing w:after="0" w:line="321" w:lineRule="auto"/>
        <w:tabs>
          <w:tab w:leader="none" w:pos="180" w:val="left"/>
        </w:tabs>
        <w:numPr>
          <w:ilvl w:val="0"/>
          <w:numId w:val="61"/>
        </w:numPr>
        <w:rPr>
          <w:rFonts w:ascii="Arial" w:cs="Arial" w:eastAsia="Arial" w:hAnsi="Arial"/>
          <w:sz w:val="16"/>
          <w:szCs w:val="16"/>
          <w:b w:val="1"/>
          <w:bCs w:val="1"/>
          <w:color w:val="6AAA37"/>
        </w:rPr>
      </w:pPr>
      <w:r>
        <w:rPr>
          <w:rFonts w:ascii="Arial" w:cs="Arial" w:eastAsia="Arial" w:hAnsi="Arial"/>
          <w:sz w:val="16"/>
          <w:szCs w:val="16"/>
          <w:color w:val="auto"/>
        </w:rPr>
        <w:t>Facilitate an interactive two-day orientation curriculum for newly hired employees to ensure a smooth induction into the organization.</w:t>
      </w:r>
    </w:p>
    <w:p>
      <w:pPr>
        <w:spacing w:after="0" w:line="34" w:lineRule="exact"/>
        <w:rPr>
          <w:rFonts w:ascii="Arial" w:cs="Arial" w:eastAsia="Arial" w:hAnsi="Arial"/>
          <w:sz w:val="16"/>
          <w:szCs w:val="16"/>
          <w:b w:val="1"/>
          <w:bCs w:val="1"/>
          <w:color w:val="6AAA37"/>
        </w:rPr>
      </w:pPr>
    </w:p>
    <w:p>
      <w:pPr>
        <w:ind w:left="180" w:right="80" w:hanging="172"/>
        <w:spacing w:after="0" w:line="321" w:lineRule="auto"/>
        <w:tabs>
          <w:tab w:leader="none" w:pos="180" w:val="left"/>
        </w:tabs>
        <w:numPr>
          <w:ilvl w:val="0"/>
          <w:numId w:val="61"/>
        </w:numPr>
        <w:rPr>
          <w:rFonts w:ascii="Arial" w:cs="Arial" w:eastAsia="Arial" w:hAnsi="Arial"/>
          <w:sz w:val="16"/>
          <w:szCs w:val="16"/>
          <w:b w:val="1"/>
          <w:bCs w:val="1"/>
          <w:color w:val="6AAA37"/>
        </w:rPr>
      </w:pPr>
      <w:r>
        <w:rPr>
          <w:rFonts w:ascii="Arial" w:cs="Arial" w:eastAsia="Arial" w:hAnsi="Arial"/>
          <w:sz w:val="16"/>
          <w:szCs w:val="16"/>
          <w:color w:val="auto"/>
        </w:rPr>
        <w:t>Offer just-in-time, 1:1 coaching and training opportunities that inform and prepare leaders and coaches to excel in moments that matter for our employees.</w:t>
      </w:r>
    </w:p>
    <w:p>
      <w:pPr>
        <w:spacing w:after="0" w:line="34" w:lineRule="exact"/>
        <w:rPr>
          <w:rFonts w:ascii="Arial" w:cs="Arial" w:eastAsia="Arial" w:hAnsi="Arial"/>
          <w:sz w:val="16"/>
          <w:szCs w:val="16"/>
          <w:b w:val="1"/>
          <w:bCs w:val="1"/>
          <w:color w:val="6AAA37"/>
        </w:rPr>
      </w:pPr>
    </w:p>
    <w:p>
      <w:pPr>
        <w:ind w:left="180" w:right="680" w:hanging="172"/>
        <w:spacing w:after="0" w:line="321" w:lineRule="auto"/>
        <w:tabs>
          <w:tab w:leader="none" w:pos="180" w:val="left"/>
        </w:tabs>
        <w:numPr>
          <w:ilvl w:val="0"/>
          <w:numId w:val="61"/>
        </w:numPr>
        <w:rPr>
          <w:rFonts w:ascii="Arial" w:cs="Arial" w:eastAsia="Arial" w:hAnsi="Arial"/>
          <w:sz w:val="16"/>
          <w:szCs w:val="16"/>
          <w:b w:val="1"/>
          <w:bCs w:val="1"/>
          <w:color w:val="6AAA37"/>
        </w:rPr>
      </w:pPr>
      <w:r>
        <w:rPr>
          <w:rFonts w:ascii="Arial" w:cs="Arial" w:eastAsia="Arial" w:hAnsi="Arial"/>
          <w:sz w:val="16"/>
          <w:szCs w:val="16"/>
          <w:color w:val="auto"/>
        </w:rPr>
        <w:t>Strive to develop world class leaders by delivering programs and opportunities, such as our Senior Director Cohort, Milestone schools and Sponsorship program, which focus on key leadership behaviors.</w:t>
      </w:r>
    </w:p>
    <w:p>
      <w:pPr>
        <w:spacing w:after="0" w:line="34" w:lineRule="exact"/>
        <w:rPr>
          <w:rFonts w:ascii="Arial" w:cs="Arial" w:eastAsia="Arial" w:hAnsi="Arial"/>
          <w:sz w:val="16"/>
          <w:szCs w:val="16"/>
          <w:b w:val="1"/>
          <w:bCs w:val="1"/>
          <w:color w:val="6AAA37"/>
        </w:rPr>
      </w:pPr>
    </w:p>
    <w:p>
      <w:pPr>
        <w:ind w:left="180" w:right="760" w:hanging="172"/>
        <w:spacing w:after="0" w:line="321" w:lineRule="auto"/>
        <w:tabs>
          <w:tab w:leader="none" w:pos="180" w:val="left"/>
        </w:tabs>
        <w:numPr>
          <w:ilvl w:val="0"/>
          <w:numId w:val="61"/>
        </w:numPr>
        <w:rPr>
          <w:rFonts w:ascii="Arial" w:cs="Arial" w:eastAsia="Arial" w:hAnsi="Arial"/>
          <w:sz w:val="16"/>
          <w:szCs w:val="16"/>
          <w:b w:val="1"/>
          <w:bCs w:val="1"/>
          <w:color w:val="6AAA37"/>
        </w:rPr>
      </w:pPr>
      <w:r>
        <w:rPr>
          <w:rFonts w:ascii="Arial" w:cs="Arial" w:eastAsia="Arial" w:hAnsi="Arial"/>
          <w:sz w:val="16"/>
          <w:szCs w:val="16"/>
          <w:color w:val="auto"/>
        </w:rPr>
        <w:t>Provide access to a variety of learning opportunities to further develop employees’ skills, technical knowledge, EQ capabilities, team dynamics, and proficiency in coaching and developing others.</w:t>
      </w:r>
    </w:p>
    <w:p>
      <w:pPr>
        <w:spacing w:after="0" w:line="34" w:lineRule="exact"/>
        <w:rPr>
          <w:rFonts w:ascii="Arial" w:cs="Arial" w:eastAsia="Arial" w:hAnsi="Arial"/>
          <w:sz w:val="16"/>
          <w:szCs w:val="16"/>
          <w:b w:val="1"/>
          <w:bCs w:val="1"/>
          <w:color w:val="6AAA37"/>
        </w:rPr>
      </w:pPr>
    </w:p>
    <w:p>
      <w:pPr>
        <w:ind w:left="180" w:right="400" w:hanging="172"/>
        <w:spacing w:after="0" w:line="339" w:lineRule="auto"/>
        <w:tabs>
          <w:tab w:leader="none" w:pos="180" w:val="left"/>
        </w:tabs>
        <w:numPr>
          <w:ilvl w:val="0"/>
          <w:numId w:val="61"/>
        </w:numPr>
        <w:rPr>
          <w:rFonts w:ascii="Arial" w:cs="Arial" w:eastAsia="Arial" w:hAnsi="Arial"/>
          <w:sz w:val="16"/>
          <w:szCs w:val="16"/>
          <w:b w:val="1"/>
          <w:bCs w:val="1"/>
          <w:color w:val="6AAA37"/>
        </w:rPr>
      </w:pPr>
      <w:r>
        <w:rPr>
          <w:rFonts w:ascii="Arial" w:cs="Arial" w:eastAsia="Arial" w:hAnsi="Arial"/>
          <w:sz w:val="16"/>
          <w:szCs w:val="16"/>
          <w:color w:val="auto"/>
        </w:rPr>
        <w:t>Encourage employees to enhance their professional capabilities through external learning opportunities that certify and validate industry, functional and technical skills.</w:t>
      </w:r>
    </w:p>
    <w:p>
      <w:pPr>
        <w:spacing w:after="0" w:line="6" w:lineRule="exact"/>
        <w:rPr>
          <w:rFonts w:ascii="Arial" w:cs="Arial" w:eastAsia="Arial" w:hAnsi="Arial"/>
          <w:sz w:val="16"/>
          <w:szCs w:val="16"/>
          <w:b w:val="1"/>
          <w:bCs w:val="1"/>
          <w:color w:val="6AAA37"/>
        </w:rPr>
      </w:pPr>
    </w:p>
    <w:p>
      <w:pPr>
        <w:ind w:left="180" w:right="440" w:hanging="172"/>
        <w:spacing w:after="0" w:line="339" w:lineRule="auto"/>
        <w:tabs>
          <w:tab w:leader="none" w:pos="180" w:val="left"/>
        </w:tabs>
        <w:numPr>
          <w:ilvl w:val="0"/>
          <w:numId w:val="61"/>
        </w:numPr>
        <w:rPr>
          <w:rFonts w:ascii="Arial" w:cs="Arial" w:eastAsia="Arial" w:hAnsi="Arial"/>
          <w:sz w:val="16"/>
          <w:szCs w:val="16"/>
          <w:b w:val="1"/>
          <w:bCs w:val="1"/>
          <w:color w:val="6AAA37"/>
        </w:rPr>
      </w:pPr>
      <w:r>
        <w:rPr>
          <w:rFonts w:ascii="Arial" w:cs="Arial" w:eastAsia="Arial" w:hAnsi="Arial"/>
          <w:sz w:val="16"/>
          <w:szCs w:val="16"/>
          <w:color w:val="auto"/>
        </w:rPr>
        <w:t>Match employees with internal onboarding stewards, performance coaches, mentors, and, in some cases, sponsors to facilitate their growth and expand their network of support.</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We also actively gauge our employee engagement success through various metrics, including:</w:t>
      </w:r>
    </w:p>
    <w:p>
      <w:pPr>
        <w:spacing w:after="0" w:line="181" w:lineRule="exact"/>
        <w:rPr>
          <w:sz w:val="20"/>
          <w:szCs w:val="20"/>
          <w:color w:val="auto"/>
        </w:rPr>
      </w:pPr>
    </w:p>
    <w:p>
      <w:pPr>
        <w:ind w:left="180" w:right="180" w:hanging="172"/>
        <w:spacing w:after="0" w:line="339" w:lineRule="auto"/>
        <w:tabs>
          <w:tab w:leader="none" w:pos="180" w:val="left"/>
        </w:tabs>
        <w:numPr>
          <w:ilvl w:val="0"/>
          <w:numId w:val="62"/>
        </w:numPr>
        <w:rPr>
          <w:rFonts w:ascii="Arial" w:cs="Arial" w:eastAsia="Arial" w:hAnsi="Arial"/>
          <w:sz w:val="16"/>
          <w:szCs w:val="16"/>
          <w:b w:val="1"/>
          <w:bCs w:val="1"/>
          <w:color w:val="6AAA37"/>
        </w:rPr>
      </w:pPr>
      <w:r>
        <w:rPr>
          <w:rFonts w:ascii="Arial" w:cs="Arial" w:eastAsia="Arial" w:hAnsi="Arial"/>
          <w:sz w:val="16"/>
          <w:szCs w:val="16"/>
          <w:color w:val="auto"/>
        </w:rPr>
        <w:t>Employee engagement score, which was 82 in 2024 and surpassed the Glint Employee Engagement global benchmark of 74; and</w:t>
      </w:r>
    </w:p>
    <w:p>
      <w:pPr>
        <w:spacing w:after="0" w:line="6" w:lineRule="exact"/>
        <w:rPr>
          <w:rFonts w:ascii="Arial" w:cs="Arial" w:eastAsia="Arial" w:hAnsi="Arial"/>
          <w:sz w:val="16"/>
          <w:szCs w:val="16"/>
          <w:b w:val="1"/>
          <w:bCs w:val="1"/>
          <w:color w:val="6AAA37"/>
        </w:rPr>
      </w:pPr>
    </w:p>
    <w:p>
      <w:pPr>
        <w:ind w:left="180" w:hanging="172"/>
        <w:spacing w:after="0"/>
        <w:tabs>
          <w:tab w:leader="none" w:pos="180" w:val="left"/>
        </w:tabs>
        <w:numPr>
          <w:ilvl w:val="0"/>
          <w:numId w:val="62"/>
        </w:numPr>
        <w:rPr>
          <w:rFonts w:ascii="Arial" w:cs="Arial" w:eastAsia="Arial" w:hAnsi="Arial"/>
          <w:sz w:val="16"/>
          <w:szCs w:val="16"/>
          <w:b w:val="1"/>
          <w:bCs w:val="1"/>
          <w:color w:val="6AAA37"/>
        </w:rPr>
      </w:pPr>
      <w:r>
        <w:rPr>
          <w:rFonts w:ascii="Arial" w:cs="Arial" w:eastAsia="Arial" w:hAnsi="Arial"/>
          <w:sz w:val="16"/>
          <w:szCs w:val="16"/>
          <w:color w:val="auto"/>
        </w:rPr>
        <w:t>Coach quality score, which was 83 in 2024 and above the Glint Coach Quality global benchmark of 82.</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Diverse Culture and Community</w:t>
      </w:r>
    </w:p>
    <w:p>
      <w:pPr>
        <w:spacing w:after="0" w:line="8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As part of our commitment to our people, we prioritize embracing their distinct qualities, encouraging them to express their authentic selves and foster connections. Our mission is intrinsically tied to cultivating a workplace where inclusion is seamlessly integrated into all aspects of our business. We believe that by embracing a spectrum of perspectives and experiences, we can unlock innovation, inspire creativity, and gain a deeper understanding to effectively meet the needs of our clients and communities. This is evident in our ongoing efforts to sustain a workplace culture that values and respects everyone, including our employee resource groups, referred to as iMatter teams. Our iMatter teams and networks, which are open to every employee, foster a sense of belonging and make a positive impact both within and outside of the workplace. Along with our nine iMatter Teams, Huron supports six networks including, Experienced Hires, Helping Hands, Public Health, Rising Professionals, Sustainability, and introduced the First-Generation Professionals network in 2024. These networks collectively strive to empower our workforce through professional development, social engagement, and community impact. See “2024 Highlights” within the Compensation Discussion and Analysis of this Proxy Statement for additional details on Huron’s recognitions as an employer of choice in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0"/>
        <w:spacing w:after="0"/>
        <w:tabs>
          <w:tab w:leader="none" w:pos="444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13"/>
          <w:szCs w:val="13"/>
          <w:b w:val="1"/>
          <w:bCs w:val="1"/>
          <w:color w:val="00558C"/>
        </w:rPr>
        <w:t>30</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420370</wp:posOffset>
            </wp:positionV>
            <wp:extent cx="6810375" cy="45681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10375" cy="4568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540" w:val="left"/>
          <w:tab w:leader="none" w:pos="7360" w:val="left"/>
          <w:tab w:leader="none" w:pos="8400" w:val="left"/>
        </w:tabs>
        <w:rPr>
          <w:sz w:val="20"/>
          <w:szCs w:val="20"/>
          <w:color w:val="auto"/>
        </w:rPr>
      </w:pPr>
      <w:r>
        <w:rPr>
          <w:rFonts w:ascii="Arial" w:cs="Arial" w:eastAsia="Arial" w:hAnsi="Arial"/>
          <w:sz w:val="13"/>
          <w:szCs w:val="13"/>
          <w:b w:val="1"/>
          <w:bCs w:val="1"/>
          <w:color w:val="B2B3B6"/>
        </w:rPr>
        <w:t>General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6AAA37"/>
        </w:rPr>
        <w:t>Corporate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Executive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Stockholder</w:t>
      </w:r>
      <w:r>
        <w:rPr>
          <w:sz w:val="20"/>
          <w:szCs w:val="20"/>
          <w:color w:val="auto"/>
        </w:rPr>
        <w:tab/>
      </w:r>
      <w:r>
        <w:rPr>
          <w:rFonts w:ascii="Arial" w:cs="Arial" w:eastAsia="Arial" w:hAnsi="Arial"/>
          <w:sz w:val="12"/>
          <w:szCs w:val="12"/>
          <w:b w:val="1"/>
          <w:bCs w:val="1"/>
          <w:color w:val="B2B3B6"/>
        </w:rPr>
        <w:t>Other</w:t>
      </w:r>
    </w:p>
    <w:p>
      <w:pPr>
        <w:spacing w:after="0" w:line="11"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540" w:val="left"/>
          <w:tab w:leader="none" w:pos="7360" w:val="left"/>
          <w:tab w:leader="none" w:pos="8400" w:val="left"/>
        </w:tabs>
        <w:rPr>
          <w:sz w:val="20"/>
          <w:szCs w:val="20"/>
          <w:color w:val="auto"/>
        </w:rPr>
      </w:pPr>
      <w:r>
        <w:rPr>
          <w:rFonts w:ascii="Arial" w:cs="Arial" w:eastAsia="Arial" w:hAnsi="Arial"/>
          <w:sz w:val="13"/>
          <w:szCs w:val="13"/>
          <w:b w:val="1"/>
          <w:bCs w:val="1"/>
          <w:color w:val="B2B3B6"/>
        </w:rPr>
        <w:t>Information</w:t>
      </w:r>
      <w:r>
        <w:rPr>
          <w:sz w:val="20"/>
          <w:szCs w:val="20"/>
          <w:color w:val="auto"/>
        </w:rPr>
        <w:tab/>
      </w:r>
      <w:r>
        <w:rPr>
          <w:rFonts w:ascii="Arial" w:cs="Arial" w:eastAsia="Arial" w:hAnsi="Arial"/>
          <w:sz w:val="13"/>
          <w:szCs w:val="13"/>
          <w:b w:val="1"/>
          <w:bCs w:val="1"/>
          <w:color w:val="B2B3B6"/>
        </w:rPr>
        <w:t>One</w:t>
      </w:r>
      <w:r>
        <w:rPr>
          <w:sz w:val="20"/>
          <w:szCs w:val="20"/>
          <w:color w:val="auto"/>
        </w:rPr>
        <w:tab/>
      </w:r>
      <w:r>
        <w:rPr>
          <w:rFonts w:ascii="Arial" w:cs="Arial" w:eastAsia="Arial" w:hAnsi="Arial"/>
          <w:sz w:val="13"/>
          <w:szCs w:val="13"/>
          <w:b w:val="1"/>
          <w:bCs w:val="1"/>
          <w:color w:val="6AAA37"/>
        </w:rPr>
        <w:t>Governance</w:t>
      </w:r>
      <w:r>
        <w:rPr>
          <w:sz w:val="20"/>
          <w:szCs w:val="20"/>
          <w:color w:val="auto"/>
        </w:rPr>
        <w:tab/>
      </w:r>
      <w:r>
        <w:rPr>
          <w:rFonts w:ascii="Arial" w:cs="Arial" w:eastAsia="Arial" w:hAnsi="Arial"/>
          <w:sz w:val="13"/>
          <w:szCs w:val="13"/>
          <w:b w:val="1"/>
          <w:bCs w:val="1"/>
          <w:color w:val="B2B3B6"/>
        </w:rPr>
        <w:t>Two</w:t>
      </w:r>
      <w:r>
        <w:rPr>
          <w:sz w:val="20"/>
          <w:szCs w:val="20"/>
          <w:color w:val="auto"/>
        </w:rPr>
        <w:tab/>
      </w:r>
      <w:r>
        <w:rPr>
          <w:rFonts w:ascii="Arial" w:cs="Arial" w:eastAsia="Arial" w:hAnsi="Arial"/>
          <w:sz w:val="13"/>
          <w:szCs w:val="13"/>
          <w:b w:val="1"/>
          <w:bCs w:val="1"/>
          <w:color w:val="B2B3B6"/>
        </w:rPr>
        <w:t>Compensation</w:t>
      </w:r>
      <w:r>
        <w:rPr>
          <w:sz w:val="20"/>
          <w:szCs w:val="20"/>
          <w:color w:val="auto"/>
        </w:rPr>
        <w:tab/>
      </w:r>
      <w:r>
        <w:rPr>
          <w:rFonts w:ascii="Arial" w:cs="Arial" w:eastAsia="Arial" w:hAnsi="Arial"/>
          <w:sz w:val="13"/>
          <w:szCs w:val="13"/>
          <w:b w:val="1"/>
          <w:bCs w:val="1"/>
          <w:color w:val="B2B3B6"/>
        </w:rPr>
        <w:t>Three</w:t>
      </w:r>
      <w:r>
        <w:rPr>
          <w:sz w:val="20"/>
          <w:szCs w:val="20"/>
          <w:color w:val="auto"/>
        </w:rPr>
        <w:tab/>
      </w:r>
      <w:r>
        <w:rPr>
          <w:rFonts w:ascii="Arial" w:cs="Arial" w:eastAsia="Arial" w:hAnsi="Arial"/>
          <w:sz w:val="13"/>
          <w:szCs w:val="13"/>
          <w:b w:val="1"/>
          <w:bCs w:val="1"/>
          <w:color w:val="B2B3B6"/>
        </w:rPr>
        <w:t>Four</w:t>
      </w:r>
      <w:r>
        <w:rPr>
          <w:sz w:val="20"/>
          <w:szCs w:val="20"/>
          <w:color w:val="auto"/>
        </w:rPr>
        <w:tab/>
      </w:r>
      <w:r>
        <w:rPr>
          <w:rFonts w:ascii="Arial" w:cs="Arial" w:eastAsia="Arial" w:hAnsi="Arial"/>
          <w:sz w:val="13"/>
          <w:szCs w:val="13"/>
          <w:b w:val="1"/>
          <w:bCs w:val="1"/>
          <w:color w:val="B2B3B6"/>
        </w:rPr>
        <w:t>Five</w:t>
      </w:r>
      <w:r>
        <w:rPr>
          <w:sz w:val="20"/>
          <w:szCs w:val="20"/>
          <w:color w:val="auto"/>
        </w:rPr>
        <w:tab/>
      </w:r>
      <w:r>
        <w:rPr>
          <w:rFonts w:ascii="Arial" w:cs="Arial" w:eastAsia="Arial" w:hAnsi="Arial"/>
          <w:sz w:val="13"/>
          <w:szCs w:val="13"/>
          <w:b w:val="1"/>
          <w:bCs w:val="1"/>
          <w:color w:val="B2B3B6"/>
        </w:rPr>
        <w:t>Proposals</w:t>
      </w:r>
      <w:r>
        <w:rPr>
          <w:sz w:val="20"/>
          <w:szCs w:val="20"/>
          <w:color w:val="auto"/>
        </w:rPr>
        <w:tab/>
      </w:r>
      <w:r>
        <w:rPr>
          <w:rFonts w:ascii="Arial" w:cs="Arial" w:eastAsia="Arial" w:hAnsi="Arial"/>
          <w:sz w:val="12"/>
          <w:szCs w:val="12"/>
          <w:b w:val="1"/>
          <w:bCs w:val="1"/>
          <w:color w:val="B2B3B6"/>
        </w:rPr>
        <w:t>Matters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Making an Impact in the Global Communities We Serve</w:t>
      </w:r>
    </w:p>
    <w:p>
      <w:pPr>
        <w:spacing w:after="0" w:line="68" w:lineRule="exact"/>
        <w:rPr>
          <w:sz w:val="20"/>
          <w:szCs w:val="20"/>
          <w:color w:val="auto"/>
        </w:rPr>
      </w:pPr>
    </w:p>
    <w:p>
      <w:pPr>
        <w:ind w:right="140"/>
        <w:spacing w:after="0" w:line="300" w:lineRule="auto"/>
        <w:rPr>
          <w:sz w:val="20"/>
          <w:szCs w:val="20"/>
          <w:color w:val="auto"/>
        </w:rPr>
      </w:pPr>
      <w:r>
        <w:rPr>
          <w:rFonts w:ascii="Arial" w:cs="Arial" w:eastAsia="Arial" w:hAnsi="Arial"/>
          <w:sz w:val="16"/>
          <w:szCs w:val="16"/>
          <w:color w:val="auto"/>
        </w:rPr>
        <w:t>Our commitment to giving back to the communities in which we live and work remains steadfast, and our efforts extend to a wide range of causes aimed at reducing disparities and enhancing access to vital resources within our communities. In 2024, we continued to focus on promoting good health and well-being by partnering with and hosting interactive fundraising campaigns with organizations such as the following:</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0" w:type="dxa"/>
            <w:vAlign w:val="bottom"/>
            <w:shd w:val="clear" w:color="auto" w:fill="F2F3F2"/>
          </w:tcPr>
          <w:p>
            <w:pPr>
              <w:spacing w:after="0"/>
              <w:rPr>
                <w:sz w:val="23"/>
                <w:szCs w:val="23"/>
                <w:color w:val="auto"/>
              </w:rPr>
            </w:pPr>
          </w:p>
        </w:tc>
        <w:tc>
          <w:tcPr>
            <w:tcW w:w="2080" w:type="dxa"/>
            <w:vAlign w:val="bottom"/>
            <w:shd w:val="clear" w:color="auto" w:fill="F2F3F2"/>
          </w:tcPr>
          <w:p>
            <w:pPr>
              <w:spacing w:after="0"/>
              <w:rPr>
                <w:sz w:val="23"/>
                <w:szCs w:val="23"/>
                <w:color w:val="auto"/>
              </w:rPr>
            </w:pPr>
          </w:p>
        </w:tc>
        <w:tc>
          <w:tcPr>
            <w:tcW w:w="120" w:type="dxa"/>
            <w:vAlign w:val="bottom"/>
            <w:tcBorders>
              <w:right w:val="single" w:sz="8" w:color="F2F3F2"/>
            </w:tcBorders>
            <w:shd w:val="clear" w:color="auto" w:fill="F2F3F2"/>
          </w:tcPr>
          <w:p>
            <w:pPr>
              <w:spacing w:after="0"/>
              <w:rPr>
                <w:sz w:val="23"/>
                <w:szCs w:val="23"/>
                <w:color w:val="auto"/>
              </w:rPr>
            </w:pPr>
          </w:p>
        </w:tc>
        <w:tc>
          <w:tcPr>
            <w:tcW w:w="80" w:type="dxa"/>
            <w:vAlign w:val="bottom"/>
            <w:shd w:val="clear" w:color="auto" w:fill="F2F3F2"/>
          </w:tcPr>
          <w:p>
            <w:pPr>
              <w:spacing w:after="0"/>
              <w:rPr>
                <w:sz w:val="23"/>
                <w:szCs w:val="23"/>
                <w:color w:val="auto"/>
              </w:rPr>
            </w:pPr>
          </w:p>
        </w:tc>
        <w:tc>
          <w:tcPr>
            <w:tcW w:w="2060" w:type="dxa"/>
            <w:vAlign w:val="bottom"/>
            <w:shd w:val="clear" w:color="auto" w:fill="F2F3F2"/>
          </w:tcPr>
          <w:p>
            <w:pPr>
              <w:spacing w:after="0"/>
              <w:rPr>
                <w:sz w:val="23"/>
                <w:szCs w:val="23"/>
                <w:color w:val="auto"/>
              </w:rPr>
            </w:pPr>
          </w:p>
        </w:tc>
        <w:tc>
          <w:tcPr>
            <w:tcW w:w="120" w:type="dxa"/>
            <w:vAlign w:val="bottom"/>
            <w:tcBorders>
              <w:right w:val="single" w:sz="8" w:color="F2F3F2"/>
            </w:tcBorders>
            <w:shd w:val="clear" w:color="auto" w:fill="F2F3F2"/>
          </w:tcPr>
          <w:p>
            <w:pPr>
              <w:spacing w:after="0"/>
              <w:rPr>
                <w:sz w:val="23"/>
                <w:szCs w:val="23"/>
                <w:color w:val="auto"/>
              </w:rPr>
            </w:pPr>
          </w:p>
        </w:tc>
        <w:tc>
          <w:tcPr>
            <w:tcW w:w="80" w:type="dxa"/>
            <w:vAlign w:val="bottom"/>
            <w:shd w:val="clear" w:color="auto" w:fill="F2F3F2"/>
          </w:tcPr>
          <w:p>
            <w:pPr>
              <w:spacing w:after="0"/>
              <w:rPr>
                <w:sz w:val="23"/>
                <w:szCs w:val="23"/>
                <w:color w:val="auto"/>
              </w:rPr>
            </w:pPr>
          </w:p>
        </w:tc>
        <w:tc>
          <w:tcPr>
            <w:tcW w:w="2180" w:type="dxa"/>
            <w:vAlign w:val="bottom"/>
            <w:gridSpan w:val="2"/>
            <w:vMerge w:val="restart"/>
            <w:shd w:val="clear" w:color="auto" w:fill="F2F3F2"/>
          </w:tcPr>
          <w:p>
            <w:pPr>
              <w:jc w:val="center"/>
              <w:ind w:right="320"/>
              <w:spacing w:after="0"/>
              <w:rPr>
                <w:sz w:val="20"/>
                <w:szCs w:val="20"/>
                <w:color w:val="auto"/>
              </w:rPr>
            </w:pPr>
            <w:r>
              <w:rPr>
                <w:rFonts w:ascii="Arial" w:cs="Arial" w:eastAsia="Arial" w:hAnsi="Arial"/>
                <w:sz w:val="22"/>
                <w:szCs w:val="22"/>
                <w:color w:val="6AAA37"/>
                <w:w w:val="97"/>
              </w:rPr>
              <w:t>American Cancer</w:t>
            </w:r>
          </w:p>
        </w:tc>
        <w:tc>
          <w:tcPr>
            <w:tcW w:w="80" w:type="dxa"/>
            <w:vAlign w:val="bottom"/>
            <w:tcBorders>
              <w:left w:val="single" w:sz="8" w:color="F2F3F2"/>
            </w:tcBorders>
            <w:shd w:val="clear" w:color="auto" w:fill="F2F3F2"/>
          </w:tcPr>
          <w:p>
            <w:pPr>
              <w:spacing w:after="0"/>
              <w:rPr>
                <w:sz w:val="23"/>
                <w:szCs w:val="23"/>
                <w:color w:val="auto"/>
              </w:rPr>
            </w:pPr>
          </w:p>
        </w:tc>
        <w:tc>
          <w:tcPr>
            <w:tcW w:w="2180" w:type="dxa"/>
            <w:vAlign w:val="bottom"/>
            <w:gridSpan w:val="2"/>
            <w:vMerge w:val="restart"/>
            <w:shd w:val="clear" w:color="auto" w:fill="F2F3F2"/>
          </w:tcPr>
          <w:p>
            <w:pPr>
              <w:jc w:val="center"/>
              <w:ind w:right="240"/>
              <w:spacing w:after="0"/>
              <w:rPr>
                <w:sz w:val="20"/>
                <w:szCs w:val="20"/>
                <w:color w:val="auto"/>
              </w:rPr>
            </w:pPr>
            <w:r>
              <w:rPr>
                <w:rFonts w:ascii="Arial" w:cs="Arial" w:eastAsia="Arial" w:hAnsi="Arial"/>
                <w:sz w:val="22"/>
                <w:szCs w:val="22"/>
                <w:color w:val="6AAA37"/>
                <w:w w:val="98"/>
              </w:rPr>
              <w:t>Ann &amp; Robert H.</w:t>
            </w:r>
          </w:p>
        </w:tc>
        <w:tc>
          <w:tcPr>
            <w:tcW w:w="0" w:type="dxa"/>
            <w:vAlign w:val="bottom"/>
          </w:tcPr>
          <w:p>
            <w:pPr>
              <w:spacing w:after="0"/>
              <w:rPr>
                <w:sz w:val="1"/>
                <w:szCs w:val="1"/>
                <w:color w:val="auto"/>
              </w:rPr>
            </w:pPr>
          </w:p>
        </w:tc>
      </w:tr>
      <w:tr>
        <w:trPr>
          <w:trHeight w:val="284"/>
        </w:trPr>
        <w:tc>
          <w:tcPr>
            <w:tcW w:w="100" w:type="dxa"/>
            <w:vAlign w:val="bottom"/>
            <w:shd w:val="clear" w:color="auto" w:fill="F2F3F2"/>
          </w:tcPr>
          <w:p>
            <w:pPr>
              <w:spacing w:after="0"/>
              <w:rPr>
                <w:sz w:val="24"/>
                <w:szCs w:val="24"/>
                <w:color w:val="auto"/>
              </w:rPr>
            </w:pPr>
          </w:p>
        </w:tc>
        <w:tc>
          <w:tcPr>
            <w:tcW w:w="2080" w:type="dxa"/>
            <w:vAlign w:val="bottom"/>
            <w:shd w:val="clear" w:color="auto" w:fill="F2F3F2"/>
          </w:tcPr>
          <w:p>
            <w:pPr>
              <w:spacing w:after="0"/>
              <w:rPr>
                <w:sz w:val="24"/>
                <w:szCs w:val="24"/>
                <w:color w:val="auto"/>
              </w:rPr>
            </w:pPr>
          </w:p>
        </w:tc>
        <w:tc>
          <w:tcPr>
            <w:tcW w:w="120" w:type="dxa"/>
            <w:vAlign w:val="bottom"/>
            <w:tcBorders>
              <w:right w:val="single" w:sz="8" w:color="B2B3B6"/>
            </w:tcBorders>
            <w:shd w:val="clear" w:color="auto" w:fill="F2F3F2"/>
          </w:tcPr>
          <w:p>
            <w:pPr>
              <w:spacing w:after="0"/>
              <w:rPr>
                <w:sz w:val="24"/>
                <w:szCs w:val="24"/>
                <w:color w:val="auto"/>
              </w:rPr>
            </w:pPr>
          </w:p>
        </w:tc>
        <w:tc>
          <w:tcPr>
            <w:tcW w:w="80" w:type="dxa"/>
            <w:vAlign w:val="bottom"/>
            <w:shd w:val="clear" w:color="auto" w:fill="F2F3F2"/>
          </w:tcPr>
          <w:p>
            <w:pPr>
              <w:spacing w:after="0"/>
              <w:rPr>
                <w:sz w:val="24"/>
                <w:szCs w:val="24"/>
                <w:color w:val="auto"/>
              </w:rPr>
            </w:pPr>
          </w:p>
        </w:tc>
        <w:tc>
          <w:tcPr>
            <w:tcW w:w="2060" w:type="dxa"/>
            <w:vAlign w:val="bottom"/>
            <w:shd w:val="clear" w:color="auto" w:fill="F2F3F2"/>
          </w:tcPr>
          <w:p>
            <w:pPr>
              <w:spacing w:after="0"/>
              <w:rPr>
                <w:sz w:val="24"/>
                <w:szCs w:val="24"/>
                <w:color w:val="auto"/>
              </w:rPr>
            </w:pPr>
          </w:p>
        </w:tc>
        <w:tc>
          <w:tcPr>
            <w:tcW w:w="120" w:type="dxa"/>
            <w:vAlign w:val="bottom"/>
            <w:tcBorders>
              <w:right w:val="single" w:sz="8" w:color="B2B3B6"/>
            </w:tcBorders>
            <w:shd w:val="clear" w:color="auto" w:fill="F2F3F2"/>
          </w:tcPr>
          <w:p>
            <w:pPr>
              <w:spacing w:after="0"/>
              <w:rPr>
                <w:sz w:val="24"/>
                <w:szCs w:val="24"/>
                <w:color w:val="auto"/>
              </w:rPr>
            </w:pPr>
          </w:p>
        </w:tc>
        <w:tc>
          <w:tcPr>
            <w:tcW w:w="80" w:type="dxa"/>
            <w:vAlign w:val="bottom"/>
            <w:shd w:val="clear" w:color="auto" w:fill="F2F3F2"/>
          </w:tcPr>
          <w:p>
            <w:pPr>
              <w:spacing w:after="0"/>
              <w:rPr>
                <w:sz w:val="24"/>
                <w:szCs w:val="24"/>
                <w:color w:val="auto"/>
              </w:rPr>
            </w:pPr>
          </w:p>
        </w:tc>
        <w:tc>
          <w:tcPr>
            <w:tcW w:w="2180" w:type="dxa"/>
            <w:vAlign w:val="bottom"/>
            <w:gridSpan w:val="2"/>
            <w:vMerge w:val="continue"/>
            <w:shd w:val="clear" w:color="auto" w:fill="F2F3F2"/>
          </w:tcPr>
          <w:p>
            <w:pPr>
              <w:spacing w:after="0"/>
              <w:rPr>
                <w:sz w:val="24"/>
                <w:szCs w:val="24"/>
                <w:color w:val="auto"/>
              </w:rPr>
            </w:pPr>
          </w:p>
        </w:tc>
        <w:tc>
          <w:tcPr>
            <w:tcW w:w="80" w:type="dxa"/>
            <w:vAlign w:val="bottom"/>
            <w:tcBorders>
              <w:left w:val="single" w:sz="8" w:color="B2B3B6"/>
            </w:tcBorders>
            <w:shd w:val="clear" w:color="auto" w:fill="F2F3F2"/>
          </w:tcPr>
          <w:p>
            <w:pPr>
              <w:spacing w:after="0"/>
              <w:rPr>
                <w:sz w:val="24"/>
                <w:szCs w:val="24"/>
                <w:color w:val="auto"/>
              </w:rPr>
            </w:pPr>
          </w:p>
        </w:tc>
        <w:tc>
          <w:tcPr>
            <w:tcW w:w="2180" w:type="dxa"/>
            <w:vAlign w:val="bottom"/>
            <w:gridSpan w:val="2"/>
            <w:vMerge w:val="continue"/>
            <w:shd w:val="clear" w:color="auto" w:fill="F2F3F2"/>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100" w:type="dxa"/>
            <w:vAlign w:val="bottom"/>
            <w:shd w:val="clear" w:color="auto" w:fill="F2F3F2"/>
          </w:tcPr>
          <w:p>
            <w:pPr>
              <w:spacing w:after="0"/>
              <w:rPr>
                <w:sz w:val="10"/>
                <w:szCs w:val="10"/>
                <w:color w:val="auto"/>
              </w:rPr>
            </w:pPr>
          </w:p>
        </w:tc>
        <w:tc>
          <w:tcPr>
            <w:tcW w:w="2080" w:type="dxa"/>
            <w:vAlign w:val="bottom"/>
            <w:vMerge w:val="restart"/>
            <w:shd w:val="clear" w:color="auto" w:fill="F2F3F2"/>
          </w:tcPr>
          <w:p>
            <w:pPr>
              <w:jc w:val="center"/>
              <w:ind w:right="32"/>
              <w:spacing w:after="0"/>
              <w:rPr>
                <w:sz w:val="20"/>
                <w:szCs w:val="20"/>
                <w:color w:val="auto"/>
              </w:rPr>
            </w:pPr>
            <w:r>
              <w:rPr>
                <w:rFonts w:ascii="Arial" w:cs="Arial" w:eastAsia="Arial" w:hAnsi="Arial"/>
                <w:sz w:val="22"/>
                <w:szCs w:val="22"/>
                <w:color w:val="6AAA37"/>
                <w:w w:val="98"/>
              </w:rPr>
              <w:t>Movember</w:t>
            </w:r>
          </w:p>
        </w:tc>
        <w:tc>
          <w:tcPr>
            <w:tcW w:w="120" w:type="dxa"/>
            <w:vAlign w:val="bottom"/>
            <w:tcBorders>
              <w:right w:val="single" w:sz="8" w:color="B2B3B6"/>
            </w:tcBorders>
            <w:shd w:val="clear" w:color="auto" w:fill="F2F3F2"/>
          </w:tcPr>
          <w:p>
            <w:pPr>
              <w:spacing w:after="0"/>
              <w:rPr>
                <w:sz w:val="10"/>
                <w:szCs w:val="10"/>
                <w:color w:val="auto"/>
              </w:rPr>
            </w:pPr>
          </w:p>
        </w:tc>
        <w:tc>
          <w:tcPr>
            <w:tcW w:w="80" w:type="dxa"/>
            <w:vAlign w:val="bottom"/>
            <w:shd w:val="clear" w:color="auto" w:fill="F2F3F2"/>
          </w:tcPr>
          <w:p>
            <w:pPr>
              <w:spacing w:after="0"/>
              <w:rPr>
                <w:sz w:val="10"/>
                <w:szCs w:val="10"/>
                <w:color w:val="auto"/>
              </w:rPr>
            </w:pPr>
          </w:p>
        </w:tc>
        <w:tc>
          <w:tcPr>
            <w:tcW w:w="2060" w:type="dxa"/>
            <w:vAlign w:val="bottom"/>
            <w:vMerge w:val="restart"/>
            <w:shd w:val="clear" w:color="auto" w:fill="F2F3F2"/>
          </w:tcPr>
          <w:p>
            <w:pPr>
              <w:ind w:left="180"/>
              <w:spacing w:after="0"/>
              <w:rPr>
                <w:sz w:val="20"/>
                <w:szCs w:val="20"/>
                <w:color w:val="auto"/>
              </w:rPr>
            </w:pPr>
            <w:r>
              <w:rPr>
                <w:rFonts w:ascii="Arial" w:cs="Arial" w:eastAsia="Arial" w:hAnsi="Arial"/>
                <w:sz w:val="22"/>
                <w:szCs w:val="22"/>
                <w:color w:val="6AAA37"/>
              </w:rPr>
              <w:t>American Heart</w:t>
            </w:r>
          </w:p>
        </w:tc>
        <w:tc>
          <w:tcPr>
            <w:tcW w:w="120" w:type="dxa"/>
            <w:vAlign w:val="bottom"/>
            <w:tcBorders>
              <w:right w:val="single" w:sz="8" w:color="B2B3B6"/>
            </w:tcBorders>
            <w:shd w:val="clear" w:color="auto" w:fill="F2F3F2"/>
          </w:tcPr>
          <w:p>
            <w:pPr>
              <w:spacing w:after="0"/>
              <w:rPr>
                <w:sz w:val="10"/>
                <w:szCs w:val="10"/>
                <w:color w:val="auto"/>
              </w:rPr>
            </w:pPr>
          </w:p>
        </w:tc>
        <w:tc>
          <w:tcPr>
            <w:tcW w:w="80" w:type="dxa"/>
            <w:vAlign w:val="bottom"/>
            <w:shd w:val="clear" w:color="auto" w:fill="F2F3F2"/>
          </w:tcPr>
          <w:p>
            <w:pPr>
              <w:spacing w:after="0"/>
              <w:rPr>
                <w:sz w:val="10"/>
                <w:szCs w:val="10"/>
                <w:color w:val="auto"/>
              </w:rPr>
            </w:pPr>
          </w:p>
        </w:tc>
        <w:tc>
          <w:tcPr>
            <w:tcW w:w="2180" w:type="dxa"/>
            <w:vAlign w:val="bottom"/>
            <w:gridSpan w:val="2"/>
            <w:vMerge w:val="continue"/>
            <w:shd w:val="clear" w:color="auto" w:fill="F2F3F2"/>
          </w:tcPr>
          <w:p>
            <w:pPr>
              <w:spacing w:after="0"/>
              <w:rPr>
                <w:sz w:val="10"/>
                <w:szCs w:val="10"/>
                <w:color w:val="auto"/>
              </w:rPr>
            </w:pPr>
          </w:p>
        </w:tc>
        <w:tc>
          <w:tcPr>
            <w:tcW w:w="80" w:type="dxa"/>
            <w:vAlign w:val="bottom"/>
            <w:tcBorders>
              <w:left w:val="single" w:sz="8" w:color="B2B3B6"/>
            </w:tcBorders>
            <w:shd w:val="clear" w:color="auto" w:fill="F2F3F2"/>
          </w:tcPr>
          <w:p>
            <w:pPr>
              <w:spacing w:after="0"/>
              <w:rPr>
                <w:sz w:val="10"/>
                <w:szCs w:val="10"/>
                <w:color w:val="auto"/>
              </w:rPr>
            </w:pPr>
          </w:p>
        </w:tc>
        <w:tc>
          <w:tcPr>
            <w:tcW w:w="2180" w:type="dxa"/>
            <w:vAlign w:val="bottom"/>
            <w:gridSpan w:val="2"/>
            <w:vMerge w:val="restart"/>
            <w:shd w:val="clear" w:color="auto" w:fill="F2F3F2"/>
          </w:tcPr>
          <w:p>
            <w:pPr>
              <w:jc w:val="center"/>
              <w:ind w:right="280"/>
              <w:spacing w:after="0"/>
              <w:rPr>
                <w:sz w:val="20"/>
                <w:szCs w:val="20"/>
                <w:color w:val="auto"/>
              </w:rPr>
            </w:pPr>
            <w:r>
              <w:rPr>
                <w:rFonts w:ascii="Arial" w:cs="Arial" w:eastAsia="Arial" w:hAnsi="Arial"/>
                <w:sz w:val="22"/>
                <w:szCs w:val="22"/>
                <w:color w:val="6AAA37"/>
                <w:w w:val="98"/>
              </w:rPr>
              <w:t>Lurie Children’s</w:t>
            </w:r>
          </w:p>
        </w:tc>
        <w:tc>
          <w:tcPr>
            <w:tcW w:w="0" w:type="dxa"/>
            <w:vAlign w:val="bottom"/>
          </w:tcPr>
          <w:p>
            <w:pPr>
              <w:spacing w:after="0"/>
              <w:rPr>
                <w:sz w:val="1"/>
                <w:szCs w:val="1"/>
                <w:color w:val="auto"/>
              </w:rPr>
            </w:pPr>
          </w:p>
        </w:tc>
      </w:tr>
      <w:tr>
        <w:trPr>
          <w:trHeight w:val="135"/>
        </w:trPr>
        <w:tc>
          <w:tcPr>
            <w:tcW w:w="100" w:type="dxa"/>
            <w:vAlign w:val="bottom"/>
            <w:shd w:val="clear" w:color="auto" w:fill="F2F3F2"/>
          </w:tcPr>
          <w:p>
            <w:pPr>
              <w:spacing w:after="0"/>
              <w:rPr>
                <w:sz w:val="11"/>
                <w:szCs w:val="11"/>
                <w:color w:val="auto"/>
              </w:rPr>
            </w:pPr>
          </w:p>
        </w:tc>
        <w:tc>
          <w:tcPr>
            <w:tcW w:w="2080" w:type="dxa"/>
            <w:vAlign w:val="bottom"/>
            <w:vMerge w:val="continue"/>
            <w:shd w:val="clear" w:color="auto" w:fill="F2F3F2"/>
          </w:tcPr>
          <w:p>
            <w:pPr>
              <w:spacing w:after="0"/>
              <w:rPr>
                <w:sz w:val="11"/>
                <w:szCs w:val="11"/>
                <w:color w:val="auto"/>
              </w:rPr>
            </w:pPr>
          </w:p>
        </w:tc>
        <w:tc>
          <w:tcPr>
            <w:tcW w:w="120" w:type="dxa"/>
            <w:vAlign w:val="bottom"/>
            <w:tcBorders>
              <w:right w:val="single" w:sz="8" w:color="B2B3B6"/>
            </w:tcBorders>
            <w:shd w:val="clear" w:color="auto" w:fill="F2F3F2"/>
          </w:tcPr>
          <w:p>
            <w:pPr>
              <w:spacing w:after="0"/>
              <w:rPr>
                <w:sz w:val="11"/>
                <w:szCs w:val="11"/>
                <w:color w:val="auto"/>
              </w:rPr>
            </w:pPr>
          </w:p>
        </w:tc>
        <w:tc>
          <w:tcPr>
            <w:tcW w:w="80" w:type="dxa"/>
            <w:vAlign w:val="bottom"/>
            <w:shd w:val="clear" w:color="auto" w:fill="F2F3F2"/>
          </w:tcPr>
          <w:p>
            <w:pPr>
              <w:spacing w:after="0"/>
              <w:rPr>
                <w:sz w:val="11"/>
                <w:szCs w:val="11"/>
                <w:color w:val="auto"/>
              </w:rPr>
            </w:pPr>
          </w:p>
        </w:tc>
        <w:tc>
          <w:tcPr>
            <w:tcW w:w="2060" w:type="dxa"/>
            <w:vAlign w:val="bottom"/>
            <w:vMerge w:val="continue"/>
            <w:shd w:val="clear" w:color="auto" w:fill="F2F3F2"/>
          </w:tcPr>
          <w:p>
            <w:pPr>
              <w:spacing w:after="0"/>
              <w:rPr>
                <w:sz w:val="11"/>
                <w:szCs w:val="11"/>
                <w:color w:val="auto"/>
              </w:rPr>
            </w:pPr>
          </w:p>
        </w:tc>
        <w:tc>
          <w:tcPr>
            <w:tcW w:w="120" w:type="dxa"/>
            <w:vAlign w:val="bottom"/>
            <w:tcBorders>
              <w:right w:val="single" w:sz="8" w:color="B2B3B6"/>
            </w:tcBorders>
            <w:shd w:val="clear" w:color="auto" w:fill="F2F3F2"/>
          </w:tcPr>
          <w:p>
            <w:pPr>
              <w:spacing w:after="0"/>
              <w:rPr>
                <w:sz w:val="11"/>
                <w:szCs w:val="11"/>
                <w:color w:val="auto"/>
              </w:rPr>
            </w:pPr>
          </w:p>
        </w:tc>
        <w:tc>
          <w:tcPr>
            <w:tcW w:w="80" w:type="dxa"/>
            <w:vAlign w:val="bottom"/>
            <w:shd w:val="clear" w:color="auto" w:fill="F2F3F2"/>
          </w:tcPr>
          <w:p>
            <w:pPr>
              <w:spacing w:after="0"/>
              <w:rPr>
                <w:sz w:val="11"/>
                <w:szCs w:val="11"/>
                <w:color w:val="auto"/>
              </w:rPr>
            </w:pPr>
          </w:p>
        </w:tc>
        <w:tc>
          <w:tcPr>
            <w:tcW w:w="2180" w:type="dxa"/>
            <w:vAlign w:val="bottom"/>
            <w:gridSpan w:val="2"/>
            <w:vMerge w:val="restart"/>
            <w:shd w:val="clear" w:color="auto" w:fill="F2F3F2"/>
          </w:tcPr>
          <w:p>
            <w:pPr>
              <w:jc w:val="center"/>
              <w:ind w:right="180"/>
              <w:spacing w:after="0"/>
              <w:rPr>
                <w:sz w:val="20"/>
                <w:szCs w:val="20"/>
                <w:color w:val="auto"/>
              </w:rPr>
            </w:pPr>
            <w:r>
              <w:rPr>
                <w:rFonts w:ascii="Arial" w:cs="Arial" w:eastAsia="Arial" w:hAnsi="Arial"/>
                <w:sz w:val="22"/>
                <w:szCs w:val="22"/>
                <w:color w:val="6AAA37"/>
                <w:w w:val="99"/>
              </w:rPr>
              <w:t>Society</w:t>
            </w:r>
          </w:p>
        </w:tc>
        <w:tc>
          <w:tcPr>
            <w:tcW w:w="80" w:type="dxa"/>
            <w:vAlign w:val="bottom"/>
            <w:tcBorders>
              <w:left w:val="single" w:sz="8" w:color="B2B3B6"/>
            </w:tcBorders>
            <w:shd w:val="clear" w:color="auto" w:fill="F2F3F2"/>
          </w:tcPr>
          <w:p>
            <w:pPr>
              <w:spacing w:after="0"/>
              <w:rPr>
                <w:sz w:val="11"/>
                <w:szCs w:val="11"/>
                <w:color w:val="auto"/>
              </w:rPr>
            </w:pPr>
          </w:p>
        </w:tc>
        <w:tc>
          <w:tcPr>
            <w:tcW w:w="2180" w:type="dxa"/>
            <w:vAlign w:val="bottom"/>
            <w:gridSpan w:val="2"/>
            <w:vMerge w:val="continue"/>
            <w:shd w:val="clear" w:color="auto" w:fill="F2F3F2"/>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00" w:type="dxa"/>
            <w:vAlign w:val="bottom"/>
            <w:shd w:val="clear" w:color="auto" w:fill="F2F3F2"/>
          </w:tcPr>
          <w:p>
            <w:pPr>
              <w:spacing w:after="0"/>
              <w:rPr>
                <w:sz w:val="10"/>
                <w:szCs w:val="10"/>
                <w:color w:val="auto"/>
              </w:rPr>
            </w:pPr>
          </w:p>
        </w:tc>
        <w:tc>
          <w:tcPr>
            <w:tcW w:w="2080" w:type="dxa"/>
            <w:vAlign w:val="bottom"/>
            <w:vMerge w:val="restart"/>
            <w:shd w:val="clear" w:color="auto" w:fill="F2F3F2"/>
          </w:tcPr>
          <w:p>
            <w:pPr>
              <w:jc w:val="center"/>
              <w:ind w:right="72"/>
              <w:spacing w:after="0"/>
              <w:rPr>
                <w:sz w:val="20"/>
                <w:szCs w:val="20"/>
                <w:color w:val="auto"/>
              </w:rPr>
            </w:pPr>
            <w:r>
              <w:rPr>
                <w:rFonts w:ascii="Arial" w:cs="Arial" w:eastAsia="Arial" w:hAnsi="Arial"/>
                <w:sz w:val="22"/>
                <w:szCs w:val="22"/>
                <w:color w:val="6AAA37"/>
                <w:w w:val="99"/>
              </w:rPr>
              <w:t>Foundation</w:t>
            </w:r>
          </w:p>
        </w:tc>
        <w:tc>
          <w:tcPr>
            <w:tcW w:w="120" w:type="dxa"/>
            <w:vAlign w:val="bottom"/>
            <w:tcBorders>
              <w:right w:val="single" w:sz="8" w:color="B2B3B6"/>
            </w:tcBorders>
            <w:shd w:val="clear" w:color="auto" w:fill="F2F3F2"/>
          </w:tcPr>
          <w:p>
            <w:pPr>
              <w:spacing w:after="0"/>
              <w:rPr>
                <w:sz w:val="10"/>
                <w:szCs w:val="10"/>
                <w:color w:val="auto"/>
              </w:rPr>
            </w:pPr>
          </w:p>
        </w:tc>
        <w:tc>
          <w:tcPr>
            <w:tcW w:w="80" w:type="dxa"/>
            <w:vAlign w:val="bottom"/>
            <w:shd w:val="clear" w:color="auto" w:fill="F2F3F2"/>
          </w:tcPr>
          <w:p>
            <w:pPr>
              <w:spacing w:after="0"/>
              <w:rPr>
                <w:sz w:val="10"/>
                <w:szCs w:val="10"/>
                <w:color w:val="auto"/>
              </w:rPr>
            </w:pPr>
          </w:p>
        </w:tc>
        <w:tc>
          <w:tcPr>
            <w:tcW w:w="2060" w:type="dxa"/>
            <w:vAlign w:val="bottom"/>
            <w:vMerge w:val="restart"/>
            <w:shd w:val="clear" w:color="auto" w:fill="F2F3F2"/>
          </w:tcPr>
          <w:p>
            <w:pPr>
              <w:jc w:val="center"/>
              <w:ind w:right="12"/>
              <w:spacing w:after="0"/>
              <w:rPr>
                <w:sz w:val="20"/>
                <w:szCs w:val="20"/>
                <w:color w:val="auto"/>
              </w:rPr>
            </w:pPr>
            <w:r>
              <w:rPr>
                <w:rFonts w:ascii="Arial" w:cs="Arial" w:eastAsia="Arial" w:hAnsi="Arial"/>
                <w:sz w:val="22"/>
                <w:szCs w:val="22"/>
                <w:color w:val="6AAA37"/>
                <w:w w:val="97"/>
              </w:rPr>
              <w:t>Association</w:t>
            </w:r>
          </w:p>
        </w:tc>
        <w:tc>
          <w:tcPr>
            <w:tcW w:w="120" w:type="dxa"/>
            <w:vAlign w:val="bottom"/>
            <w:tcBorders>
              <w:right w:val="single" w:sz="8" w:color="B2B3B6"/>
            </w:tcBorders>
            <w:shd w:val="clear" w:color="auto" w:fill="F2F3F2"/>
          </w:tcPr>
          <w:p>
            <w:pPr>
              <w:spacing w:after="0"/>
              <w:rPr>
                <w:sz w:val="10"/>
                <w:szCs w:val="10"/>
                <w:color w:val="auto"/>
              </w:rPr>
            </w:pPr>
          </w:p>
        </w:tc>
        <w:tc>
          <w:tcPr>
            <w:tcW w:w="80" w:type="dxa"/>
            <w:vAlign w:val="bottom"/>
            <w:shd w:val="clear" w:color="auto" w:fill="F2F3F2"/>
          </w:tcPr>
          <w:p>
            <w:pPr>
              <w:spacing w:after="0"/>
              <w:rPr>
                <w:sz w:val="10"/>
                <w:szCs w:val="10"/>
                <w:color w:val="auto"/>
              </w:rPr>
            </w:pPr>
          </w:p>
        </w:tc>
        <w:tc>
          <w:tcPr>
            <w:tcW w:w="2180" w:type="dxa"/>
            <w:vAlign w:val="bottom"/>
            <w:gridSpan w:val="2"/>
            <w:vMerge w:val="continue"/>
            <w:shd w:val="clear" w:color="auto" w:fill="F2F3F2"/>
          </w:tcPr>
          <w:p>
            <w:pPr>
              <w:spacing w:after="0"/>
              <w:rPr>
                <w:sz w:val="10"/>
                <w:szCs w:val="10"/>
                <w:color w:val="auto"/>
              </w:rPr>
            </w:pPr>
          </w:p>
        </w:tc>
        <w:tc>
          <w:tcPr>
            <w:tcW w:w="80" w:type="dxa"/>
            <w:vAlign w:val="bottom"/>
            <w:tcBorders>
              <w:left w:val="single" w:sz="8" w:color="B2B3B6"/>
            </w:tcBorders>
            <w:shd w:val="clear" w:color="auto" w:fill="F2F3F2"/>
          </w:tcPr>
          <w:p>
            <w:pPr>
              <w:spacing w:after="0"/>
              <w:rPr>
                <w:sz w:val="10"/>
                <w:szCs w:val="10"/>
                <w:color w:val="auto"/>
              </w:rPr>
            </w:pPr>
          </w:p>
        </w:tc>
        <w:tc>
          <w:tcPr>
            <w:tcW w:w="2180" w:type="dxa"/>
            <w:vAlign w:val="bottom"/>
            <w:gridSpan w:val="2"/>
            <w:vMerge w:val="restart"/>
            <w:shd w:val="clear" w:color="auto" w:fill="F2F3F2"/>
          </w:tcPr>
          <w:p>
            <w:pPr>
              <w:jc w:val="center"/>
              <w:ind w:right="240"/>
              <w:spacing w:after="0"/>
              <w:rPr>
                <w:sz w:val="20"/>
                <w:szCs w:val="20"/>
                <w:color w:val="auto"/>
              </w:rPr>
            </w:pPr>
            <w:r>
              <w:rPr>
                <w:rFonts w:ascii="Arial" w:cs="Arial" w:eastAsia="Arial" w:hAnsi="Arial"/>
                <w:sz w:val="22"/>
                <w:szCs w:val="22"/>
                <w:color w:val="6AAA37"/>
                <w:w w:val="98"/>
              </w:rPr>
              <w:t>Hospital of</w:t>
            </w:r>
          </w:p>
        </w:tc>
        <w:tc>
          <w:tcPr>
            <w:tcW w:w="0" w:type="dxa"/>
            <w:vAlign w:val="bottom"/>
          </w:tcPr>
          <w:p>
            <w:pPr>
              <w:spacing w:after="0"/>
              <w:rPr>
                <w:sz w:val="1"/>
                <w:szCs w:val="1"/>
                <w:color w:val="auto"/>
              </w:rPr>
            </w:pPr>
          </w:p>
        </w:tc>
      </w:tr>
      <w:tr>
        <w:trPr>
          <w:trHeight w:val="135"/>
        </w:trPr>
        <w:tc>
          <w:tcPr>
            <w:tcW w:w="100" w:type="dxa"/>
            <w:vAlign w:val="bottom"/>
            <w:shd w:val="clear" w:color="auto" w:fill="F2F3F2"/>
          </w:tcPr>
          <w:p>
            <w:pPr>
              <w:spacing w:after="0"/>
              <w:rPr>
                <w:sz w:val="11"/>
                <w:szCs w:val="11"/>
                <w:color w:val="auto"/>
              </w:rPr>
            </w:pPr>
          </w:p>
        </w:tc>
        <w:tc>
          <w:tcPr>
            <w:tcW w:w="2080" w:type="dxa"/>
            <w:vAlign w:val="bottom"/>
            <w:vMerge w:val="continue"/>
            <w:shd w:val="clear" w:color="auto" w:fill="F2F3F2"/>
          </w:tcPr>
          <w:p>
            <w:pPr>
              <w:spacing w:after="0"/>
              <w:rPr>
                <w:sz w:val="11"/>
                <w:szCs w:val="11"/>
                <w:color w:val="auto"/>
              </w:rPr>
            </w:pPr>
          </w:p>
        </w:tc>
        <w:tc>
          <w:tcPr>
            <w:tcW w:w="120" w:type="dxa"/>
            <w:vAlign w:val="bottom"/>
            <w:tcBorders>
              <w:right w:val="single" w:sz="8" w:color="B2B3B6"/>
            </w:tcBorders>
            <w:shd w:val="clear" w:color="auto" w:fill="F2F3F2"/>
          </w:tcPr>
          <w:p>
            <w:pPr>
              <w:spacing w:after="0"/>
              <w:rPr>
                <w:sz w:val="11"/>
                <w:szCs w:val="11"/>
                <w:color w:val="auto"/>
              </w:rPr>
            </w:pPr>
          </w:p>
        </w:tc>
        <w:tc>
          <w:tcPr>
            <w:tcW w:w="80" w:type="dxa"/>
            <w:vAlign w:val="bottom"/>
            <w:shd w:val="clear" w:color="auto" w:fill="F2F3F2"/>
          </w:tcPr>
          <w:p>
            <w:pPr>
              <w:spacing w:after="0"/>
              <w:rPr>
                <w:sz w:val="11"/>
                <w:szCs w:val="11"/>
                <w:color w:val="auto"/>
              </w:rPr>
            </w:pPr>
          </w:p>
        </w:tc>
        <w:tc>
          <w:tcPr>
            <w:tcW w:w="2060" w:type="dxa"/>
            <w:vAlign w:val="bottom"/>
            <w:vMerge w:val="continue"/>
            <w:shd w:val="clear" w:color="auto" w:fill="F2F3F2"/>
          </w:tcPr>
          <w:p>
            <w:pPr>
              <w:spacing w:after="0"/>
              <w:rPr>
                <w:sz w:val="11"/>
                <w:szCs w:val="11"/>
                <w:color w:val="auto"/>
              </w:rPr>
            </w:pPr>
          </w:p>
        </w:tc>
        <w:tc>
          <w:tcPr>
            <w:tcW w:w="120" w:type="dxa"/>
            <w:vAlign w:val="bottom"/>
            <w:tcBorders>
              <w:right w:val="single" w:sz="8" w:color="B2B3B6"/>
            </w:tcBorders>
            <w:shd w:val="clear" w:color="auto" w:fill="F2F3F2"/>
          </w:tcPr>
          <w:p>
            <w:pPr>
              <w:spacing w:after="0"/>
              <w:rPr>
                <w:sz w:val="11"/>
                <w:szCs w:val="11"/>
                <w:color w:val="auto"/>
              </w:rPr>
            </w:pPr>
          </w:p>
        </w:tc>
        <w:tc>
          <w:tcPr>
            <w:tcW w:w="80" w:type="dxa"/>
            <w:vAlign w:val="bottom"/>
            <w:shd w:val="clear" w:color="auto" w:fill="F2F3F2"/>
          </w:tcPr>
          <w:p>
            <w:pPr>
              <w:spacing w:after="0"/>
              <w:rPr>
                <w:sz w:val="11"/>
                <w:szCs w:val="11"/>
                <w:color w:val="auto"/>
              </w:rPr>
            </w:pPr>
          </w:p>
        </w:tc>
        <w:tc>
          <w:tcPr>
            <w:tcW w:w="2180" w:type="dxa"/>
            <w:vAlign w:val="bottom"/>
            <w:gridSpan w:val="2"/>
            <w:vMerge w:val="restart"/>
            <w:shd w:val="clear" w:color="auto" w:fill="F2F3F2"/>
          </w:tcPr>
          <w:p>
            <w:pPr>
              <w:jc w:val="center"/>
              <w:ind w:right="180"/>
              <w:spacing w:after="0"/>
              <w:rPr>
                <w:sz w:val="20"/>
                <w:szCs w:val="20"/>
                <w:color w:val="auto"/>
              </w:rPr>
            </w:pPr>
            <w:r>
              <w:rPr>
                <w:rFonts w:ascii="Arial" w:cs="Arial" w:eastAsia="Arial" w:hAnsi="Arial"/>
                <w:sz w:val="22"/>
                <w:szCs w:val="22"/>
                <w:color w:val="6AAA37"/>
                <w:w w:val="97"/>
              </w:rPr>
              <w:t>ResearcHERS</w:t>
            </w:r>
          </w:p>
        </w:tc>
        <w:tc>
          <w:tcPr>
            <w:tcW w:w="80" w:type="dxa"/>
            <w:vAlign w:val="bottom"/>
            <w:tcBorders>
              <w:left w:val="single" w:sz="8" w:color="B2B3B6"/>
            </w:tcBorders>
            <w:shd w:val="clear" w:color="auto" w:fill="F2F3F2"/>
          </w:tcPr>
          <w:p>
            <w:pPr>
              <w:spacing w:after="0"/>
              <w:rPr>
                <w:sz w:val="11"/>
                <w:szCs w:val="11"/>
                <w:color w:val="auto"/>
              </w:rPr>
            </w:pPr>
          </w:p>
        </w:tc>
        <w:tc>
          <w:tcPr>
            <w:tcW w:w="2180" w:type="dxa"/>
            <w:vAlign w:val="bottom"/>
            <w:gridSpan w:val="2"/>
            <w:vMerge w:val="continue"/>
            <w:shd w:val="clear" w:color="auto" w:fill="F2F3F2"/>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00" w:type="dxa"/>
            <w:vAlign w:val="bottom"/>
            <w:shd w:val="clear" w:color="auto" w:fill="F2F3F2"/>
          </w:tcPr>
          <w:p>
            <w:pPr>
              <w:spacing w:after="0"/>
              <w:rPr>
                <w:sz w:val="12"/>
                <w:szCs w:val="12"/>
                <w:color w:val="auto"/>
              </w:rPr>
            </w:pPr>
          </w:p>
        </w:tc>
        <w:tc>
          <w:tcPr>
            <w:tcW w:w="2080" w:type="dxa"/>
            <w:vAlign w:val="bottom"/>
            <w:shd w:val="clear" w:color="auto" w:fill="F2F3F2"/>
          </w:tcPr>
          <w:p>
            <w:pPr>
              <w:spacing w:after="0"/>
              <w:rPr>
                <w:sz w:val="12"/>
                <w:szCs w:val="12"/>
                <w:color w:val="auto"/>
              </w:rPr>
            </w:pPr>
          </w:p>
        </w:tc>
        <w:tc>
          <w:tcPr>
            <w:tcW w:w="120" w:type="dxa"/>
            <w:vAlign w:val="bottom"/>
            <w:tcBorders>
              <w:right w:val="single" w:sz="8" w:color="B2B3B6"/>
            </w:tcBorders>
            <w:shd w:val="clear" w:color="auto" w:fill="F2F3F2"/>
          </w:tcPr>
          <w:p>
            <w:pPr>
              <w:spacing w:after="0"/>
              <w:rPr>
                <w:sz w:val="12"/>
                <w:szCs w:val="12"/>
                <w:color w:val="auto"/>
              </w:rPr>
            </w:pPr>
          </w:p>
        </w:tc>
        <w:tc>
          <w:tcPr>
            <w:tcW w:w="80" w:type="dxa"/>
            <w:vAlign w:val="bottom"/>
            <w:shd w:val="clear" w:color="auto" w:fill="F2F3F2"/>
          </w:tcPr>
          <w:p>
            <w:pPr>
              <w:spacing w:after="0"/>
              <w:rPr>
                <w:sz w:val="12"/>
                <w:szCs w:val="12"/>
                <w:color w:val="auto"/>
              </w:rPr>
            </w:pPr>
          </w:p>
        </w:tc>
        <w:tc>
          <w:tcPr>
            <w:tcW w:w="2060" w:type="dxa"/>
            <w:vAlign w:val="bottom"/>
            <w:shd w:val="clear" w:color="auto" w:fill="F2F3F2"/>
          </w:tcPr>
          <w:p>
            <w:pPr>
              <w:spacing w:after="0"/>
              <w:rPr>
                <w:sz w:val="12"/>
                <w:szCs w:val="12"/>
                <w:color w:val="auto"/>
              </w:rPr>
            </w:pPr>
          </w:p>
        </w:tc>
        <w:tc>
          <w:tcPr>
            <w:tcW w:w="120" w:type="dxa"/>
            <w:vAlign w:val="bottom"/>
            <w:tcBorders>
              <w:right w:val="single" w:sz="8" w:color="B2B3B6"/>
            </w:tcBorders>
            <w:shd w:val="clear" w:color="auto" w:fill="F2F3F2"/>
          </w:tcPr>
          <w:p>
            <w:pPr>
              <w:spacing w:after="0"/>
              <w:rPr>
                <w:sz w:val="12"/>
                <w:szCs w:val="12"/>
                <w:color w:val="auto"/>
              </w:rPr>
            </w:pPr>
          </w:p>
        </w:tc>
        <w:tc>
          <w:tcPr>
            <w:tcW w:w="80" w:type="dxa"/>
            <w:vAlign w:val="bottom"/>
            <w:shd w:val="clear" w:color="auto" w:fill="F2F3F2"/>
          </w:tcPr>
          <w:p>
            <w:pPr>
              <w:spacing w:after="0"/>
              <w:rPr>
                <w:sz w:val="12"/>
                <w:szCs w:val="12"/>
                <w:color w:val="auto"/>
              </w:rPr>
            </w:pPr>
          </w:p>
        </w:tc>
        <w:tc>
          <w:tcPr>
            <w:tcW w:w="2180" w:type="dxa"/>
            <w:vAlign w:val="bottom"/>
            <w:gridSpan w:val="2"/>
            <w:vMerge w:val="continue"/>
            <w:shd w:val="clear" w:color="auto" w:fill="F2F3F2"/>
          </w:tcPr>
          <w:p>
            <w:pPr>
              <w:spacing w:after="0"/>
              <w:rPr>
                <w:sz w:val="12"/>
                <w:szCs w:val="12"/>
                <w:color w:val="auto"/>
              </w:rPr>
            </w:pPr>
          </w:p>
        </w:tc>
        <w:tc>
          <w:tcPr>
            <w:tcW w:w="80" w:type="dxa"/>
            <w:vAlign w:val="bottom"/>
            <w:tcBorders>
              <w:left w:val="single" w:sz="8" w:color="B2B3B6"/>
            </w:tcBorders>
            <w:shd w:val="clear" w:color="auto" w:fill="F2F3F2"/>
          </w:tcPr>
          <w:p>
            <w:pPr>
              <w:spacing w:after="0"/>
              <w:rPr>
                <w:sz w:val="12"/>
                <w:szCs w:val="12"/>
                <w:color w:val="auto"/>
              </w:rPr>
            </w:pPr>
          </w:p>
        </w:tc>
        <w:tc>
          <w:tcPr>
            <w:tcW w:w="2180" w:type="dxa"/>
            <w:vAlign w:val="bottom"/>
            <w:gridSpan w:val="2"/>
            <w:vMerge w:val="restart"/>
            <w:shd w:val="clear" w:color="auto" w:fill="F2F3F2"/>
          </w:tcPr>
          <w:p>
            <w:pPr>
              <w:jc w:val="center"/>
              <w:ind w:right="180"/>
              <w:spacing w:after="0"/>
              <w:rPr>
                <w:sz w:val="20"/>
                <w:szCs w:val="20"/>
                <w:color w:val="auto"/>
              </w:rPr>
            </w:pPr>
            <w:r>
              <w:rPr>
                <w:rFonts w:ascii="Arial" w:cs="Arial" w:eastAsia="Arial" w:hAnsi="Arial"/>
                <w:sz w:val="22"/>
                <w:szCs w:val="22"/>
                <w:color w:val="6AAA37"/>
                <w:w w:val="99"/>
              </w:rPr>
              <w:t>Chicago</w:t>
            </w:r>
          </w:p>
        </w:tc>
        <w:tc>
          <w:tcPr>
            <w:tcW w:w="0" w:type="dxa"/>
            <w:vAlign w:val="bottom"/>
          </w:tcPr>
          <w:p>
            <w:pPr>
              <w:spacing w:after="0"/>
              <w:rPr>
                <w:sz w:val="1"/>
                <w:szCs w:val="1"/>
                <w:color w:val="auto"/>
              </w:rPr>
            </w:pPr>
          </w:p>
        </w:tc>
      </w:tr>
      <w:tr>
        <w:trPr>
          <w:trHeight w:val="135"/>
        </w:trPr>
        <w:tc>
          <w:tcPr>
            <w:tcW w:w="100" w:type="dxa"/>
            <w:vAlign w:val="bottom"/>
            <w:shd w:val="clear" w:color="auto" w:fill="F2F3F2"/>
          </w:tcPr>
          <w:p>
            <w:pPr>
              <w:spacing w:after="0"/>
              <w:rPr>
                <w:sz w:val="11"/>
                <w:szCs w:val="11"/>
                <w:color w:val="auto"/>
              </w:rPr>
            </w:pPr>
          </w:p>
        </w:tc>
        <w:tc>
          <w:tcPr>
            <w:tcW w:w="2080" w:type="dxa"/>
            <w:vAlign w:val="bottom"/>
            <w:shd w:val="clear" w:color="auto" w:fill="F2F3F2"/>
          </w:tcPr>
          <w:p>
            <w:pPr>
              <w:spacing w:after="0"/>
              <w:rPr>
                <w:sz w:val="11"/>
                <w:szCs w:val="11"/>
                <w:color w:val="auto"/>
              </w:rPr>
            </w:pPr>
          </w:p>
        </w:tc>
        <w:tc>
          <w:tcPr>
            <w:tcW w:w="120" w:type="dxa"/>
            <w:vAlign w:val="bottom"/>
            <w:tcBorders>
              <w:right w:val="single" w:sz="8" w:color="B2B3B6"/>
            </w:tcBorders>
            <w:shd w:val="clear" w:color="auto" w:fill="F2F3F2"/>
          </w:tcPr>
          <w:p>
            <w:pPr>
              <w:spacing w:after="0"/>
              <w:rPr>
                <w:sz w:val="11"/>
                <w:szCs w:val="11"/>
                <w:color w:val="auto"/>
              </w:rPr>
            </w:pPr>
          </w:p>
        </w:tc>
        <w:tc>
          <w:tcPr>
            <w:tcW w:w="80" w:type="dxa"/>
            <w:vAlign w:val="bottom"/>
            <w:shd w:val="clear" w:color="auto" w:fill="F2F3F2"/>
          </w:tcPr>
          <w:p>
            <w:pPr>
              <w:spacing w:after="0"/>
              <w:rPr>
                <w:sz w:val="11"/>
                <w:szCs w:val="11"/>
                <w:color w:val="auto"/>
              </w:rPr>
            </w:pPr>
          </w:p>
        </w:tc>
        <w:tc>
          <w:tcPr>
            <w:tcW w:w="2060" w:type="dxa"/>
            <w:vAlign w:val="bottom"/>
            <w:shd w:val="clear" w:color="auto" w:fill="F2F3F2"/>
          </w:tcPr>
          <w:p>
            <w:pPr>
              <w:spacing w:after="0"/>
              <w:rPr>
                <w:sz w:val="11"/>
                <w:szCs w:val="11"/>
                <w:color w:val="auto"/>
              </w:rPr>
            </w:pPr>
          </w:p>
        </w:tc>
        <w:tc>
          <w:tcPr>
            <w:tcW w:w="120" w:type="dxa"/>
            <w:vAlign w:val="bottom"/>
            <w:tcBorders>
              <w:right w:val="single" w:sz="8" w:color="B2B3B6"/>
            </w:tcBorders>
            <w:shd w:val="clear" w:color="auto" w:fill="F2F3F2"/>
          </w:tcPr>
          <w:p>
            <w:pPr>
              <w:spacing w:after="0"/>
              <w:rPr>
                <w:sz w:val="11"/>
                <w:szCs w:val="11"/>
                <w:color w:val="auto"/>
              </w:rPr>
            </w:pPr>
          </w:p>
        </w:tc>
        <w:tc>
          <w:tcPr>
            <w:tcW w:w="80" w:type="dxa"/>
            <w:vAlign w:val="bottom"/>
            <w:shd w:val="clear" w:color="auto" w:fill="F2F3F2"/>
          </w:tcPr>
          <w:p>
            <w:pPr>
              <w:spacing w:after="0"/>
              <w:rPr>
                <w:sz w:val="11"/>
                <w:szCs w:val="11"/>
                <w:color w:val="auto"/>
              </w:rPr>
            </w:pPr>
          </w:p>
        </w:tc>
        <w:tc>
          <w:tcPr>
            <w:tcW w:w="2080" w:type="dxa"/>
            <w:vAlign w:val="bottom"/>
            <w:shd w:val="clear" w:color="auto" w:fill="F2F3F2"/>
          </w:tcPr>
          <w:p>
            <w:pPr>
              <w:spacing w:after="0"/>
              <w:rPr>
                <w:sz w:val="11"/>
                <w:szCs w:val="11"/>
                <w:color w:val="auto"/>
              </w:rPr>
            </w:pPr>
          </w:p>
        </w:tc>
        <w:tc>
          <w:tcPr>
            <w:tcW w:w="100" w:type="dxa"/>
            <w:vAlign w:val="bottom"/>
            <w:shd w:val="clear" w:color="auto" w:fill="F2F3F2"/>
          </w:tcPr>
          <w:p>
            <w:pPr>
              <w:spacing w:after="0"/>
              <w:rPr>
                <w:sz w:val="11"/>
                <w:szCs w:val="11"/>
                <w:color w:val="auto"/>
              </w:rPr>
            </w:pPr>
          </w:p>
        </w:tc>
        <w:tc>
          <w:tcPr>
            <w:tcW w:w="80" w:type="dxa"/>
            <w:vAlign w:val="bottom"/>
            <w:tcBorders>
              <w:left w:val="single" w:sz="8" w:color="B2B3B6"/>
            </w:tcBorders>
            <w:shd w:val="clear" w:color="auto" w:fill="F2F3F2"/>
          </w:tcPr>
          <w:p>
            <w:pPr>
              <w:spacing w:after="0"/>
              <w:rPr>
                <w:sz w:val="11"/>
                <w:szCs w:val="11"/>
                <w:color w:val="auto"/>
              </w:rPr>
            </w:pPr>
          </w:p>
        </w:tc>
        <w:tc>
          <w:tcPr>
            <w:tcW w:w="2180" w:type="dxa"/>
            <w:vAlign w:val="bottom"/>
            <w:gridSpan w:val="2"/>
            <w:vMerge w:val="continue"/>
            <w:shd w:val="clear" w:color="auto" w:fill="F2F3F2"/>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00" w:type="dxa"/>
            <w:vAlign w:val="bottom"/>
            <w:tcBorders>
              <w:bottom w:val="single" w:sz="8" w:color="F2F3F2"/>
            </w:tcBorders>
            <w:shd w:val="clear" w:color="auto" w:fill="F2F3F2"/>
          </w:tcPr>
          <w:p>
            <w:pPr>
              <w:spacing w:after="0"/>
              <w:rPr>
                <w:sz w:val="15"/>
                <w:szCs w:val="15"/>
                <w:color w:val="auto"/>
              </w:rPr>
            </w:pPr>
          </w:p>
        </w:tc>
        <w:tc>
          <w:tcPr>
            <w:tcW w:w="2080" w:type="dxa"/>
            <w:vAlign w:val="bottom"/>
            <w:tcBorders>
              <w:bottom w:val="single" w:sz="8" w:color="B2B3B6"/>
            </w:tcBorders>
            <w:shd w:val="clear" w:color="auto" w:fill="F2F3F2"/>
          </w:tcPr>
          <w:p>
            <w:pPr>
              <w:spacing w:after="0"/>
              <w:rPr>
                <w:sz w:val="15"/>
                <w:szCs w:val="15"/>
                <w:color w:val="auto"/>
              </w:rPr>
            </w:pPr>
          </w:p>
        </w:tc>
        <w:tc>
          <w:tcPr>
            <w:tcW w:w="120" w:type="dxa"/>
            <w:vAlign w:val="bottom"/>
            <w:tcBorders>
              <w:bottom w:val="single" w:sz="8" w:color="F2F3F2"/>
              <w:right w:val="single" w:sz="8" w:color="B2B3B6"/>
            </w:tcBorders>
            <w:shd w:val="clear" w:color="auto" w:fill="F2F3F2"/>
          </w:tcPr>
          <w:p>
            <w:pPr>
              <w:spacing w:after="0"/>
              <w:rPr>
                <w:sz w:val="15"/>
                <w:szCs w:val="15"/>
                <w:color w:val="auto"/>
              </w:rPr>
            </w:pPr>
          </w:p>
        </w:tc>
        <w:tc>
          <w:tcPr>
            <w:tcW w:w="80" w:type="dxa"/>
            <w:vAlign w:val="bottom"/>
            <w:tcBorders>
              <w:bottom w:val="single" w:sz="8" w:color="F2F3F2"/>
            </w:tcBorders>
            <w:shd w:val="clear" w:color="auto" w:fill="F2F3F2"/>
          </w:tcPr>
          <w:p>
            <w:pPr>
              <w:spacing w:after="0"/>
              <w:rPr>
                <w:sz w:val="15"/>
                <w:szCs w:val="15"/>
                <w:color w:val="auto"/>
              </w:rPr>
            </w:pPr>
          </w:p>
        </w:tc>
        <w:tc>
          <w:tcPr>
            <w:tcW w:w="2060" w:type="dxa"/>
            <w:vAlign w:val="bottom"/>
            <w:tcBorders>
              <w:bottom w:val="single" w:sz="8" w:color="B2B3B6"/>
            </w:tcBorders>
            <w:shd w:val="clear" w:color="auto" w:fill="F2F3F2"/>
          </w:tcPr>
          <w:p>
            <w:pPr>
              <w:spacing w:after="0"/>
              <w:rPr>
                <w:sz w:val="15"/>
                <w:szCs w:val="15"/>
                <w:color w:val="auto"/>
              </w:rPr>
            </w:pPr>
          </w:p>
        </w:tc>
        <w:tc>
          <w:tcPr>
            <w:tcW w:w="120" w:type="dxa"/>
            <w:vAlign w:val="bottom"/>
            <w:tcBorders>
              <w:bottom w:val="single" w:sz="8" w:color="F2F3F2"/>
              <w:right w:val="single" w:sz="8" w:color="B2B3B6"/>
            </w:tcBorders>
            <w:shd w:val="clear" w:color="auto" w:fill="F2F3F2"/>
          </w:tcPr>
          <w:p>
            <w:pPr>
              <w:spacing w:after="0"/>
              <w:rPr>
                <w:sz w:val="15"/>
                <w:szCs w:val="15"/>
                <w:color w:val="auto"/>
              </w:rPr>
            </w:pPr>
          </w:p>
        </w:tc>
        <w:tc>
          <w:tcPr>
            <w:tcW w:w="80" w:type="dxa"/>
            <w:vAlign w:val="bottom"/>
            <w:tcBorders>
              <w:bottom w:val="single" w:sz="8" w:color="F2F3F2"/>
            </w:tcBorders>
            <w:shd w:val="clear" w:color="auto" w:fill="F2F3F2"/>
          </w:tcPr>
          <w:p>
            <w:pPr>
              <w:spacing w:after="0"/>
              <w:rPr>
                <w:sz w:val="15"/>
                <w:szCs w:val="15"/>
                <w:color w:val="auto"/>
              </w:rPr>
            </w:pPr>
          </w:p>
        </w:tc>
        <w:tc>
          <w:tcPr>
            <w:tcW w:w="2080" w:type="dxa"/>
            <w:vAlign w:val="bottom"/>
            <w:tcBorders>
              <w:bottom w:val="single" w:sz="8" w:color="B2B3B6"/>
            </w:tcBorders>
            <w:shd w:val="clear" w:color="auto" w:fill="F2F3F2"/>
          </w:tcPr>
          <w:p>
            <w:pPr>
              <w:spacing w:after="0"/>
              <w:rPr>
                <w:sz w:val="15"/>
                <w:szCs w:val="15"/>
                <w:color w:val="auto"/>
              </w:rPr>
            </w:pPr>
          </w:p>
        </w:tc>
        <w:tc>
          <w:tcPr>
            <w:tcW w:w="100" w:type="dxa"/>
            <w:vAlign w:val="bottom"/>
            <w:tcBorders>
              <w:bottom w:val="single" w:sz="8" w:color="F2F3F2"/>
            </w:tcBorders>
            <w:shd w:val="clear" w:color="auto" w:fill="F2F3F2"/>
          </w:tcPr>
          <w:p>
            <w:pPr>
              <w:spacing w:after="0"/>
              <w:rPr>
                <w:sz w:val="15"/>
                <w:szCs w:val="15"/>
                <w:color w:val="auto"/>
              </w:rPr>
            </w:pPr>
          </w:p>
        </w:tc>
        <w:tc>
          <w:tcPr>
            <w:tcW w:w="80" w:type="dxa"/>
            <w:vAlign w:val="bottom"/>
            <w:tcBorders>
              <w:left w:val="single" w:sz="8" w:color="B2B3B6"/>
              <w:bottom w:val="single" w:sz="8" w:color="F2F3F2"/>
            </w:tcBorders>
            <w:shd w:val="clear" w:color="auto" w:fill="F2F3F2"/>
          </w:tcPr>
          <w:p>
            <w:pPr>
              <w:spacing w:after="0"/>
              <w:rPr>
                <w:sz w:val="15"/>
                <w:szCs w:val="15"/>
                <w:color w:val="auto"/>
              </w:rPr>
            </w:pPr>
          </w:p>
        </w:tc>
        <w:tc>
          <w:tcPr>
            <w:tcW w:w="2080" w:type="dxa"/>
            <w:vAlign w:val="bottom"/>
            <w:tcBorders>
              <w:bottom w:val="single" w:sz="8" w:color="B2B3B6"/>
            </w:tcBorders>
            <w:shd w:val="clear" w:color="auto" w:fill="F2F3F2"/>
          </w:tcPr>
          <w:p>
            <w:pPr>
              <w:spacing w:after="0"/>
              <w:rPr>
                <w:sz w:val="15"/>
                <w:szCs w:val="15"/>
                <w:color w:val="auto"/>
              </w:rPr>
            </w:pPr>
          </w:p>
        </w:tc>
        <w:tc>
          <w:tcPr>
            <w:tcW w:w="100" w:type="dxa"/>
            <w:vAlign w:val="bottom"/>
            <w:tcBorders>
              <w:bottom w:val="single" w:sz="8" w:color="F2F3F2"/>
            </w:tcBorders>
            <w:shd w:val="clear" w:color="auto" w:fill="F2F3F2"/>
          </w:tcPr>
          <w:p>
            <w:pPr>
              <w:spacing w:after="0"/>
              <w:rPr>
                <w:sz w:val="15"/>
                <w:szCs w:val="15"/>
                <w:color w:val="auto"/>
              </w:rPr>
            </w:pPr>
          </w:p>
        </w:tc>
        <w:tc>
          <w:tcPr>
            <w:tcW w:w="0" w:type="dxa"/>
            <w:vAlign w:val="bottom"/>
          </w:tcPr>
          <w:p>
            <w:pPr>
              <w:spacing w:after="0"/>
              <w:rPr>
                <w:sz w:val="1"/>
                <w:szCs w:val="1"/>
                <w:color w:val="auto"/>
              </w:rPr>
            </w:pPr>
          </w:p>
        </w:tc>
      </w:tr>
      <w:tr>
        <w:trPr>
          <w:trHeight w:val="561"/>
        </w:trPr>
        <w:tc>
          <w:tcPr>
            <w:tcW w:w="100" w:type="dxa"/>
            <w:vAlign w:val="bottom"/>
            <w:shd w:val="clear" w:color="auto" w:fill="F2F3F2"/>
          </w:tcPr>
          <w:p>
            <w:pPr>
              <w:spacing w:after="0"/>
              <w:rPr>
                <w:sz w:val="24"/>
                <w:szCs w:val="24"/>
                <w:color w:val="auto"/>
              </w:rPr>
            </w:pPr>
          </w:p>
        </w:tc>
        <w:tc>
          <w:tcPr>
            <w:tcW w:w="2080" w:type="dxa"/>
            <w:vAlign w:val="bottom"/>
            <w:shd w:val="clear" w:color="auto" w:fill="F2F3F2"/>
          </w:tcPr>
          <w:p>
            <w:pPr>
              <w:jc w:val="center"/>
              <w:ind w:right="32"/>
              <w:spacing w:after="0"/>
              <w:rPr>
                <w:sz w:val="20"/>
                <w:szCs w:val="20"/>
                <w:color w:val="auto"/>
              </w:rPr>
            </w:pPr>
            <w:r>
              <w:rPr>
                <w:rFonts w:ascii="Arial" w:cs="Arial" w:eastAsia="Arial" w:hAnsi="Arial"/>
                <w:sz w:val="22"/>
                <w:szCs w:val="22"/>
                <w:color w:val="6AAA37"/>
                <w:w w:val="97"/>
              </w:rPr>
              <w:t>Cincinnati</w:t>
            </w:r>
          </w:p>
        </w:tc>
        <w:tc>
          <w:tcPr>
            <w:tcW w:w="120" w:type="dxa"/>
            <w:vAlign w:val="bottom"/>
            <w:tcBorders>
              <w:right w:val="single" w:sz="8" w:color="B2B3B6"/>
            </w:tcBorders>
            <w:shd w:val="clear" w:color="auto" w:fill="F2F3F2"/>
          </w:tcPr>
          <w:p>
            <w:pPr>
              <w:spacing w:after="0"/>
              <w:rPr>
                <w:sz w:val="24"/>
                <w:szCs w:val="24"/>
                <w:color w:val="auto"/>
              </w:rPr>
            </w:pPr>
          </w:p>
        </w:tc>
        <w:tc>
          <w:tcPr>
            <w:tcW w:w="80" w:type="dxa"/>
            <w:vAlign w:val="bottom"/>
            <w:shd w:val="clear" w:color="auto" w:fill="F2F3F2"/>
          </w:tcPr>
          <w:p>
            <w:pPr>
              <w:spacing w:after="0"/>
              <w:rPr>
                <w:sz w:val="24"/>
                <w:szCs w:val="24"/>
                <w:color w:val="auto"/>
              </w:rPr>
            </w:pPr>
          </w:p>
        </w:tc>
        <w:tc>
          <w:tcPr>
            <w:tcW w:w="2060" w:type="dxa"/>
            <w:vAlign w:val="bottom"/>
            <w:shd w:val="clear" w:color="auto" w:fill="F2F3F2"/>
          </w:tcPr>
          <w:p>
            <w:pPr>
              <w:jc w:val="center"/>
              <w:ind w:right="12"/>
              <w:spacing w:after="0"/>
              <w:rPr>
                <w:sz w:val="20"/>
                <w:szCs w:val="20"/>
                <w:color w:val="auto"/>
              </w:rPr>
            </w:pPr>
            <w:r>
              <w:rPr>
                <w:rFonts w:ascii="Arial" w:cs="Arial" w:eastAsia="Arial" w:hAnsi="Arial"/>
                <w:sz w:val="22"/>
                <w:szCs w:val="22"/>
                <w:color w:val="6AAA37"/>
                <w:w w:val="96"/>
              </w:rPr>
              <w:t>Children’s</w:t>
            </w:r>
          </w:p>
        </w:tc>
        <w:tc>
          <w:tcPr>
            <w:tcW w:w="120" w:type="dxa"/>
            <w:vAlign w:val="bottom"/>
            <w:tcBorders>
              <w:right w:val="single" w:sz="8" w:color="B2B3B6"/>
            </w:tcBorders>
            <w:shd w:val="clear" w:color="auto" w:fill="F2F3F2"/>
          </w:tcPr>
          <w:p>
            <w:pPr>
              <w:spacing w:after="0"/>
              <w:rPr>
                <w:sz w:val="24"/>
                <w:szCs w:val="24"/>
                <w:color w:val="auto"/>
              </w:rPr>
            </w:pPr>
          </w:p>
        </w:tc>
        <w:tc>
          <w:tcPr>
            <w:tcW w:w="80" w:type="dxa"/>
            <w:vAlign w:val="bottom"/>
            <w:shd w:val="clear" w:color="auto" w:fill="F2F3F2"/>
          </w:tcPr>
          <w:p>
            <w:pPr>
              <w:spacing w:after="0"/>
              <w:rPr>
                <w:sz w:val="24"/>
                <w:szCs w:val="24"/>
                <w:color w:val="auto"/>
              </w:rPr>
            </w:pPr>
          </w:p>
        </w:tc>
        <w:tc>
          <w:tcPr>
            <w:tcW w:w="2180" w:type="dxa"/>
            <w:vAlign w:val="bottom"/>
            <w:gridSpan w:val="2"/>
            <w:shd w:val="clear" w:color="auto" w:fill="F2F3F2"/>
          </w:tcPr>
          <w:p>
            <w:pPr>
              <w:jc w:val="center"/>
              <w:ind w:right="160"/>
              <w:spacing w:after="0"/>
              <w:rPr>
                <w:sz w:val="20"/>
                <w:szCs w:val="20"/>
                <w:color w:val="auto"/>
              </w:rPr>
            </w:pPr>
            <w:r>
              <w:rPr>
                <w:rFonts w:ascii="Arial" w:cs="Arial" w:eastAsia="Arial" w:hAnsi="Arial"/>
                <w:sz w:val="22"/>
                <w:szCs w:val="22"/>
                <w:color w:val="6AAA37"/>
                <w:w w:val="96"/>
              </w:rPr>
              <w:t>St. Jude</w:t>
            </w:r>
          </w:p>
        </w:tc>
        <w:tc>
          <w:tcPr>
            <w:tcW w:w="80" w:type="dxa"/>
            <w:vAlign w:val="bottom"/>
            <w:tcBorders>
              <w:left w:val="single" w:sz="8" w:color="B2B3B6"/>
            </w:tcBorders>
            <w:shd w:val="clear" w:color="auto" w:fill="F2F3F2"/>
          </w:tcPr>
          <w:p>
            <w:pPr>
              <w:spacing w:after="0"/>
              <w:rPr>
                <w:sz w:val="24"/>
                <w:szCs w:val="24"/>
                <w:color w:val="auto"/>
              </w:rPr>
            </w:pPr>
          </w:p>
        </w:tc>
        <w:tc>
          <w:tcPr>
            <w:tcW w:w="2180" w:type="dxa"/>
            <w:vAlign w:val="bottom"/>
            <w:gridSpan w:val="2"/>
            <w:vMerge w:val="restart"/>
            <w:shd w:val="clear" w:color="auto" w:fill="F2F3F2"/>
          </w:tcPr>
          <w:p>
            <w:pPr>
              <w:jc w:val="center"/>
              <w:ind w:right="220"/>
              <w:spacing w:after="0"/>
              <w:rPr>
                <w:sz w:val="20"/>
                <w:szCs w:val="20"/>
                <w:color w:val="auto"/>
              </w:rPr>
            </w:pPr>
            <w:r>
              <w:rPr>
                <w:rFonts w:ascii="Arial" w:cs="Arial" w:eastAsia="Arial" w:hAnsi="Arial"/>
                <w:sz w:val="22"/>
                <w:szCs w:val="22"/>
                <w:color w:val="6AAA37"/>
                <w:w w:val="99"/>
              </w:rPr>
              <w:t>Sakalp India</w:t>
            </w:r>
          </w:p>
        </w:tc>
        <w:tc>
          <w:tcPr>
            <w:tcW w:w="0" w:type="dxa"/>
            <w:vAlign w:val="bottom"/>
          </w:tcPr>
          <w:p>
            <w:pPr>
              <w:spacing w:after="0"/>
              <w:rPr>
                <w:sz w:val="1"/>
                <w:szCs w:val="1"/>
                <w:color w:val="auto"/>
              </w:rPr>
            </w:pPr>
          </w:p>
        </w:tc>
      </w:tr>
      <w:tr>
        <w:trPr>
          <w:trHeight w:val="135"/>
        </w:trPr>
        <w:tc>
          <w:tcPr>
            <w:tcW w:w="100" w:type="dxa"/>
            <w:vAlign w:val="bottom"/>
            <w:shd w:val="clear" w:color="auto" w:fill="F2F3F2"/>
          </w:tcPr>
          <w:p>
            <w:pPr>
              <w:spacing w:after="0"/>
              <w:rPr>
                <w:sz w:val="11"/>
                <w:szCs w:val="11"/>
                <w:color w:val="auto"/>
              </w:rPr>
            </w:pPr>
          </w:p>
        </w:tc>
        <w:tc>
          <w:tcPr>
            <w:tcW w:w="2080" w:type="dxa"/>
            <w:vAlign w:val="bottom"/>
            <w:vMerge w:val="restart"/>
            <w:shd w:val="clear" w:color="auto" w:fill="F2F3F2"/>
          </w:tcPr>
          <w:p>
            <w:pPr>
              <w:jc w:val="center"/>
              <w:ind w:right="12"/>
              <w:spacing w:after="0"/>
              <w:rPr>
                <w:sz w:val="20"/>
                <w:szCs w:val="20"/>
                <w:color w:val="auto"/>
              </w:rPr>
            </w:pPr>
            <w:r>
              <w:rPr>
                <w:rFonts w:ascii="Arial" w:cs="Arial" w:eastAsia="Arial" w:hAnsi="Arial"/>
                <w:sz w:val="22"/>
                <w:szCs w:val="22"/>
                <w:color w:val="6AAA37"/>
                <w:w w:val="98"/>
              </w:rPr>
              <w:t>Children’s</w:t>
            </w:r>
          </w:p>
        </w:tc>
        <w:tc>
          <w:tcPr>
            <w:tcW w:w="120" w:type="dxa"/>
            <w:vAlign w:val="bottom"/>
            <w:tcBorders>
              <w:right w:val="single" w:sz="8" w:color="B2B3B6"/>
            </w:tcBorders>
            <w:shd w:val="clear" w:color="auto" w:fill="F2F3F2"/>
          </w:tcPr>
          <w:p>
            <w:pPr>
              <w:spacing w:after="0"/>
              <w:rPr>
                <w:sz w:val="11"/>
                <w:szCs w:val="11"/>
                <w:color w:val="auto"/>
              </w:rPr>
            </w:pPr>
          </w:p>
        </w:tc>
        <w:tc>
          <w:tcPr>
            <w:tcW w:w="80" w:type="dxa"/>
            <w:vAlign w:val="bottom"/>
            <w:shd w:val="clear" w:color="auto" w:fill="F2F3F2"/>
          </w:tcPr>
          <w:p>
            <w:pPr>
              <w:spacing w:after="0"/>
              <w:rPr>
                <w:sz w:val="11"/>
                <w:szCs w:val="11"/>
                <w:color w:val="auto"/>
              </w:rPr>
            </w:pPr>
          </w:p>
        </w:tc>
        <w:tc>
          <w:tcPr>
            <w:tcW w:w="2060" w:type="dxa"/>
            <w:vAlign w:val="bottom"/>
            <w:vMerge w:val="restart"/>
            <w:shd w:val="clear" w:color="auto" w:fill="F2F3F2"/>
          </w:tcPr>
          <w:p>
            <w:pPr>
              <w:jc w:val="center"/>
              <w:ind w:right="12"/>
              <w:spacing w:after="0"/>
              <w:rPr>
                <w:sz w:val="20"/>
                <w:szCs w:val="20"/>
                <w:color w:val="auto"/>
              </w:rPr>
            </w:pPr>
            <w:r>
              <w:rPr>
                <w:rFonts w:ascii="Arial" w:cs="Arial" w:eastAsia="Arial" w:hAnsi="Arial"/>
                <w:sz w:val="22"/>
                <w:szCs w:val="22"/>
                <w:color w:val="6AAA37"/>
                <w:w w:val="98"/>
              </w:rPr>
              <w:t>Hospital of</w:t>
            </w:r>
          </w:p>
        </w:tc>
        <w:tc>
          <w:tcPr>
            <w:tcW w:w="120" w:type="dxa"/>
            <w:vAlign w:val="bottom"/>
            <w:tcBorders>
              <w:right w:val="single" w:sz="8" w:color="B2B3B6"/>
            </w:tcBorders>
            <w:shd w:val="clear" w:color="auto" w:fill="F2F3F2"/>
          </w:tcPr>
          <w:p>
            <w:pPr>
              <w:spacing w:after="0"/>
              <w:rPr>
                <w:sz w:val="11"/>
                <w:szCs w:val="11"/>
                <w:color w:val="auto"/>
              </w:rPr>
            </w:pPr>
          </w:p>
        </w:tc>
        <w:tc>
          <w:tcPr>
            <w:tcW w:w="80" w:type="dxa"/>
            <w:vAlign w:val="bottom"/>
            <w:shd w:val="clear" w:color="auto" w:fill="F2F3F2"/>
          </w:tcPr>
          <w:p>
            <w:pPr>
              <w:spacing w:after="0"/>
              <w:rPr>
                <w:sz w:val="11"/>
                <w:szCs w:val="11"/>
                <w:color w:val="auto"/>
              </w:rPr>
            </w:pPr>
          </w:p>
        </w:tc>
        <w:tc>
          <w:tcPr>
            <w:tcW w:w="2180" w:type="dxa"/>
            <w:vAlign w:val="bottom"/>
            <w:gridSpan w:val="2"/>
            <w:vMerge w:val="restart"/>
            <w:shd w:val="clear" w:color="auto" w:fill="F2F3F2"/>
          </w:tcPr>
          <w:p>
            <w:pPr>
              <w:jc w:val="center"/>
              <w:ind w:right="220"/>
              <w:spacing w:after="0"/>
              <w:rPr>
                <w:sz w:val="20"/>
                <w:szCs w:val="20"/>
                <w:color w:val="auto"/>
              </w:rPr>
            </w:pPr>
            <w:r>
              <w:rPr>
                <w:rFonts w:ascii="Arial" w:cs="Arial" w:eastAsia="Arial" w:hAnsi="Arial"/>
                <w:sz w:val="22"/>
                <w:szCs w:val="22"/>
                <w:color w:val="6AAA37"/>
                <w:w w:val="98"/>
              </w:rPr>
              <w:t>Children’s</w:t>
            </w:r>
          </w:p>
        </w:tc>
        <w:tc>
          <w:tcPr>
            <w:tcW w:w="80" w:type="dxa"/>
            <w:vAlign w:val="bottom"/>
            <w:tcBorders>
              <w:left w:val="single" w:sz="8" w:color="B2B3B6"/>
            </w:tcBorders>
            <w:shd w:val="clear" w:color="auto" w:fill="F2F3F2"/>
          </w:tcPr>
          <w:p>
            <w:pPr>
              <w:spacing w:after="0"/>
              <w:rPr>
                <w:sz w:val="11"/>
                <w:szCs w:val="11"/>
                <w:color w:val="auto"/>
              </w:rPr>
            </w:pPr>
          </w:p>
        </w:tc>
        <w:tc>
          <w:tcPr>
            <w:tcW w:w="2180" w:type="dxa"/>
            <w:vAlign w:val="bottom"/>
            <w:gridSpan w:val="2"/>
            <w:vMerge w:val="continue"/>
            <w:shd w:val="clear" w:color="auto" w:fill="F2F3F2"/>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00" w:type="dxa"/>
            <w:vAlign w:val="bottom"/>
            <w:shd w:val="clear" w:color="auto" w:fill="F2F3F2"/>
          </w:tcPr>
          <w:p>
            <w:pPr>
              <w:spacing w:after="0"/>
              <w:rPr>
                <w:sz w:val="10"/>
                <w:szCs w:val="10"/>
                <w:color w:val="auto"/>
              </w:rPr>
            </w:pPr>
          </w:p>
        </w:tc>
        <w:tc>
          <w:tcPr>
            <w:tcW w:w="2080" w:type="dxa"/>
            <w:vAlign w:val="bottom"/>
            <w:vMerge w:val="continue"/>
            <w:shd w:val="clear" w:color="auto" w:fill="F2F3F2"/>
          </w:tcPr>
          <w:p>
            <w:pPr>
              <w:spacing w:after="0"/>
              <w:rPr>
                <w:sz w:val="10"/>
                <w:szCs w:val="10"/>
                <w:color w:val="auto"/>
              </w:rPr>
            </w:pPr>
          </w:p>
        </w:tc>
        <w:tc>
          <w:tcPr>
            <w:tcW w:w="120" w:type="dxa"/>
            <w:vAlign w:val="bottom"/>
            <w:tcBorders>
              <w:right w:val="single" w:sz="8" w:color="B2B3B6"/>
            </w:tcBorders>
            <w:shd w:val="clear" w:color="auto" w:fill="F2F3F2"/>
          </w:tcPr>
          <w:p>
            <w:pPr>
              <w:spacing w:after="0"/>
              <w:rPr>
                <w:sz w:val="10"/>
                <w:szCs w:val="10"/>
                <w:color w:val="auto"/>
              </w:rPr>
            </w:pPr>
          </w:p>
        </w:tc>
        <w:tc>
          <w:tcPr>
            <w:tcW w:w="80" w:type="dxa"/>
            <w:vAlign w:val="bottom"/>
            <w:shd w:val="clear" w:color="auto" w:fill="F2F3F2"/>
          </w:tcPr>
          <w:p>
            <w:pPr>
              <w:spacing w:after="0"/>
              <w:rPr>
                <w:sz w:val="10"/>
                <w:szCs w:val="10"/>
                <w:color w:val="auto"/>
              </w:rPr>
            </w:pPr>
          </w:p>
        </w:tc>
        <w:tc>
          <w:tcPr>
            <w:tcW w:w="2060" w:type="dxa"/>
            <w:vAlign w:val="bottom"/>
            <w:vMerge w:val="continue"/>
            <w:shd w:val="clear" w:color="auto" w:fill="F2F3F2"/>
          </w:tcPr>
          <w:p>
            <w:pPr>
              <w:spacing w:after="0"/>
              <w:rPr>
                <w:sz w:val="10"/>
                <w:szCs w:val="10"/>
                <w:color w:val="auto"/>
              </w:rPr>
            </w:pPr>
          </w:p>
        </w:tc>
        <w:tc>
          <w:tcPr>
            <w:tcW w:w="120" w:type="dxa"/>
            <w:vAlign w:val="bottom"/>
            <w:tcBorders>
              <w:right w:val="single" w:sz="8" w:color="B2B3B6"/>
            </w:tcBorders>
            <w:shd w:val="clear" w:color="auto" w:fill="F2F3F2"/>
          </w:tcPr>
          <w:p>
            <w:pPr>
              <w:spacing w:after="0"/>
              <w:rPr>
                <w:sz w:val="10"/>
                <w:szCs w:val="10"/>
                <w:color w:val="auto"/>
              </w:rPr>
            </w:pPr>
          </w:p>
        </w:tc>
        <w:tc>
          <w:tcPr>
            <w:tcW w:w="80" w:type="dxa"/>
            <w:vAlign w:val="bottom"/>
            <w:shd w:val="clear" w:color="auto" w:fill="F2F3F2"/>
          </w:tcPr>
          <w:p>
            <w:pPr>
              <w:spacing w:after="0"/>
              <w:rPr>
                <w:sz w:val="10"/>
                <w:szCs w:val="10"/>
                <w:color w:val="auto"/>
              </w:rPr>
            </w:pPr>
          </w:p>
        </w:tc>
        <w:tc>
          <w:tcPr>
            <w:tcW w:w="2180" w:type="dxa"/>
            <w:vAlign w:val="bottom"/>
            <w:gridSpan w:val="2"/>
            <w:vMerge w:val="continue"/>
            <w:shd w:val="clear" w:color="auto" w:fill="F2F3F2"/>
          </w:tcPr>
          <w:p>
            <w:pPr>
              <w:spacing w:after="0"/>
              <w:rPr>
                <w:sz w:val="10"/>
                <w:szCs w:val="10"/>
                <w:color w:val="auto"/>
              </w:rPr>
            </w:pPr>
          </w:p>
        </w:tc>
        <w:tc>
          <w:tcPr>
            <w:tcW w:w="80" w:type="dxa"/>
            <w:vAlign w:val="bottom"/>
            <w:tcBorders>
              <w:left w:val="single" w:sz="8" w:color="B2B3B6"/>
            </w:tcBorders>
            <w:shd w:val="clear" w:color="auto" w:fill="F2F3F2"/>
          </w:tcPr>
          <w:p>
            <w:pPr>
              <w:spacing w:after="0"/>
              <w:rPr>
                <w:sz w:val="10"/>
                <w:szCs w:val="10"/>
                <w:color w:val="auto"/>
              </w:rPr>
            </w:pPr>
          </w:p>
        </w:tc>
        <w:tc>
          <w:tcPr>
            <w:tcW w:w="2180" w:type="dxa"/>
            <w:vAlign w:val="bottom"/>
            <w:gridSpan w:val="2"/>
            <w:vMerge w:val="restart"/>
            <w:shd w:val="clear" w:color="auto" w:fill="F2F3F2"/>
          </w:tcPr>
          <w:p>
            <w:pPr>
              <w:jc w:val="center"/>
              <w:ind w:right="260"/>
              <w:spacing w:after="0"/>
              <w:rPr>
                <w:sz w:val="20"/>
                <w:szCs w:val="20"/>
                <w:color w:val="auto"/>
              </w:rPr>
            </w:pPr>
            <w:r>
              <w:rPr>
                <w:rFonts w:ascii="Arial" w:cs="Arial" w:eastAsia="Arial" w:hAnsi="Arial"/>
                <w:sz w:val="22"/>
                <w:szCs w:val="22"/>
                <w:color w:val="6AAA37"/>
                <w:w w:val="98"/>
              </w:rPr>
              <w:t>Foundation</w:t>
            </w:r>
          </w:p>
        </w:tc>
        <w:tc>
          <w:tcPr>
            <w:tcW w:w="0" w:type="dxa"/>
            <w:vAlign w:val="bottom"/>
          </w:tcPr>
          <w:p>
            <w:pPr>
              <w:spacing w:after="0"/>
              <w:rPr>
                <w:sz w:val="1"/>
                <w:szCs w:val="1"/>
                <w:color w:val="auto"/>
              </w:rPr>
            </w:pPr>
          </w:p>
        </w:tc>
      </w:tr>
      <w:tr>
        <w:trPr>
          <w:trHeight w:val="162"/>
        </w:trPr>
        <w:tc>
          <w:tcPr>
            <w:tcW w:w="100" w:type="dxa"/>
            <w:vAlign w:val="bottom"/>
            <w:shd w:val="clear" w:color="auto" w:fill="F2F3F2"/>
          </w:tcPr>
          <w:p>
            <w:pPr>
              <w:spacing w:after="0"/>
              <w:rPr>
                <w:sz w:val="14"/>
                <w:szCs w:val="14"/>
                <w:color w:val="auto"/>
              </w:rPr>
            </w:pPr>
          </w:p>
        </w:tc>
        <w:tc>
          <w:tcPr>
            <w:tcW w:w="2080" w:type="dxa"/>
            <w:vAlign w:val="bottom"/>
            <w:vMerge w:val="restart"/>
            <w:shd w:val="clear" w:color="auto" w:fill="F2F3F2"/>
          </w:tcPr>
          <w:p>
            <w:pPr>
              <w:jc w:val="center"/>
              <w:spacing w:after="0"/>
              <w:rPr>
                <w:sz w:val="20"/>
                <w:szCs w:val="20"/>
                <w:color w:val="auto"/>
              </w:rPr>
            </w:pPr>
            <w:r>
              <w:rPr>
                <w:rFonts w:ascii="Arial" w:cs="Arial" w:eastAsia="Arial" w:hAnsi="Arial"/>
                <w:sz w:val="22"/>
                <w:szCs w:val="22"/>
                <w:color w:val="6AAA37"/>
                <w:w w:val="98"/>
              </w:rPr>
              <w:t>Hospital</w:t>
            </w:r>
          </w:p>
        </w:tc>
        <w:tc>
          <w:tcPr>
            <w:tcW w:w="120" w:type="dxa"/>
            <w:vAlign w:val="bottom"/>
            <w:tcBorders>
              <w:right w:val="single" w:sz="8" w:color="B2B3B6"/>
            </w:tcBorders>
            <w:shd w:val="clear" w:color="auto" w:fill="F2F3F2"/>
          </w:tcPr>
          <w:p>
            <w:pPr>
              <w:spacing w:after="0"/>
              <w:rPr>
                <w:sz w:val="14"/>
                <w:szCs w:val="14"/>
                <w:color w:val="auto"/>
              </w:rPr>
            </w:pPr>
          </w:p>
        </w:tc>
        <w:tc>
          <w:tcPr>
            <w:tcW w:w="80" w:type="dxa"/>
            <w:vAlign w:val="bottom"/>
            <w:shd w:val="clear" w:color="auto" w:fill="F2F3F2"/>
          </w:tcPr>
          <w:p>
            <w:pPr>
              <w:spacing w:after="0"/>
              <w:rPr>
                <w:sz w:val="14"/>
                <w:szCs w:val="14"/>
                <w:color w:val="auto"/>
              </w:rPr>
            </w:pPr>
          </w:p>
        </w:tc>
        <w:tc>
          <w:tcPr>
            <w:tcW w:w="2060" w:type="dxa"/>
            <w:vAlign w:val="bottom"/>
            <w:vMerge w:val="restart"/>
            <w:shd w:val="clear" w:color="auto" w:fill="F2F3F2"/>
          </w:tcPr>
          <w:p>
            <w:pPr>
              <w:jc w:val="center"/>
              <w:ind w:right="72"/>
              <w:spacing w:after="0"/>
              <w:rPr>
                <w:sz w:val="20"/>
                <w:szCs w:val="20"/>
                <w:color w:val="auto"/>
              </w:rPr>
            </w:pPr>
            <w:r>
              <w:rPr>
                <w:rFonts w:ascii="Arial" w:cs="Arial" w:eastAsia="Arial" w:hAnsi="Arial"/>
                <w:sz w:val="22"/>
                <w:szCs w:val="22"/>
                <w:color w:val="6AAA37"/>
                <w:w w:val="96"/>
              </w:rPr>
              <w:t>Philadelphia</w:t>
            </w:r>
          </w:p>
        </w:tc>
        <w:tc>
          <w:tcPr>
            <w:tcW w:w="120" w:type="dxa"/>
            <w:vAlign w:val="bottom"/>
            <w:tcBorders>
              <w:right w:val="single" w:sz="8" w:color="B2B3B6"/>
            </w:tcBorders>
            <w:shd w:val="clear" w:color="auto" w:fill="F2F3F2"/>
          </w:tcPr>
          <w:p>
            <w:pPr>
              <w:spacing w:after="0"/>
              <w:rPr>
                <w:sz w:val="14"/>
                <w:szCs w:val="14"/>
                <w:color w:val="auto"/>
              </w:rPr>
            </w:pPr>
          </w:p>
        </w:tc>
        <w:tc>
          <w:tcPr>
            <w:tcW w:w="80" w:type="dxa"/>
            <w:vAlign w:val="bottom"/>
            <w:shd w:val="clear" w:color="auto" w:fill="F2F3F2"/>
          </w:tcPr>
          <w:p>
            <w:pPr>
              <w:spacing w:after="0"/>
              <w:rPr>
                <w:sz w:val="14"/>
                <w:szCs w:val="14"/>
                <w:color w:val="auto"/>
              </w:rPr>
            </w:pPr>
          </w:p>
        </w:tc>
        <w:tc>
          <w:tcPr>
            <w:tcW w:w="2180" w:type="dxa"/>
            <w:vAlign w:val="bottom"/>
            <w:gridSpan w:val="2"/>
            <w:vMerge w:val="restart"/>
            <w:shd w:val="clear" w:color="auto" w:fill="F2F3F2"/>
          </w:tcPr>
          <w:p>
            <w:pPr>
              <w:jc w:val="center"/>
              <w:ind w:right="300"/>
              <w:spacing w:after="0"/>
              <w:rPr>
                <w:sz w:val="20"/>
                <w:szCs w:val="20"/>
                <w:color w:val="auto"/>
              </w:rPr>
            </w:pPr>
            <w:r>
              <w:rPr>
                <w:rFonts w:ascii="Arial" w:cs="Arial" w:eastAsia="Arial" w:hAnsi="Arial"/>
                <w:sz w:val="22"/>
                <w:szCs w:val="22"/>
                <w:color w:val="6AAA37"/>
                <w:w w:val="97"/>
              </w:rPr>
              <w:t>Research Hospital</w:t>
            </w:r>
          </w:p>
        </w:tc>
        <w:tc>
          <w:tcPr>
            <w:tcW w:w="80" w:type="dxa"/>
            <w:vAlign w:val="bottom"/>
            <w:tcBorders>
              <w:left w:val="single" w:sz="8" w:color="B2B3B6"/>
            </w:tcBorders>
            <w:shd w:val="clear" w:color="auto" w:fill="F2F3F2"/>
          </w:tcPr>
          <w:p>
            <w:pPr>
              <w:spacing w:after="0"/>
              <w:rPr>
                <w:sz w:val="14"/>
                <w:szCs w:val="14"/>
                <w:color w:val="auto"/>
              </w:rPr>
            </w:pPr>
          </w:p>
        </w:tc>
        <w:tc>
          <w:tcPr>
            <w:tcW w:w="2180" w:type="dxa"/>
            <w:vAlign w:val="bottom"/>
            <w:gridSpan w:val="2"/>
            <w:vMerge w:val="continue"/>
            <w:shd w:val="clear" w:color="auto" w:fill="F2F3F2"/>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00" w:type="dxa"/>
            <w:vAlign w:val="bottom"/>
            <w:shd w:val="clear" w:color="auto" w:fill="F2F3F2"/>
          </w:tcPr>
          <w:p>
            <w:pPr>
              <w:spacing w:after="0"/>
              <w:rPr>
                <w:sz w:val="10"/>
                <w:szCs w:val="10"/>
                <w:color w:val="auto"/>
              </w:rPr>
            </w:pPr>
          </w:p>
        </w:tc>
        <w:tc>
          <w:tcPr>
            <w:tcW w:w="2080" w:type="dxa"/>
            <w:vAlign w:val="bottom"/>
            <w:vMerge w:val="continue"/>
            <w:shd w:val="clear" w:color="auto" w:fill="F2F3F2"/>
          </w:tcPr>
          <w:p>
            <w:pPr>
              <w:spacing w:after="0"/>
              <w:rPr>
                <w:sz w:val="10"/>
                <w:szCs w:val="10"/>
                <w:color w:val="auto"/>
              </w:rPr>
            </w:pPr>
          </w:p>
        </w:tc>
        <w:tc>
          <w:tcPr>
            <w:tcW w:w="120" w:type="dxa"/>
            <w:vAlign w:val="bottom"/>
            <w:tcBorders>
              <w:right w:val="single" w:sz="8" w:color="B2B3B6"/>
            </w:tcBorders>
            <w:shd w:val="clear" w:color="auto" w:fill="F2F3F2"/>
          </w:tcPr>
          <w:p>
            <w:pPr>
              <w:spacing w:after="0"/>
              <w:rPr>
                <w:sz w:val="10"/>
                <w:szCs w:val="10"/>
                <w:color w:val="auto"/>
              </w:rPr>
            </w:pPr>
          </w:p>
        </w:tc>
        <w:tc>
          <w:tcPr>
            <w:tcW w:w="80" w:type="dxa"/>
            <w:vAlign w:val="bottom"/>
            <w:shd w:val="clear" w:color="auto" w:fill="F2F3F2"/>
          </w:tcPr>
          <w:p>
            <w:pPr>
              <w:spacing w:after="0"/>
              <w:rPr>
                <w:sz w:val="10"/>
                <w:szCs w:val="10"/>
                <w:color w:val="auto"/>
              </w:rPr>
            </w:pPr>
          </w:p>
        </w:tc>
        <w:tc>
          <w:tcPr>
            <w:tcW w:w="2060" w:type="dxa"/>
            <w:vAlign w:val="bottom"/>
            <w:vMerge w:val="continue"/>
            <w:shd w:val="clear" w:color="auto" w:fill="F2F3F2"/>
          </w:tcPr>
          <w:p>
            <w:pPr>
              <w:spacing w:after="0"/>
              <w:rPr>
                <w:sz w:val="10"/>
                <w:szCs w:val="10"/>
                <w:color w:val="auto"/>
              </w:rPr>
            </w:pPr>
          </w:p>
        </w:tc>
        <w:tc>
          <w:tcPr>
            <w:tcW w:w="120" w:type="dxa"/>
            <w:vAlign w:val="bottom"/>
            <w:tcBorders>
              <w:right w:val="single" w:sz="8" w:color="B2B3B6"/>
            </w:tcBorders>
            <w:shd w:val="clear" w:color="auto" w:fill="F2F3F2"/>
          </w:tcPr>
          <w:p>
            <w:pPr>
              <w:spacing w:after="0"/>
              <w:rPr>
                <w:sz w:val="10"/>
                <w:szCs w:val="10"/>
                <w:color w:val="auto"/>
              </w:rPr>
            </w:pPr>
          </w:p>
        </w:tc>
        <w:tc>
          <w:tcPr>
            <w:tcW w:w="80" w:type="dxa"/>
            <w:vAlign w:val="bottom"/>
            <w:shd w:val="clear" w:color="auto" w:fill="F2F3F2"/>
          </w:tcPr>
          <w:p>
            <w:pPr>
              <w:spacing w:after="0"/>
              <w:rPr>
                <w:sz w:val="10"/>
                <w:szCs w:val="10"/>
                <w:color w:val="auto"/>
              </w:rPr>
            </w:pPr>
          </w:p>
        </w:tc>
        <w:tc>
          <w:tcPr>
            <w:tcW w:w="2180" w:type="dxa"/>
            <w:vAlign w:val="bottom"/>
            <w:gridSpan w:val="2"/>
            <w:vMerge w:val="continue"/>
            <w:shd w:val="clear" w:color="auto" w:fill="F2F3F2"/>
          </w:tcPr>
          <w:p>
            <w:pPr>
              <w:spacing w:after="0"/>
              <w:rPr>
                <w:sz w:val="10"/>
                <w:szCs w:val="10"/>
                <w:color w:val="auto"/>
              </w:rPr>
            </w:pPr>
          </w:p>
        </w:tc>
        <w:tc>
          <w:tcPr>
            <w:tcW w:w="80" w:type="dxa"/>
            <w:vAlign w:val="bottom"/>
            <w:tcBorders>
              <w:left w:val="single" w:sz="8" w:color="B2B3B6"/>
            </w:tcBorders>
            <w:shd w:val="clear" w:color="auto" w:fill="F2F3F2"/>
          </w:tcPr>
          <w:p>
            <w:pPr>
              <w:spacing w:after="0"/>
              <w:rPr>
                <w:sz w:val="10"/>
                <w:szCs w:val="10"/>
                <w:color w:val="auto"/>
              </w:rPr>
            </w:pPr>
          </w:p>
        </w:tc>
        <w:tc>
          <w:tcPr>
            <w:tcW w:w="2080" w:type="dxa"/>
            <w:vAlign w:val="bottom"/>
            <w:shd w:val="clear" w:color="auto" w:fill="F2F3F2"/>
          </w:tcPr>
          <w:p>
            <w:pPr>
              <w:spacing w:after="0"/>
              <w:rPr>
                <w:sz w:val="10"/>
                <w:szCs w:val="10"/>
                <w:color w:val="auto"/>
              </w:rPr>
            </w:pPr>
          </w:p>
        </w:tc>
        <w:tc>
          <w:tcPr>
            <w:tcW w:w="100" w:type="dxa"/>
            <w:vAlign w:val="bottom"/>
            <w:shd w:val="clear" w:color="auto" w:fill="F2F3F2"/>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00" w:type="dxa"/>
            <w:vAlign w:val="bottom"/>
            <w:shd w:val="clear" w:color="auto" w:fill="F2F3F2"/>
          </w:tcPr>
          <w:p>
            <w:pPr>
              <w:spacing w:after="0"/>
              <w:rPr>
                <w:sz w:val="11"/>
                <w:szCs w:val="11"/>
                <w:color w:val="auto"/>
              </w:rPr>
            </w:pPr>
          </w:p>
        </w:tc>
        <w:tc>
          <w:tcPr>
            <w:tcW w:w="2080" w:type="dxa"/>
            <w:vAlign w:val="bottom"/>
            <w:shd w:val="clear" w:color="auto" w:fill="F2F3F2"/>
          </w:tcPr>
          <w:p>
            <w:pPr>
              <w:spacing w:after="0"/>
              <w:rPr>
                <w:sz w:val="11"/>
                <w:szCs w:val="11"/>
                <w:color w:val="auto"/>
              </w:rPr>
            </w:pPr>
          </w:p>
        </w:tc>
        <w:tc>
          <w:tcPr>
            <w:tcW w:w="120" w:type="dxa"/>
            <w:vAlign w:val="bottom"/>
            <w:tcBorders>
              <w:right w:val="single" w:sz="8" w:color="B2B3B6"/>
            </w:tcBorders>
            <w:shd w:val="clear" w:color="auto" w:fill="F2F3F2"/>
          </w:tcPr>
          <w:p>
            <w:pPr>
              <w:spacing w:after="0"/>
              <w:rPr>
                <w:sz w:val="11"/>
                <w:szCs w:val="11"/>
                <w:color w:val="auto"/>
              </w:rPr>
            </w:pPr>
          </w:p>
        </w:tc>
        <w:tc>
          <w:tcPr>
            <w:tcW w:w="80" w:type="dxa"/>
            <w:vAlign w:val="bottom"/>
            <w:shd w:val="clear" w:color="auto" w:fill="F2F3F2"/>
          </w:tcPr>
          <w:p>
            <w:pPr>
              <w:spacing w:after="0"/>
              <w:rPr>
                <w:sz w:val="11"/>
                <w:szCs w:val="11"/>
                <w:color w:val="auto"/>
              </w:rPr>
            </w:pPr>
          </w:p>
        </w:tc>
        <w:tc>
          <w:tcPr>
            <w:tcW w:w="2060" w:type="dxa"/>
            <w:vAlign w:val="bottom"/>
            <w:shd w:val="clear" w:color="auto" w:fill="F2F3F2"/>
          </w:tcPr>
          <w:p>
            <w:pPr>
              <w:spacing w:after="0"/>
              <w:rPr>
                <w:sz w:val="11"/>
                <w:szCs w:val="11"/>
                <w:color w:val="auto"/>
              </w:rPr>
            </w:pPr>
          </w:p>
        </w:tc>
        <w:tc>
          <w:tcPr>
            <w:tcW w:w="120" w:type="dxa"/>
            <w:vAlign w:val="bottom"/>
            <w:tcBorders>
              <w:right w:val="single" w:sz="8" w:color="B2B3B6"/>
            </w:tcBorders>
            <w:shd w:val="clear" w:color="auto" w:fill="F2F3F2"/>
          </w:tcPr>
          <w:p>
            <w:pPr>
              <w:spacing w:after="0"/>
              <w:rPr>
                <w:sz w:val="11"/>
                <w:szCs w:val="11"/>
                <w:color w:val="auto"/>
              </w:rPr>
            </w:pPr>
          </w:p>
        </w:tc>
        <w:tc>
          <w:tcPr>
            <w:tcW w:w="80" w:type="dxa"/>
            <w:vAlign w:val="bottom"/>
            <w:shd w:val="clear" w:color="auto" w:fill="F2F3F2"/>
          </w:tcPr>
          <w:p>
            <w:pPr>
              <w:spacing w:after="0"/>
              <w:rPr>
                <w:sz w:val="11"/>
                <w:szCs w:val="11"/>
                <w:color w:val="auto"/>
              </w:rPr>
            </w:pPr>
          </w:p>
        </w:tc>
        <w:tc>
          <w:tcPr>
            <w:tcW w:w="2080" w:type="dxa"/>
            <w:vAlign w:val="bottom"/>
            <w:shd w:val="clear" w:color="auto" w:fill="F2F3F2"/>
          </w:tcPr>
          <w:p>
            <w:pPr>
              <w:spacing w:after="0"/>
              <w:rPr>
                <w:sz w:val="11"/>
                <w:szCs w:val="11"/>
                <w:color w:val="auto"/>
              </w:rPr>
            </w:pPr>
          </w:p>
        </w:tc>
        <w:tc>
          <w:tcPr>
            <w:tcW w:w="100" w:type="dxa"/>
            <w:vAlign w:val="bottom"/>
            <w:shd w:val="clear" w:color="auto" w:fill="F2F3F2"/>
          </w:tcPr>
          <w:p>
            <w:pPr>
              <w:spacing w:after="0"/>
              <w:rPr>
                <w:sz w:val="11"/>
                <w:szCs w:val="11"/>
                <w:color w:val="auto"/>
              </w:rPr>
            </w:pPr>
          </w:p>
        </w:tc>
        <w:tc>
          <w:tcPr>
            <w:tcW w:w="80" w:type="dxa"/>
            <w:vAlign w:val="bottom"/>
            <w:tcBorders>
              <w:left w:val="single" w:sz="8" w:color="B2B3B6"/>
            </w:tcBorders>
            <w:shd w:val="clear" w:color="auto" w:fill="F2F3F2"/>
          </w:tcPr>
          <w:p>
            <w:pPr>
              <w:spacing w:after="0"/>
              <w:rPr>
                <w:sz w:val="11"/>
                <w:szCs w:val="11"/>
                <w:color w:val="auto"/>
              </w:rPr>
            </w:pPr>
          </w:p>
        </w:tc>
        <w:tc>
          <w:tcPr>
            <w:tcW w:w="2080" w:type="dxa"/>
            <w:vAlign w:val="bottom"/>
            <w:shd w:val="clear" w:color="auto" w:fill="F2F3F2"/>
          </w:tcPr>
          <w:p>
            <w:pPr>
              <w:spacing w:after="0"/>
              <w:rPr>
                <w:sz w:val="11"/>
                <w:szCs w:val="11"/>
                <w:color w:val="auto"/>
              </w:rPr>
            </w:pPr>
          </w:p>
        </w:tc>
        <w:tc>
          <w:tcPr>
            <w:tcW w:w="100" w:type="dxa"/>
            <w:vAlign w:val="bottom"/>
            <w:shd w:val="clear" w:color="auto" w:fill="F2F3F2"/>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100" w:type="dxa"/>
            <w:vAlign w:val="bottom"/>
            <w:shd w:val="clear" w:color="auto" w:fill="F2F3F2"/>
          </w:tcPr>
          <w:p>
            <w:pPr>
              <w:spacing w:after="0"/>
              <w:rPr>
                <w:sz w:val="23"/>
                <w:szCs w:val="23"/>
                <w:color w:val="auto"/>
              </w:rPr>
            </w:pPr>
          </w:p>
        </w:tc>
        <w:tc>
          <w:tcPr>
            <w:tcW w:w="2080" w:type="dxa"/>
            <w:vAlign w:val="bottom"/>
            <w:shd w:val="clear" w:color="auto" w:fill="F2F3F2"/>
          </w:tcPr>
          <w:p>
            <w:pPr>
              <w:spacing w:after="0"/>
              <w:rPr>
                <w:sz w:val="23"/>
                <w:szCs w:val="23"/>
                <w:color w:val="auto"/>
              </w:rPr>
            </w:pPr>
          </w:p>
        </w:tc>
        <w:tc>
          <w:tcPr>
            <w:tcW w:w="120" w:type="dxa"/>
            <w:vAlign w:val="bottom"/>
            <w:tcBorders>
              <w:right w:val="single" w:sz="8" w:color="F2F3F2"/>
            </w:tcBorders>
            <w:shd w:val="clear" w:color="auto" w:fill="F2F3F2"/>
          </w:tcPr>
          <w:p>
            <w:pPr>
              <w:spacing w:after="0"/>
              <w:rPr>
                <w:sz w:val="23"/>
                <w:szCs w:val="23"/>
                <w:color w:val="auto"/>
              </w:rPr>
            </w:pPr>
          </w:p>
        </w:tc>
        <w:tc>
          <w:tcPr>
            <w:tcW w:w="80" w:type="dxa"/>
            <w:vAlign w:val="bottom"/>
            <w:shd w:val="clear" w:color="auto" w:fill="F2F3F2"/>
          </w:tcPr>
          <w:p>
            <w:pPr>
              <w:spacing w:after="0"/>
              <w:rPr>
                <w:sz w:val="23"/>
                <w:szCs w:val="23"/>
                <w:color w:val="auto"/>
              </w:rPr>
            </w:pPr>
          </w:p>
        </w:tc>
        <w:tc>
          <w:tcPr>
            <w:tcW w:w="2060" w:type="dxa"/>
            <w:vAlign w:val="bottom"/>
            <w:shd w:val="clear" w:color="auto" w:fill="F2F3F2"/>
          </w:tcPr>
          <w:p>
            <w:pPr>
              <w:spacing w:after="0"/>
              <w:rPr>
                <w:sz w:val="23"/>
                <w:szCs w:val="23"/>
                <w:color w:val="auto"/>
              </w:rPr>
            </w:pPr>
          </w:p>
        </w:tc>
        <w:tc>
          <w:tcPr>
            <w:tcW w:w="120" w:type="dxa"/>
            <w:vAlign w:val="bottom"/>
            <w:tcBorders>
              <w:right w:val="single" w:sz="8" w:color="F2F3F2"/>
            </w:tcBorders>
            <w:shd w:val="clear" w:color="auto" w:fill="F2F3F2"/>
          </w:tcPr>
          <w:p>
            <w:pPr>
              <w:spacing w:after="0"/>
              <w:rPr>
                <w:sz w:val="23"/>
                <w:szCs w:val="23"/>
                <w:color w:val="auto"/>
              </w:rPr>
            </w:pPr>
          </w:p>
        </w:tc>
        <w:tc>
          <w:tcPr>
            <w:tcW w:w="80" w:type="dxa"/>
            <w:vAlign w:val="bottom"/>
            <w:shd w:val="clear" w:color="auto" w:fill="F2F3F2"/>
          </w:tcPr>
          <w:p>
            <w:pPr>
              <w:spacing w:after="0"/>
              <w:rPr>
                <w:sz w:val="23"/>
                <w:szCs w:val="23"/>
                <w:color w:val="auto"/>
              </w:rPr>
            </w:pPr>
          </w:p>
        </w:tc>
        <w:tc>
          <w:tcPr>
            <w:tcW w:w="2080" w:type="dxa"/>
            <w:vAlign w:val="bottom"/>
            <w:shd w:val="clear" w:color="auto" w:fill="F2F3F2"/>
          </w:tcPr>
          <w:p>
            <w:pPr>
              <w:spacing w:after="0"/>
              <w:rPr>
                <w:sz w:val="23"/>
                <w:szCs w:val="23"/>
                <w:color w:val="auto"/>
              </w:rPr>
            </w:pPr>
          </w:p>
        </w:tc>
        <w:tc>
          <w:tcPr>
            <w:tcW w:w="100" w:type="dxa"/>
            <w:vAlign w:val="bottom"/>
            <w:shd w:val="clear" w:color="auto" w:fill="F2F3F2"/>
          </w:tcPr>
          <w:p>
            <w:pPr>
              <w:spacing w:after="0"/>
              <w:rPr>
                <w:sz w:val="23"/>
                <w:szCs w:val="23"/>
                <w:color w:val="auto"/>
              </w:rPr>
            </w:pPr>
          </w:p>
        </w:tc>
        <w:tc>
          <w:tcPr>
            <w:tcW w:w="80" w:type="dxa"/>
            <w:vAlign w:val="bottom"/>
            <w:tcBorders>
              <w:left w:val="single" w:sz="8" w:color="F2F3F2"/>
            </w:tcBorders>
            <w:shd w:val="clear" w:color="auto" w:fill="F2F3F2"/>
          </w:tcPr>
          <w:p>
            <w:pPr>
              <w:spacing w:after="0"/>
              <w:rPr>
                <w:sz w:val="23"/>
                <w:szCs w:val="23"/>
                <w:color w:val="auto"/>
              </w:rPr>
            </w:pPr>
          </w:p>
        </w:tc>
        <w:tc>
          <w:tcPr>
            <w:tcW w:w="2080" w:type="dxa"/>
            <w:vAlign w:val="bottom"/>
            <w:shd w:val="clear" w:color="auto" w:fill="F2F3F2"/>
          </w:tcPr>
          <w:p>
            <w:pPr>
              <w:spacing w:after="0"/>
              <w:rPr>
                <w:sz w:val="23"/>
                <w:szCs w:val="23"/>
                <w:color w:val="auto"/>
              </w:rPr>
            </w:pPr>
          </w:p>
        </w:tc>
        <w:tc>
          <w:tcPr>
            <w:tcW w:w="100" w:type="dxa"/>
            <w:vAlign w:val="bottom"/>
            <w:shd w:val="clear" w:color="auto" w:fill="F2F3F2"/>
          </w:tcPr>
          <w:p>
            <w:pPr>
              <w:spacing w:after="0"/>
              <w:rPr>
                <w:sz w:val="23"/>
                <w:szCs w:val="23"/>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80"/>
        <w:spacing w:after="0" w:line="321" w:lineRule="auto"/>
        <w:rPr>
          <w:sz w:val="20"/>
          <w:szCs w:val="20"/>
          <w:color w:val="auto"/>
        </w:rPr>
      </w:pPr>
      <w:r>
        <w:rPr>
          <w:rFonts w:ascii="Arial" w:cs="Arial" w:eastAsia="Arial" w:hAnsi="Arial"/>
          <w:sz w:val="16"/>
          <w:szCs w:val="16"/>
          <w:color w:val="auto"/>
        </w:rPr>
        <w:t>Additionally, in 2024, for our annual Day of Service event more than 3,300 Huron employees partnered with organizations around the globe to participate in 141 community service events in more than 90 distinct locations. Together we:</w:t>
      </w:r>
    </w:p>
    <w:p>
      <w:pPr>
        <w:spacing w:after="0" w:line="200" w:lineRule="exact"/>
        <w:rPr>
          <w:sz w:val="20"/>
          <w:szCs w:val="20"/>
          <w:color w:val="auto"/>
        </w:rPr>
      </w:pPr>
    </w:p>
    <w:p>
      <w:pPr>
        <w:spacing w:after="0" w:line="227" w:lineRule="exact"/>
        <w:rPr>
          <w:sz w:val="20"/>
          <w:szCs w:val="20"/>
          <w:color w:val="auto"/>
        </w:rPr>
      </w:pPr>
    </w:p>
    <w:p>
      <w:pPr>
        <w:ind w:left="540"/>
        <w:spacing w:after="0"/>
        <w:tabs>
          <w:tab w:leader="none" w:pos="3960" w:val="left"/>
          <w:tab w:leader="none" w:pos="6960" w:val="left"/>
        </w:tabs>
        <w:rPr>
          <w:sz w:val="20"/>
          <w:szCs w:val="20"/>
          <w:color w:val="auto"/>
        </w:rPr>
      </w:pPr>
      <w:r>
        <w:rPr>
          <w:rFonts w:ascii="Arial" w:cs="Arial" w:eastAsia="Arial" w:hAnsi="Arial"/>
          <w:sz w:val="22"/>
          <w:szCs w:val="22"/>
          <w:color w:val="6AAA37"/>
        </w:rPr>
        <w:t>3,000 warm meals</w:t>
      </w:r>
      <w:r>
        <w:rPr>
          <w:sz w:val="20"/>
          <w:szCs w:val="20"/>
          <w:color w:val="auto"/>
        </w:rPr>
        <w:tab/>
      </w:r>
      <w:r>
        <w:rPr>
          <w:rFonts w:ascii="Arial" w:cs="Arial" w:eastAsia="Arial" w:hAnsi="Arial"/>
          <w:sz w:val="22"/>
          <w:szCs w:val="22"/>
          <w:color w:val="6AAA37"/>
        </w:rPr>
        <w:t>500 letters</w:t>
      </w:r>
      <w:r>
        <w:rPr>
          <w:sz w:val="20"/>
          <w:szCs w:val="20"/>
          <w:color w:val="auto"/>
        </w:rPr>
        <w:tab/>
      </w:r>
      <w:r>
        <w:rPr>
          <w:rFonts w:ascii="Arial" w:cs="Arial" w:eastAsia="Arial" w:hAnsi="Arial"/>
          <w:sz w:val="21"/>
          <w:szCs w:val="21"/>
          <w:color w:val="6AAA37"/>
        </w:rPr>
        <w:t>215,000 lbs.</w:t>
      </w:r>
    </w:p>
    <w:p>
      <w:pPr>
        <w:sectPr>
          <w:pgSz w:w="11900" w:h="16838" w:orient="portrait"/>
          <w:cols w:equalWidth="0" w:num="1">
            <w:col w:w="9080"/>
          </w:cols>
          <w:pgMar w:left="1400" w:top="114" w:right="1419" w:bottom="0" w:gutter="0" w:footer="0" w:header="0"/>
        </w:sectPr>
      </w:pPr>
    </w:p>
    <w:p>
      <w:pPr>
        <w:spacing w:after="0" w:line="43" w:lineRule="exact"/>
        <w:rPr>
          <w:sz w:val="20"/>
          <w:szCs w:val="20"/>
          <w:color w:val="auto"/>
        </w:rPr>
      </w:pPr>
    </w:p>
    <w:p>
      <w:pPr>
        <w:ind w:left="160"/>
        <w:spacing w:after="0"/>
        <w:tabs>
          <w:tab w:leader="none" w:pos="3380" w:val="left"/>
          <w:tab w:leader="none" w:pos="6340" w:val="left"/>
        </w:tabs>
        <w:rPr>
          <w:sz w:val="20"/>
          <w:szCs w:val="20"/>
          <w:color w:val="auto"/>
        </w:rPr>
      </w:pPr>
      <w:r>
        <w:rPr>
          <w:rFonts w:ascii="Arial" w:cs="Arial" w:eastAsia="Arial" w:hAnsi="Arial"/>
          <w:sz w:val="16"/>
          <w:szCs w:val="16"/>
          <w:color w:val="auto"/>
        </w:rPr>
        <w:t>Prepared and served more than 3,000</w:t>
      </w:r>
      <w:r>
        <w:rPr>
          <w:sz w:val="20"/>
          <w:szCs w:val="20"/>
          <w:color w:val="auto"/>
        </w:rPr>
        <w:tab/>
      </w:r>
      <w:r>
        <w:rPr>
          <w:rFonts w:ascii="Arial" w:cs="Arial" w:eastAsia="Arial" w:hAnsi="Arial"/>
          <w:sz w:val="16"/>
          <w:szCs w:val="16"/>
          <w:color w:val="auto"/>
        </w:rPr>
        <w:t>Wrote more than 500 letters and</w:t>
      </w:r>
      <w:r>
        <w:rPr>
          <w:sz w:val="20"/>
          <w:szCs w:val="20"/>
          <w:color w:val="auto"/>
        </w:rPr>
        <w:tab/>
      </w:r>
      <w:r>
        <w:rPr>
          <w:rFonts w:ascii="Arial" w:cs="Arial" w:eastAsia="Arial" w:hAnsi="Arial"/>
          <w:sz w:val="16"/>
          <w:szCs w:val="16"/>
          <w:color w:val="auto"/>
        </w:rPr>
        <w:t>Sorted and packed 215,000 lbs of</w:t>
      </w:r>
    </w:p>
    <w:p>
      <w:pPr>
        <w:sectPr>
          <w:pgSz w:w="11900" w:h="16838" w:orient="portrait"/>
          <w:cols w:equalWidth="0" w:num="1">
            <w:col w:w="9080"/>
          </w:cols>
          <w:pgMar w:left="1400" w:top="114" w:right="1419" w:bottom="0" w:gutter="0" w:footer="0" w:header="0"/>
          <w:type w:val="continuous"/>
        </w:sectPr>
      </w:pPr>
    </w:p>
    <w:bookmarkStart w:id="37" w:name="page38"/>
    <w:bookmarkEnd w:id="37"/>
    <w:p>
      <w:pPr>
        <w:spacing w:after="0" w:line="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42881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10375" cy="42881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4"/>
        </w:trPr>
        <w:tc>
          <w:tcPr>
            <w:tcW w:w="3040" w:type="dxa"/>
            <w:vAlign w:val="bottom"/>
            <w:shd w:val="clear" w:color="auto" w:fill="F2F3F2"/>
          </w:tcPr>
          <w:p>
            <w:pPr>
              <w:jc w:val="center"/>
              <w:spacing w:after="0"/>
              <w:rPr>
                <w:sz w:val="20"/>
                <w:szCs w:val="20"/>
                <w:color w:val="auto"/>
              </w:rPr>
            </w:pPr>
            <w:r>
              <w:rPr>
                <w:rFonts w:ascii="Arial" w:cs="Arial" w:eastAsia="Arial" w:hAnsi="Arial"/>
                <w:sz w:val="16"/>
                <w:szCs w:val="16"/>
                <w:color w:val="auto"/>
              </w:rPr>
              <w:t>warm meals to people experiencing</w:t>
            </w:r>
          </w:p>
        </w:tc>
        <w:tc>
          <w:tcPr>
            <w:tcW w:w="3280" w:type="dxa"/>
            <w:vAlign w:val="bottom"/>
            <w:shd w:val="clear" w:color="auto" w:fill="F2F3F2"/>
          </w:tcPr>
          <w:p>
            <w:pPr>
              <w:jc w:val="center"/>
              <w:ind w:right="161"/>
              <w:spacing w:after="0"/>
              <w:rPr>
                <w:sz w:val="20"/>
                <w:szCs w:val="20"/>
                <w:color w:val="auto"/>
              </w:rPr>
            </w:pPr>
            <w:r>
              <w:rPr>
                <w:rFonts w:ascii="Arial" w:cs="Arial" w:eastAsia="Arial" w:hAnsi="Arial"/>
                <w:sz w:val="16"/>
                <w:szCs w:val="16"/>
                <w:color w:val="auto"/>
              </w:rPr>
              <w:t>cards for hospitalized children,</w:t>
            </w:r>
          </w:p>
        </w:tc>
        <w:tc>
          <w:tcPr>
            <w:tcW w:w="2760" w:type="dxa"/>
            <w:vAlign w:val="bottom"/>
            <w:shd w:val="clear" w:color="auto" w:fill="F2F3F2"/>
          </w:tcPr>
          <w:p>
            <w:pPr>
              <w:ind w:left="480"/>
              <w:spacing w:after="0"/>
              <w:rPr>
                <w:sz w:val="20"/>
                <w:szCs w:val="20"/>
                <w:color w:val="auto"/>
              </w:rPr>
            </w:pPr>
            <w:r>
              <w:rPr>
                <w:rFonts w:ascii="Arial" w:cs="Arial" w:eastAsia="Arial" w:hAnsi="Arial"/>
                <w:sz w:val="16"/>
                <w:szCs w:val="16"/>
                <w:color w:val="auto"/>
              </w:rPr>
              <w:t>food for those in need</w:t>
            </w:r>
          </w:p>
        </w:tc>
      </w:tr>
      <w:tr>
        <w:trPr>
          <w:trHeight w:val="135"/>
        </w:trPr>
        <w:tc>
          <w:tcPr>
            <w:tcW w:w="3040" w:type="dxa"/>
            <w:vAlign w:val="bottom"/>
            <w:shd w:val="clear" w:color="auto" w:fill="F2F3F2"/>
          </w:tcPr>
          <w:p>
            <w:pPr>
              <w:jc w:val="center"/>
              <w:spacing w:after="0" w:line="135" w:lineRule="exact"/>
              <w:rPr>
                <w:sz w:val="20"/>
                <w:szCs w:val="20"/>
                <w:color w:val="auto"/>
              </w:rPr>
            </w:pPr>
            <w:r>
              <w:rPr>
                <w:rFonts w:ascii="Arial" w:cs="Arial" w:eastAsia="Arial" w:hAnsi="Arial"/>
                <w:sz w:val="15"/>
                <w:szCs w:val="15"/>
                <w:color w:val="auto"/>
              </w:rPr>
              <w:t>homelessness and to families of</w:t>
            </w:r>
          </w:p>
        </w:tc>
        <w:tc>
          <w:tcPr>
            <w:tcW w:w="3280" w:type="dxa"/>
            <w:vAlign w:val="bottom"/>
            <w:shd w:val="clear" w:color="auto" w:fill="F2F3F2"/>
          </w:tcPr>
          <w:p>
            <w:pPr>
              <w:jc w:val="center"/>
              <w:ind w:right="161"/>
              <w:spacing w:after="0" w:line="135" w:lineRule="exact"/>
              <w:rPr>
                <w:sz w:val="20"/>
                <w:szCs w:val="20"/>
                <w:color w:val="auto"/>
              </w:rPr>
            </w:pPr>
            <w:r>
              <w:rPr>
                <w:rFonts w:ascii="Arial" w:cs="Arial" w:eastAsia="Arial" w:hAnsi="Arial"/>
                <w:sz w:val="15"/>
                <w:szCs w:val="15"/>
                <w:color w:val="auto"/>
              </w:rPr>
              <w:t>women experiencing homelessness</w:t>
            </w:r>
          </w:p>
        </w:tc>
        <w:tc>
          <w:tcPr>
            <w:tcW w:w="2760" w:type="dxa"/>
            <w:vAlign w:val="bottom"/>
            <w:shd w:val="clear" w:color="auto" w:fill="F2F3F2"/>
          </w:tcPr>
          <w:p>
            <w:pPr>
              <w:spacing w:after="0"/>
              <w:rPr>
                <w:sz w:val="11"/>
                <w:szCs w:val="11"/>
                <w:color w:val="auto"/>
              </w:rPr>
            </w:pPr>
          </w:p>
        </w:tc>
      </w:tr>
      <w:tr>
        <w:trPr>
          <w:trHeight w:val="228"/>
        </w:trPr>
        <w:tc>
          <w:tcPr>
            <w:tcW w:w="3040" w:type="dxa"/>
            <w:vAlign w:val="bottom"/>
          </w:tcPr>
          <w:p>
            <w:pPr>
              <w:jc w:val="center"/>
              <w:spacing w:after="0"/>
              <w:rPr>
                <w:sz w:val="20"/>
                <w:szCs w:val="20"/>
                <w:color w:val="auto"/>
              </w:rPr>
            </w:pPr>
            <w:r>
              <w:rPr>
                <w:rFonts w:ascii="Arial" w:cs="Arial" w:eastAsia="Arial" w:hAnsi="Arial"/>
                <w:sz w:val="16"/>
                <w:szCs w:val="16"/>
                <w:color w:val="auto"/>
              </w:rPr>
              <w:t>hospitalized children</w:t>
            </w:r>
          </w:p>
        </w:tc>
        <w:tc>
          <w:tcPr>
            <w:tcW w:w="3280" w:type="dxa"/>
            <w:vAlign w:val="bottom"/>
          </w:tcPr>
          <w:p>
            <w:pPr>
              <w:jc w:val="center"/>
              <w:ind w:right="161"/>
              <w:spacing w:after="0"/>
              <w:rPr>
                <w:sz w:val="20"/>
                <w:szCs w:val="20"/>
                <w:color w:val="auto"/>
              </w:rPr>
            </w:pPr>
            <w:r>
              <w:rPr>
                <w:rFonts w:ascii="Arial" w:cs="Arial" w:eastAsia="Arial" w:hAnsi="Arial"/>
                <w:sz w:val="16"/>
                <w:szCs w:val="16"/>
                <w:color w:val="auto"/>
              </w:rPr>
              <w:t>and LGBTQ+ seniors</w:t>
            </w:r>
          </w:p>
        </w:tc>
        <w:tc>
          <w:tcPr>
            <w:tcW w:w="2760" w:type="dxa"/>
            <w:vAlign w:val="bottom"/>
          </w:tcPr>
          <w:p>
            <w:pPr>
              <w:spacing w:after="0"/>
              <w:rPr>
                <w:sz w:val="19"/>
                <w:szCs w:val="19"/>
                <w:color w:val="auto"/>
              </w:rPr>
            </w:pPr>
          </w:p>
        </w:tc>
      </w:tr>
    </w:tbl>
    <w:p>
      <w:pPr>
        <w:spacing w:after="0" w:line="200" w:lineRule="exact"/>
        <w:rPr>
          <w:sz w:val="20"/>
          <w:szCs w:val="20"/>
          <w:color w:val="auto"/>
        </w:rPr>
      </w:pPr>
    </w:p>
    <w:p>
      <w:pPr>
        <w:spacing w:after="0" w:line="235" w:lineRule="exact"/>
        <w:rPr>
          <w:sz w:val="20"/>
          <w:szCs w:val="20"/>
          <w:color w:val="auto"/>
        </w:rPr>
      </w:pPr>
    </w:p>
    <w:tbl>
      <w:tblPr>
        <w:tblLayout w:type="fixed"/>
        <w:tblInd w:w="100" w:type="dxa"/>
        <w:tblCellMar>
          <w:top w:w="0" w:type="dxa"/>
          <w:left w:w="0" w:type="dxa"/>
          <w:bottom w:w="0" w:type="dxa"/>
          <w:right w:w="0" w:type="dxa"/>
        </w:tblCellMar>
      </w:tblPr>
      <w:tr>
        <w:trPr>
          <w:trHeight w:val="283"/>
        </w:trPr>
        <w:tc>
          <w:tcPr>
            <w:tcW w:w="2860" w:type="dxa"/>
            <w:vAlign w:val="bottom"/>
          </w:tcPr>
          <w:p>
            <w:pPr>
              <w:ind w:left="520"/>
              <w:spacing w:after="0"/>
              <w:rPr>
                <w:sz w:val="20"/>
                <w:szCs w:val="20"/>
                <w:color w:val="auto"/>
              </w:rPr>
            </w:pPr>
            <w:r>
              <w:rPr>
                <w:rFonts w:ascii="Arial" w:cs="Arial" w:eastAsia="Arial" w:hAnsi="Arial"/>
                <w:sz w:val="22"/>
                <w:szCs w:val="22"/>
                <w:color w:val="6AAA37"/>
              </w:rPr>
              <w:t>20 outdoor areas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40" w:type="dxa"/>
            <w:vAlign w:val="bottom"/>
          </w:tcPr>
          <w:p>
            <w:pPr>
              <w:ind w:left="720"/>
              <w:spacing w:after="0"/>
              <w:rPr>
                <w:sz w:val="20"/>
                <w:szCs w:val="20"/>
                <w:color w:val="auto"/>
              </w:rPr>
            </w:pPr>
            <w:r>
              <w:rPr>
                <w:rFonts w:ascii="Arial" w:cs="Arial" w:eastAsia="Arial" w:hAnsi="Arial"/>
                <w:sz w:val="22"/>
                <w:szCs w:val="22"/>
                <w:color w:val="6AAA37"/>
              </w:rPr>
              <w:t>27,000 items</w:t>
            </w:r>
          </w:p>
        </w:tc>
        <w:tc>
          <w:tcPr>
            <w:tcW w:w="180" w:type="dxa"/>
            <w:vAlign w:val="bottom"/>
          </w:tcPr>
          <w:p>
            <w:pPr>
              <w:spacing w:after="0"/>
              <w:rPr>
                <w:sz w:val="24"/>
                <w:szCs w:val="24"/>
                <w:color w:val="auto"/>
              </w:rPr>
            </w:pPr>
          </w:p>
        </w:tc>
        <w:tc>
          <w:tcPr>
            <w:tcW w:w="2920" w:type="dxa"/>
            <w:vAlign w:val="bottom"/>
            <w:gridSpan w:val="2"/>
          </w:tcPr>
          <w:p>
            <w:pPr>
              <w:jc w:val="center"/>
              <w:ind w:right="240"/>
              <w:spacing w:after="0"/>
              <w:rPr>
                <w:sz w:val="20"/>
                <w:szCs w:val="20"/>
                <w:color w:val="auto"/>
              </w:rPr>
            </w:pPr>
            <w:r>
              <w:rPr>
                <w:rFonts w:ascii="Arial" w:cs="Arial" w:eastAsia="Arial" w:hAnsi="Arial"/>
                <w:sz w:val="22"/>
                <w:szCs w:val="22"/>
                <w:color w:val="6AAA37"/>
                <w:w w:val="97"/>
              </w:rPr>
              <w:t>450 animals</w:t>
            </w:r>
          </w:p>
        </w:tc>
        <w:tc>
          <w:tcPr>
            <w:tcW w:w="0" w:type="dxa"/>
            <w:vAlign w:val="bottom"/>
          </w:tcPr>
          <w:p>
            <w:pPr>
              <w:spacing w:after="0"/>
              <w:rPr>
                <w:sz w:val="1"/>
                <w:szCs w:val="1"/>
                <w:color w:val="auto"/>
              </w:rPr>
            </w:pPr>
          </w:p>
        </w:tc>
      </w:tr>
      <w:tr>
        <w:trPr>
          <w:trHeight w:val="201"/>
        </w:trPr>
        <w:tc>
          <w:tcPr>
            <w:tcW w:w="2860" w:type="dxa"/>
            <w:vAlign w:val="bottom"/>
          </w:tcPr>
          <w:p>
            <w:pPr>
              <w:jc w:val="center"/>
              <w:spacing w:after="0"/>
              <w:rPr>
                <w:sz w:val="20"/>
                <w:szCs w:val="20"/>
                <w:color w:val="auto"/>
              </w:rPr>
            </w:pPr>
            <w:r>
              <w:rPr>
                <w:rFonts w:ascii="Arial" w:cs="Arial" w:eastAsia="Arial" w:hAnsi="Arial"/>
                <w:sz w:val="16"/>
                <w:szCs w:val="16"/>
                <w:color w:val="auto"/>
              </w:rPr>
              <w:t>Weeded, landscaped, cleaned and</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40" w:type="dxa"/>
            <w:vAlign w:val="bottom"/>
          </w:tcPr>
          <w:p>
            <w:pPr>
              <w:jc w:val="center"/>
              <w:spacing w:after="0"/>
              <w:rPr>
                <w:sz w:val="20"/>
                <w:szCs w:val="20"/>
                <w:color w:val="auto"/>
              </w:rPr>
            </w:pPr>
            <w:r>
              <w:rPr>
                <w:rFonts w:ascii="Arial" w:cs="Arial" w:eastAsia="Arial" w:hAnsi="Arial"/>
                <w:sz w:val="16"/>
                <w:szCs w:val="16"/>
                <w:color w:val="auto"/>
              </w:rPr>
              <w:t>Sorted, inventoried and restored more</w:t>
            </w:r>
          </w:p>
        </w:tc>
        <w:tc>
          <w:tcPr>
            <w:tcW w:w="180" w:type="dxa"/>
            <w:vAlign w:val="bottom"/>
          </w:tcPr>
          <w:p>
            <w:pPr>
              <w:spacing w:after="0"/>
              <w:rPr>
                <w:sz w:val="17"/>
                <w:szCs w:val="17"/>
                <w:color w:val="auto"/>
              </w:rPr>
            </w:pPr>
          </w:p>
        </w:tc>
        <w:tc>
          <w:tcPr>
            <w:tcW w:w="2920" w:type="dxa"/>
            <w:vAlign w:val="bottom"/>
            <w:gridSpan w:val="2"/>
          </w:tcPr>
          <w:p>
            <w:pPr>
              <w:jc w:val="center"/>
              <w:ind w:right="100"/>
              <w:spacing w:after="0"/>
              <w:rPr>
                <w:sz w:val="20"/>
                <w:szCs w:val="20"/>
                <w:color w:val="auto"/>
              </w:rPr>
            </w:pPr>
            <w:r>
              <w:rPr>
                <w:rFonts w:ascii="Arial" w:cs="Arial" w:eastAsia="Arial" w:hAnsi="Arial"/>
                <w:sz w:val="16"/>
                <w:szCs w:val="16"/>
                <w:color w:val="auto"/>
              </w:rPr>
              <w:t>Supported more than 450 animals by</w:t>
            </w:r>
          </w:p>
        </w:tc>
        <w:tc>
          <w:tcPr>
            <w:tcW w:w="0" w:type="dxa"/>
            <w:vAlign w:val="bottom"/>
          </w:tcPr>
          <w:p>
            <w:pPr>
              <w:spacing w:after="0"/>
              <w:rPr>
                <w:sz w:val="1"/>
                <w:szCs w:val="1"/>
                <w:color w:val="auto"/>
              </w:rPr>
            </w:pPr>
          </w:p>
        </w:tc>
      </w:tr>
      <w:tr>
        <w:trPr>
          <w:trHeight w:val="28"/>
        </w:trPr>
        <w:tc>
          <w:tcPr>
            <w:tcW w:w="2860" w:type="dxa"/>
            <w:vAlign w:val="bottom"/>
            <w:vMerge w:val="restart"/>
          </w:tcPr>
          <w:p>
            <w:pPr>
              <w:jc w:val="center"/>
              <w:spacing w:after="0"/>
              <w:rPr>
                <w:sz w:val="20"/>
                <w:szCs w:val="20"/>
                <w:color w:val="auto"/>
              </w:rPr>
            </w:pPr>
            <w:r>
              <w:rPr>
                <w:rFonts w:ascii="Arial" w:cs="Arial" w:eastAsia="Arial" w:hAnsi="Arial"/>
                <w:sz w:val="16"/>
                <w:szCs w:val="16"/>
                <w:color w:val="auto"/>
              </w:rPr>
              <w:t>maintained 20 different parks,</w:t>
            </w: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860" w:type="dxa"/>
            <w:vAlign w:val="bottom"/>
            <w:vMerge w:val="continue"/>
          </w:tcPr>
          <w:p>
            <w:pPr>
              <w:spacing w:after="0"/>
              <w:rPr>
                <w:sz w:val="15"/>
                <w:szCs w:val="15"/>
                <w:color w:val="auto"/>
              </w:rPr>
            </w:pPr>
          </w:p>
        </w:tc>
        <w:tc>
          <w:tcPr>
            <w:tcW w:w="80" w:type="dxa"/>
            <w:vAlign w:val="bottom"/>
            <w:shd w:val="clear" w:color="auto" w:fill="F2F3F2"/>
          </w:tcPr>
          <w:p>
            <w:pPr>
              <w:spacing w:after="0"/>
              <w:rPr>
                <w:sz w:val="15"/>
                <w:szCs w:val="15"/>
                <w:color w:val="auto"/>
              </w:rPr>
            </w:pPr>
          </w:p>
        </w:tc>
        <w:tc>
          <w:tcPr>
            <w:tcW w:w="100" w:type="dxa"/>
            <w:vAlign w:val="bottom"/>
            <w:shd w:val="clear" w:color="auto" w:fill="F2F3F2"/>
          </w:tcPr>
          <w:p>
            <w:pPr>
              <w:spacing w:after="0"/>
              <w:rPr>
                <w:sz w:val="15"/>
                <w:szCs w:val="15"/>
                <w:color w:val="auto"/>
              </w:rPr>
            </w:pPr>
          </w:p>
        </w:tc>
        <w:tc>
          <w:tcPr>
            <w:tcW w:w="2840" w:type="dxa"/>
            <w:vAlign w:val="bottom"/>
            <w:shd w:val="clear" w:color="auto" w:fill="F2F3F2"/>
          </w:tcPr>
          <w:p>
            <w:pPr>
              <w:jc w:val="center"/>
              <w:spacing w:after="0" w:line="175" w:lineRule="exact"/>
              <w:rPr>
                <w:sz w:val="20"/>
                <w:szCs w:val="20"/>
                <w:color w:val="auto"/>
              </w:rPr>
            </w:pPr>
            <w:r>
              <w:rPr>
                <w:rFonts w:ascii="Arial" w:cs="Arial" w:eastAsia="Arial" w:hAnsi="Arial"/>
                <w:sz w:val="16"/>
                <w:szCs w:val="16"/>
                <w:color w:val="auto"/>
              </w:rPr>
              <w:t>than 27,000 donated goods to be</w:t>
            </w:r>
          </w:p>
        </w:tc>
        <w:tc>
          <w:tcPr>
            <w:tcW w:w="180" w:type="dxa"/>
            <w:vAlign w:val="bottom"/>
            <w:shd w:val="clear" w:color="auto" w:fill="F2F3F2"/>
          </w:tcPr>
          <w:p>
            <w:pPr>
              <w:spacing w:after="0"/>
              <w:rPr>
                <w:sz w:val="15"/>
                <w:szCs w:val="15"/>
                <w:color w:val="auto"/>
              </w:rPr>
            </w:pPr>
          </w:p>
        </w:tc>
        <w:tc>
          <w:tcPr>
            <w:tcW w:w="2920" w:type="dxa"/>
            <w:vAlign w:val="bottom"/>
            <w:gridSpan w:val="2"/>
            <w:shd w:val="clear" w:color="auto" w:fill="F2F3F2"/>
          </w:tcPr>
          <w:p>
            <w:pPr>
              <w:jc w:val="center"/>
              <w:ind w:right="80"/>
              <w:spacing w:after="0" w:line="175" w:lineRule="exact"/>
              <w:rPr>
                <w:sz w:val="20"/>
                <w:szCs w:val="20"/>
                <w:color w:val="auto"/>
              </w:rPr>
            </w:pPr>
            <w:r>
              <w:rPr>
                <w:rFonts w:ascii="Arial" w:cs="Arial" w:eastAsia="Arial" w:hAnsi="Arial"/>
                <w:sz w:val="16"/>
                <w:szCs w:val="16"/>
                <w:color w:val="auto"/>
              </w:rPr>
              <w:t>assisting at local animal shelters</w:t>
            </w:r>
          </w:p>
        </w:tc>
        <w:tc>
          <w:tcPr>
            <w:tcW w:w="0" w:type="dxa"/>
            <w:vAlign w:val="bottom"/>
          </w:tcPr>
          <w:p>
            <w:pPr>
              <w:spacing w:after="0"/>
              <w:rPr>
                <w:sz w:val="1"/>
                <w:szCs w:val="1"/>
                <w:color w:val="auto"/>
              </w:rPr>
            </w:pPr>
          </w:p>
        </w:tc>
      </w:tr>
      <w:tr>
        <w:trPr>
          <w:trHeight w:val="156"/>
        </w:trPr>
        <w:tc>
          <w:tcPr>
            <w:tcW w:w="2860" w:type="dxa"/>
            <w:vAlign w:val="bottom"/>
            <w:tcBorders>
              <w:top w:val="single" w:sz="8" w:color="B2B3B6"/>
            </w:tcBorders>
          </w:tcPr>
          <w:p>
            <w:pPr>
              <w:jc w:val="center"/>
              <w:spacing w:after="0" w:line="155" w:lineRule="exact"/>
              <w:rPr>
                <w:sz w:val="20"/>
                <w:szCs w:val="20"/>
                <w:color w:val="auto"/>
              </w:rPr>
            </w:pPr>
            <w:r>
              <w:rPr>
                <w:rFonts w:ascii="Arial" w:cs="Arial" w:eastAsia="Arial" w:hAnsi="Arial"/>
                <w:sz w:val="16"/>
                <w:szCs w:val="16"/>
                <w:color w:val="auto"/>
              </w:rPr>
              <w:t>gardens, beaches and farms across</w:t>
            </w:r>
          </w:p>
        </w:tc>
        <w:tc>
          <w:tcPr>
            <w:tcW w:w="80" w:type="dxa"/>
            <w:vAlign w:val="bottom"/>
          </w:tcPr>
          <w:p>
            <w:pPr>
              <w:spacing w:after="0"/>
              <w:rPr>
                <w:sz w:val="13"/>
                <w:szCs w:val="13"/>
                <w:color w:val="auto"/>
              </w:rPr>
            </w:pPr>
          </w:p>
        </w:tc>
        <w:tc>
          <w:tcPr>
            <w:tcW w:w="100" w:type="dxa"/>
            <w:vAlign w:val="bottom"/>
            <w:tcBorders>
              <w:top w:val="single" w:sz="8" w:color="F2F3F2"/>
            </w:tcBorders>
            <w:shd w:val="clear" w:color="auto" w:fill="F2F3F2"/>
          </w:tcPr>
          <w:p>
            <w:pPr>
              <w:spacing w:after="0"/>
              <w:rPr>
                <w:sz w:val="13"/>
                <w:szCs w:val="13"/>
                <w:color w:val="auto"/>
              </w:rPr>
            </w:pPr>
          </w:p>
        </w:tc>
        <w:tc>
          <w:tcPr>
            <w:tcW w:w="2840" w:type="dxa"/>
            <w:vAlign w:val="bottom"/>
            <w:tcBorders>
              <w:top w:val="single" w:sz="8" w:color="B2B3B6"/>
            </w:tcBorders>
            <w:shd w:val="clear" w:color="auto" w:fill="F2F3F2"/>
          </w:tcPr>
          <w:p>
            <w:pPr>
              <w:jc w:val="center"/>
              <w:spacing w:after="0" w:line="155" w:lineRule="exact"/>
              <w:rPr>
                <w:sz w:val="20"/>
                <w:szCs w:val="20"/>
                <w:color w:val="auto"/>
              </w:rPr>
            </w:pPr>
            <w:r>
              <w:rPr>
                <w:rFonts w:ascii="Arial" w:cs="Arial" w:eastAsia="Arial" w:hAnsi="Arial"/>
                <w:sz w:val="16"/>
                <w:szCs w:val="16"/>
                <w:color w:val="auto"/>
              </w:rPr>
              <w:t>distributed to local communities</w:t>
            </w:r>
          </w:p>
        </w:tc>
        <w:tc>
          <w:tcPr>
            <w:tcW w:w="180" w:type="dxa"/>
            <w:vAlign w:val="bottom"/>
            <w:tcBorders>
              <w:top w:val="single" w:sz="8" w:color="F2F3F2"/>
            </w:tcBorders>
            <w:shd w:val="clear" w:color="auto" w:fill="F2F3F2"/>
          </w:tcPr>
          <w:p>
            <w:pPr>
              <w:spacing w:after="0"/>
              <w:rPr>
                <w:sz w:val="13"/>
                <w:szCs w:val="13"/>
                <w:color w:val="auto"/>
              </w:rPr>
            </w:pPr>
          </w:p>
        </w:tc>
        <w:tc>
          <w:tcPr>
            <w:tcW w:w="2820" w:type="dxa"/>
            <w:vAlign w:val="bottom"/>
            <w:tcBorders>
              <w:top w:val="single" w:sz="8" w:color="B2B3B6"/>
            </w:tcBorders>
            <w:shd w:val="clear" w:color="auto" w:fill="F2F3F2"/>
          </w:tcPr>
          <w:p>
            <w:pPr>
              <w:spacing w:after="0"/>
              <w:rPr>
                <w:sz w:val="13"/>
                <w:szCs w:val="13"/>
                <w:color w:val="auto"/>
              </w:rPr>
            </w:pPr>
          </w:p>
        </w:tc>
        <w:tc>
          <w:tcPr>
            <w:tcW w:w="100" w:type="dxa"/>
            <w:vAlign w:val="bottom"/>
            <w:tcBorders>
              <w:top w:val="single" w:sz="8" w:color="F2F3F2"/>
            </w:tcBorders>
            <w:shd w:val="clear" w:color="auto" w:fill="F2F3F2"/>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2860" w:type="dxa"/>
            <w:vAlign w:val="bottom"/>
          </w:tcPr>
          <w:p>
            <w:pPr>
              <w:jc w:val="center"/>
              <w:spacing w:after="0"/>
              <w:rPr>
                <w:sz w:val="20"/>
                <w:szCs w:val="20"/>
                <w:color w:val="auto"/>
              </w:rPr>
            </w:pPr>
            <w:r>
              <w:rPr>
                <w:rFonts w:ascii="Arial" w:cs="Arial" w:eastAsia="Arial" w:hAnsi="Arial"/>
                <w:sz w:val="16"/>
                <w:szCs w:val="16"/>
                <w:color w:val="auto"/>
              </w:rPr>
              <w:t>the globe</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40" w:type="dxa"/>
            <w:vAlign w:val="bottom"/>
            <w:shd w:val="clear" w:color="auto" w:fill="F2F3F2"/>
          </w:tcPr>
          <w:p>
            <w:pPr>
              <w:spacing w:after="0"/>
              <w:rPr>
                <w:sz w:val="19"/>
                <w:szCs w:val="19"/>
                <w:color w:val="auto"/>
              </w:rPr>
            </w:pPr>
          </w:p>
        </w:tc>
        <w:tc>
          <w:tcPr>
            <w:tcW w:w="180" w:type="dxa"/>
            <w:vAlign w:val="bottom"/>
            <w:shd w:val="clear" w:color="auto" w:fill="F2F3F2"/>
          </w:tcPr>
          <w:p>
            <w:pPr>
              <w:spacing w:after="0"/>
              <w:rPr>
                <w:sz w:val="19"/>
                <w:szCs w:val="19"/>
                <w:color w:val="auto"/>
              </w:rPr>
            </w:pPr>
          </w:p>
        </w:tc>
        <w:tc>
          <w:tcPr>
            <w:tcW w:w="2820" w:type="dxa"/>
            <w:vAlign w:val="bottom"/>
            <w:shd w:val="clear" w:color="auto" w:fill="F2F3F2"/>
          </w:tcPr>
          <w:p>
            <w:pPr>
              <w:spacing w:after="0"/>
              <w:rPr>
                <w:sz w:val="19"/>
                <w:szCs w:val="19"/>
                <w:color w:val="auto"/>
              </w:rPr>
            </w:pPr>
          </w:p>
        </w:tc>
        <w:tc>
          <w:tcPr>
            <w:tcW w:w="100" w:type="dxa"/>
            <w:vAlign w:val="bottom"/>
            <w:shd w:val="clear" w:color="auto" w:fill="F2F3F2"/>
          </w:tcPr>
          <w:p>
            <w:pPr>
              <w:spacing w:after="0"/>
              <w:rPr>
                <w:sz w:val="19"/>
                <w:szCs w:val="19"/>
                <w:color w:val="auto"/>
              </w:rPr>
            </w:pPr>
          </w:p>
        </w:tc>
        <w:tc>
          <w:tcPr>
            <w:tcW w:w="0" w:type="dxa"/>
            <w:vAlign w:val="bottom"/>
          </w:tcPr>
          <w:p>
            <w:pPr>
              <w:spacing w:after="0"/>
              <w:rPr>
                <w:sz w:val="1"/>
                <w:szCs w:val="1"/>
                <w:color w:val="auto"/>
              </w:rPr>
            </w:pPr>
          </w:p>
        </w:tc>
      </w:tr>
      <w:tr>
        <w:trPr>
          <w:trHeight w:val="691"/>
        </w:trPr>
        <w:tc>
          <w:tcPr>
            <w:tcW w:w="2860" w:type="dxa"/>
            <w:vAlign w:val="bottom"/>
          </w:tcPr>
          <w:p>
            <w:pPr>
              <w:ind w:left="680"/>
              <w:spacing w:after="0"/>
              <w:rPr>
                <w:sz w:val="20"/>
                <w:szCs w:val="20"/>
                <w:color w:val="auto"/>
              </w:rPr>
            </w:pPr>
            <w:r>
              <w:rPr>
                <w:rFonts w:ascii="Arial" w:cs="Arial" w:eastAsia="Arial" w:hAnsi="Arial"/>
                <w:sz w:val="22"/>
                <w:szCs w:val="22"/>
                <w:color w:val="6AAA37"/>
              </w:rPr>
              <w:t>15 homes and</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40" w:type="dxa"/>
            <w:vAlign w:val="bottom"/>
            <w:shd w:val="clear" w:color="auto" w:fill="F2F3F2"/>
          </w:tcPr>
          <w:p>
            <w:pPr>
              <w:ind w:left="800"/>
              <w:spacing w:after="0"/>
              <w:rPr>
                <w:sz w:val="20"/>
                <w:szCs w:val="20"/>
                <w:color w:val="auto"/>
              </w:rPr>
            </w:pPr>
            <w:r>
              <w:rPr>
                <w:rFonts w:ascii="Arial" w:cs="Arial" w:eastAsia="Arial" w:hAnsi="Arial"/>
                <w:sz w:val="22"/>
                <w:szCs w:val="22"/>
                <w:color w:val="6AAA37"/>
              </w:rPr>
              <w:t>1,680 youth</w:t>
            </w:r>
          </w:p>
        </w:tc>
        <w:tc>
          <w:tcPr>
            <w:tcW w:w="180" w:type="dxa"/>
            <w:vAlign w:val="bottom"/>
            <w:shd w:val="clear" w:color="auto" w:fill="F2F3F2"/>
          </w:tcPr>
          <w:p>
            <w:pPr>
              <w:spacing w:after="0"/>
              <w:rPr>
                <w:sz w:val="24"/>
                <w:szCs w:val="24"/>
                <w:color w:val="auto"/>
              </w:rPr>
            </w:pPr>
          </w:p>
        </w:tc>
        <w:tc>
          <w:tcPr>
            <w:tcW w:w="2920" w:type="dxa"/>
            <w:vAlign w:val="bottom"/>
            <w:gridSpan w:val="2"/>
            <w:shd w:val="clear" w:color="auto" w:fill="F2F3F2"/>
          </w:tcPr>
          <w:p>
            <w:pPr>
              <w:ind w:left="260"/>
              <w:spacing w:after="0"/>
              <w:rPr>
                <w:sz w:val="20"/>
                <w:szCs w:val="20"/>
                <w:color w:val="auto"/>
              </w:rPr>
            </w:pPr>
            <w:r>
              <w:rPr>
                <w:rFonts w:ascii="Arial" w:cs="Arial" w:eastAsia="Arial" w:hAnsi="Arial"/>
                <w:sz w:val="22"/>
                <w:szCs w:val="22"/>
                <w:color w:val="6AAA37"/>
              </w:rPr>
              <w:t>6,100 individuals with</w:t>
            </w:r>
          </w:p>
        </w:tc>
        <w:tc>
          <w:tcPr>
            <w:tcW w:w="0" w:type="dxa"/>
            <w:vAlign w:val="bottom"/>
          </w:tcPr>
          <w:p>
            <w:pPr>
              <w:spacing w:after="0"/>
              <w:rPr>
                <w:sz w:val="1"/>
                <w:szCs w:val="1"/>
                <w:color w:val="auto"/>
              </w:rPr>
            </w:pPr>
          </w:p>
        </w:tc>
      </w:tr>
      <w:tr>
        <w:trPr>
          <w:trHeight w:val="256"/>
        </w:trPr>
        <w:tc>
          <w:tcPr>
            <w:tcW w:w="2860" w:type="dxa"/>
            <w:vAlign w:val="bottom"/>
          </w:tcPr>
          <w:p>
            <w:pPr>
              <w:ind w:left="260"/>
              <w:spacing w:after="0"/>
              <w:rPr>
                <w:sz w:val="20"/>
                <w:szCs w:val="20"/>
                <w:color w:val="auto"/>
              </w:rPr>
            </w:pPr>
            <w:r>
              <w:rPr>
                <w:rFonts w:ascii="Arial" w:cs="Arial" w:eastAsia="Arial" w:hAnsi="Arial"/>
                <w:sz w:val="22"/>
                <w:szCs w:val="22"/>
                <w:color w:val="6AAA37"/>
              </w:rPr>
              <w:t>community buildings</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40" w:type="dxa"/>
            <w:vAlign w:val="bottom"/>
            <w:shd w:val="clear" w:color="auto" w:fill="F2F3F2"/>
          </w:tcPr>
          <w:p>
            <w:pPr>
              <w:jc w:val="center"/>
              <w:spacing w:after="0"/>
              <w:rPr>
                <w:sz w:val="20"/>
                <w:szCs w:val="20"/>
                <w:color w:val="auto"/>
              </w:rPr>
            </w:pPr>
            <w:r>
              <w:rPr>
                <w:rFonts w:ascii="Arial" w:cs="Arial" w:eastAsia="Arial" w:hAnsi="Arial"/>
                <w:sz w:val="16"/>
                <w:szCs w:val="16"/>
                <w:color w:val="auto"/>
              </w:rPr>
              <w:t>Tutored, coached and mentored more</w:t>
            </w:r>
          </w:p>
        </w:tc>
        <w:tc>
          <w:tcPr>
            <w:tcW w:w="180" w:type="dxa"/>
            <w:vAlign w:val="bottom"/>
            <w:shd w:val="clear" w:color="auto" w:fill="F2F3F2"/>
          </w:tcPr>
          <w:p>
            <w:pPr>
              <w:spacing w:after="0"/>
              <w:rPr>
                <w:sz w:val="22"/>
                <w:szCs w:val="22"/>
                <w:color w:val="auto"/>
              </w:rPr>
            </w:pPr>
          </w:p>
        </w:tc>
        <w:tc>
          <w:tcPr>
            <w:tcW w:w="2920" w:type="dxa"/>
            <w:vAlign w:val="bottom"/>
            <w:gridSpan w:val="2"/>
            <w:shd w:val="clear" w:color="auto" w:fill="F2F3F2"/>
          </w:tcPr>
          <w:p>
            <w:pPr>
              <w:jc w:val="center"/>
              <w:ind w:right="240"/>
              <w:spacing w:after="0"/>
              <w:rPr>
                <w:sz w:val="20"/>
                <w:szCs w:val="20"/>
                <w:color w:val="auto"/>
              </w:rPr>
            </w:pPr>
            <w:r>
              <w:rPr>
                <w:rFonts w:ascii="Arial" w:cs="Arial" w:eastAsia="Arial" w:hAnsi="Arial"/>
                <w:sz w:val="22"/>
                <w:szCs w:val="22"/>
                <w:color w:val="6AAA37"/>
                <w:w w:val="98"/>
              </w:rPr>
              <w:t>disabilities</w:t>
            </w:r>
          </w:p>
        </w:tc>
        <w:tc>
          <w:tcPr>
            <w:tcW w:w="0" w:type="dxa"/>
            <w:vAlign w:val="bottom"/>
          </w:tcPr>
          <w:p>
            <w:pPr>
              <w:spacing w:after="0"/>
              <w:rPr>
                <w:sz w:val="1"/>
                <w:szCs w:val="1"/>
                <w:color w:val="auto"/>
              </w:rPr>
            </w:pPr>
          </w:p>
        </w:tc>
      </w:tr>
      <w:tr>
        <w:trPr>
          <w:trHeight w:val="176"/>
        </w:trPr>
        <w:tc>
          <w:tcPr>
            <w:tcW w:w="2860" w:type="dxa"/>
            <w:vAlign w:val="bottom"/>
            <w:vMerge w:val="restart"/>
          </w:tcPr>
          <w:p>
            <w:pPr>
              <w:jc w:val="center"/>
              <w:spacing w:after="0"/>
              <w:rPr>
                <w:sz w:val="20"/>
                <w:szCs w:val="20"/>
                <w:color w:val="auto"/>
              </w:rPr>
            </w:pPr>
            <w:r>
              <w:rPr>
                <w:rFonts w:ascii="Arial" w:cs="Arial" w:eastAsia="Arial" w:hAnsi="Arial"/>
                <w:sz w:val="16"/>
                <w:szCs w:val="16"/>
                <w:color w:val="auto"/>
              </w:rPr>
              <w:t>Cleaned, painted and rehabbed 15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40" w:type="dxa"/>
            <w:vAlign w:val="bottom"/>
            <w:tcBorders>
              <w:bottom w:val="single" w:sz="8" w:color="B2B3B6"/>
            </w:tcBorders>
          </w:tcPr>
          <w:p>
            <w:pPr>
              <w:jc w:val="center"/>
              <w:spacing w:after="0" w:line="175" w:lineRule="exact"/>
              <w:rPr>
                <w:sz w:val="20"/>
                <w:szCs w:val="20"/>
                <w:color w:val="auto"/>
              </w:rPr>
            </w:pPr>
            <w:r>
              <w:rPr>
                <w:rFonts w:ascii="Arial" w:cs="Arial" w:eastAsia="Arial" w:hAnsi="Arial"/>
                <w:sz w:val="16"/>
                <w:szCs w:val="16"/>
                <w:color w:val="auto"/>
              </w:rPr>
              <w:t>than 1,680 youth</w:t>
            </w:r>
          </w:p>
        </w:tc>
        <w:tc>
          <w:tcPr>
            <w:tcW w:w="180" w:type="dxa"/>
            <w:vAlign w:val="bottom"/>
          </w:tcPr>
          <w:p>
            <w:pPr>
              <w:spacing w:after="0"/>
              <w:rPr>
                <w:sz w:val="15"/>
                <w:szCs w:val="15"/>
                <w:color w:val="auto"/>
              </w:rPr>
            </w:pPr>
          </w:p>
        </w:tc>
        <w:tc>
          <w:tcPr>
            <w:tcW w:w="2820" w:type="dxa"/>
            <w:vAlign w:val="bottom"/>
            <w:vMerge w:val="restart"/>
          </w:tcPr>
          <w:p>
            <w:pPr>
              <w:jc w:val="center"/>
              <w:spacing w:after="0"/>
              <w:rPr>
                <w:sz w:val="20"/>
                <w:szCs w:val="20"/>
                <w:color w:val="auto"/>
              </w:rPr>
            </w:pPr>
            <w:r>
              <w:rPr>
                <w:rFonts w:ascii="Arial" w:cs="Arial" w:eastAsia="Arial" w:hAnsi="Arial"/>
                <w:sz w:val="16"/>
                <w:szCs w:val="16"/>
                <w:color w:val="auto"/>
              </w:rPr>
              <w:t>Assisted 6,100 individuals with</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286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860" w:type="dxa"/>
            <w:vAlign w:val="bottom"/>
          </w:tcPr>
          <w:p>
            <w:pPr>
              <w:jc w:val="center"/>
              <w:spacing w:after="0"/>
              <w:rPr>
                <w:sz w:val="20"/>
                <w:szCs w:val="20"/>
                <w:color w:val="auto"/>
              </w:rPr>
            </w:pPr>
            <w:r>
              <w:rPr>
                <w:rFonts w:ascii="Arial" w:cs="Arial" w:eastAsia="Arial" w:hAnsi="Arial"/>
                <w:sz w:val="16"/>
                <w:szCs w:val="16"/>
                <w:color w:val="auto"/>
              </w:rPr>
              <w:t>homes, schools, shelters and</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20" w:type="dxa"/>
            <w:vAlign w:val="bottom"/>
            <w:gridSpan w:val="2"/>
          </w:tcPr>
          <w:p>
            <w:pPr>
              <w:jc w:val="center"/>
              <w:ind w:right="80"/>
              <w:spacing w:after="0"/>
              <w:rPr>
                <w:sz w:val="20"/>
                <w:szCs w:val="20"/>
                <w:color w:val="auto"/>
              </w:rPr>
            </w:pPr>
            <w:r>
              <w:rPr>
                <w:rFonts w:ascii="Arial" w:cs="Arial" w:eastAsia="Arial" w:hAnsi="Arial"/>
                <w:sz w:val="16"/>
                <w:szCs w:val="16"/>
                <w:color w:val="auto"/>
              </w:rPr>
              <w:t>disabilities through enrichment,</w:t>
            </w:r>
          </w:p>
        </w:tc>
        <w:tc>
          <w:tcPr>
            <w:tcW w:w="0" w:type="dxa"/>
            <w:vAlign w:val="bottom"/>
          </w:tcPr>
          <w:p>
            <w:pPr>
              <w:spacing w:after="0"/>
              <w:rPr>
                <w:sz w:val="1"/>
                <w:szCs w:val="1"/>
                <w:color w:val="auto"/>
              </w:rPr>
            </w:pPr>
          </w:p>
        </w:tc>
      </w:tr>
      <w:tr>
        <w:trPr>
          <w:trHeight w:val="215"/>
        </w:trPr>
        <w:tc>
          <w:tcPr>
            <w:tcW w:w="2860" w:type="dxa"/>
            <w:vAlign w:val="bottom"/>
          </w:tcPr>
          <w:p>
            <w:pPr>
              <w:jc w:val="center"/>
              <w:spacing w:after="0"/>
              <w:rPr>
                <w:sz w:val="20"/>
                <w:szCs w:val="20"/>
                <w:color w:val="auto"/>
              </w:rPr>
            </w:pPr>
            <w:r>
              <w:rPr>
                <w:rFonts w:ascii="Arial" w:cs="Arial" w:eastAsia="Arial" w:hAnsi="Arial"/>
                <w:sz w:val="16"/>
                <w:szCs w:val="16"/>
                <w:color w:val="auto"/>
              </w:rPr>
              <w:t>community buildings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20" w:type="dxa"/>
            <w:vAlign w:val="bottom"/>
            <w:gridSpan w:val="2"/>
          </w:tcPr>
          <w:p>
            <w:pPr>
              <w:jc w:val="center"/>
              <w:ind w:right="80"/>
              <w:spacing w:after="0"/>
              <w:rPr>
                <w:sz w:val="20"/>
                <w:szCs w:val="20"/>
                <w:color w:val="auto"/>
              </w:rPr>
            </w:pPr>
            <w:r>
              <w:rPr>
                <w:rFonts w:ascii="Arial" w:cs="Arial" w:eastAsia="Arial" w:hAnsi="Arial"/>
                <w:sz w:val="16"/>
                <w:szCs w:val="16"/>
                <w:color w:val="auto"/>
              </w:rPr>
              <w:t>community building and social</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Taking Action for a Sustainable Future</w:t>
      </w:r>
    </w:p>
    <w:p>
      <w:pPr>
        <w:spacing w:after="0" w:line="81"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As a professional services firm, we do not engage in manufacturing, product distribution, or hazardous waste generation and our offices have low water consumption. Therefore, our efforts to promote a more sustainable environment are aligned with our business and the areas where we have an opportunity to make an impact. We have continued to measure our greenhouse gas emissions (GHG) emissions, and, in 2024, we neutralized our 2023 Scope 1 and Scope 2 GHG emissions through our collaboration with the non-profit organization Climate Vault. Climate Vault removes carbon pollution permits from regulated</w:t>
      </w:r>
    </w:p>
    <w:p>
      <w:pPr>
        <w:spacing w:after="0" w:line="200" w:lineRule="exact"/>
        <w:rPr>
          <w:sz w:val="20"/>
          <w:szCs w:val="20"/>
          <w:color w:val="auto"/>
        </w:rPr>
      </w:pPr>
    </w:p>
    <w:p>
      <w:pPr>
        <w:spacing w:after="0" w:line="363" w:lineRule="exact"/>
        <w:rPr>
          <w:sz w:val="20"/>
          <w:szCs w:val="20"/>
          <w:color w:val="auto"/>
        </w:rPr>
      </w:pPr>
    </w:p>
    <w:p>
      <w:pPr>
        <w:ind w:left="60"/>
        <w:spacing w:after="0"/>
        <w:tabs>
          <w:tab w:leader="none" w:pos="446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13"/>
          <w:szCs w:val="13"/>
          <w:b w:val="1"/>
          <w:bCs w:val="1"/>
          <w:color w:val="00558C"/>
        </w:rPr>
        <w:t>31</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420370</wp:posOffset>
            </wp:positionV>
            <wp:extent cx="6810375" cy="61455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10375" cy="6145530"/>
                    </a:xfrm>
                    <a:prstGeom prst="rect">
                      <a:avLst/>
                    </a:prstGeom>
                    <a:noFill/>
                  </pic:spPr>
                </pic:pic>
              </a:graphicData>
            </a:graphic>
          </wp:anchor>
        </w:drawing>
      </w:r>
    </w:p>
    <w:p>
      <w:pPr>
        <w:sectPr>
          <w:pgSz w:w="11900" w:h="16883" w:orient="portrait"/>
          <w:cols w:equalWidth="0" w:num="1">
            <w:col w:w="9080"/>
          </w:cols>
          <w:pgMar w:left="1400" w:top="91" w:right="14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0"/>
        <w:spacing w:after="0" w:line="274" w:lineRule="auto"/>
        <w:rPr>
          <w:sz w:val="20"/>
          <w:szCs w:val="20"/>
          <w:color w:val="auto"/>
        </w:rPr>
      </w:pPr>
      <w:r>
        <w:rPr>
          <w:rFonts w:ascii="Arial" w:cs="Arial" w:eastAsia="Arial" w:hAnsi="Arial"/>
          <w:sz w:val="13"/>
          <w:szCs w:val="13"/>
          <w:b w:val="1"/>
          <w:bCs w:val="1"/>
          <w:color w:val="B2B3B6"/>
        </w:rPr>
        <w:t>General Proposal Information 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line="274" w:lineRule="auto"/>
        <w:rPr>
          <w:sz w:val="20"/>
          <w:szCs w:val="20"/>
          <w:color w:val="auto"/>
        </w:rPr>
      </w:pPr>
      <w:r>
        <w:rPr>
          <w:rFonts w:ascii="Arial" w:cs="Arial" w:eastAsia="Arial" w:hAnsi="Arial"/>
          <w:sz w:val="13"/>
          <w:szCs w:val="13"/>
          <w:b w:val="1"/>
          <w:bCs w:val="1"/>
          <w:color w:val="6AAA37"/>
        </w:rPr>
        <w:t xml:space="preserve">Corporate </w:t>
      </w:r>
      <w:r>
        <w:rPr>
          <w:rFonts w:ascii="Arial" w:cs="Arial" w:eastAsia="Arial" w:hAnsi="Arial"/>
          <w:sz w:val="13"/>
          <w:szCs w:val="13"/>
          <w:b w:val="1"/>
          <w:bCs w:val="1"/>
          <w:color w:val="B2B3B6"/>
        </w:rPr>
        <w:t>Proposal Executive</w:t>
      </w:r>
      <w:r>
        <w:rPr>
          <w:rFonts w:ascii="Arial" w:cs="Arial" w:eastAsia="Arial" w:hAnsi="Arial"/>
          <w:sz w:val="13"/>
          <w:szCs w:val="13"/>
          <w:b w:val="1"/>
          <w:bCs w:val="1"/>
          <w:color w:val="6AAA37"/>
        </w:rPr>
        <w:t xml:space="preserve"> Governance </w:t>
      </w:r>
      <w:r>
        <w:rPr>
          <w:rFonts w:ascii="Arial" w:cs="Arial" w:eastAsia="Arial" w:hAnsi="Arial"/>
          <w:sz w:val="13"/>
          <w:szCs w:val="13"/>
          <w:b w:val="1"/>
          <w:bCs w:val="1"/>
          <w:color w:val="B2B3B6"/>
        </w:rPr>
        <w:t>Two 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200"/>
        <w:spacing w:after="0" w:line="274" w:lineRule="auto"/>
        <w:rPr>
          <w:sz w:val="20"/>
          <w:szCs w:val="20"/>
          <w:color w:val="auto"/>
        </w:rPr>
      </w:pPr>
      <w:r>
        <w:rPr>
          <w:rFonts w:ascii="Arial" w:cs="Arial" w:eastAsia="Arial" w:hAnsi="Arial"/>
          <w:sz w:val="13"/>
          <w:szCs w:val="13"/>
          <w:b w:val="1"/>
          <w:bCs w:val="1"/>
          <w:color w:val="B2B3B6"/>
        </w:rPr>
        <w:t>Proposal Proposal Proposal Stockholder Other Three Four Five Proposals Matters</w:t>
      </w:r>
    </w:p>
    <w:p>
      <w:pPr>
        <w:spacing w:after="0" w:line="200" w:lineRule="exact"/>
        <w:rPr>
          <w:sz w:val="20"/>
          <w:szCs w:val="20"/>
          <w:color w:val="auto"/>
        </w:rPr>
      </w:pPr>
    </w:p>
    <w:p>
      <w:pPr>
        <w:sectPr>
          <w:pgSz w:w="11900" w:h="16883" w:orient="portrait"/>
          <w:cols w:equalWidth="0" w:num="3">
            <w:col w:w="1600" w:space="300"/>
            <w:col w:w="2700" w:space="320"/>
            <w:col w:w="4160"/>
          </w:cols>
          <w:pgMar w:left="1400" w:top="91" w:right="1419" w:bottom="0" w:gutter="0" w:footer="0" w:header="0"/>
          <w:type w:val="continuous"/>
        </w:sectPr>
      </w:pPr>
    </w:p>
    <w:p>
      <w:pPr>
        <w:spacing w:after="0" w:line="70" w:lineRule="exact"/>
        <w:rPr>
          <w:sz w:val="20"/>
          <w:szCs w:val="20"/>
          <w:color w:val="auto"/>
        </w:rPr>
      </w:pPr>
    </w:p>
    <w:p>
      <w:pPr>
        <w:ind w:right="100"/>
        <w:spacing w:after="0" w:line="321" w:lineRule="auto"/>
        <w:rPr>
          <w:sz w:val="20"/>
          <w:szCs w:val="20"/>
          <w:color w:val="auto"/>
        </w:rPr>
      </w:pPr>
      <w:r>
        <w:rPr>
          <w:rFonts w:ascii="Arial" w:cs="Arial" w:eastAsia="Arial" w:hAnsi="Arial"/>
          <w:sz w:val="16"/>
          <w:szCs w:val="16"/>
          <w:color w:val="auto"/>
        </w:rPr>
        <w:t>carbon markets, which effectively decreases CO2 emissions in a quantifiable and verifiable way, while also supporting carbon dioxide removal technologies.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Managing Responsibly</w:t>
      </w:r>
    </w:p>
    <w:p>
      <w:pPr>
        <w:spacing w:after="0" w:line="68" w:lineRule="exact"/>
        <w:rPr>
          <w:sz w:val="20"/>
          <w:szCs w:val="20"/>
          <w:color w:val="auto"/>
        </w:rPr>
      </w:pPr>
    </w:p>
    <w:p>
      <w:pPr>
        <w:ind w:right="160"/>
        <w:spacing w:after="0" w:line="292" w:lineRule="auto"/>
        <w:rPr>
          <w:sz w:val="20"/>
          <w:szCs w:val="20"/>
          <w:color w:val="auto"/>
        </w:rPr>
      </w:pPr>
      <w:r>
        <w:rPr>
          <w:rFonts w:ascii="Arial" w:cs="Arial" w:eastAsia="Arial" w:hAnsi="Arial"/>
          <w:sz w:val="16"/>
          <w:szCs w:val="16"/>
          <w:color w:val="auto"/>
        </w:rPr>
        <w:t>Our commitment to ethical business practices is inherent in our values and leadership principles and foundational to our standing as a premier consulting firm. We hold our employees to the highest ethical standards, not only requiring compliance with applicable laws but extending to ethical leadership and cultivating a work environment characterized by integrity, transparency, responsibility and trust. Our Code of Business Conduct and Ethics serves as a crucial framework to help our people understand expectations and standards governing individual and business conduct and enables sound decision-making. In addition, Huron prohibits the use of Company funds, assets, services, or facilities on behalf of a political party or candidate and the Company does not reimburse employees for any personal contributions made to a political party or candidate.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100" w:right="1320" w:hanging="583"/>
        <w:spacing w:after="0" w:line="265" w:lineRule="auto"/>
        <w:rPr>
          <w:sz w:val="20"/>
          <w:szCs w:val="20"/>
          <w:color w:val="auto"/>
        </w:rPr>
      </w:pPr>
      <w:r>
        <w:rPr>
          <w:rFonts w:ascii="Arial" w:cs="Arial" w:eastAsia="Arial" w:hAnsi="Arial"/>
          <w:sz w:val="21"/>
          <w:szCs w:val="21"/>
          <w:b w:val="1"/>
          <w:bCs w:val="1"/>
          <w:color w:val="00558C"/>
        </w:rPr>
        <w:t>Visit our website at: https://ir.huronconsultinggroup.com to learn more about our corporate social responsibility efforts and read our</w:t>
      </w:r>
    </w:p>
    <w:p>
      <w:pPr>
        <w:spacing w:after="0" w:line="2" w:lineRule="exact"/>
        <w:rPr>
          <w:sz w:val="20"/>
          <w:szCs w:val="20"/>
          <w:color w:val="auto"/>
        </w:rPr>
      </w:pPr>
    </w:p>
    <w:p>
      <w:pPr>
        <w:ind w:left="1700"/>
        <w:spacing w:after="0"/>
        <w:rPr>
          <w:sz w:val="20"/>
          <w:szCs w:val="20"/>
          <w:color w:val="auto"/>
        </w:rPr>
      </w:pPr>
      <w:r>
        <w:rPr>
          <w:rFonts w:ascii="Arial" w:cs="Arial" w:eastAsia="Arial" w:hAnsi="Arial"/>
          <w:sz w:val="22"/>
          <w:szCs w:val="22"/>
          <w:b w:val="1"/>
          <w:bCs w:val="1"/>
          <w:color w:val="00558C"/>
        </w:rPr>
        <w:t>2024 Corporate Social Responsibility Report (CSR).</w:t>
      </w:r>
    </w:p>
    <w:p>
      <w:pPr>
        <w:spacing w:after="0" w:line="167" w:lineRule="exact"/>
        <w:rPr>
          <w:sz w:val="20"/>
          <w:szCs w:val="20"/>
          <w:color w:val="auto"/>
        </w:rPr>
      </w:pPr>
    </w:p>
    <w:p>
      <w:pPr>
        <w:ind w:left="2020" w:right="1220" w:hanging="1703"/>
        <w:spacing w:after="0" w:line="318" w:lineRule="auto"/>
        <w:rPr>
          <w:sz w:val="20"/>
          <w:szCs w:val="20"/>
          <w:color w:val="auto"/>
        </w:rPr>
      </w:pPr>
      <w:r>
        <w:rPr>
          <w:rFonts w:ascii="Arial" w:cs="Arial" w:eastAsia="Arial" w:hAnsi="Arial"/>
          <w:sz w:val="18"/>
          <w:szCs w:val="18"/>
          <w:color w:val="00558C"/>
        </w:rPr>
        <w:t>The CSR, inclusive of its exhibits, or any other information from the Huron website, are not part of, or incorporated by reference in this Proxy Statement.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2"/>
          <w:szCs w:val="22"/>
          <w:b w:val="1"/>
          <w:bCs w:val="1"/>
          <w:color w:val="00558C"/>
        </w:rPr>
        <w:t>Stockholder Communications Policy</w:t>
      </w:r>
    </w:p>
    <w:p>
      <w:pPr>
        <w:spacing w:after="0" w:line="112" w:lineRule="exact"/>
        <w:rPr>
          <w:sz w:val="20"/>
          <w:szCs w:val="20"/>
          <w:color w:val="auto"/>
        </w:rPr>
      </w:pPr>
    </w:p>
    <w:p>
      <w:pPr>
        <w:ind w:right="40"/>
        <w:spacing w:after="0" w:line="310" w:lineRule="auto"/>
        <w:rPr>
          <w:sz w:val="20"/>
          <w:szCs w:val="20"/>
          <w:color w:val="auto"/>
        </w:rPr>
      </w:pPr>
      <w:r>
        <w:rPr>
          <w:rFonts w:ascii="Arial" w:cs="Arial" w:eastAsia="Arial" w:hAnsi="Arial"/>
          <w:sz w:val="16"/>
          <w:szCs w:val="16"/>
          <w:color w:val="auto"/>
        </w:rPr>
        <w:t>The Company’s board of directors has established a process for stockholders to send communications to the board of directors. Stockholders may communicate with any member of the board of directors, including the chairperson of any committee, an entire committee or the independent directors or all directors as a group, by sending written communications to:</w:t>
      </w:r>
    </w:p>
    <w:p>
      <w:pPr>
        <w:spacing w:after="0" w:line="8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Corporate Secretary</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Huron Consulting Group Inc.</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550 West Van Buren Street</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17th Floor</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Chicago, Illinois 60607</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E-mail messages should be sent to corporatesecretary@hcg.com.</w:t>
      </w:r>
    </w:p>
    <w:p>
      <w:pPr>
        <w:spacing w:after="0" w:line="181" w:lineRule="exact"/>
        <w:rPr>
          <w:sz w:val="20"/>
          <w:szCs w:val="20"/>
          <w:color w:val="auto"/>
        </w:rPr>
      </w:pPr>
    </w:p>
    <w:p>
      <w:pPr>
        <w:ind w:right="320"/>
        <w:spacing w:after="0" w:line="321" w:lineRule="auto"/>
        <w:rPr>
          <w:sz w:val="20"/>
          <w:szCs w:val="20"/>
          <w:color w:val="auto"/>
        </w:rPr>
      </w:pPr>
      <w:r>
        <w:rPr>
          <w:rFonts w:ascii="Arial" w:cs="Arial" w:eastAsia="Arial" w:hAnsi="Arial"/>
          <w:sz w:val="16"/>
          <w:szCs w:val="16"/>
          <w:color w:val="auto"/>
        </w:rPr>
        <w:t>A stockholder must include his or her name and address in any such written or e-mail communication. The communication must indicate that the sender is a Company stockholder.</w:t>
      </w:r>
    </w:p>
    <w:p>
      <w:pPr>
        <w:sectPr>
          <w:pgSz w:w="11900" w:h="16883" w:orient="portrait"/>
          <w:cols w:equalWidth="0" w:num="1">
            <w:col w:w="9080"/>
          </w:cols>
          <w:pgMar w:left="1400" w:top="91" w:right="1419" w:bottom="0" w:gutter="0" w:footer="0" w:header="0"/>
          <w:type w:val="continuous"/>
        </w:sectPr>
      </w:pPr>
    </w:p>
    <w:bookmarkStart w:id="38" w:name="page39"/>
    <w:bookmarkEnd w:id="38"/>
    <w:p>
      <w:pPr>
        <w:ind w:right="39"/>
        <w:spacing w:after="0" w:line="30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27108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10375" cy="2710815"/>
                    </a:xfrm>
                    <a:prstGeom prst="rect">
                      <a:avLst/>
                    </a:prstGeom>
                    <a:noFill/>
                  </pic:spPr>
                </pic:pic>
              </a:graphicData>
            </a:graphic>
          </wp:anchor>
        </w:drawing>
        <w:t>Each communication intended for the board of directors and received by the Corporate Secretary that is related to the operation of the Company and is not otherwise commercial in nature will be forwarded to the specified party following its clearance through normal security procedures. If the communication is mailed as personal, it will not be opened, but rather will be forwarded unopened to the intended recipient.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0"/>
        <w:spacing w:after="0"/>
        <w:tabs>
          <w:tab w:leader="none" w:pos="444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13"/>
          <w:szCs w:val="13"/>
          <w:b w:val="1"/>
          <w:bCs w:val="1"/>
          <w:color w:val="00558C"/>
        </w:rPr>
        <w:t>32</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420370</wp:posOffset>
            </wp:positionV>
            <wp:extent cx="6810375" cy="77228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10375" cy="772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540" w:val="left"/>
          <w:tab w:leader="none" w:pos="7360" w:val="left"/>
          <w:tab w:leader="none" w:pos="8400" w:val="left"/>
        </w:tabs>
        <w:rPr>
          <w:sz w:val="20"/>
          <w:szCs w:val="20"/>
          <w:color w:val="auto"/>
        </w:rPr>
      </w:pPr>
      <w:r>
        <w:rPr>
          <w:rFonts w:ascii="Arial" w:cs="Arial" w:eastAsia="Arial" w:hAnsi="Arial"/>
          <w:sz w:val="13"/>
          <w:szCs w:val="13"/>
          <w:b w:val="1"/>
          <w:bCs w:val="1"/>
          <w:color w:val="B2B3B6"/>
        </w:rPr>
        <w:t>General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Corporate</w:t>
      </w:r>
      <w:r>
        <w:rPr>
          <w:sz w:val="20"/>
          <w:szCs w:val="20"/>
          <w:color w:val="auto"/>
        </w:rPr>
        <w:tab/>
      </w:r>
      <w:r>
        <w:rPr>
          <w:rFonts w:ascii="Arial" w:cs="Arial" w:eastAsia="Arial" w:hAnsi="Arial"/>
          <w:sz w:val="13"/>
          <w:szCs w:val="13"/>
          <w:b w:val="1"/>
          <w:bCs w:val="1"/>
          <w:color w:val="6AAA37"/>
        </w:rPr>
        <w:t>Proposal</w:t>
      </w:r>
      <w:r>
        <w:rPr>
          <w:sz w:val="20"/>
          <w:szCs w:val="20"/>
          <w:color w:val="auto"/>
        </w:rPr>
        <w:tab/>
      </w:r>
      <w:r>
        <w:rPr>
          <w:rFonts w:ascii="Arial" w:cs="Arial" w:eastAsia="Arial" w:hAnsi="Arial"/>
          <w:sz w:val="13"/>
          <w:szCs w:val="13"/>
          <w:b w:val="1"/>
          <w:bCs w:val="1"/>
          <w:color w:val="B2B3B6"/>
        </w:rPr>
        <w:t>Executive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Stockholder</w:t>
      </w:r>
      <w:r>
        <w:rPr>
          <w:sz w:val="20"/>
          <w:szCs w:val="20"/>
          <w:color w:val="auto"/>
        </w:rPr>
        <w:tab/>
      </w:r>
      <w:r>
        <w:rPr>
          <w:rFonts w:ascii="Arial" w:cs="Arial" w:eastAsia="Arial" w:hAnsi="Arial"/>
          <w:sz w:val="12"/>
          <w:szCs w:val="12"/>
          <w:b w:val="1"/>
          <w:bCs w:val="1"/>
          <w:color w:val="B2B3B6"/>
        </w:rPr>
        <w:t>Other</w:t>
      </w:r>
    </w:p>
    <w:p>
      <w:pPr>
        <w:spacing w:after="0" w:line="11"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540" w:val="left"/>
          <w:tab w:leader="none" w:pos="7360" w:val="left"/>
          <w:tab w:leader="none" w:pos="8400" w:val="left"/>
        </w:tabs>
        <w:rPr>
          <w:sz w:val="20"/>
          <w:szCs w:val="20"/>
          <w:color w:val="auto"/>
        </w:rPr>
      </w:pPr>
      <w:r>
        <w:rPr>
          <w:rFonts w:ascii="Arial" w:cs="Arial" w:eastAsia="Arial" w:hAnsi="Arial"/>
          <w:sz w:val="13"/>
          <w:szCs w:val="13"/>
          <w:b w:val="1"/>
          <w:bCs w:val="1"/>
          <w:color w:val="B2B3B6"/>
        </w:rPr>
        <w:t>Information</w:t>
      </w:r>
      <w:r>
        <w:rPr>
          <w:sz w:val="20"/>
          <w:szCs w:val="20"/>
          <w:color w:val="auto"/>
        </w:rPr>
        <w:tab/>
      </w:r>
      <w:r>
        <w:rPr>
          <w:rFonts w:ascii="Arial" w:cs="Arial" w:eastAsia="Arial" w:hAnsi="Arial"/>
          <w:sz w:val="13"/>
          <w:szCs w:val="13"/>
          <w:b w:val="1"/>
          <w:bCs w:val="1"/>
          <w:color w:val="B2B3B6"/>
        </w:rPr>
        <w:t>One</w:t>
      </w:r>
      <w:r>
        <w:rPr>
          <w:sz w:val="20"/>
          <w:szCs w:val="20"/>
          <w:color w:val="auto"/>
        </w:rPr>
        <w:tab/>
      </w:r>
      <w:r>
        <w:rPr>
          <w:rFonts w:ascii="Arial" w:cs="Arial" w:eastAsia="Arial" w:hAnsi="Arial"/>
          <w:sz w:val="13"/>
          <w:szCs w:val="13"/>
          <w:b w:val="1"/>
          <w:bCs w:val="1"/>
          <w:color w:val="B2B3B6"/>
        </w:rPr>
        <w:t>Governance</w:t>
      </w:r>
      <w:r>
        <w:rPr>
          <w:sz w:val="20"/>
          <w:szCs w:val="20"/>
          <w:color w:val="auto"/>
        </w:rPr>
        <w:tab/>
      </w:r>
      <w:r>
        <w:rPr>
          <w:rFonts w:ascii="Arial" w:cs="Arial" w:eastAsia="Arial" w:hAnsi="Arial"/>
          <w:sz w:val="13"/>
          <w:szCs w:val="13"/>
          <w:b w:val="1"/>
          <w:bCs w:val="1"/>
          <w:color w:val="6AAA37"/>
        </w:rPr>
        <w:t>Two</w:t>
      </w:r>
      <w:r>
        <w:rPr>
          <w:sz w:val="20"/>
          <w:szCs w:val="20"/>
          <w:color w:val="auto"/>
        </w:rPr>
        <w:tab/>
      </w:r>
      <w:r>
        <w:rPr>
          <w:rFonts w:ascii="Arial" w:cs="Arial" w:eastAsia="Arial" w:hAnsi="Arial"/>
          <w:sz w:val="13"/>
          <w:szCs w:val="13"/>
          <w:b w:val="1"/>
          <w:bCs w:val="1"/>
          <w:color w:val="B2B3B6"/>
        </w:rPr>
        <w:t>Compensation</w:t>
      </w:r>
      <w:r>
        <w:rPr>
          <w:sz w:val="20"/>
          <w:szCs w:val="20"/>
          <w:color w:val="auto"/>
        </w:rPr>
        <w:tab/>
      </w:r>
      <w:r>
        <w:rPr>
          <w:rFonts w:ascii="Arial" w:cs="Arial" w:eastAsia="Arial" w:hAnsi="Arial"/>
          <w:sz w:val="13"/>
          <w:szCs w:val="13"/>
          <w:b w:val="1"/>
          <w:bCs w:val="1"/>
          <w:color w:val="B2B3B6"/>
        </w:rPr>
        <w:t>Three</w:t>
      </w:r>
      <w:r>
        <w:rPr>
          <w:sz w:val="20"/>
          <w:szCs w:val="20"/>
          <w:color w:val="auto"/>
        </w:rPr>
        <w:tab/>
      </w:r>
      <w:r>
        <w:rPr>
          <w:rFonts w:ascii="Arial" w:cs="Arial" w:eastAsia="Arial" w:hAnsi="Arial"/>
          <w:sz w:val="13"/>
          <w:szCs w:val="13"/>
          <w:b w:val="1"/>
          <w:bCs w:val="1"/>
          <w:color w:val="B2B3B6"/>
        </w:rPr>
        <w:t>Four</w:t>
      </w:r>
      <w:r>
        <w:rPr>
          <w:sz w:val="20"/>
          <w:szCs w:val="20"/>
          <w:color w:val="auto"/>
        </w:rPr>
        <w:tab/>
      </w:r>
      <w:r>
        <w:rPr>
          <w:rFonts w:ascii="Arial" w:cs="Arial" w:eastAsia="Arial" w:hAnsi="Arial"/>
          <w:sz w:val="13"/>
          <w:szCs w:val="13"/>
          <w:b w:val="1"/>
          <w:bCs w:val="1"/>
          <w:color w:val="B2B3B6"/>
        </w:rPr>
        <w:t>Five</w:t>
      </w:r>
      <w:r>
        <w:rPr>
          <w:sz w:val="20"/>
          <w:szCs w:val="20"/>
          <w:color w:val="auto"/>
        </w:rPr>
        <w:tab/>
      </w:r>
      <w:r>
        <w:rPr>
          <w:rFonts w:ascii="Arial" w:cs="Arial" w:eastAsia="Arial" w:hAnsi="Arial"/>
          <w:sz w:val="13"/>
          <w:szCs w:val="13"/>
          <w:b w:val="1"/>
          <w:bCs w:val="1"/>
          <w:color w:val="B2B3B6"/>
        </w:rPr>
        <w:t>Proposals</w:t>
      </w:r>
      <w:r>
        <w:rPr>
          <w:sz w:val="20"/>
          <w:szCs w:val="20"/>
          <w:color w:val="auto"/>
        </w:rPr>
        <w:tab/>
      </w:r>
      <w:r>
        <w:rPr>
          <w:rFonts w:ascii="Arial" w:cs="Arial" w:eastAsia="Arial" w:hAnsi="Arial"/>
          <w:sz w:val="12"/>
          <w:szCs w:val="12"/>
          <w:b w:val="1"/>
          <w:bCs w:val="1"/>
          <w:color w:val="B2B3B6"/>
        </w:rPr>
        <w:t>Matters</w:t>
      </w:r>
    </w:p>
    <w:p>
      <w:pPr>
        <w:sectPr>
          <w:pgSz w:w="11900" w:h="16838" w:orient="portrait"/>
          <w:cols w:equalWidth="0" w:num="1">
            <w:col w:w="9059"/>
          </w:cols>
          <w:pgMar w:left="1400" w:top="193" w:right="1440" w:bottom="6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54"/>
          <w:szCs w:val="54"/>
          <w:color w:val="00558C"/>
        </w:rPr>
        <w:t>Proposal Two</w:t>
      </w:r>
    </w:p>
    <w:p>
      <w:pPr>
        <w:spacing w:after="0" w:line="171" w:lineRule="exact"/>
        <w:rPr>
          <w:sz w:val="20"/>
          <w:szCs w:val="20"/>
          <w:color w:val="auto"/>
        </w:rPr>
      </w:pPr>
    </w:p>
    <w:p>
      <w:pPr>
        <w:ind w:right="360"/>
        <w:spacing w:after="0" w:line="288" w:lineRule="auto"/>
        <w:rPr>
          <w:sz w:val="20"/>
          <w:szCs w:val="20"/>
          <w:color w:val="auto"/>
        </w:rPr>
      </w:pPr>
      <w:r>
        <w:rPr>
          <w:rFonts w:ascii="Arial" w:cs="Arial" w:eastAsia="Arial" w:hAnsi="Arial"/>
          <w:sz w:val="29"/>
          <w:szCs w:val="29"/>
          <w:b w:val="1"/>
          <w:bCs w:val="1"/>
          <w:color w:val="B2B3B6"/>
        </w:rPr>
        <w:t>Advisory Vote to Approve the Company’s Executive Compensation</w:t>
      </w:r>
    </w:p>
    <w:p>
      <w:pPr>
        <w:spacing w:after="0" w:line="232"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As required by the Dodd-Frank Wall Street Reform and Consumer Protection Act of 2010 (the “Dodd-Frank Act”) and the SEC, Huron annually asks its stockholders to indicate their support for our NEO compensation, which includes the compensation discussion and analysis, the compensation tables and the related narrative disclosures, all as described in the section entitled “EXECUTIVE COMPENSATION—Compensation Discussion and Analysis.”</w:t>
      </w:r>
    </w:p>
    <w:p>
      <w:pPr>
        <w:spacing w:after="0" w:line="110"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The vote solicited by this proposal, commonly known as “say-on-pay,” is advisory in nature and will not be binding on the board of directors, the Compensation Committee or Huron. However, the board of directors and the Compensation Committee value the opinions of our stockholders, will review the voting results and, to the extent determined appropriate, take into account the outcome of the vote during future deliberations on executive compensation arrangements.</w:t>
      </w:r>
    </w:p>
    <w:p>
      <w:pPr>
        <w:spacing w:after="0" w:line="110" w:lineRule="exact"/>
        <w:rPr>
          <w:sz w:val="20"/>
          <w:szCs w:val="20"/>
          <w:color w:val="auto"/>
        </w:rPr>
      </w:pPr>
    </w:p>
    <w:p>
      <w:pPr>
        <w:jc w:val="both"/>
        <w:ind w:right="280"/>
        <w:spacing w:after="0" w:line="295" w:lineRule="auto"/>
        <w:rPr>
          <w:sz w:val="20"/>
          <w:szCs w:val="20"/>
          <w:color w:val="auto"/>
        </w:rPr>
      </w:pPr>
      <w:r>
        <w:rPr>
          <w:rFonts w:ascii="Arial" w:cs="Arial" w:eastAsia="Arial" w:hAnsi="Arial"/>
          <w:sz w:val="16"/>
          <w:szCs w:val="16"/>
          <w:color w:val="auto"/>
        </w:rPr>
        <w:t>Huron believes that its executive compensation program is structured to support Huron and its business objectives. This vote is not intended to address any one specific item of compensation, but rather the overall compensation of our NEOs and the philosophy, policies and practices described in this Proxy Statement.</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Approval Required</w:t>
      </w:r>
    </w:p>
    <w:p>
      <w:pPr>
        <w:spacing w:after="0" w:line="113"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The affirmative vote of the holders of a majority of the total shares of common stock, present in person or represented by proxy and entitled to vote on the proposal, is required to approve the advisory vote on the compensation arrangements of our NEOs. Abstentions will have the same effect as a vote against the proposal. Broker non-votes will not be considered shares entitled to vote with respect to the proposal and therefore will have no effect on the outcome of the proposal. Proxies submitted pursuant to this solicitation will be voted “FOR” the approval of the advisory vote on the compensation arrangements of our NEOs, unless specified otherwise.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499"/>
        <w:spacing w:after="0" w:line="364" w:lineRule="auto"/>
        <w:rPr>
          <w:sz w:val="20"/>
          <w:szCs w:val="20"/>
          <w:color w:val="auto"/>
        </w:rPr>
      </w:pPr>
      <w:r>
        <w:rPr>
          <w:rFonts w:ascii="Arial" w:cs="Arial" w:eastAsia="Arial" w:hAnsi="Arial"/>
          <w:sz w:val="21"/>
          <w:szCs w:val="21"/>
          <w:b w:val="1"/>
          <w:bCs w:val="1"/>
          <w:color w:val="FFFFFF"/>
        </w:rPr>
        <w:t>Recommendation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319"/>
        <w:spacing w:after="0" w:line="270" w:lineRule="auto"/>
        <w:rPr>
          <w:sz w:val="20"/>
          <w:szCs w:val="20"/>
          <w:color w:val="auto"/>
        </w:rPr>
      </w:pPr>
      <w:r>
        <w:rPr>
          <w:rFonts w:ascii="Arial" w:cs="Arial" w:eastAsia="Arial" w:hAnsi="Arial"/>
          <w:sz w:val="17"/>
          <w:szCs w:val="17"/>
          <w:color w:val="FFFFFF"/>
        </w:rPr>
        <w:t>The board of directors recommends that stockholders vote FOR the compensation of our NEOs as disclosed in the compensation discussion and analysis section and the accompanying compensation tables and narrative discussion in this proxy statement.</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2"/>
          <w:szCs w:val="22"/>
          <w:b w:val="1"/>
          <w:bCs w:val="1"/>
          <w:color w:val="B2B3B6"/>
        </w:rPr>
        <w:t>2023 “Say-on-</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B2B3B6"/>
        </w:rPr>
        <w:t>Pay” Results</w:t>
      </w:r>
    </w:p>
    <w:p>
      <w:pPr>
        <w:spacing w:after="0" w:line="34" w:lineRule="exact"/>
        <w:rPr>
          <w:sz w:val="20"/>
          <w:szCs w:val="20"/>
          <w:color w:val="auto"/>
        </w:rPr>
      </w:pPr>
    </w:p>
    <w:p>
      <w:pPr>
        <w:spacing w:after="0"/>
        <w:rPr>
          <w:sz w:val="20"/>
          <w:szCs w:val="20"/>
          <w:color w:val="auto"/>
        </w:rPr>
      </w:pPr>
      <w:r>
        <w:rPr>
          <w:rFonts w:ascii="Arial" w:cs="Arial" w:eastAsia="Arial" w:hAnsi="Arial"/>
          <w:sz w:val="54"/>
          <w:szCs w:val="54"/>
          <w:color w:val="6AAA37"/>
        </w:rPr>
        <w:t>98%</w:t>
      </w:r>
    </w:p>
    <w:p>
      <w:pPr>
        <w:spacing w:after="0" w:line="86" w:lineRule="exact"/>
        <w:rPr>
          <w:sz w:val="20"/>
          <w:szCs w:val="20"/>
          <w:color w:val="auto"/>
        </w:rPr>
      </w:pPr>
    </w:p>
    <w:p>
      <w:pPr>
        <w:ind w:right="619"/>
        <w:spacing w:after="0" w:line="264" w:lineRule="auto"/>
        <w:rPr>
          <w:sz w:val="20"/>
          <w:szCs w:val="20"/>
          <w:color w:val="auto"/>
        </w:rPr>
      </w:pPr>
      <w:r>
        <w:rPr>
          <w:rFonts w:ascii="Arial" w:cs="Arial" w:eastAsia="Arial" w:hAnsi="Arial"/>
          <w:sz w:val="16"/>
          <w:szCs w:val="16"/>
          <w:color w:val="auto"/>
        </w:rPr>
        <w:t>Stockholder approval of 2023 executive compensation program</w:t>
      </w:r>
    </w:p>
    <w:p>
      <w:pPr>
        <w:sectPr>
          <w:pgSz w:w="11900" w:h="16838" w:orient="portrait"/>
          <w:cols w:equalWidth="0" w:num="2">
            <w:col w:w="6020" w:space="720"/>
            <w:col w:w="2319"/>
          </w:cols>
          <w:pgMar w:left="1400" w:top="193" w:right="1440" w:bottom="648" w:gutter="0" w:footer="0" w:header="0"/>
          <w:type w:val="continuous"/>
        </w:sectPr>
      </w:pPr>
    </w:p>
    <w:bookmarkStart w:id="39" w:name="page40"/>
    <w:bookmarkEnd w:id="39"/>
    <w:p>
      <w:pPr>
        <w:ind w:left="60"/>
        <w:spacing w:after="0"/>
        <w:tabs>
          <w:tab w:leader="none" w:pos="4440" w:val="left"/>
          <w:tab w:leader="none" w:pos="776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11334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10375" cy="1133475"/>
                    </a:xfrm>
                    <a:prstGeom prst="rect">
                      <a:avLst/>
                    </a:prstGeom>
                    <a:noFill/>
                  </pic:spPr>
                </pic:pic>
              </a:graphicData>
            </a:graphic>
          </wp:anchor>
        </w:drawing>
        <w:t>Huron Consulting Group Inc.</w:t>
      </w:r>
      <w:r>
        <w:rPr>
          <w:sz w:val="20"/>
          <w:szCs w:val="20"/>
          <w:color w:val="auto"/>
        </w:rPr>
        <w:tab/>
      </w:r>
      <w:r>
        <w:rPr>
          <w:rFonts w:ascii="Arial" w:cs="Arial" w:eastAsia="Arial" w:hAnsi="Arial"/>
          <w:sz w:val="13"/>
          <w:szCs w:val="13"/>
          <w:b w:val="1"/>
          <w:bCs w:val="1"/>
          <w:color w:val="00558C"/>
        </w:rPr>
        <w:t>33</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420370</wp:posOffset>
            </wp:positionV>
            <wp:extent cx="6810375" cy="88677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540" w:val="left"/>
          <w:tab w:leader="none" w:pos="7360" w:val="left"/>
          <w:tab w:leader="none" w:pos="8400" w:val="left"/>
        </w:tabs>
        <w:rPr>
          <w:sz w:val="20"/>
          <w:szCs w:val="20"/>
          <w:color w:val="auto"/>
        </w:rPr>
      </w:pPr>
      <w:r>
        <w:rPr>
          <w:rFonts w:ascii="Arial" w:cs="Arial" w:eastAsia="Arial" w:hAnsi="Arial"/>
          <w:sz w:val="13"/>
          <w:szCs w:val="13"/>
          <w:b w:val="1"/>
          <w:bCs w:val="1"/>
          <w:color w:val="B2B3B6"/>
        </w:rPr>
        <w:t>General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Corporate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6AAA37"/>
        </w:rPr>
        <w:t>Executive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Stockholder</w:t>
      </w:r>
      <w:r>
        <w:rPr>
          <w:sz w:val="20"/>
          <w:szCs w:val="20"/>
          <w:color w:val="auto"/>
        </w:rPr>
        <w:tab/>
      </w:r>
      <w:r>
        <w:rPr>
          <w:rFonts w:ascii="Arial" w:cs="Arial" w:eastAsia="Arial" w:hAnsi="Arial"/>
          <w:sz w:val="12"/>
          <w:szCs w:val="12"/>
          <w:b w:val="1"/>
          <w:bCs w:val="1"/>
          <w:color w:val="B2B3B6"/>
        </w:rPr>
        <w:t>Other</w:t>
      </w:r>
    </w:p>
    <w:p>
      <w:pPr>
        <w:spacing w:after="0" w:line="11"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540" w:val="left"/>
          <w:tab w:leader="none" w:pos="7360" w:val="left"/>
          <w:tab w:leader="none" w:pos="8400" w:val="left"/>
        </w:tabs>
        <w:rPr>
          <w:sz w:val="20"/>
          <w:szCs w:val="20"/>
          <w:color w:val="auto"/>
        </w:rPr>
      </w:pPr>
      <w:r>
        <w:rPr>
          <w:rFonts w:ascii="Arial" w:cs="Arial" w:eastAsia="Arial" w:hAnsi="Arial"/>
          <w:sz w:val="13"/>
          <w:szCs w:val="13"/>
          <w:b w:val="1"/>
          <w:bCs w:val="1"/>
          <w:color w:val="B2B3B6"/>
        </w:rPr>
        <w:t>Information</w:t>
      </w:r>
      <w:r>
        <w:rPr>
          <w:sz w:val="20"/>
          <w:szCs w:val="20"/>
          <w:color w:val="auto"/>
        </w:rPr>
        <w:tab/>
      </w:r>
      <w:r>
        <w:rPr>
          <w:rFonts w:ascii="Arial" w:cs="Arial" w:eastAsia="Arial" w:hAnsi="Arial"/>
          <w:sz w:val="13"/>
          <w:szCs w:val="13"/>
          <w:b w:val="1"/>
          <w:bCs w:val="1"/>
          <w:color w:val="B2B3B6"/>
        </w:rPr>
        <w:t>One</w:t>
      </w:r>
      <w:r>
        <w:rPr>
          <w:sz w:val="20"/>
          <w:szCs w:val="20"/>
          <w:color w:val="auto"/>
        </w:rPr>
        <w:tab/>
      </w:r>
      <w:r>
        <w:rPr>
          <w:rFonts w:ascii="Arial" w:cs="Arial" w:eastAsia="Arial" w:hAnsi="Arial"/>
          <w:sz w:val="13"/>
          <w:szCs w:val="13"/>
          <w:b w:val="1"/>
          <w:bCs w:val="1"/>
          <w:color w:val="B2B3B6"/>
        </w:rPr>
        <w:t>Governance</w:t>
      </w:r>
      <w:r>
        <w:rPr>
          <w:sz w:val="20"/>
          <w:szCs w:val="20"/>
          <w:color w:val="auto"/>
        </w:rPr>
        <w:tab/>
      </w:r>
      <w:r>
        <w:rPr>
          <w:rFonts w:ascii="Arial" w:cs="Arial" w:eastAsia="Arial" w:hAnsi="Arial"/>
          <w:sz w:val="13"/>
          <w:szCs w:val="13"/>
          <w:b w:val="1"/>
          <w:bCs w:val="1"/>
          <w:color w:val="B2B3B6"/>
        </w:rPr>
        <w:t>Two</w:t>
      </w:r>
      <w:r>
        <w:rPr>
          <w:sz w:val="20"/>
          <w:szCs w:val="20"/>
          <w:color w:val="auto"/>
        </w:rPr>
        <w:tab/>
      </w:r>
      <w:r>
        <w:rPr>
          <w:rFonts w:ascii="Arial" w:cs="Arial" w:eastAsia="Arial" w:hAnsi="Arial"/>
          <w:sz w:val="13"/>
          <w:szCs w:val="13"/>
          <w:b w:val="1"/>
          <w:bCs w:val="1"/>
          <w:color w:val="6AAA37"/>
        </w:rPr>
        <w:t>Compensation</w:t>
      </w:r>
      <w:r>
        <w:rPr>
          <w:sz w:val="20"/>
          <w:szCs w:val="20"/>
          <w:color w:val="auto"/>
        </w:rPr>
        <w:tab/>
      </w:r>
      <w:r>
        <w:rPr>
          <w:rFonts w:ascii="Arial" w:cs="Arial" w:eastAsia="Arial" w:hAnsi="Arial"/>
          <w:sz w:val="13"/>
          <w:szCs w:val="13"/>
          <w:b w:val="1"/>
          <w:bCs w:val="1"/>
          <w:color w:val="B2B3B6"/>
        </w:rPr>
        <w:t>Three</w:t>
      </w:r>
      <w:r>
        <w:rPr>
          <w:sz w:val="20"/>
          <w:szCs w:val="20"/>
          <w:color w:val="auto"/>
        </w:rPr>
        <w:tab/>
      </w:r>
      <w:r>
        <w:rPr>
          <w:rFonts w:ascii="Arial" w:cs="Arial" w:eastAsia="Arial" w:hAnsi="Arial"/>
          <w:sz w:val="13"/>
          <w:szCs w:val="13"/>
          <w:b w:val="1"/>
          <w:bCs w:val="1"/>
          <w:color w:val="B2B3B6"/>
        </w:rPr>
        <w:t>Four</w:t>
      </w:r>
      <w:r>
        <w:rPr>
          <w:sz w:val="20"/>
          <w:szCs w:val="20"/>
          <w:color w:val="auto"/>
        </w:rPr>
        <w:tab/>
      </w:r>
      <w:r>
        <w:rPr>
          <w:rFonts w:ascii="Arial" w:cs="Arial" w:eastAsia="Arial" w:hAnsi="Arial"/>
          <w:sz w:val="13"/>
          <w:szCs w:val="13"/>
          <w:b w:val="1"/>
          <w:bCs w:val="1"/>
          <w:color w:val="B2B3B6"/>
        </w:rPr>
        <w:t>Five</w:t>
      </w:r>
      <w:r>
        <w:rPr>
          <w:sz w:val="20"/>
          <w:szCs w:val="20"/>
          <w:color w:val="auto"/>
        </w:rPr>
        <w:tab/>
      </w:r>
      <w:r>
        <w:rPr>
          <w:rFonts w:ascii="Arial" w:cs="Arial" w:eastAsia="Arial" w:hAnsi="Arial"/>
          <w:sz w:val="13"/>
          <w:szCs w:val="13"/>
          <w:b w:val="1"/>
          <w:bCs w:val="1"/>
          <w:color w:val="B2B3B6"/>
        </w:rPr>
        <w:t>Proposals</w:t>
      </w:r>
      <w:r>
        <w:rPr>
          <w:sz w:val="20"/>
          <w:szCs w:val="20"/>
          <w:color w:val="auto"/>
        </w:rPr>
        <w:tab/>
      </w:r>
      <w:r>
        <w:rPr>
          <w:rFonts w:ascii="Arial" w:cs="Arial" w:eastAsia="Arial" w:hAnsi="Arial"/>
          <w:sz w:val="12"/>
          <w:szCs w:val="12"/>
          <w:b w:val="1"/>
          <w:bCs w:val="1"/>
          <w:color w:val="B2B3B6"/>
        </w:rPr>
        <w:t>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54"/>
          <w:szCs w:val="54"/>
          <w:color w:val="00558C"/>
        </w:rPr>
        <w:t>Executive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29"/>
          <w:szCs w:val="29"/>
          <w:b w:val="1"/>
          <w:bCs w:val="1"/>
          <w:color w:val="B2B3B6"/>
        </w:rPr>
        <w:t>A Message from our Compensation Committee</w:t>
      </w:r>
    </w:p>
    <w:p>
      <w:pPr>
        <w:spacing w:after="0" w:line="362" w:lineRule="exact"/>
        <w:rPr>
          <w:sz w:val="20"/>
          <w:szCs w:val="20"/>
          <w:color w:val="auto"/>
        </w:rPr>
      </w:pPr>
    </w:p>
    <w:p>
      <w:pPr>
        <w:spacing w:after="0"/>
        <w:rPr>
          <w:sz w:val="20"/>
          <w:szCs w:val="20"/>
          <w:color w:val="auto"/>
        </w:rPr>
      </w:pPr>
      <w:r>
        <w:rPr>
          <w:rFonts w:ascii="Arial" w:cs="Arial" w:eastAsia="Arial" w:hAnsi="Arial"/>
          <w:sz w:val="16"/>
          <w:szCs w:val="16"/>
          <w:color w:val="auto"/>
        </w:rPr>
        <w:t>Dear fellow stockholders:</w:t>
      </w:r>
    </w:p>
    <w:p>
      <w:pPr>
        <w:spacing w:after="0" w:line="167" w:lineRule="exact"/>
        <w:rPr>
          <w:sz w:val="20"/>
          <w:szCs w:val="20"/>
          <w:color w:val="auto"/>
        </w:rPr>
      </w:pPr>
    </w:p>
    <w:p>
      <w:pPr>
        <w:ind w:right="259"/>
        <w:spacing w:after="0" w:line="300" w:lineRule="auto"/>
        <w:rPr>
          <w:sz w:val="20"/>
          <w:szCs w:val="20"/>
          <w:color w:val="auto"/>
        </w:rPr>
      </w:pPr>
      <w:r>
        <w:rPr>
          <w:rFonts w:ascii="Arial" w:cs="Arial" w:eastAsia="Arial" w:hAnsi="Arial"/>
          <w:sz w:val="16"/>
          <w:szCs w:val="16"/>
          <w:color w:val="auto"/>
        </w:rPr>
        <w:t>On behalf of the entire Board of Directors, thank you for your investment. We appreciate your continued support for the Company, our people, and our purpose-driven client work. As the Compensation Committee of Huron, we are driven by the goal to align the interests of our leadership team, including our executives, industry and capability leaders and client-facing managing directors and principals, with those of our stockholders to deliver long-term stockholder value.</w:t>
      </w:r>
    </w:p>
    <w:p>
      <w:pPr>
        <w:spacing w:after="0" w:line="106" w:lineRule="exact"/>
        <w:rPr>
          <w:sz w:val="20"/>
          <w:szCs w:val="20"/>
          <w:color w:val="auto"/>
        </w:rPr>
      </w:pPr>
    </w:p>
    <w:p>
      <w:pPr>
        <w:ind w:right="79"/>
        <w:spacing w:after="0" w:line="295" w:lineRule="auto"/>
        <w:rPr>
          <w:sz w:val="20"/>
          <w:szCs w:val="20"/>
          <w:color w:val="auto"/>
        </w:rPr>
      </w:pPr>
      <w:r>
        <w:rPr>
          <w:rFonts w:ascii="Arial" w:cs="Arial" w:eastAsia="Arial" w:hAnsi="Arial"/>
          <w:sz w:val="16"/>
          <w:szCs w:val="16"/>
          <w:color w:val="auto"/>
        </w:rPr>
        <w:t>Huron’s leaders have consistently delivered strong results, while setting a course for the Company’s future success. Ensuring that Huron continues to benefit from a capable and winning leadership team is a key focus for this committee. We frequently engage with stockholders as part of our annual executive compensation program review, including discussion of the compensation of Huron’s CEO, C. Mark Hussey, and the use of Huron equity in our company-wide compensation programs.</w:t>
      </w:r>
    </w:p>
    <w:p>
      <w:pPr>
        <w:spacing w:after="0" w:line="108" w:lineRule="exact"/>
        <w:rPr>
          <w:sz w:val="20"/>
          <w:szCs w:val="20"/>
          <w:color w:val="auto"/>
        </w:rPr>
      </w:pPr>
    </w:p>
    <w:p>
      <w:pPr>
        <w:ind w:right="59"/>
        <w:spacing w:after="0" w:line="293" w:lineRule="auto"/>
        <w:rPr>
          <w:sz w:val="20"/>
          <w:szCs w:val="20"/>
          <w:color w:val="auto"/>
        </w:rPr>
      </w:pPr>
      <w:r>
        <w:rPr>
          <w:rFonts w:ascii="Arial" w:cs="Arial" w:eastAsia="Arial" w:hAnsi="Arial"/>
          <w:sz w:val="16"/>
          <w:szCs w:val="16"/>
          <w:color w:val="auto"/>
        </w:rPr>
        <w:t>Through the execution of our executive compensation philosophy, we have designed the 2024 executive compensation program to further our goal of aligning interests through a thoughtful and robust pay-for-performance compensation program. One that we believe aligns well with the Company’s business model and considers the dynamic environment in which the Company operates. Under our compensation program, performance is defined as a blend of delivering value to stockholders, achieving strong financial performance set against pre-established financial metrics, and executing strategic initiatives that we believe are critical to delivering future stockholder value.</w:t>
      </w:r>
    </w:p>
    <w:p>
      <w:pPr>
        <w:spacing w:after="0" w:line="110" w:lineRule="exact"/>
        <w:rPr>
          <w:sz w:val="20"/>
          <w:szCs w:val="20"/>
          <w:color w:val="auto"/>
        </w:rPr>
      </w:pPr>
    </w:p>
    <w:p>
      <w:pPr>
        <w:jc w:val="both"/>
        <w:ind w:right="219"/>
        <w:spacing w:after="0" w:line="300" w:lineRule="auto"/>
        <w:rPr>
          <w:sz w:val="20"/>
          <w:szCs w:val="20"/>
          <w:color w:val="auto"/>
        </w:rPr>
      </w:pPr>
      <w:r>
        <w:rPr>
          <w:rFonts w:ascii="Arial" w:cs="Arial" w:eastAsia="Arial" w:hAnsi="Arial"/>
          <w:sz w:val="16"/>
          <w:szCs w:val="16"/>
          <w:color w:val="auto"/>
        </w:rPr>
        <w:t>In 2024, to further enhance the alignment between executive and stockholder interests, we allocated a greater proportion of our NEOs’ total direct compensation to performance-based equity earned after a three-year cumulative performance period and ensured the predefined financial and strategic targets of our 2024 annual incentive plan directly aligned with the growth strategy of our organization.</w:t>
      </w:r>
    </w:p>
    <w:p>
      <w:pPr>
        <w:spacing w:after="0" w:line="106" w:lineRule="exact"/>
        <w:rPr>
          <w:sz w:val="20"/>
          <w:szCs w:val="20"/>
          <w:color w:val="auto"/>
        </w:rPr>
      </w:pPr>
    </w:p>
    <w:p>
      <w:pPr>
        <w:ind w:right="39"/>
        <w:spacing w:after="0" w:line="321" w:lineRule="auto"/>
        <w:rPr>
          <w:sz w:val="20"/>
          <w:szCs w:val="20"/>
          <w:color w:val="auto"/>
        </w:rPr>
      </w:pPr>
      <w:r>
        <w:rPr>
          <w:rFonts w:ascii="Arial" w:cs="Arial" w:eastAsia="Arial" w:hAnsi="Arial"/>
          <w:sz w:val="16"/>
          <w:szCs w:val="16"/>
          <w:color w:val="auto"/>
        </w:rPr>
        <w:t>We highlight that the Company, bolstered by the strong leadership of our executive team, has achieved the following results in 2024:</w:t>
      </w:r>
    </w:p>
    <w:p>
      <w:pPr>
        <w:spacing w:after="0" w:line="88" w:lineRule="exact"/>
        <w:rPr>
          <w:sz w:val="20"/>
          <w:szCs w:val="20"/>
          <w:color w:val="auto"/>
        </w:rPr>
      </w:pPr>
    </w:p>
    <w:p>
      <w:pPr>
        <w:ind w:left="180" w:right="359" w:hanging="172"/>
        <w:spacing w:after="0" w:line="321" w:lineRule="auto"/>
        <w:tabs>
          <w:tab w:leader="none" w:pos="180" w:val="left"/>
        </w:tabs>
        <w:numPr>
          <w:ilvl w:val="0"/>
          <w:numId w:val="63"/>
        </w:numPr>
        <w:rPr>
          <w:rFonts w:ascii="Arial" w:cs="Arial" w:eastAsia="Arial" w:hAnsi="Arial"/>
          <w:sz w:val="16"/>
          <w:szCs w:val="16"/>
          <w:b w:val="1"/>
          <w:bCs w:val="1"/>
          <w:color w:val="6AAA37"/>
        </w:rPr>
      </w:pPr>
      <w:r>
        <w:rPr>
          <w:rFonts w:ascii="Arial" w:cs="Arial" w:eastAsia="Arial" w:hAnsi="Arial"/>
          <w:sz w:val="16"/>
          <w:szCs w:val="16"/>
          <w:color w:val="auto"/>
        </w:rPr>
        <w:t>Achieved 9% revenues before reimbursable expenses (RBR) growth compared to 2023, which was on top of 20% RBR growth in 2023 compared to 2022;</w:t>
      </w:r>
    </w:p>
    <w:p>
      <w:pPr>
        <w:spacing w:after="0" w:line="24" w:lineRule="exact"/>
        <w:rPr>
          <w:rFonts w:ascii="Arial" w:cs="Arial" w:eastAsia="Arial" w:hAnsi="Arial"/>
          <w:sz w:val="16"/>
          <w:szCs w:val="16"/>
          <w:b w:val="1"/>
          <w:bCs w:val="1"/>
          <w:color w:val="6AAA37"/>
        </w:rPr>
      </w:pPr>
    </w:p>
    <w:p>
      <w:pPr>
        <w:ind w:left="180" w:hanging="172"/>
        <w:spacing w:after="0"/>
        <w:tabs>
          <w:tab w:leader="none" w:pos="180" w:val="left"/>
        </w:tabs>
        <w:numPr>
          <w:ilvl w:val="0"/>
          <w:numId w:val="63"/>
        </w:numPr>
        <w:rPr>
          <w:rFonts w:ascii="Arial" w:cs="Arial" w:eastAsia="Arial" w:hAnsi="Arial"/>
          <w:sz w:val="16"/>
          <w:szCs w:val="16"/>
          <w:b w:val="1"/>
          <w:bCs w:val="1"/>
          <w:color w:val="6AAA37"/>
        </w:rPr>
      </w:pPr>
      <w:r>
        <w:rPr>
          <w:rFonts w:ascii="Arial" w:cs="Arial" w:eastAsia="Arial" w:hAnsi="Arial"/>
          <w:sz w:val="16"/>
          <w:szCs w:val="16"/>
          <w:color w:val="auto"/>
        </w:rPr>
        <w:t>Expanded net income margin and adjusted EBITDA margin</w:t>
      </w:r>
      <w:r>
        <w:rPr>
          <w:rFonts w:ascii="Arial" w:cs="Arial" w:eastAsia="Arial" w:hAnsi="Arial"/>
          <w:sz w:val="21"/>
          <w:szCs w:val="21"/>
          <w:color w:val="auto"/>
          <w:vertAlign w:val="superscript"/>
        </w:rPr>
        <w:t>4</w:t>
      </w:r>
      <w:r>
        <w:rPr>
          <w:rFonts w:ascii="Arial" w:cs="Arial" w:eastAsia="Arial" w:hAnsi="Arial"/>
          <w:sz w:val="16"/>
          <w:szCs w:val="16"/>
          <w:color w:val="auto"/>
        </w:rPr>
        <w:t xml:space="preserve"> 320 and 120 basis points, respectively, over 2023;</w:t>
      </w:r>
    </w:p>
    <w:p>
      <w:pPr>
        <w:spacing w:after="0" w:line="69" w:lineRule="exact"/>
        <w:rPr>
          <w:rFonts w:ascii="Arial" w:cs="Arial" w:eastAsia="Arial" w:hAnsi="Arial"/>
          <w:sz w:val="16"/>
          <w:szCs w:val="16"/>
          <w:b w:val="1"/>
          <w:bCs w:val="1"/>
          <w:color w:val="6AAA37"/>
        </w:rPr>
      </w:pPr>
    </w:p>
    <w:p>
      <w:pPr>
        <w:ind w:left="180" w:right="339" w:hanging="172"/>
        <w:spacing w:after="0" w:line="259" w:lineRule="auto"/>
        <w:tabs>
          <w:tab w:leader="none" w:pos="180" w:val="left"/>
        </w:tabs>
        <w:numPr>
          <w:ilvl w:val="0"/>
          <w:numId w:val="63"/>
        </w:numPr>
        <w:rPr>
          <w:rFonts w:ascii="Arial" w:cs="Arial" w:eastAsia="Arial" w:hAnsi="Arial"/>
          <w:sz w:val="16"/>
          <w:szCs w:val="16"/>
          <w:b w:val="1"/>
          <w:bCs w:val="1"/>
          <w:color w:val="6AAA37"/>
        </w:rPr>
      </w:pPr>
      <w:r>
        <w:rPr>
          <w:rFonts w:ascii="Arial" w:cs="Arial" w:eastAsia="Arial" w:hAnsi="Arial"/>
          <w:sz w:val="16"/>
          <w:szCs w:val="16"/>
          <w:color w:val="auto"/>
        </w:rPr>
        <w:t>Increased diluted earnings per share and adjusted diluted earnings per share</w:t>
      </w:r>
      <w:r>
        <w:rPr>
          <w:rFonts w:ascii="Arial" w:cs="Arial" w:eastAsia="Arial" w:hAnsi="Arial"/>
          <w:sz w:val="21"/>
          <w:szCs w:val="21"/>
          <w:color w:val="auto"/>
          <w:vertAlign w:val="superscript"/>
        </w:rPr>
        <w:t>4</w:t>
      </w:r>
      <w:r>
        <w:rPr>
          <w:rFonts w:ascii="Arial" w:cs="Arial" w:eastAsia="Arial" w:hAnsi="Arial"/>
          <w:sz w:val="16"/>
          <w:szCs w:val="16"/>
          <w:color w:val="auto"/>
        </w:rPr>
        <w:t xml:space="preserve"> 97% and 32%, respectively, compared to 2023;</w:t>
      </w:r>
    </w:p>
    <w:p>
      <w:pPr>
        <w:spacing w:after="0" w:line="67" w:lineRule="exact"/>
        <w:rPr>
          <w:rFonts w:ascii="Arial" w:cs="Arial" w:eastAsia="Arial" w:hAnsi="Arial"/>
          <w:sz w:val="16"/>
          <w:szCs w:val="16"/>
          <w:b w:val="1"/>
          <w:bCs w:val="1"/>
          <w:color w:val="6AAA37"/>
        </w:rPr>
      </w:pPr>
    </w:p>
    <w:p>
      <w:pPr>
        <w:ind w:left="180" w:hanging="172"/>
        <w:spacing w:after="0"/>
        <w:tabs>
          <w:tab w:leader="none" w:pos="180" w:val="left"/>
        </w:tabs>
        <w:numPr>
          <w:ilvl w:val="0"/>
          <w:numId w:val="63"/>
        </w:numPr>
        <w:rPr>
          <w:rFonts w:ascii="Arial" w:cs="Arial" w:eastAsia="Arial" w:hAnsi="Arial"/>
          <w:sz w:val="16"/>
          <w:szCs w:val="16"/>
          <w:b w:val="1"/>
          <w:bCs w:val="1"/>
          <w:color w:val="6AAA37"/>
        </w:rPr>
      </w:pPr>
      <w:r>
        <w:rPr>
          <w:rFonts w:ascii="Arial" w:cs="Arial" w:eastAsia="Arial" w:hAnsi="Arial"/>
          <w:sz w:val="16"/>
          <w:szCs w:val="16"/>
          <w:color w:val="auto"/>
        </w:rPr>
        <w:t>Generated record cash flow from operations and free cash flows</w:t>
      </w:r>
      <w:r>
        <w:rPr>
          <w:rFonts w:ascii="Arial" w:cs="Arial" w:eastAsia="Arial" w:hAnsi="Arial"/>
          <w:sz w:val="21"/>
          <w:szCs w:val="21"/>
          <w:color w:val="auto"/>
          <w:vertAlign w:val="superscript"/>
        </w:rPr>
        <w:t>4</w:t>
      </w:r>
      <w:r>
        <w:rPr>
          <w:rFonts w:ascii="Arial" w:cs="Arial" w:eastAsia="Arial" w:hAnsi="Arial"/>
          <w:sz w:val="16"/>
          <w:szCs w:val="16"/>
          <w:color w:val="auto"/>
        </w:rPr>
        <w:t>; and</w:t>
      </w:r>
    </w:p>
    <w:p>
      <w:pPr>
        <w:spacing w:after="0" w:line="79" w:lineRule="exact"/>
        <w:rPr>
          <w:rFonts w:ascii="Arial" w:cs="Arial" w:eastAsia="Arial" w:hAnsi="Arial"/>
          <w:sz w:val="16"/>
          <w:szCs w:val="16"/>
          <w:b w:val="1"/>
          <w:bCs w:val="1"/>
          <w:color w:val="6AAA37"/>
        </w:rPr>
      </w:pPr>
    </w:p>
    <w:p>
      <w:pPr>
        <w:ind w:left="180" w:right="39" w:hanging="172"/>
        <w:spacing w:after="0" w:line="321" w:lineRule="auto"/>
        <w:tabs>
          <w:tab w:leader="none" w:pos="180" w:val="left"/>
        </w:tabs>
        <w:numPr>
          <w:ilvl w:val="0"/>
          <w:numId w:val="63"/>
        </w:numPr>
        <w:rPr>
          <w:rFonts w:ascii="Arial" w:cs="Arial" w:eastAsia="Arial" w:hAnsi="Arial"/>
          <w:sz w:val="16"/>
          <w:szCs w:val="16"/>
          <w:b w:val="1"/>
          <w:bCs w:val="1"/>
          <w:color w:val="6AAA37"/>
        </w:rPr>
      </w:pPr>
      <w:r>
        <w:rPr>
          <w:rFonts w:ascii="Arial" w:cs="Arial" w:eastAsia="Arial" w:hAnsi="Arial"/>
          <w:sz w:val="16"/>
          <w:szCs w:val="16"/>
          <w:color w:val="auto"/>
        </w:rPr>
        <w:t>Continued to execute on the Company’s strategic initiatives that are directly aligned to the growth strategy through the following four principles: Growing Revenues, Growing Margins, Growing our People and Maintaining our Financial Strength.</w:t>
      </w:r>
    </w:p>
    <w:p>
      <w:pPr>
        <w:spacing w:after="0" w:line="88" w:lineRule="exact"/>
        <w:rPr>
          <w:sz w:val="20"/>
          <w:szCs w:val="20"/>
          <w:color w:val="auto"/>
        </w:rPr>
      </w:pPr>
    </w:p>
    <w:p>
      <w:pPr>
        <w:ind w:right="719"/>
        <w:spacing w:after="0" w:line="321" w:lineRule="auto"/>
        <w:rPr>
          <w:sz w:val="20"/>
          <w:szCs w:val="20"/>
          <w:color w:val="auto"/>
        </w:rPr>
      </w:pPr>
      <w:r>
        <w:rPr>
          <w:rFonts w:ascii="Arial" w:cs="Arial" w:eastAsia="Arial" w:hAnsi="Arial"/>
          <w:sz w:val="16"/>
          <w:szCs w:val="16"/>
          <w:color w:val="auto"/>
        </w:rPr>
        <w:t>We are proud of our executive team’s performance in 2024, which has driven significant value at a rapid pace for our stockholders, highlighted by the 21% annual total shareholder return achieved during 2024.</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The criticality of executing on our compensation philosophy extends beyond our leadership team to our highly qualified</w:t>
      </w:r>
    </w:p>
    <w:p>
      <w:pPr>
        <w:spacing w:after="0" w:line="300" w:lineRule="exact"/>
        <w:rPr>
          <w:sz w:val="20"/>
          <w:szCs w:val="20"/>
          <w:color w:val="auto"/>
        </w:rPr>
      </w:pPr>
    </w:p>
    <w:p>
      <w:pPr>
        <w:ind w:right="39" w:firstLine="8"/>
        <w:spacing w:after="0" w:line="224" w:lineRule="auto"/>
        <w:tabs>
          <w:tab w:leader="none" w:pos="68" w:val="left"/>
        </w:tabs>
        <w:numPr>
          <w:ilvl w:val="0"/>
          <w:numId w:val="64"/>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See Appendix C for the definitions of adjusted EBITDA margin, adjusted diluted earnings per share and free cash flows, and other non-GAAP financial measures included in this Proxy Statement, as well as their reconciliation to the most directly comparable GAAP financial measure.</w:t>
      </w:r>
    </w:p>
    <w:p>
      <w:pPr>
        <w:sectPr>
          <w:pgSz w:w="11900" w:h="16838" w:orient="portrait"/>
          <w:cols w:equalWidth="0" w:num="1">
            <w:col w:w="9059"/>
          </w:cols>
          <w:pgMar w:left="1400" w:top="1242" w:right="1440" w:bottom="788" w:gutter="0" w:footer="0" w:header="0"/>
        </w:sectPr>
      </w:pPr>
    </w:p>
    <w:p>
      <w:pPr>
        <w:spacing w:after="0" w:line="321" w:lineRule="exact"/>
        <w:rPr>
          <w:sz w:val="20"/>
          <w:szCs w:val="20"/>
          <w:color w:val="auto"/>
        </w:rPr>
      </w:pPr>
    </w:p>
    <w:p>
      <w:pPr>
        <w:ind w:left="60"/>
        <w:spacing w:after="0"/>
        <w:tabs>
          <w:tab w:leader="none" w:pos="444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13"/>
          <w:szCs w:val="13"/>
          <w:b w:val="1"/>
          <w:bCs w:val="1"/>
          <w:color w:val="00558C"/>
        </w:rPr>
        <w:t>34</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420370</wp:posOffset>
            </wp:positionV>
            <wp:extent cx="6810375" cy="3505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10375" cy="350520"/>
                    </a:xfrm>
                    <a:prstGeom prst="rect">
                      <a:avLst/>
                    </a:prstGeom>
                    <a:noFill/>
                  </pic:spPr>
                </pic:pic>
              </a:graphicData>
            </a:graphic>
          </wp:anchor>
        </w:drawing>
      </w:r>
    </w:p>
    <w:p>
      <w:pPr>
        <w:sectPr>
          <w:pgSz w:w="11900" w:h="16838" w:orient="portrait"/>
          <w:cols w:equalWidth="0" w:num="1">
            <w:col w:w="9059"/>
          </w:cols>
          <w:pgMar w:left="1400" w:top="1242" w:right="1440" w:bottom="788" w:gutter="0" w:footer="0" w:header="0"/>
          <w:type w:val="continuous"/>
        </w:sectPr>
      </w:pPr>
    </w:p>
    <w:bookmarkStart w:id="40" w:name="page41"/>
    <w:bookmarkEnd w:id="40"/>
    <w:tbl>
      <w:tblPr>
        <w:tblLayout w:type="fixed"/>
        <w:tblInd w:w="60" w:type="dxa"/>
        <w:tblCellMar>
          <w:top w:w="0" w:type="dxa"/>
          <w:left w:w="0" w:type="dxa"/>
          <w:bottom w:w="0" w:type="dxa"/>
          <w:right w:w="0" w:type="dxa"/>
        </w:tblCellMar>
      </w:tblPr>
      <w:tr>
        <w:trPr>
          <w:trHeight w:val="149"/>
        </w:trPr>
        <w:tc>
          <w:tcPr>
            <w:tcW w:w="840" w:type="dxa"/>
            <w:vAlign w:val="bottom"/>
          </w:tcPr>
          <w:p>
            <w:pPr>
              <w:spacing w:after="0"/>
              <w:rPr>
                <w:sz w:val="20"/>
                <w:szCs w:val="20"/>
                <w:color w:val="auto"/>
              </w:rPr>
            </w:pPr>
            <w:r>
              <w:rPr>
                <w:rFonts w:ascii="Arial" w:cs="Arial" w:eastAsia="Arial" w:hAnsi="Arial"/>
                <w:sz w:val="13"/>
                <w:szCs w:val="13"/>
                <w:b w:val="1"/>
                <w:bCs w:val="1"/>
                <w:color w:val="B2B3B6"/>
              </w:rPr>
              <w:t>General</w:t>
            </w:r>
          </w:p>
        </w:tc>
        <w:tc>
          <w:tcPr>
            <w:tcW w:w="840" w:type="dxa"/>
            <w:vAlign w:val="bottom"/>
          </w:tcPr>
          <w:p>
            <w:pPr>
              <w:ind w:left="160"/>
              <w:spacing w:after="0"/>
              <w:rPr>
                <w:sz w:val="20"/>
                <w:szCs w:val="20"/>
                <w:color w:val="auto"/>
              </w:rPr>
            </w:pPr>
            <w:r>
              <w:rPr>
                <w:rFonts w:ascii="Arial" w:cs="Arial" w:eastAsia="Arial" w:hAnsi="Arial"/>
                <w:sz w:val="13"/>
                <w:szCs w:val="13"/>
                <w:b w:val="1"/>
                <w:bCs w:val="1"/>
                <w:color w:val="B2B3B6"/>
              </w:rPr>
              <w:t>Proposal</w:t>
            </w:r>
          </w:p>
        </w:tc>
        <w:tc>
          <w:tcPr>
            <w:tcW w:w="1020" w:type="dxa"/>
            <w:vAlign w:val="bottom"/>
          </w:tcPr>
          <w:p>
            <w:pPr>
              <w:ind w:left="160"/>
              <w:spacing w:after="0"/>
              <w:rPr>
                <w:sz w:val="20"/>
                <w:szCs w:val="20"/>
                <w:color w:val="auto"/>
              </w:rPr>
            </w:pPr>
            <w:r>
              <w:rPr>
                <w:rFonts w:ascii="Arial" w:cs="Arial" w:eastAsia="Arial" w:hAnsi="Arial"/>
                <w:sz w:val="13"/>
                <w:szCs w:val="13"/>
                <w:b w:val="1"/>
                <w:bCs w:val="1"/>
                <w:color w:val="B2B3B6"/>
              </w:rPr>
              <w:t>Corporate</w:t>
            </w:r>
          </w:p>
        </w:tc>
        <w:tc>
          <w:tcPr>
            <w:tcW w:w="920" w:type="dxa"/>
            <w:vAlign w:val="bottom"/>
          </w:tcPr>
          <w:p>
            <w:pPr>
              <w:ind w:left="140"/>
              <w:spacing w:after="0"/>
              <w:rPr>
                <w:sz w:val="20"/>
                <w:szCs w:val="20"/>
                <w:color w:val="auto"/>
              </w:rPr>
            </w:pPr>
            <w:r>
              <w:rPr>
                <w:rFonts w:ascii="Arial" w:cs="Arial" w:eastAsia="Arial" w:hAnsi="Arial"/>
                <w:sz w:val="13"/>
                <w:szCs w:val="13"/>
                <w:b w:val="1"/>
                <w:bCs w:val="1"/>
                <w:color w:val="B2B3B6"/>
              </w:rPr>
              <w:t>Proposal</w:t>
            </w:r>
          </w:p>
        </w:tc>
        <w:tc>
          <w:tcPr>
            <w:tcW w:w="1180" w:type="dxa"/>
            <w:vAlign w:val="bottom"/>
          </w:tcPr>
          <w:p>
            <w:pPr>
              <w:ind w:left="40"/>
              <w:spacing w:after="0"/>
              <w:rPr>
                <w:sz w:val="20"/>
                <w:szCs w:val="20"/>
                <w:color w:val="auto"/>
              </w:rPr>
            </w:pPr>
            <w:r>
              <w:rPr>
                <w:rFonts w:ascii="Arial" w:cs="Arial" w:eastAsia="Arial" w:hAnsi="Arial"/>
                <w:sz w:val="13"/>
                <w:szCs w:val="13"/>
                <w:b w:val="1"/>
                <w:bCs w:val="1"/>
                <w:color w:val="6AAA37"/>
              </w:rPr>
              <w:t>Executive</w:t>
            </w:r>
          </w:p>
        </w:tc>
        <w:tc>
          <w:tcPr>
            <w:tcW w:w="740" w:type="dxa"/>
            <w:vAlign w:val="bottom"/>
          </w:tcPr>
          <w:p>
            <w:pPr>
              <w:ind w:left="60"/>
              <w:spacing w:after="0"/>
              <w:rPr>
                <w:sz w:val="20"/>
                <w:szCs w:val="20"/>
                <w:color w:val="auto"/>
              </w:rPr>
            </w:pPr>
            <w:r>
              <w:rPr>
                <w:rFonts w:ascii="Arial" w:cs="Arial" w:eastAsia="Arial" w:hAnsi="Arial"/>
                <w:sz w:val="13"/>
                <w:szCs w:val="13"/>
                <w:b w:val="1"/>
                <w:bCs w:val="1"/>
                <w:color w:val="B2B3B6"/>
              </w:rPr>
              <w:t>Proposal</w:t>
            </w:r>
          </w:p>
        </w:tc>
        <w:tc>
          <w:tcPr>
            <w:tcW w:w="820" w:type="dxa"/>
            <w:vAlign w:val="bottom"/>
          </w:tcPr>
          <w:p>
            <w:pPr>
              <w:ind w:left="140"/>
              <w:spacing w:after="0"/>
              <w:rPr>
                <w:sz w:val="20"/>
                <w:szCs w:val="20"/>
                <w:color w:val="auto"/>
              </w:rPr>
            </w:pPr>
            <w:r>
              <w:rPr>
                <w:rFonts w:ascii="Arial" w:cs="Arial" w:eastAsia="Arial" w:hAnsi="Arial"/>
                <w:sz w:val="13"/>
                <w:szCs w:val="13"/>
                <w:b w:val="1"/>
                <w:bCs w:val="1"/>
                <w:color w:val="B2B3B6"/>
              </w:rPr>
              <w:t>Proposal</w:t>
            </w:r>
          </w:p>
        </w:tc>
        <w:tc>
          <w:tcPr>
            <w:tcW w:w="820" w:type="dxa"/>
            <w:vAlign w:val="bottom"/>
          </w:tcPr>
          <w:p>
            <w:pPr>
              <w:ind w:left="140"/>
              <w:spacing w:after="0"/>
              <w:rPr>
                <w:sz w:val="20"/>
                <w:szCs w:val="20"/>
                <w:color w:val="auto"/>
              </w:rPr>
            </w:pPr>
            <w:r>
              <w:rPr>
                <w:rFonts w:ascii="Arial" w:cs="Arial" w:eastAsia="Arial" w:hAnsi="Arial"/>
                <w:sz w:val="13"/>
                <w:szCs w:val="13"/>
                <w:b w:val="1"/>
                <w:bCs w:val="1"/>
                <w:color w:val="B2B3B6"/>
              </w:rPr>
              <w:t>Proposal</w:t>
            </w:r>
          </w:p>
        </w:tc>
        <w:tc>
          <w:tcPr>
            <w:tcW w:w="1020" w:type="dxa"/>
            <w:vAlign w:val="bottom"/>
          </w:tcPr>
          <w:p>
            <w:pPr>
              <w:ind w:left="140"/>
              <w:spacing w:after="0"/>
              <w:rPr>
                <w:sz w:val="20"/>
                <w:szCs w:val="20"/>
                <w:color w:val="auto"/>
              </w:rPr>
            </w:pPr>
            <w:r>
              <w:rPr>
                <w:rFonts w:ascii="Arial" w:cs="Arial" w:eastAsia="Arial" w:hAnsi="Arial"/>
                <w:sz w:val="13"/>
                <w:szCs w:val="13"/>
                <w:b w:val="1"/>
                <w:bCs w:val="1"/>
                <w:color w:val="B2B3B6"/>
              </w:rPr>
              <w:t>Stockholder</w:t>
            </w:r>
          </w:p>
        </w:tc>
        <w:tc>
          <w:tcPr>
            <w:tcW w:w="620" w:type="dxa"/>
            <w:vAlign w:val="bottom"/>
          </w:tcPr>
          <w:p>
            <w:pPr>
              <w:ind w:left="160"/>
              <w:spacing w:after="0"/>
              <w:rPr>
                <w:sz w:val="20"/>
                <w:szCs w:val="20"/>
                <w:color w:val="auto"/>
              </w:rPr>
            </w:pPr>
            <w:r>
              <w:rPr>
                <w:rFonts w:ascii="Arial" w:cs="Arial" w:eastAsia="Arial" w:hAnsi="Arial"/>
                <w:sz w:val="13"/>
                <w:szCs w:val="13"/>
                <w:b w:val="1"/>
                <w:bCs w:val="1"/>
                <w:color w:val="B2B3B6"/>
              </w:rPr>
              <w:t>Other</w:t>
            </w:r>
          </w:p>
        </w:tc>
      </w:tr>
      <w:tr>
        <w:trPr>
          <w:trHeight w:val="172"/>
        </w:trPr>
        <w:tc>
          <w:tcPr>
            <w:tcW w:w="840" w:type="dxa"/>
            <w:vAlign w:val="bottom"/>
          </w:tcPr>
          <w:p>
            <w:pPr>
              <w:spacing w:after="0"/>
              <w:rPr>
                <w:sz w:val="20"/>
                <w:szCs w:val="20"/>
                <w:color w:val="auto"/>
              </w:rPr>
            </w:pPr>
            <w:r>
              <w:rPr>
                <w:rFonts w:ascii="Arial" w:cs="Arial" w:eastAsia="Arial" w:hAnsi="Arial"/>
                <w:sz w:val="13"/>
                <w:szCs w:val="13"/>
                <w:b w:val="1"/>
                <w:bCs w:val="1"/>
                <w:color w:val="B2B3B6"/>
              </w:rPr>
              <w:t>Information</w:t>
            </w:r>
          </w:p>
        </w:tc>
        <w:tc>
          <w:tcPr>
            <w:tcW w:w="840" w:type="dxa"/>
            <w:vAlign w:val="bottom"/>
          </w:tcPr>
          <w:p>
            <w:pPr>
              <w:ind w:left="160"/>
              <w:spacing w:after="0"/>
              <w:rPr>
                <w:sz w:val="20"/>
                <w:szCs w:val="20"/>
                <w:color w:val="auto"/>
              </w:rPr>
            </w:pPr>
            <w:r>
              <w:rPr>
                <w:rFonts w:ascii="Arial" w:cs="Arial" w:eastAsia="Arial" w:hAnsi="Arial"/>
                <w:sz w:val="13"/>
                <w:szCs w:val="13"/>
                <w:b w:val="1"/>
                <w:bCs w:val="1"/>
                <w:color w:val="B2B3B6"/>
              </w:rPr>
              <w:t>One</w:t>
            </w:r>
          </w:p>
        </w:tc>
        <w:tc>
          <w:tcPr>
            <w:tcW w:w="1020" w:type="dxa"/>
            <w:vAlign w:val="bottom"/>
          </w:tcPr>
          <w:p>
            <w:pPr>
              <w:ind w:left="160"/>
              <w:spacing w:after="0"/>
              <w:rPr>
                <w:sz w:val="20"/>
                <w:szCs w:val="20"/>
                <w:color w:val="auto"/>
              </w:rPr>
            </w:pPr>
            <w:r>
              <w:rPr>
                <w:rFonts w:ascii="Arial" w:cs="Arial" w:eastAsia="Arial" w:hAnsi="Arial"/>
                <w:sz w:val="13"/>
                <w:szCs w:val="13"/>
                <w:b w:val="1"/>
                <w:bCs w:val="1"/>
                <w:color w:val="B2B3B6"/>
              </w:rPr>
              <w:t>Governance</w:t>
            </w:r>
          </w:p>
        </w:tc>
        <w:tc>
          <w:tcPr>
            <w:tcW w:w="920" w:type="dxa"/>
            <w:vAlign w:val="bottom"/>
          </w:tcPr>
          <w:p>
            <w:pPr>
              <w:ind w:left="140"/>
              <w:spacing w:after="0"/>
              <w:rPr>
                <w:sz w:val="20"/>
                <w:szCs w:val="20"/>
                <w:color w:val="auto"/>
              </w:rPr>
            </w:pPr>
            <w:r>
              <w:rPr>
                <w:rFonts w:ascii="Arial" w:cs="Arial" w:eastAsia="Arial" w:hAnsi="Arial"/>
                <w:sz w:val="13"/>
                <w:szCs w:val="13"/>
                <w:b w:val="1"/>
                <w:bCs w:val="1"/>
                <w:color w:val="B2B3B6"/>
              </w:rPr>
              <w:t>Two</w:t>
            </w:r>
          </w:p>
        </w:tc>
        <w:tc>
          <w:tcPr>
            <w:tcW w:w="1180" w:type="dxa"/>
            <w:vAlign w:val="bottom"/>
          </w:tcPr>
          <w:p>
            <w:pPr>
              <w:ind w:left="40"/>
              <w:spacing w:after="0"/>
              <w:rPr>
                <w:sz w:val="20"/>
                <w:szCs w:val="20"/>
                <w:color w:val="auto"/>
              </w:rPr>
            </w:pPr>
            <w:r>
              <w:rPr>
                <w:rFonts w:ascii="Arial" w:cs="Arial" w:eastAsia="Arial" w:hAnsi="Arial"/>
                <w:sz w:val="13"/>
                <w:szCs w:val="13"/>
                <w:b w:val="1"/>
                <w:bCs w:val="1"/>
                <w:color w:val="6AAA37"/>
              </w:rPr>
              <w:t>Compensation</w:t>
            </w:r>
          </w:p>
        </w:tc>
        <w:tc>
          <w:tcPr>
            <w:tcW w:w="740" w:type="dxa"/>
            <w:vAlign w:val="bottom"/>
          </w:tcPr>
          <w:p>
            <w:pPr>
              <w:ind w:left="60"/>
              <w:spacing w:after="0"/>
              <w:rPr>
                <w:sz w:val="20"/>
                <w:szCs w:val="20"/>
                <w:color w:val="auto"/>
              </w:rPr>
            </w:pPr>
            <w:r>
              <w:rPr>
                <w:rFonts w:ascii="Arial" w:cs="Arial" w:eastAsia="Arial" w:hAnsi="Arial"/>
                <w:sz w:val="13"/>
                <w:szCs w:val="13"/>
                <w:b w:val="1"/>
                <w:bCs w:val="1"/>
                <w:color w:val="B2B3B6"/>
              </w:rPr>
              <w:t>Three</w:t>
            </w:r>
          </w:p>
        </w:tc>
        <w:tc>
          <w:tcPr>
            <w:tcW w:w="820" w:type="dxa"/>
            <w:vAlign w:val="bottom"/>
          </w:tcPr>
          <w:p>
            <w:pPr>
              <w:ind w:left="140"/>
              <w:spacing w:after="0"/>
              <w:rPr>
                <w:sz w:val="20"/>
                <w:szCs w:val="20"/>
                <w:color w:val="auto"/>
              </w:rPr>
            </w:pPr>
            <w:r>
              <w:rPr>
                <w:rFonts w:ascii="Arial" w:cs="Arial" w:eastAsia="Arial" w:hAnsi="Arial"/>
                <w:sz w:val="13"/>
                <w:szCs w:val="13"/>
                <w:b w:val="1"/>
                <w:bCs w:val="1"/>
                <w:color w:val="B2B3B6"/>
              </w:rPr>
              <w:t>Four</w:t>
            </w:r>
          </w:p>
        </w:tc>
        <w:tc>
          <w:tcPr>
            <w:tcW w:w="820" w:type="dxa"/>
            <w:vAlign w:val="bottom"/>
          </w:tcPr>
          <w:p>
            <w:pPr>
              <w:ind w:left="140"/>
              <w:spacing w:after="0"/>
              <w:rPr>
                <w:sz w:val="20"/>
                <w:szCs w:val="20"/>
                <w:color w:val="auto"/>
              </w:rPr>
            </w:pPr>
            <w:r>
              <w:rPr>
                <w:rFonts w:ascii="Arial" w:cs="Arial" w:eastAsia="Arial" w:hAnsi="Arial"/>
                <w:sz w:val="13"/>
                <w:szCs w:val="13"/>
                <w:b w:val="1"/>
                <w:bCs w:val="1"/>
                <w:color w:val="B2B3B6"/>
              </w:rPr>
              <w:t>Five</w:t>
            </w:r>
          </w:p>
        </w:tc>
        <w:tc>
          <w:tcPr>
            <w:tcW w:w="1020" w:type="dxa"/>
            <w:vAlign w:val="bottom"/>
          </w:tcPr>
          <w:p>
            <w:pPr>
              <w:ind w:left="140"/>
              <w:spacing w:after="0"/>
              <w:rPr>
                <w:sz w:val="20"/>
                <w:szCs w:val="20"/>
                <w:color w:val="auto"/>
              </w:rPr>
            </w:pPr>
            <w:r>
              <w:rPr>
                <w:rFonts w:ascii="Arial" w:cs="Arial" w:eastAsia="Arial" w:hAnsi="Arial"/>
                <w:sz w:val="13"/>
                <w:szCs w:val="13"/>
                <w:b w:val="1"/>
                <w:bCs w:val="1"/>
                <w:color w:val="B2B3B6"/>
              </w:rPr>
              <w:t>Proposals</w:t>
            </w:r>
          </w:p>
        </w:tc>
        <w:tc>
          <w:tcPr>
            <w:tcW w:w="620" w:type="dxa"/>
            <w:vAlign w:val="bottom"/>
          </w:tcPr>
          <w:p>
            <w:pPr>
              <w:ind w:left="160"/>
              <w:spacing w:after="0"/>
              <w:rPr>
                <w:sz w:val="20"/>
                <w:szCs w:val="20"/>
                <w:color w:val="auto"/>
              </w:rPr>
            </w:pPr>
            <w:r>
              <w:rPr>
                <w:rFonts w:ascii="Arial" w:cs="Arial" w:eastAsia="Arial" w:hAnsi="Arial"/>
                <w:sz w:val="13"/>
                <w:szCs w:val="13"/>
                <w:b w:val="1"/>
                <w:bCs w:val="1"/>
                <w:color w:val="B2B3B6"/>
                <w:w w:val="95"/>
              </w:rPr>
              <w:t>Matters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-185420</wp:posOffset>
            </wp:positionV>
            <wp:extent cx="6810375" cy="850582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10375" cy="8505825"/>
                    </a:xfrm>
                    <a:prstGeom prst="rect">
                      <a:avLst/>
                    </a:prstGeom>
                    <a:noFill/>
                  </pic:spPr>
                </pic:pic>
              </a:graphicData>
            </a:graphic>
          </wp:anchor>
        </w:drawing>
      </w:r>
    </w:p>
    <w:p>
      <w:pPr>
        <w:spacing w:after="0" w:line="212"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workforce, including our revenue-generating managing directors and principals. In fact, on average over the last three years, 84% of the stock granted annually is provided to those managing directors and principals as part of their annual incentive compensation. We believe it is critical to further foster an ownership mindset by continuing to grant equity to both current and future employees and to align those employees' interests with the Company and stockholders. As such, we have approved, subject to stockholder approval, amendments to the Company's Amended and Restated 2012 Omnibus Incentive Plan and the Company’s Stock Ownership Participation Program to increase the number of shares available for grant under both plans in order to continue to provide meaningful stock ownership opportunities to our global workforce. Without these opportunities, we would be at risk for increased turnover, which would be detrimental to our ability to achieve our financial goals. We strongly encourage you to review the details of these equity plans, including how we use equity in our employee compensation programs, within Proposal 3 and Proposal 4 of this Proxy Statement and vote FOR the amendments to both plans.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Respectfully,</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20"/>
        <w:spacing w:after="0"/>
        <w:tabs>
          <w:tab w:leader="none" w:pos="2640" w:val="left"/>
          <w:tab w:leader="none" w:pos="5040" w:val="left"/>
          <w:tab w:leader="none" w:pos="7520" w:val="left"/>
        </w:tabs>
        <w:rPr>
          <w:sz w:val="20"/>
          <w:szCs w:val="20"/>
          <w:color w:val="auto"/>
        </w:rPr>
      </w:pPr>
      <w:r>
        <w:rPr>
          <w:rFonts w:ascii="Arial" w:cs="Arial" w:eastAsia="Arial" w:hAnsi="Arial"/>
          <w:sz w:val="16"/>
          <w:szCs w:val="16"/>
          <w:color w:val="auto"/>
        </w:rPr>
        <w:t>Hugh E. Sawyer (Chair)</w:t>
      </w:r>
      <w:r>
        <w:rPr>
          <w:sz w:val="20"/>
          <w:szCs w:val="20"/>
          <w:color w:val="auto"/>
        </w:rPr>
        <w:tab/>
      </w:r>
      <w:r>
        <w:rPr>
          <w:rFonts w:ascii="Arial" w:cs="Arial" w:eastAsia="Arial" w:hAnsi="Arial"/>
          <w:sz w:val="16"/>
          <w:szCs w:val="16"/>
          <w:color w:val="auto"/>
        </w:rPr>
        <w:t>H. Eugene Lockhart</w:t>
      </w:r>
      <w:r>
        <w:rPr>
          <w:sz w:val="20"/>
          <w:szCs w:val="20"/>
          <w:color w:val="auto"/>
        </w:rPr>
        <w:tab/>
      </w:r>
      <w:r>
        <w:rPr>
          <w:rFonts w:ascii="Arial" w:cs="Arial" w:eastAsia="Arial" w:hAnsi="Arial"/>
          <w:sz w:val="16"/>
          <w:szCs w:val="16"/>
          <w:color w:val="auto"/>
        </w:rPr>
        <w:t>Debra L. Zumwalt</w:t>
      </w:r>
      <w:r>
        <w:rPr>
          <w:sz w:val="20"/>
          <w:szCs w:val="20"/>
          <w:color w:val="auto"/>
        </w:rPr>
        <w:tab/>
      </w:r>
      <w:r>
        <w:rPr>
          <w:rFonts w:ascii="Arial" w:cs="Arial" w:eastAsia="Arial" w:hAnsi="Arial"/>
          <w:sz w:val="15"/>
          <w:szCs w:val="15"/>
          <w:color w:val="auto"/>
        </w:rPr>
        <w:t>Joy T. Brown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29"/>
          <w:szCs w:val="29"/>
          <w:b w:val="1"/>
          <w:bCs w:val="1"/>
          <w:color w:val="B2B3B6"/>
        </w:rPr>
        <w:t>Compensation Discussion and Analysis</w:t>
      </w:r>
    </w:p>
    <w:p>
      <w:pPr>
        <w:spacing w:after="0" w:line="348" w:lineRule="exact"/>
        <w:rPr>
          <w:sz w:val="20"/>
          <w:szCs w:val="20"/>
          <w:color w:val="auto"/>
        </w:rPr>
      </w:pPr>
    </w:p>
    <w:p>
      <w:pPr>
        <w:ind w:right="80"/>
        <w:spacing w:after="0" w:line="310" w:lineRule="auto"/>
        <w:rPr>
          <w:sz w:val="20"/>
          <w:szCs w:val="20"/>
          <w:color w:val="auto"/>
        </w:rPr>
      </w:pPr>
      <w:r>
        <w:rPr>
          <w:rFonts w:ascii="Arial" w:cs="Arial" w:eastAsia="Arial" w:hAnsi="Arial"/>
          <w:sz w:val="16"/>
          <w:szCs w:val="16"/>
          <w:color w:val="auto"/>
        </w:rPr>
        <w:t>This Compensation Discussion and Analysis provides information regarding the objectives and elements of our compensation program with respect to the compensation of persons who appear in the Summary Compensation Table (who we refer to collectively throughout this Proxy Statement as our "named executive officers" or "NEOs").</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For 2024, Huron's named executive officer team consisted of the following individuals: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300" w:type="dxa"/>
        <w:tblCellMar>
          <w:top w:w="0" w:type="dxa"/>
          <w:left w:w="0" w:type="dxa"/>
          <w:bottom w:w="0" w:type="dxa"/>
          <w:right w:w="0" w:type="dxa"/>
        </w:tblCellMar>
      </w:tblPr>
      <w:tr>
        <w:trPr>
          <w:trHeight w:val="273"/>
        </w:trPr>
        <w:tc>
          <w:tcPr>
            <w:tcW w:w="2720" w:type="dxa"/>
            <w:vAlign w:val="bottom"/>
          </w:tcPr>
          <w:p>
            <w:pPr>
              <w:jc w:val="center"/>
              <w:ind w:right="319"/>
              <w:spacing w:after="0"/>
              <w:rPr>
                <w:sz w:val="20"/>
                <w:szCs w:val="20"/>
                <w:color w:val="auto"/>
              </w:rPr>
            </w:pPr>
            <w:r>
              <w:rPr>
                <w:rFonts w:ascii="Arial" w:cs="Arial" w:eastAsia="Arial" w:hAnsi="Arial"/>
                <w:sz w:val="20"/>
                <w:szCs w:val="20"/>
                <w:b w:val="1"/>
                <w:bCs w:val="1"/>
                <w:color w:val="00558C"/>
                <w:w w:val="99"/>
              </w:rPr>
              <w:t>C. Mark Hussey</w:t>
            </w:r>
          </w:p>
        </w:tc>
        <w:tc>
          <w:tcPr>
            <w:tcW w:w="2900" w:type="dxa"/>
            <w:vAlign w:val="bottom"/>
          </w:tcPr>
          <w:p>
            <w:pPr>
              <w:jc w:val="center"/>
              <w:spacing w:after="0"/>
              <w:rPr>
                <w:sz w:val="20"/>
                <w:szCs w:val="20"/>
                <w:color w:val="auto"/>
              </w:rPr>
            </w:pPr>
            <w:r>
              <w:rPr>
                <w:rFonts w:ascii="Arial" w:cs="Arial" w:eastAsia="Arial" w:hAnsi="Arial"/>
                <w:sz w:val="20"/>
                <w:szCs w:val="20"/>
                <w:b w:val="1"/>
                <w:bCs w:val="1"/>
                <w:color w:val="00558C"/>
                <w:w w:val="97"/>
              </w:rPr>
              <w:t>John D. Kelly</w:t>
            </w:r>
          </w:p>
        </w:tc>
        <w:tc>
          <w:tcPr>
            <w:tcW w:w="2740" w:type="dxa"/>
            <w:vAlign w:val="bottom"/>
          </w:tcPr>
          <w:p>
            <w:pPr>
              <w:jc w:val="center"/>
              <w:ind w:left="379"/>
              <w:spacing w:after="0"/>
              <w:rPr>
                <w:sz w:val="20"/>
                <w:szCs w:val="20"/>
                <w:color w:val="auto"/>
              </w:rPr>
            </w:pPr>
            <w:r>
              <w:rPr>
                <w:rFonts w:ascii="Arial" w:cs="Arial" w:eastAsia="Arial" w:hAnsi="Arial"/>
                <w:sz w:val="20"/>
                <w:szCs w:val="20"/>
                <w:b w:val="1"/>
                <w:bCs w:val="1"/>
                <w:color w:val="00558C"/>
                <w:w w:val="99"/>
              </w:rPr>
              <w:t>J. Ronald Dail</w:t>
            </w:r>
          </w:p>
        </w:tc>
      </w:tr>
      <w:tr>
        <w:trPr>
          <w:trHeight w:val="227"/>
        </w:trPr>
        <w:tc>
          <w:tcPr>
            <w:tcW w:w="2720" w:type="dxa"/>
            <w:vAlign w:val="bottom"/>
          </w:tcPr>
          <w:p>
            <w:pPr>
              <w:jc w:val="center"/>
              <w:ind w:right="339"/>
              <w:spacing w:after="0"/>
              <w:rPr>
                <w:sz w:val="20"/>
                <w:szCs w:val="20"/>
                <w:color w:val="auto"/>
              </w:rPr>
            </w:pPr>
            <w:r>
              <w:rPr>
                <w:rFonts w:ascii="Arial" w:cs="Arial" w:eastAsia="Arial" w:hAnsi="Arial"/>
                <w:sz w:val="14"/>
                <w:szCs w:val="14"/>
                <w:b w:val="1"/>
                <w:bCs w:val="1"/>
                <w:color w:val="6AAA37"/>
              </w:rPr>
              <w:t>CHIEF EXECUTIVE OFFICER AND</w:t>
            </w:r>
          </w:p>
        </w:tc>
        <w:tc>
          <w:tcPr>
            <w:tcW w:w="2900" w:type="dxa"/>
            <w:vAlign w:val="bottom"/>
          </w:tcPr>
          <w:p>
            <w:pPr>
              <w:jc w:val="center"/>
              <w:spacing w:after="0"/>
              <w:rPr>
                <w:sz w:val="20"/>
                <w:szCs w:val="20"/>
                <w:color w:val="auto"/>
              </w:rPr>
            </w:pPr>
            <w:r>
              <w:rPr>
                <w:rFonts w:ascii="Arial" w:cs="Arial" w:eastAsia="Arial" w:hAnsi="Arial"/>
                <w:sz w:val="14"/>
                <w:szCs w:val="14"/>
                <w:b w:val="1"/>
                <w:bCs w:val="1"/>
                <w:color w:val="6AAA37"/>
              </w:rPr>
              <w:t>EXECUTIVE VICE PRESIDENT,</w:t>
            </w:r>
          </w:p>
        </w:tc>
        <w:tc>
          <w:tcPr>
            <w:tcW w:w="2740" w:type="dxa"/>
            <w:vAlign w:val="bottom"/>
          </w:tcPr>
          <w:p>
            <w:pPr>
              <w:jc w:val="center"/>
              <w:ind w:left="359"/>
              <w:spacing w:after="0"/>
              <w:rPr>
                <w:sz w:val="20"/>
                <w:szCs w:val="20"/>
                <w:color w:val="auto"/>
              </w:rPr>
            </w:pPr>
            <w:r>
              <w:rPr>
                <w:rFonts w:ascii="Arial" w:cs="Arial" w:eastAsia="Arial" w:hAnsi="Arial"/>
                <w:sz w:val="14"/>
                <w:szCs w:val="14"/>
                <w:b w:val="1"/>
                <w:bCs w:val="1"/>
                <w:color w:val="6AAA37"/>
              </w:rPr>
              <w:t>EXECUTIVE VICE PRESIDENT</w:t>
            </w:r>
          </w:p>
        </w:tc>
      </w:tr>
      <w:tr>
        <w:trPr>
          <w:trHeight w:val="176"/>
        </w:trPr>
        <w:tc>
          <w:tcPr>
            <w:tcW w:w="2720" w:type="dxa"/>
            <w:vAlign w:val="bottom"/>
          </w:tcPr>
          <w:p>
            <w:pPr>
              <w:ind w:left="780"/>
              <w:spacing w:after="0"/>
              <w:rPr>
                <w:sz w:val="20"/>
                <w:szCs w:val="20"/>
                <w:color w:val="auto"/>
              </w:rPr>
            </w:pPr>
            <w:r>
              <w:rPr>
                <w:rFonts w:ascii="Arial" w:cs="Arial" w:eastAsia="Arial" w:hAnsi="Arial"/>
                <w:sz w:val="14"/>
                <w:szCs w:val="14"/>
                <w:b w:val="1"/>
                <w:bCs w:val="1"/>
                <w:color w:val="6AAA37"/>
              </w:rPr>
              <w:t>PRESIDENT</w:t>
            </w:r>
          </w:p>
        </w:tc>
        <w:tc>
          <w:tcPr>
            <w:tcW w:w="2900" w:type="dxa"/>
            <w:vAlign w:val="bottom"/>
          </w:tcPr>
          <w:p>
            <w:pPr>
              <w:jc w:val="center"/>
              <w:spacing w:after="0"/>
              <w:rPr>
                <w:sz w:val="20"/>
                <w:szCs w:val="20"/>
                <w:color w:val="auto"/>
              </w:rPr>
            </w:pPr>
            <w:r>
              <w:rPr>
                <w:rFonts w:ascii="Arial" w:cs="Arial" w:eastAsia="Arial" w:hAnsi="Arial"/>
                <w:sz w:val="14"/>
                <w:szCs w:val="14"/>
                <w:b w:val="1"/>
                <w:bCs w:val="1"/>
                <w:color w:val="6AAA37"/>
              </w:rPr>
              <w:t>CHIEF FINANCIAL OFFICER</w:t>
            </w:r>
          </w:p>
        </w:tc>
        <w:tc>
          <w:tcPr>
            <w:tcW w:w="2740" w:type="dxa"/>
            <w:vAlign w:val="bottom"/>
          </w:tcPr>
          <w:p>
            <w:pPr>
              <w:jc w:val="center"/>
              <w:ind w:left="319"/>
              <w:spacing w:after="0"/>
              <w:rPr>
                <w:sz w:val="20"/>
                <w:szCs w:val="20"/>
                <w:color w:val="auto"/>
              </w:rPr>
            </w:pPr>
            <w:r>
              <w:rPr>
                <w:rFonts w:ascii="Arial" w:cs="Arial" w:eastAsia="Arial" w:hAnsi="Arial"/>
                <w:sz w:val="14"/>
                <w:szCs w:val="14"/>
                <w:b w:val="1"/>
                <w:bCs w:val="1"/>
                <w:color w:val="6AAA37"/>
              </w:rPr>
              <w:t>AND CHIEF OPERATING OFFICER</w:t>
            </w:r>
          </w:p>
        </w:tc>
      </w:tr>
      <w:tr>
        <w:trPr>
          <w:trHeight w:val="196"/>
        </w:trPr>
        <w:tc>
          <w:tcPr>
            <w:tcW w:w="2720" w:type="dxa"/>
            <w:vAlign w:val="bottom"/>
          </w:tcPr>
          <w:p>
            <w:pPr>
              <w:spacing w:after="0"/>
              <w:rPr>
                <w:sz w:val="17"/>
                <w:szCs w:val="17"/>
                <w:color w:val="auto"/>
              </w:rPr>
            </w:pPr>
          </w:p>
        </w:tc>
        <w:tc>
          <w:tcPr>
            <w:tcW w:w="2900" w:type="dxa"/>
            <w:vAlign w:val="bottom"/>
          </w:tcPr>
          <w:p>
            <w:pPr>
              <w:jc w:val="center"/>
              <w:ind w:left="21"/>
              <w:spacing w:after="0"/>
              <w:rPr>
                <w:sz w:val="20"/>
                <w:szCs w:val="20"/>
                <w:color w:val="auto"/>
              </w:rPr>
            </w:pPr>
            <w:r>
              <w:rPr>
                <w:rFonts w:ascii="Arial" w:cs="Arial" w:eastAsia="Arial" w:hAnsi="Arial"/>
                <w:sz w:val="14"/>
                <w:szCs w:val="14"/>
                <w:b w:val="1"/>
                <w:bCs w:val="1"/>
                <w:color w:val="6AAA37"/>
              </w:rPr>
              <w:t>AND TREASURER</w:t>
            </w:r>
          </w:p>
        </w:tc>
        <w:tc>
          <w:tcPr>
            <w:tcW w:w="2740" w:type="dxa"/>
            <w:vAlign w:val="bottom"/>
          </w:tcPr>
          <w:p>
            <w:pPr>
              <w:spacing w:after="0"/>
              <w:rPr>
                <w:sz w:val="17"/>
                <w:szCs w:val="17"/>
                <w:color w:val="auto"/>
              </w:rPr>
            </w:pPr>
          </w:p>
        </w:tc>
      </w:tr>
    </w:tbl>
    <w:p>
      <w:pPr>
        <w:spacing w:after="0" w:line="200" w:lineRule="exact"/>
        <w:rPr>
          <w:sz w:val="20"/>
          <w:szCs w:val="20"/>
          <w:color w:val="auto"/>
        </w:rPr>
      </w:pPr>
    </w:p>
    <w:p>
      <w:pPr>
        <w:spacing w:after="0" w:line="260"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Additionally, Ernest W. Torain, Jr. served as Executive Vice President, General Counsel and Corporate Secretary through March 15, 2024, at which time he left Huron, and Hope Katz took on the position of Corporate Vice President, Legal Affairs and Corporate Secretary assuming the majority of Mr. Torain's responsibilities. Effective January 1, 2025, Ms. Katz was appointed Executive Vice President and General Counsel in addition to her role as Corporate Secretary.</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Messrs. Hussey, Kelly, Dail and Torain were the only individuals who served as Huron executive officers during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tabs>
          <w:tab w:leader="none" w:pos="444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13"/>
          <w:szCs w:val="13"/>
          <w:b w:val="1"/>
          <w:bCs w:val="1"/>
          <w:color w:val="00558C"/>
        </w:rPr>
        <w:t>35</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420370</wp:posOffset>
            </wp:positionV>
            <wp:extent cx="6810375" cy="19278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10375" cy="1927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540" w:val="left"/>
          <w:tab w:leader="none" w:pos="7360" w:val="left"/>
          <w:tab w:leader="none" w:pos="8400" w:val="left"/>
        </w:tabs>
        <w:rPr>
          <w:sz w:val="20"/>
          <w:szCs w:val="20"/>
          <w:color w:val="auto"/>
        </w:rPr>
      </w:pPr>
      <w:r>
        <w:rPr>
          <w:rFonts w:ascii="Arial" w:cs="Arial" w:eastAsia="Arial" w:hAnsi="Arial"/>
          <w:sz w:val="13"/>
          <w:szCs w:val="13"/>
          <w:b w:val="1"/>
          <w:bCs w:val="1"/>
          <w:color w:val="B2B3B6"/>
        </w:rPr>
        <w:t>General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Corporate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6AAA37"/>
        </w:rPr>
        <w:t>Executive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Stockholder</w:t>
      </w:r>
      <w:r>
        <w:rPr>
          <w:sz w:val="20"/>
          <w:szCs w:val="20"/>
          <w:color w:val="auto"/>
        </w:rPr>
        <w:tab/>
      </w:r>
      <w:r>
        <w:rPr>
          <w:rFonts w:ascii="Arial" w:cs="Arial" w:eastAsia="Arial" w:hAnsi="Arial"/>
          <w:sz w:val="12"/>
          <w:szCs w:val="12"/>
          <w:b w:val="1"/>
          <w:bCs w:val="1"/>
          <w:color w:val="B2B3B6"/>
        </w:rPr>
        <w:t>Other</w:t>
      </w:r>
    </w:p>
    <w:p>
      <w:pPr>
        <w:spacing w:after="0" w:line="11"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540" w:val="left"/>
          <w:tab w:leader="none" w:pos="7360" w:val="left"/>
          <w:tab w:leader="none" w:pos="8400" w:val="left"/>
        </w:tabs>
        <w:rPr>
          <w:sz w:val="20"/>
          <w:szCs w:val="20"/>
          <w:color w:val="auto"/>
        </w:rPr>
      </w:pPr>
      <w:r>
        <w:rPr>
          <w:rFonts w:ascii="Arial" w:cs="Arial" w:eastAsia="Arial" w:hAnsi="Arial"/>
          <w:sz w:val="13"/>
          <w:szCs w:val="13"/>
          <w:b w:val="1"/>
          <w:bCs w:val="1"/>
          <w:color w:val="B2B3B6"/>
        </w:rPr>
        <w:t>Information</w:t>
      </w:r>
      <w:r>
        <w:rPr>
          <w:sz w:val="20"/>
          <w:szCs w:val="20"/>
          <w:color w:val="auto"/>
        </w:rPr>
        <w:tab/>
      </w:r>
      <w:r>
        <w:rPr>
          <w:rFonts w:ascii="Arial" w:cs="Arial" w:eastAsia="Arial" w:hAnsi="Arial"/>
          <w:sz w:val="13"/>
          <w:szCs w:val="13"/>
          <w:b w:val="1"/>
          <w:bCs w:val="1"/>
          <w:color w:val="B2B3B6"/>
        </w:rPr>
        <w:t>One</w:t>
      </w:r>
      <w:r>
        <w:rPr>
          <w:sz w:val="20"/>
          <w:szCs w:val="20"/>
          <w:color w:val="auto"/>
        </w:rPr>
        <w:tab/>
      </w:r>
      <w:r>
        <w:rPr>
          <w:rFonts w:ascii="Arial" w:cs="Arial" w:eastAsia="Arial" w:hAnsi="Arial"/>
          <w:sz w:val="13"/>
          <w:szCs w:val="13"/>
          <w:b w:val="1"/>
          <w:bCs w:val="1"/>
          <w:color w:val="B2B3B6"/>
        </w:rPr>
        <w:t>Governance</w:t>
      </w:r>
      <w:r>
        <w:rPr>
          <w:sz w:val="20"/>
          <w:szCs w:val="20"/>
          <w:color w:val="auto"/>
        </w:rPr>
        <w:tab/>
      </w:r>
      <w:r>
        <w:rPr>
          <w:rFonts w:ascii="Arial" w:cs="Arial" w:eastAsia="Arial" w:hAnsi="Arial"/>
          <w:sz w:val="13"/>
          <w:szCs w:val="13"/>
          <w:b w:val="1"/>
          <w:bCs w:val="1"/>
          <w:color w:val="B2B3B6"/>
        </w:rPr>
        <w:t>Two</w:t>
      </w:r>
      <w:r>
        <w:rPr>
          <w:sz w:val="20"/>
          <w:szCs w:val="20"/>
          <w:color w:val="auto"/>
        </w:rPr>
        <w:tab/>
      </w:r>
      <w:r>
        <w:rPr>
          <w:rFonts w:ascii="Arial" w:cs="Arial" w:eastAsia="Arial" w:hAnsi="Arial"/>
          <w:sz w:val="13"/>
          <w:szCs w:val="13"/>
          <w:b w:val="1"/>
          <w:bCs w:val="1"/>
          <w:color w:val="6AAA37"/>
        </w:rPr>
        <w:t>Compensation</w:t>
      </w:r>
      <w:r>
        <w:rPr>
          <w:sz w:val="20"/>
          <w:szCs w:val="20"/>
          <w:color w:val="auto"/>
        </w:rPr>
        <w:tab/>
      </w:r>
      <w:r>
        <w:rPr>
          <w:rFonts w:ascii="Arial" w:cs="Arial" w:eastAsia="Arial" w:hAnsi="Arial"/>
          <w:sz w:val="13"/>
          <w:szCs w:val="13"/>
          <w:b w:val="1"/>
          <w:bCs w:val="1"/>
          <w:color w:val="B2B3B6"/>
        </w:rPr>
        <w:t>Three</w:t>
      </w:r>
      <w:r>
        <w:rPr>
          <w:sz w:val="20"/>
          <w:szCs w:val="20"/>
          <w:color w:val="auto"/>
        </w:rPr>
        <w:tab/>
      </w:r>
      <w:r>
        <w:rPr>
          <w:rFonts w:ascii="Arial" w:cs="Arial" w:eastAsia="Arial" w:hAnsi="Arial"/>
          <w:sz w:val="13"/>
          <w:szCs w:val="13"/>
          <w:b w:val="1"/>
          <w:bCs w:val="1"/>
          <w:color w:val="B2B3B6"/>
        </w:rPr>
        <w:t>Four</w:t>
      </w:r>
      <w:r>
        <w:rPr>
          <w:sz w:val="20"/>
          <w:szCs w:val="20"/>
          <w:color w:val="auto"/>
        </w:rPr>
        <w:tab/>
      </w:r>
      <w:r>
        <w:rPr>
          <w:rFonts w:ascii="Arial" w:cs="Arial" w:eastAsia="Arial" w:hAnsi="Arial"/>
          <w:sz w:val="13"/>
          <w:szCs w:val="13"/>
          <w:b w:val="1"/>
          <w:bCs w:val="1"/>
          <w:color w:val="B2B3B6"/>
        </w:rPr>
        <w:t>Five</w:t>
      </w:r>
      <w:r>
        <w:rPr>
          <w:sz w:val="20"/>
          <w:szCs w:val="20"/>
          <w:color w:val="auto"/>
        </w:rPr>
        <w:tab/>
      </w:r>
      <w:r>
        <w:rPr>
          <w:rFonts w:ascii="Arial" w:cs="Arial" w:eastAsia="Arial" w:hAnsi="Arial"/>
          <w:sz w:val="13"/>
          <w:szCs w:val="13"/>
          <w:b w:val="1"/>
          <w:bCs w:val="1"/>
          <w:color w:val="B2B3B6"/>
        </w:rPr>
        <w:t>Proposals</w:t>
      </w:r>
      <w:r>
        <w:rPr>
          <w:sz w:val="20"/>
          <w:szCs w:val="20"/>
          <w:color w:val="auto"/>
        </w:rPr>
        <w:tab/>
      </w:r>
      <w:r>
        <w:rPr>
          <w:rFonts w:ascii="Arial" w:cs="Arial" w:eastAsia="Arial" w:hAnsi="Arial"/>
          <w:sz w:val="12"/>
          <w:szCs w:val="12"/>
          <w:b w:val="1"/>
          <w:bCs w:val="1"/>
          <w:color w:val="B2B3B6"/>
        </w:rPr>
        <w:t>Matters</w:t>
      </w:r>
    </w:p>
    <w:p>
      <w:pPr>
        <w:spacing w:after="0" w:line="314" w:lineRule="exact"/>
        <w:rPr>
          <w:sz w:val="20"/>
          <w:szCs w:val="20"/>
          <w:color w:val="auto"/>
        </w:rPr>
      </w:pPr>
    </w:p>
    <w:p>
      <w:pPr>
        <w:spacing w:after="0"/>
        <w:rPr>
          <w:sz w:val="20"/>
          <w:szCs w:val="20"/>
          <w:color w:val="auto"/>
        </w:rPr>
      </w:pPr>
      <w:r>
        <w:rPr>
          <w:rFonts w:ascii="Arial" w:cs="Arial" w:eastAsia="Arial" w:hAnsi="Arial"/>
          <w:sz w:val="22"/>
          <w:szCs w:val="22"/>
          <w:b w:val="1"/>
          <w:bCs w:val="1"/>
          <w:color w:val="00558C"/>
        </w:rPr>
        <w:t>2024 Highlights</w:t>
      </w:r>
    </w:p>
    <w:p>
      <w:pPr>
        <w:spacing w:after="0" w:line="112"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As further described below, Huron’s executive compensation program is structured to incentivize and reward performance that drives Company-wide success and achieve growth while effectively managing risk and aligning with the long-term best interests of our stockholders. Huron’s performance in 2024 is highlighted by the following achievements.</w:t>
      </w:r>
      <w:r>
        <w:rPr>
          <w:rFonts w:ascii="Arial" w:cs="Arial" w:eastAsia="Arial" w:hAnsi="Arial"/>
          <w:sz w:val="21"/>
          <w:szCs w:val="21"/>
          <w:color w:val="FFFFFF"/>
          <w:vertAlign w:val="superscript"/>
        </w:rPr>
        <w:t>5</w:t>
      </w:r>
    </w:p>
    <w:p>
      <w:pPr>
        <w:sectPr>
          <w:pgSz w:w="11900" w:h="16838" w:orient="portrait"/>
          <w:cols w:equalWidth="0" w:num="1">
            <w:col w:w="9080"/>
          </w:cols>
          <w:pgMar w:left="1400" w:top="112" w:right="1419" w:bottom="0" w:gutter="0" w:footer="0" w:header="0"/>
        </w:sectPr>
      </w:pPr>
    </w:p>
    <w:p>
      <w:pPr>
        <w:spacing w:after="0" w:line="295" w:lineRule="exact"/>
        <w:rPr>
          <w:sz w:val="20"/>
          <w:szCs w:val="20"/>
          <w:color w:val="auto"/>
        </w:rPr>
      </w:pPr>
    </w:p>
    <w:p>
      <w:pPr>
        <w:ind w:left="140"/>
        <w:spacing w:after="0"/>
        <w:tabs>
          <w:tab w:leader="none" w:pos="3160" w:val="left"/>
          <w:tab w:leader="none" w:pos="6200" w:val="left"/>
        </w:tabs>
        <w:rPr>
          <w:sz w:val="20"/>
          <w:szCs w:val="20"/>
          <w:color w:val="auto"/>
        </w:rPr>
      </w:pPr>
      <w:r>
        <w:rPr>
          <w:rFonts w:ascii="Arial" w:cs="Arial" w:eastAsia="Arial" w:hAnsi="Arial"/>
          <w:sz w:val="32"/>
          <w:szCs w:val="32"/>
          <w:color w:val="6AAA37"/>
        </w:rPr>
        <w:t>$1.49B</w:t>
      </w:r>
      <w:r>
        <w:rPr>
          <w:sz w:val="20"/>
          <w:szCs w:val="20"/>
          <w:color w:val="auto"/>
        </w:rPr>
        <w:tab/>
      </w:r>
      <w:r>
        <w:rPr>
          <w:rFonts w:ascii="Arial" w:cs="Arial" w:eastAsia="Arial" w:hAnsi="Arial"/>
          <w:sz w:val="32"/>
          <w:szCs w:val="32"/>
          <w:color w:val="6AAA37"/>
        </w:rPr>
        <w:t>7.7%</w:t>
      </w:r>
      <w:r>
        <w:rPr>
          <w:sz w:val="20"/>
          <w:szCs w:val="20"/>
          <w:color w:val="auto"/>
        </w:rPr>
        <w:tab/>
      </w:r>
      <w:r>
        <w:rPr>
          <w:rFonts w:ascii="Arial" w:cs="Arial" w:eastAsia="Arial" w:hAnsi="Arial"/>
          <w:sz w:val="31"/>
          <w:szCs w:val="31"/>
          <w:color w:val="6AAA37"/>
        </w:rPr>
        <w:t>13.5%</w:t>
      </w:r>
    </w:p>
    <w:p>
      <w:pPr>
        <w:sectPr>
          <w:pgSz w:w="11900" w:h="16838" w:orient="portrait"/>
          <w:cols w:equalWidth="0" w:num="1">
            <w:col w:w="9080"/>
          </w:cols>
          <w:pgMar w:left="1400" w:top="112" w:right="1419" w:bottom="0" w:gutter="0" w:footer="0" w:header="0"/>
          <w:type w:val="continuous"/>
        </w:sectPr>
      </w:pPr>
    </w:p>
    <w:bookmarkStart w:id="41" w:name="page42"/>
    <w:bookmarkEnd w:id="41"/>
    <w:tbl>
      <w:tblPr>
        <w:tblLayout w:type="fixed"/>
        <w:tblInd w:w="0" w:type="dxa"/>
        <w:tblCellMar>
          <w:top w:w="0" w:type="dxa"/>
          <w:left w:w="0" w:type="dxa"/>
          <w:bottom w:w="0" w:type="dxa"/>
          <w:right w:w="0" w:type="dxa"/>
        </w:tblCellMar>
      </w:tblPr>
      <w:tr>
        <w:trPr>
          <w:trHeight w:val="241"/>
        </w:trPr>
        <w:tc>
          <w:tcPr>
            <w:tcW w:w="3040" w:type="dxa"/>
            <w:vAlign w:val="bottom"/>
          </w:tcPr>
          <w:p>
            <w:pPr>
              <w:ind w:left="140"/>
              <w:spacing w:after="0"/>
              <w:rPr>
                <w:sz w:val="20"/>
                <w:szCs w:val="20"/>
                <w:color w:val="auto"/>
              </w:rPr>
            </w:pPr>
            <w:r>
              <w:rPr>
                <w:rFonts w:ascii="Arial" w:cs="Arial" w:eastAsia="Arial" w:hAnsi="Arial"/>
                <w:sz w:val="16"/>
                <w:szCs w:val="16"/>
                <w:b w:val="1"/>
                <w:bCs w:val="1"/>
                <w:color w:val="auto"/>
              </w:rPr>
              <w:t>9% increase in Revenues before</w:t>
            </w:r>
          </w:p>
        </w:tc>
        <w:tc>
          <w:tcPr>
            <w:tcW w:w="2840" w:type="dxa"/>
            <w:vAlign w:val="bottom"/>
          </w:tcPr>
          <w:p>
            <w:pPr>
              <w:ind w:left="140"/>
              <w:spacing w:after="0"/>
              <w:rPr>
                <w:sz w:val="20"/>
                <w:szCs w:val="20"/>
                <w:color w:val="auto"/>
              </w:rPr>
            </w:pPr>
            <w:r>
              <w:rPr>
                <w:rFonts w:ascii="Arial" w:cs="Arial" w:eastAsia="Arial" w:hAnsi="Arial"/>
                <w:sz w:val="16"/>
                <w:szCs w:val="16"/>
                <w:b w:val="1"/>
                <w:bCs w:val="1"/>
                <w:color w:val="auto"/>
              </w:rPr>
              <w:t>320 basis point increase in Net</w:t>
            </w:r>
          </w:p>
        </w:tc>
        <w:tc>
          <w:tcPr>
            <w:tcW w:w="3200" w:type="dxa"/>
            <w:vAlign w:val="bottom"/>
          </w:tcPr>
          <w:p>
            <w:pPr>
              <w:ind w:left="340"/>
              <w:spacing w:after="0"/>
              <w:rPr>
                <w:sz w:val="20"/>
                <w:szCs w:val="20"/>
                <w:color w:val="auto"/>
              </w:rPr>
            </w:pPr>
            <w:r>
              <w:rPr>
                <w:rFonts w:ascii="Arial" w:cs="Arial" w:eastAsia="Arial" w:hAnsi="Arial"/>
                <w:sz w:val="16"/>
                <w:szCs w:val="16"/>
                <w:b w:val="1"/>
                <w:bCs w:val="1"/>
                <w:color w:val="auto"/>
              </w:rPr>
              <w:t xml:space="preserve">120 basis point increase </w:t>
            </w:r>
            <w:r>
              <w:rPr>
                <w:rFonts w:ascii="Arial" w:cs="Arial" w:eastAsia="Arial" w:hAnsi="Arial"/>
                <w:sz w:val="21"/>
                <w:szCs w:val="21"/>
                <w:b w:val="1"/>
                <w:bCs w:val="1"/>
                <w:color w:val="auto"/>
                <w:vertAlign w:val="subscript"/>
              </w:rPr>
              <w:t>5</w:t>
            </w:r>
            <w:r>
              <w:rPr>
                <w:rFonts w:ascii="Arial" w:cs="Arial" w:eastAsia="Arial" w:hAnsi="Arial"/>
                <w:sz w:val="16"/>
                <w:szCs w:val="16"/>
                <w:b w:val="1"/>
                <w:bCs w:val="1"/>
                <w:color w:val="auto"/>
              </w:rPr>
              <w:t>in</w:t>
            </w:r>
          </w:p>
        </w:tc>
      </w:tr>
      <w:tr>
        <w:trPr>
          <w:trHeight w:val="134"/>
        </w:trPr>
        <w:tc>
          <w:tcPr>
            <w:tcW w:w="3040" w:type="dxa"/>
            <w:vAlign w:val="bottom"/>
          </w:tcPr>
          <w:p>
            <w:pPr>
              <w:ind w:left="140"/>
              <w:spacing w:after="0" w:line="134" w:lineRule="exact"/>
              <w:rPr>
                <w:sz w:val="20"/>
                <w:szCs w:val="20"/>
                <w:color w:val="auto"/>
              </w:rPr>
            </w:pPr>
            <w:r>
              <w:rPr>
                <w:rFonts w:ascii="Arial" w:cs="Arial" w:eastAsia="Arial" w:hAnsi="Arial"/>
                <w:sz w:val="15"/>
                <w:szCs w:val="15"/>
                <w:b w:val="1"/>
                <w:bCs w:val="1"/>
                <w:color w:val="auto"/>
              </w:rPr>
              <w:t xml:space="preserve">Reimbursable Expenses (RBR) </w:t>
            </w:r>
            <w:r>
              <w:rPr>
                <w:rFonts w:ascii="Arial" w:cs="Arial" w:eastAsia="Arial" w:hAnsi="Arial"/>
                <w:sz w:val="15"/>
                <w:szCs w:val="15"/>
                <w:color w:val="auto"/>
              </w:rPr>
              <w:t>from</w:t>
            </w:r>
          </w:p>
        </w:tc>
        <w:tc>
          <w:tcPr>
            <w:tcW w:w="2840" w:type="dxa"/>
            <w:vAlign w:val="bottom"/>
          </w:tcPr>
          <w:p>
            <w:pPr>
              <w:ind w:left="140"/>
              <w:spacing w:after="0" w:line="134" w:lineRule="exact"/>
              <w:rPr>
                <w:sz w:val="20"/>
                <w:szCs w:val="20"/>
                <w:color w:val="auto"/>
              </w:rPr>
            </w:pPr>
            <w:r>
              <w:rPr>
                <w:rFonts w:ascii="Arial" w:cs="Arial" w:eastAsia="Arial" w:hAnsi="Arial"/>
                <w:sz w:val="15"/>
                <w:szCs w:val="15"/>
                <w:b w:val="1"/>
                <w:bCs w:val="1"/>
                <w:color w:val="auto"/>
              </w:rPr>
              <w:t xml:space="preserve">Income Margin </w:t>
            </w:r>
            <w:r>
              <w:rPr>
                <w:rFonts w:ascii="Arial" w:cs="Arial" w:eastAsia="Arial" w:hAnsi="Arial"/>
                <w:sz w:val="15"/>
                <w:szCs w:val="15"/>
                <w:color w:val="auto"/>
              </w:rPr>
              <w:t>from 2023</w:t>
            </w:r>
          </w:p>
        </w:tc>
        <w:tc>
          <w:tcPr>
            <w:tcW w:w="3200" w:type="dxa"/>
            <w:vAlign w:val="bottom"/>
          </w:tcPr>
          <w:p>
            <w:pPr>
              <w:ind w:left="340"/>
              <w:spacing w:after="0" w:line="134" w:lineRule="exact"/>
              <w:rPr>
                <w:sz w:val="20"/>
                <w:szCs w:val="20"/>
                <w:color w:val="auto"/>
              </w:rPr>
            </w:pPr>
            <w:r>
              <w:rPr>
                <w:rFonts w:ascii="Arial" w:cs="Arial" w:eastAsia="Arial" w:hAnsi="Arial"/>
                <w:sz w:val="15"/>
                <w:szCs w:val="15"/>
                <w:b w:val="1"/>
                <w:bCs w:val="1"/>
                <w:color w:val="auto"/>
              </w:rPr>
              <w:t xml:space="preserve">Adjusted EBITDA Margin </w:t>
            </w:r>
            <w:r>
              <w:rPr>
                <w:rFonts w:ascii="Arial" w:cs="Arial" w:eastAsia="Arial" w:hAnsi="Arial"/>
                <w:sz w:val="15"/>
                <w:szCs w:val="15"/>
                <w:color w:val="auto"/>
              </w:rPr>
              <w:t>from</w:t>
            </w:r>
          </w:p>
        </w:tc>
      </w:tr>
      <w:tr>
        <w:trPr>
          <w:trHeight w:val="203"/>
        </w:trPr>
        <w:tc>
          <w:tcPr>
            <w:tcW w:w="3040" w:type="dxa"/>
            <w:vAlign w:val="bottom"/>
          </w:tcPr>
          <w:p>
            <w:pPr>
              <w:ind w:left="140"/>
              <w:spacing w:after="0"/>
              <w:rPr>
                <w:sz w:val="20"/>
                <w:szCs w:val="20"/>
                <w:color w:val="auto"/>
              </w:rPr>
            </w:pPr>
            <w:r>
              <w:rPr>
                <w:rFonts w:ascii="Arial" w:cs="Arial" w:eastAsia="Arial" w:hAnsi="Arial"/>
                <w:sz w:val="16"/>
                <w:szCs w:val="16"/>
                <w:color w:val="auto"/>
              </w:rPr>
              <w:t>2023, driven by growth in Healthcare</w:t>
            </w:r>
          </w:p>
        </w:tc>
        <w:tc>
          <w:tcPr>
            <w:tcW w:w="2840" w:type="dxa"/>
            <w:vAlign w:val="bottom"/>
          </w:tcPr>
          <w:p>
            <w:pPr>
              <w:spacing w:after="0"/>
              <w:rPr>
                <w:sz w:val="17"/>
                <w:szCs w:val="17"/>
                <w:color w:val="auto"/>
              </w:rPr>
            </w:pPr>
          </w:p>
        </w:tc>
        <w:tc>
          <w:tcPr>
            <w:tcW w:w="3200" w:type="dxa"/>
            <w:vAlign w:val="bottom"/>
          </w:tcPr>
          <w:p>
            <w:pPr>
              <w:ind w:left="340"/>
              <w:spacing w:after="0"/>
              <w:rPr>
                <w:sz w:val="20"/>
                <w:szCs w:val="20"/>
                <w:color w:val="auto"/>
              </w:rPr>
            </w:pPr>
            <w:r>
              <w:rPr>
                <w:rFonts w:ascii="Arial" w:cs="Arial" w:eastAsia="Arial" w:hAnsi="Arial"/>
                <w:sz w:val="16"/>
                <w:szCs w:val="16"/>
                <w:color w:val="auto"/>
              </w:rPr>
              <w:t>2023</w:t>
            </w:r>
          </w:p>
        </w:tc>
      </w:tr>
      <w:tr>
        <w:trPr>
          <w:trHeight w:val="215"/>
        </w:trPr>
        <w:tc>
          <w:tcPr>
            <w:tcW w:w="3040" w:type="dxa"/>
            <w:vAlign w:val="bottom"/>
          </w:tcPr>
          <w:p>
            <w:pPr>
              <w:ind w:left="140"/>
              <w:spacing w:after="0"/>
              <w:rPr>
                <w:sz w:val="20"/>
                <w:szCs w:val="20"/>
                <w:color w:val="auto"/>
              </w:rPr>
            </w:pPr>
            <w:r>
              <w:rPr>
                <w:rFonts w:ascii="Arial" w:cs="Arial" w:eastAsia="Arial" w:hAnsi="Arial"/>
                <w:sz w:val="16"/>
                <w:szCs w:val="16"/>
                <w:color w:val="auto"/>
              </w:rPr>
              <w:t>and Education segments</w:t>
            </w:r>
          </w:p>
        </w:tc>
        <w:tc>
          <w:tcPr>
            <w:tcW w:w="2840" w:type="dxa"/>
            <w:vAlign w:val="bottom"/>
          </w:tcPr>
          <w:p>
            <w:pPr>
              <w:spacing w:after="0"/>
              <w:rPr>
                <w:sz w:val="18"/>
                <w:szCs w:val="18"/>
                <w:color w:val="auto"/>
              </w:rPr>
            </w:pPr>
          </w:p>
        </w:tc>
        <w:tc>
          <w:tcPr>
            <w:tcW w:w="32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-434975</wp:posOffset>
            </wp:positionV>
            <wp:extent cx="6810375" cy="69284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10375" cy="6928485"/>
                    </a:xfrm>
                    <a:prstGeom prst="rect">
                      <a:avLst/>
                    </a:prstGeom>
                    <a:noFill/>
                  </pic:spPr>
                </pic:pic>
              </a:graphicData>
            </a:graphic>
          </wp:anchor>
        </w:drawing>
      </w:r>
    </w:p>
    <w:p>
      <w:pPr>
        <w:spacing w:after="0" w:line="330" w:lineRule="exact"/>
        <w:rPr>
          <w:sz w:val="20"/>
          <w:szCs w:val="20"/>
          <w:color w:val="auto"/>
        </w:rPr>
      </w:pPr>
    </w:p>
    <w:tbl>
      <w:tblPr>
        <w:tblLayout w:type="fixed"/>
        <w:tblInd w:w="100" w:type="dxa"/>
        <w:tblCellMar>
          <w:top w:w="0" w:type="dxa"/>
          <w:left w:w="0" w:type="dxa"/>
          <w:bottom w:w="0" w:type="dxa"/>
          <w:right w:w="0" w:type="dxa"/>
        </w:tblCellMar>
      </w:tblPr>
      <w:tr>
        <w:trPr>
          <w:trHeight w:val="368"/>
        </w:trPr>
        <w:tc>
          <w:tcPr>
            <w:tcW w:w="2860" w:type="dxa"/>
            <w:vAlign w:val="bottom"/>
          </w:tcPr>
          <w:p>
            <w:pPr>
              <w:ind w:left="40"/>
              <w:spacing w:after="0"/>
              <w:rPr>
                <w:sz w:val="20"/>
                <w:szCs w:val="20"/>
                <w:color w:val="auto"/>
              </w:rPr>
            </w:pPr>
            <w:r>
              <w:rPr>
                <w:rFonts w:ascii="Arial" w:cs="Arial" w:eastAsia="Arial" w:hAnsi="Arial"/>
                <w:sz w:val="32"/>
                <w:szCs w:val="32"/>
                <w:color w:val="6AAA37"/>
              </w:rPr>
              <w:t>$6.27</w:t>
            </w:r>
          </w:p>
        </w:tc>
        <w:tc>
          <w:tcPr>
            <w:tcW w:w="3020" w:type="dxa"/>
            <w:vAlign w:val="bottom"/>
          </w:tcPr>
          <w:p>
            <w:pPr>
              <w:ind w:left="220"/>
              <w:spacing w:after="0"/>
              <w:rPr>
                <w:sz w:val="20"/>
                <w:szCs w:val="20"/>
                <w:color w:val="auto"/>
              </w:rPr>
            </w:pPr>
            <w:r>
              <w:rPr>
                <w:rFonts w:ascii="Arial" w:cs="Arial" w:eastAsia="Arial" w:hAnsi="Arial"/>
                <w:sz w:val="32"/>
                <w:szCs w:val="32"/>
                <w:color w:val="6AAA37"/>
              </w:rPr>
              <w:t>$6.47</w:t>
            </w:r>
          </w:p>
        </w:tc>
        <w:tc>
          <w:tcPr>
            <w:tcW w:w="3100" w:type="dxa"/>
            <w:vAlign w:val="bottom"/>
          </w:tcPr>
          <w:p>
            <w:pPr>
              <w:ind w:left="240"/>
              <w:spacing w:after="0"/>
              <w:rPr>
                <w:sz w:val="20"/>
                <w:szCs w:val="20"/>
                <w:color w:val="auto"/>
              </w:rPr>
            </w:pPr>
            <w:r>
              <w:rPr>
                <w:rFonts w:ascii="Arial" w:cs="Arial" w:eastAsia="Arial" w:hAnsi="Arial"/>
                <w:sz w:val="32"/>
                <w:szCs w:val="32"/>
                <w:color w:val="6AAA37"/>
              </w:rPr>
              <w:t>$201M</w:t>
            </w:r>
          </w:p>
        </w:tc>
      </w:tr>
      <w:tr>
        <w:trPr>
          <w:trHeight w:val="246"/>
        </w:trPr>
        <w:tc>
          <w:tcPr>
            <w:tcW w:w="2860" w:type="dxa"/>
            <w:vAlign w:val="bottom"/>
          </w:tcPr>
          <w:p>
            <w:pPr>
              <w:ind w:left="40"/>
              <w:spacing w:after="0"/>
              <w:rPr>
                <w:sz w:val="20"/>
                <w:szCs w:val="20"/>
                <w:color w:val="auto"/>
              </w:rPr>
            </w:pPr>
            <w:r>
              <w:rPr>
                <w:rFonts w:ascii="Arial" w:cs="Arial" w:eastAsia="Arial" w:hAnsi="Arial"/>
                <w:sz w:val="16"/>
                <w:szCs w:val="16"/>
                <w:b w:val="1"/>
                <w:bCs w:val="1"/>
                <w:color w:val="auto"/>
              </w:rPr>
              <w:t>97% increase in GAAP Diluted EPS</w:t>
            </w:r>
          </w:p>
        </w:tc>
        <w:tc>
          <w:tcPr>
            <w:tcW w:w="3020" w:type="dxa"/>
            <w:vAlign w:val="bottom"/>
          </w:tcPr>
          <w:p>
            <w:pPr>
              <w:ind w:left="220"/>
              <w:spacing w:after="0"/>
              <w:rPr>
                <w:sz w:val="20"/>
                <w:szCs w:val="20"/>
                <w:color w:val="auto"/>
              </w:rPr>
            </w:pPr>
            <w:r>
              <w:rPr>
                <w:rFonts w:ascii="Arial" w:cs="Arial" w:eastAsia="Arial" w:hAnsi="Arial"/>
                <w:sz w:val="16"/>
                <w:szCs w:val="16"/>
                <w:b w:val="1"/>
                <w:bCs w:val="1"/>
                <w:color w:val="auto"/>
              </w:rPr>
              <w:t>32% increase in Adjusted Diluted</w:t>
            </w:r>
          </w:p>
        </w:tc>
        <w:tc>
          <w:tcPr>
            <w:tcW w:w="3100" w:type="dxa"/>
            <w:vAlign w:val="bottom"/>
          </w:tcPr>
          <w:p>
            <w:pPr>
              <w:ind w:left="240"/>
              <w:spacing w:after="0"/>
              <w:rPr>
                <w:sz w:val="20"/>
                <w:szCs w:val="20"/>
                <w:color w:val="auto"/>
              </w:rPr>
            </w:pPr>
            <w:r>
              <w:rPr>
                <w:rFonts w:ascii="Arial" w:cs="Arial" w:eastAsia="Arial" w:hAnsi="Arial"/>
                <w:sz w:val="16"/>
                <w:szCs w:val="16"/>
                <w:b w:val="1"/>
                <w:bCs w:val="1"/>
                <w:color w:val="auto"/>
              </w:rPr>
              <w:t>49% increase in Operating Cash</w:t>
            </w:r>
          </w:p>
        </w:tc>
      </w:tr>
      <w:tr>
        <w:trPr>
          <w:trHeight w:val="286"/>
        </w:trPr>
        <w:tc>
          <w:tcPr>
            <w:tcW w:w="2860" w:type="dxa"/>
            <w:vAlign w:val="bottom"/>
          </w:tcPr>
          <w:p>
            <w:pPr>
              <w:ind w:left="40"/>
              <w:spacing w:after="0"/>
              <w:rPr>
                <w:sz w:val="20"/>
                <w:szCs w:val="20"/>
                <w:color w:val="auto"/>
              </w:rPr>
            </w:pPr>
            <w:r>
              <w:rPr>
                <w:rFonts w:ascii="Arial" w:cs="Arial" w:eastAsia="Arial" w:hAnsi="Arial"/>
                <w:sz w:val="16"/>
                <w:szCs w:val="16"/>
                <w:color w:val="auto"/>
              </w:rPr>
              <w:t>from 2023</w:t>
            </w:r>
          </w:p>
        </w:tc>
        <w:tc>
          <w:tcPr>
            <w:tcW w:w="3020" w:type="dxa"/>
            <w:vAlign w:val="bottom"/>
          </w:tcPr>
          <w:p>
            <w:pPr>
              <w:ind w:left="220"/>
              <w:spacing w:after="0"/>
              <w:rPr>
                <w:sz w:val="20"/>
                <w:szCs w:val="20"/>
                <w:color w:val="auto"/>
              </w:rPr>
            </w:pPr>
            <w:r>
              <w:rPr>
                <w:rFonts w:ascii="Arial" w:cs="Arial" w:eastAsia="Arial" w:hAnsi="Arial"/>
                <w:sz w:val="16"/>
                <w:szCs w:val="16"/>
                <w:b w:val="1"/>
                <w:bCs w:val="1"/>
                <w:color w:val="auto"/>
              </w:rPr>
              <w:t>EPS</w:t>
            </w:r>
            <w:r>
              <w:rPr>
                <w:rFonts w:ascii="Arial" w:cs="Arial" w:eastAsia="Arial" w:hAnsi="Arial"/>
                <w:sz w:val="21"/>
                <w:szCs w:val="21"/>
                <w:b w:val="1"/>
                <w:bCs w:val="1"/>
                <w:color w:val="auto"/>
                <w:vertAlign w:val="superscript"/>
              </w:rPr>
              <w:t>5</w:t>
            </w:r>
            <w:r>
              <w:rPr>
                <w:rFonts w:ascii="Arial" w:cs="Arial" w:eastAsia="Arial" w:hAnsi="Arial"/>
                <w:sz w:val="16"/>
                <w:szCs w:val="16"/>
                <w:b w:val="1"/>
                <w:bCs w:val="1"/>
                <w:color w:val="auto"/>
              </w:rPr>
              <w:t xml:space="preserve"> </w:t>
            </w:r>
            <w:r>
              <w:rPr>
                <w:rFonts w:ascii="Arial" w:cs="Arial" w:eastAsia="Arial" w:hAnsi="Arial"/>
                <w:sz w:val="16"/>
                <w:szCs w:val="16"/>
                <w:color w:val="auto"/>
              </w:rPr>
              <w:t>from 2023</w:t>
            </w:r>
          </w:p>
        </w:tc>
        <w:tc>
          <w:tcPr>
            <w:tcW w:w="3100" w:type="dxa"/>
            <w:vAlign w:val="bottom"/>
          </w:tcPr>
          <w:p>
            <w:pPr>
              <w:ind w:left="240"/>
              <w:spacing w:after="0"/>
              <w:rPr>
                <w:sz w:val="20"/>
                <w:szCs w:val="20"/>
                <w:color w:val="auto"/>
              </w:rPr>
            </w:pPr>
            <w:r>
              <w:rPr>
                <w:rFonts w:ascii="Arial" w:cs="Arial" w:eastAsia="Arial" w:hAnsi="Arial"/>
                <w:sz w:val="16"/>
                <w:szCs w:val="16"/>
                <w:b w:val="1"/>
                <w:bCs w:val="1"/>
                <w:color w:val="auto"/>
              </w:rPr>
              <w:t xml:space="preserve">Inflows </w:t>
            </w:r>
            <w:r>
              <w:rPr>
                <w:rFonts w:ascii="Arial" w:cs="Arial" w:eastAsia="Arial" w:hAnsi="Arial"/>
                <w:sz w:val="16"/>
                <w:szCs w:val="16"/>
                <w:color w:val="auto"/>
              </w:rPr>
              <w:t>from 2023</w:t>
            </w:r>
          </w:p>
        </w:tc>
      </w:tr>
      <w:tr>
        <w:trPr>
          <w:trHeight w:val="845"/>
        </w:trPr>
        <w:tc>
          <w:tcPr>
            <w:tcW w:w="2860" w:type="dxa"/>
            <w:vAlign w:val="bottom"/>
          </w:tcPr>
          <w:p>
            <w:pPr>
              <w:ind w:left="40"/>
              <w:spacing w:after="0"/>
              <w:rPr>
                <w:sz w:val="20"/>
                <w:szCs w:val="20"/>
                <w:color w:val="auto"/>
              </w:rPr>
            </w:pPr>
            <w:r>
              <w:rPr>
                <w:rFonts w:ascii="Arial" w:cs="Arial" w:eastAsia="Arial" w:hAnsi="Arial"/>
                <w:sz w:val="32"/>
                <w:szCs w:val="32"/>
                <w:color w:val="6AAA37"/>
              </w:rPr>
              <w:t>$169M</w:t>
            </w:r>
          </w:p>
        </w:tc>
        <w:tc>
          <w:tcPr>
            <w:tcW w:w="3020" w:type="dxa"/>
            <w:vAlign w:val="bottom"/>
          </w:tcPr>
          <w:p>
            <w:pPr>
              <w:ind w:left="220"/>
              <w:spacing w:after="0"/>
              <w:rPr>
                <w:sz w:val="20"/>
                <w:szCs w:val="20"/>
                <w:color w:val="auto"/>
              </w:rPr>
            </w:pPr>
            <w:r>
              <w:rPr>
                <w:rFonts w:ascii="Arial" w:cs="Arial" w:eastAsia="Arial" w:hAnsi="Arial"/>
                <w:sz w:val="32"/>
                <w:szCs w:val="32"/>
                <w:color w:val="6AAA37"/>
              </w:rPr>
              <w:t>$122M</w:t>
            </w:r>
          </w:p>
        </w:tc>
        <w:tc>
          <w:tcPr>
            <w:tcW w:w="3100" w:type="dxa"/>
            <w:vAlign w:val="bottom"/>
          </w:tcPr>
          <w:p>
            <w:pPr>
              <w:ind w:left="240"/>
              <w:spacing w:after="0"/>
              <w:rPr>
                <w:sz w:val="20"/>
                <w:szCs w:val="20"/>
                <w:color w:val="auto"/>
              </w:rPr>
            </w:pPr>
            <w:r>
              <w:rPr>
                <w:rFonts w:ascii="Arial" w:cs="Arial" w:eastAsia="Arial" w:hAnsi="Arial"/>
                <w:sz w:val="32"/>
                <w:szCs w:val="32"/>
                <w:color w:val="6AAA37"/>
              </w:rPr>
              <w:t>21%</w:t>
            </w:r>
          </w:p>
        </w:tc>
      </w:tr>
      <w:tr>
        <w:trPr>
          <w:trHeight w:val="256"/>
        </w:trPr>
        <w:tc>
          <w:tcPr>
            <w:tcW w:w="2860" w:type="dxa"/>
            <w:vAlign w:val="bottom"/>
          </w:tcPr>
          <w:p>
            <w:pPr>
              <w:ind w:left="40"/>
              <w:spacing w:after="0"/>
              <w:rPr>
                <w:sz w:val="20"/>
                <w:szCs w:val="20"/>
                <w:color w:val="auto"/>
              </w:rPr>
            </w:pPr>
            <w:r>
              <w:rPr>
                <w:rFonts w:ascii="Arial" w:cs="Arial" w:eastAsia="Arial" w:hAnsi="Arial"/>
                <w:sz w:val="16"/>
                <w:szCs w:val="16"/>
                <w:b w:val="1"/>
                <w:bCs w:val="1"/>
                <w:color w:val="auto"/>
              </w:rPr>
              <w:t>69% increase in Free Cash Flow</w:t>
            </w:r>
            <w:r>
              <w:rPr>
                <w:rFonts w:ascii="Arial" w:cs="Arial" w:eastAsia="Arial" w:hAnsi="Arial"/>
                <w:sz w:val="21"/>
                <w:szCs w:val="21"/>
                <w:b w:val="1"/>
                <w:bCs w:val="1"/>
                <w:color w:val="auto"/>
                <w:vertAlign w:val="superscript"/>
              </w:rPr>
              <w:t>5</w:t>
            </w:r>
          </w:p>
        </w:tc>
        <w:tc>
          <w:tcPr>
            <w:tcW w:w="3020" w:type="dxa"/>
            <w:vAlign w:val="bottom"/>
          </w:tcPr>
          <w:p>
            <w:pPr>
              <w:ind w:left="220"/>
              <w:spacing w:after="0"/>
              <w:rPr>
                <w:sz w:val="20"/>
                <w:szCs w:val="20"/>
                <w:color w:val="auto"/>
              </w:rPr>
            </w:pPr>
            <w:r>
              <w:rPr>
                <w:rFonts w:ascii="Arial" w:cs="Arial" w:eastAsia="Arial" w:hAnsi="Arial"/>
                <w:sz w:val="16"/>
                <w:szCs w:val="16"/>
                <w:b w:val="1"/>
                <w:bCs w:val="1"/>
                <w:color w:val="auto"/>
              </w:rPr>
              <w:t>Returned $122 million to</w:t>
            </w:r>
          </w:p>
        </w:tc>
        <w:tc>
          <w:tcPr>
            <w:tcW w:w="3100" w:type="dxa"/>
            <w:vAlign w:val="bottom"/>
          </w:tcPr>
          <w:p>
            <w:pPr>
              <w:ind w:left="240"/>
              <w:spacing w:after="0"/>
              <w:rPr>
                <w:sz w:val="20"/>
                <w:szCs w:val="20"/>
                <w:color w:val="auto"/>
              </w:rPr>
            </w:pPr>
            <w:r>
              <w:rPr>
                <w:rFonts w:ascii="Arial" w:cs="Arial" w:eastAsia="Arial" w:hAnsi="Arial"/>
                <w:sz w:val="16"/>
                <w:szCs w:val="16"/>
                <w:b w:val="1"/>
                <w:bCs w:val="1"/>
                <w:color w:val="auto"/>
              </w:rPr>
              <w:t>2024 Total Shareholder Return</w:t>
            </w:r>
          </w:p>
        </w:tc>
      </w:tr>
      <w:tr>
        <w:trPr>
          <w:trHeight w:val="189"/>
        </w:trPr>
        <w:tc>
          <w:tcPr>
            <w:tcW w:w="2860" w:type="dxa"/>
            <w:vAlign w:val="bottom"/>
          </w:tcPr>
          <w:p>
            <w:pPr>
              <w:ind w:left="40"/>
              <w:spacing w:after="0"/>
              <w:rPr>
                <w:sz w:val="20"/>
                <w:szCs w:val="20"/>
                <w:color w:val="auto"/>
              </w:rPr>
            </w:pPr>
            <w:r>
              <w:rPr>
                <w:rFonts w:ascii="Arial" w:cs="Arial" w:eastAsia="Arial" w:hAnsi="Arial"/>
                <w:sz w:val="16"/>
                <w:szCs w:val="16"/>
                <w:color w:val="auto"/>
              </w:rPr>
              <w:t>from 2023</w:t>
            </w:r>
          </w:p>
        </w:tc>
        <w:tc>
          <w:tcPr>
            <w:tcW w:w="3020" w:type="dxa"/>
            <w:vAlign w:val="bottom"/>
          </w:tcPr>
          <w:p>
            <w:pPr>
              <w:ind w:left="220"/>
              <w:spacing w:after="0"/>
              <w:rPr>
                <w:sz w:val="20"/>
                <w:szCs w:val="20"/>
                <w:color w:val="auto"/>
              </w:rPr>
            </w:pPr>
            <w:r>
              <w:rPr>
                <w:rFonts w:ascii="Arial" w:cs="Arial" w:eastAsia="Arial" w:hAnsi="Arial"/>
                <w:sz w:val="16"/>
                <w:szCs w:val="16"/>
                <w:b w:val="1"/>
                <w:bCs w:val="1"/>
                <w:color w:val="auto"/>
              </w:rPr>
              <w:t xml:space="preserve">stockholders </w:t>
            </w:r>
            <w:r>
              <w:rPr>
                <w:rFonts w:ascii="Arial" w:cs="Arial" w:eastAsia="Arial" w:hAnsi="Arial"/>
                <w:sz w:val="16"/>
                <w:szCs w:val="16"/>
                <w:color w:val="auto"/>
              </w:rPr>
              <w:t>through share</w:t>
            </w:r>
          </w:p>
        </w:tc>
        <w:tc>
          <w:tcPr>
            <w:tcW w:w="3100" w:type="dxa"/>
            <w:vAlign w:val="bottom"/>
          </w:tcPr>
          <w:p>
            <w:pPr>
              <w:spacing w:after="0"/>
              <w:rPr>
                <w:sz w:val="16"/>
                <w:szCs w:val="16"/>
                <w:color w:val="auto"/>
              </w:rPr>
            </w:pPr>
          </w:p>
        </w:tc>
      </w:tr>
      <w:tr>
        <w:trPr>
          <w:trHeight w:val="215"/>
        </w:trPr>
        <w:tc>
          <w:tcPr>
            <w:tcW w:w="2860" w:type="dxa"/>
            <w:vAlign w:val="bottom"/>
          </w:tcPr>
          <w:p>
            <w:pPr>
              <w:spacing w:after="0"/>
              <w:rPr>
                <w:sz w:val="18"/>
                <w:szCs w:val="18"/>
                <w:color w:val="auto"/>
              </w:rPr>
            </w:pPr>
          </w:p>
        </w:tc>
        <w:tc>
          <w:tcPr>
            <w:tcW w:w="3020" w:type="dxa"/>
            <w:vAlign w:val="bottom"/>
          </w:tcPr>
          <w:p>
            <w:pPr>
              <w:ind w:left="220"/>
              <w:spacing w:after="0"/>
              <w:rPr>
                <w:sz w:val="20"/>
                <w:szCs w:val="20"/>
                <w:color w:val="auto"/>
              </w:rPr>
            </w:pPr>
            <w:r>
              <w:rPr>
                <w:rFonts w:ascii="Arial" w:cs="Arial" w:eastAsia="Arial" w:hAnsi="Arial"/>
                <w:sz w:val="16"/>
                <w:szCs w:val="16"/>
                <w:color w:val="auto"/>
              </w:rPr>
              <w:t>repurchases</w:t>
            </w:r>
          </w:p>
        </w:tc>
        <w:tc>
          <w:tcPr>
            <w:tcW w:w="3100" w:type="dxa"/>
            <w:vAlign w:val="bottom"/>
          </w:tcPr>
          <w:p>
            <w:pPr>
              <w:spacing w:after="0"/>
              <w:rPr>
                <w:sz w:val="18"/>
                <w:szCs w:val="18"/>
                <w:color w:val="auto"/>
              </w:rPr>
            </w:pPr>
          </w:p>
        </w:tc>
      </w:tr>
    </w:tbl>
    <w:p>
      <w:pPr>
        <w:spacing w:after="0" w:line="298" w:lineRule="exact"/>
        <w:rPr>
          <w:sz w:val="20"/>
          <w:szCs w:val="20"/>
          <w:color w:val="auto"/>
        </w:rPr>
      </w:pPr>
    </w:p>
    <w:p>
      <w:pPr>
        <w:ind w:right="280"/>
        <w:spacing w:after="0" w:line="321" w:lineRule="auto"/>
        <w:rPr>
          <w:sz w:val="20"/>
          <w:szCs w:val="20"/>
          <w:color w:val="auto"/>
        </w:rPr>
      </w:pPr>
      <w:r>
        <w:rPr>
          <w:rFonts w:ascii="Arial" w:cs="Arial" w:eastAsia="Arial" w:hAnsi="Arial"/>
          <w:sz w:val="16"/>
          <w:szCs w:val="16"/>
          <w:color w:val="auto"/>
        </w:rPr>
        <w:t>In addition to record revenues and improved profitability, we further invested in our people, our clients and our communities highlighted by the following achievements.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418"/>
        </w:trPr>
        <w:tc>
          <w:tcPr>
            <w:tcW w:w="100" w:type="dxa"/>
            <w:vAlign w:val="bottom"/>
            <w:shd w:val="clear" w:color="auto" w:fill="F2F3F2"/>
          </w:tcPr>
          <w:p>
            <w:pPr>
              <w:spacing w:after="0"/>
              <w:rPr>
                <w:sz w:val="24"/>
                <w:szCs w:val="24"/>
                <w:color w:val="auto"/>
              </w:rPr>
            </w:pPr>
          </w:p>
        </w:tc>
        <w:tc>
          <w:tcPr>
            <w:tcW w:w="2860" w:type="dxa"/>
            <w:vAlign w:val="bottom"/>
            <w:shd w:val="clear" w:color="auto" w:fill="F2F3F2"/>
          </w:tcPr>
          <w:p>
            <w:pPr>
              <w:jc w:val="center"/>
              <w:ind w:right="149"/>
              <w:spacing w:after="0"/>
              <w:rPr>
                <w:sz w:val="20"/>
                <w:szCs w:val="20"/>
                <w:color w:val="auto"/>
              </w:rPr>
            </w:pPr>
            <w:r>
              <w:rPr>
                <w:rFonts w:ascii="Arial" w:cs="Arial" w:eastAsia="Arial" w:hAnsi="Arial"/>
                <w:sz w:val="25"/>
                <w:szCs w:val="25"/>
                <w:color w:val="6AAA37"/>
              </w:rPr>
              <w:t>2024 Best Firms to</w:t>
            </w:r>
          </w:p>
        </w:tc>
        <w:tc>
          <w:tcPr>
            <w:tcW w:w="100" w:type="dxa"/>
            <w:vAlign w:val="bottom"/>
            <w:tcBorders>
              <w:right w:val="single" w:sz="8" w:color="B2B3B6"/>
            </w:tcBorders>
            <w:shd w:val="clear" w:color="auto" w:fill="F2F3F2"/>
          </w:tcPr>
          <w:p>
            <w:pPr>
              <w:spacing w:after="0"/>
              <w:rPr>
                <w:sz w:val="24"/>
                <w:szCs w:val="24"/>
                <w:color w:val="auto"/>
              </w:rPr>
            </w:pPr>
          </w:p>
        </w:tc>
        <w:tc>
          <w:tcPr>
            <w:tcW w:w="80" w:type="dxa"/>
            <w:vAlign w:val="bottom"/>
            <w:shd w:val="clear" w:color="auto" w:fill="F2F3F2"/>
          </w:tcPr>
          <w:p>
            <w:pPr>
              <w:spacing w:after="0"/>
              <w:rPr>
                <w:sz w:val="24"/>
                <w:szCs w:val="24"/>
                <w:color w:val="auto"/>
              </w:rPr>
            </w:pPr>
          </w:p>
        </w:tc>
        <w:tc>
          <w:tcPr>
            <w:tcW w:w="2840" w:type="dxa"/>
            <w:vAlign w:val="bottom"/>
            <w:vMerge w:val="restart"/>
            <w:shd w:val="clear" w:color="auto" w:fill="F2F3F2"/>
          </w:tcPr>
          <w:p>
            <w:pPr>
              <w:jc w:val="center"/>
              <w:ind w:right="86"/>
              <w:spacing w:after="0"/>
              <w:rPr>
                <w:sz w:val="20"/>
                <w:szCs w:val="20"/>
                <w:color w:val="auto"/>
              </w:rPr>
            </w:pPr>
            <w:r>
              <w:rPr>
                <w:rFonts w:ascii="Arial" w:cs="Arial" w:eastAsia="Arial" w:hAnsi="Arial"/>
                <w:sz w:val="25"/>
                <w:szCs w:val="25"/>
                <w:color w:val="6AAA37"/>
              </w:rPr>
              <w:t>2025 Best Places to</w:t>
            </w:r>
          </w:p>
        </w:tc>
        <w:tc>
          <w:tcPr>
            <w:tcW w:w="100" w:type="dxa"/>
            <w:vAlign w:val="bottom"/>
            <w:tcBorders>
              <w:right w:val="single" w:sz="8" w:color="B2B3B6"/>
            </w:tcBorders>
            <w:shd w:val="clear" w:color="auto" w:fill="F2F3F2"/>
          </w:tcPr>
          <w:p>
            <w:pPr>
              <w:spacing w:after="0"/>
              <w:rPr>
                <w:sz w:val="24"/>
                <w:szCs w:val="24"/>
                <w:color w:val="auto"/>
              </w:rPr>
            </w:pPr>
          </w:p>
        </w:tc>
        <w:tc>
          <w:tcPr>
            <w:tcW w:w="80" w:type="dxa"/>
            <w:vAlign w:val="bottom"/>
            <w:shd w:val="clear" w:color="auto" w:fill="F2F3F2"/>
          </w:tcPr>
          <w:p>
            <w:pPr>
              <w:spacing w:after="0"/>
              <w:rPr>
                <w:sz w:val="24"/>
                <w:szCs w:val="24"/>
                <w:color w:val="auto"/>
              </w:rPr>
            </w:pPr>
          </w:p>
        </w:tc>
        <w:tc>
          <w:tcPr>
            <w:tcW w:w="2920" w:type="dxa"/>
            <w:vAlign w:val="bottom"/>
            <w:gridSpan w:val="2"/>
            <w:shd w:val="clear" w:color="auto" w:fill="F2F3F2"/>
          </w:tcPr>
          <w:p>
            <w:pPr>
              <w:jc w:val="center"/>
              <w:ind w:right="280"/>
              <w:spacing w:after="0"/>
              <w:rPr>
                <w:sz w:val="20"/>
                <w:szCs w:val="20"/>
                <w:color w:val="auto"/>
              </w:rPr>
            </w:pPr>
            <w:r>
              <w:rPr>
                <w:rFonts w:ascii="Arial" w:cs="Arial" w:eastAsia="Arial" w:hAnsi="Arial"/>
                <w:sz w:val="25"/>
                <w:szCs w:val="25"/>
                <w:color w:val="6AAA37"/>
              </w:rPr>
              <w:t>America’s Best</w:t>
            </w:r>
          </w:p>
        </w:tc>
        <w:tc>
          <w:tcPr>
            <w:tcW w:w="0" w:type="dxa"/>
            <w:vAlign w:val="bottom"/>
          </w:tcPr>
          <w:p>
            <w:pPr>
              <w:spacing w:after="0"/>
              <w:rPr>
                <w:sz w:val="1"/>
                <w:szCs w:val="1"/>
                <w:color w:val="auto"/>
              </w:rPr>
            </w:pPr>
          </w:p>
        </w:tc>
      </w:tr>
      <w:tr>
        <w:trPr>
          <w:trHeight w:val="140"/>
        </w:trPr>
        <w:tc>
          <w:tcPr>
            <w:tcW w:w="100" w:type="dxa"/>
            <w:vAlign w:val="bottom"/>
            <w:shd w:val="clear" w:color="auto" w:fill="F2F3F2"/>
          </w:tcPr>
          <w:p>
            <w:pPr>
              <w:spacing w:after="0"/>
              <w:rPr>
                <w:sz w:val="12"/>
                <w:szCs w:val="12"/>
                <w:color w:val="auto"/>
              </w:rPr>
            </w:pPr>
          </w:p>
        </w:tc>
        <w:tc>
          <w:tcPr>
            <w:tcW w:w="2860" w:type="dxa"/>
            <w:vAlign w:val="bottom"/>
            <w:vMerge w:val="restart"/>
            <w:shd w:val="clear" w:color="auto" w:fill="F2F3F2"/>
          </w:tcPr>
          <w:p>
            <w:pPr>
              <w:jc w:val="center"/>
              <w:ind w:right="29"/>
              <w:spacing w:after="0"/>
              <w:rPr>
                <w:sz w:val="20"/>
                <w:szCs w:val="20"/>
                <w:color w:val="auto"/>
              </w:rPr>
            </w:pPr>
            <w:r>
              <w:rPr>
                <w:rFonts w:ascii="Arial" w:cs="Arial" w:eastAsia="Arial" w:hAnsi="Arial"/>
                <w:sz w:val="25"/>
                <w:szCs w:val="25"/>
                <w:color w:val="6AAA37"/>
              </w:rPr>
              <w:t>Work For</w:t>
            </w:r>
          </w:p>
        </w:tc>
        <w:tc>
          <w:tcPr>
            <w:tcW w:w="100" w:type="dxa"/>
            <w:vAlign w:val="bottom"/>
            <w:tcBorders>
              <w:right w:val="single" w:sz="8" w:color="B2B3B6"/>
            </w:tcBorders>
            <w:shd w:val="clear" w:color="auto" w:fill="F2F3F2"/>
          </w:tcPr>
          <w:p>
            <w:pPr>
              <w:spacing w:after="0"/>
              <w:rPr>
                <w:sz w:val="12"/>
                <w:szCs w:val="12"/>
                <w:color w:val="auto"/>
              </w:rPr>
            </w:pPr>
          </w:p>
        </w:tc>
        <w:tc>
          <w:tcPr>
            <w:tcW w:w="80" w:type="dxa"/>
            <w:vAlign w:val="bottom"/>
            <w:shd w:val="clear" w:color="auto" w:fill="F2F3F2"/>
          </w:tcPr>
          <w:p>
            <w:pPr>
              <w:spacing w:after="0"/>
              <w:rPr>
                <w:sz w:val="12"/>
                <w:szCs w:val="12"/>
                <w:color w:val="auto"/>
              </w:rPr>
            </w:pPr>
          </w:p>
        </w:tc>
        <w:tc>
          <w:tcPr>
            <w:tcW w:w="2840" w:type="dxa"/>
            <w:vAlign w:val="bottom"/>
            <w:vMerge w:val="continue"/>
            <w:shd w:val="clear" w:color="auto" w:fill="F2F3F2"/>
          </w:tcPr>
          <w:p>
            <w:pPr>
              <w:spacing w:after="0"/>
              <w:rPr>
                <w:sz w:val="12"/>
                <w:szCs w:val="12"/>
                <w:color w:val="auto"/>
              </w:rPr>
            </w:pPr>
          </w:p>
        </w:tc>
        <w:tc>
          <w:tcPr>
            <w:tcW w:w="100" w:type="dxa"/>
            <w:vAlign w:val="bottom"/>
            <w:tcBorders>
              <w:right w:val="single" w:sz="8" w:color="B2B3B6"/>
            </w:tcBorders>
            <w:shd w:val="clear" w:color="auto" w:fill="F2F3F2"/>
          </w:tcPr>
          <w:p>
            <w:pPr>
              <w:spacing w:after="0"/>
              <w:rPr>
                <w:sz w:val="12"/>
                <w:szCs w:val="12"/>
                <w:color w:val="auto"/>
              </w:rPr>
            </w:pPr>
          </w:p>
        </w:tc>
        <w:tc>
          <w:tcPr>
            <w:tcW w:w="80" w:type="dxa"/>
            <w:vAlign w:val="bottom"/>
            <w:shd w:val="clear" w:color="auto" w:fill="F2F3F2"/>
          </w:tcPr>
          <w:p>
            <w:pPr>
              <w:spacing w:after="0"/>
              <w:rPr>
                <w:sz w:val="12"/>
                <w:szCs w:val="12"/>
                <w:color w:val="auto"/>
              </w:rPr>
            </w:pPr>
          </w:p>
        </w:tc>
        <w:tc>
          <w:tcPr>
            <w:tcW w:w="2920" w:type="dxa"/>
            <w:vAlign w:val="bottom"/>
            <w:gridSpan w:val="2"/>
            <w:vMerge w:val="restart"/>
            <w:shd w:val="clear" w:color="auto" w:fill="F2F3F2"/>
          </w:tcPr>
          <w:p>
            <w:pPr>
              <w:jc w:val="center"/>
              <w:ind w:right="360"/>
              <w:spacing w:after="0"/>
              <w:rPr>
                <w:sz w:val="20"/>
                <w:szCs w:val="20"/>
                <w:color w:val="auto"/>
              </w:rPr>
            </w:pPr>
            <w:r>
              <w:rPr>
                <w:rFonts w:ascii="Arial" w:cs="Arial" w:eastAsia="Arial" w:hAnsi="Arial"/>
                <w:sz w:val="25"/>
                <w:szCs w:val="25"/>
                <w:color w:val="6AAA37"/>
              </w:rPr>
              <w:t>Companies - Mid-size</w:t>
            </w:r>
          </w:p>
        </w:tc>
        <w:tc>
          <w:tcPr>
            <w:tcW w:w="0" w:type="dxa"/>
            <w:vAlign w:val="bottom"/>
          </w:tcPr>
          <w:p>
            <w:pPr>
              <w:spacing w:after="0"/>
              <w:rPr>
                <w:sz w:val="1"/>
                <w:szCs w:val="1"/>
                <w:color w:val="auto"/>
              </w:rPr>
            </w:pPr>
          </w:p>
        </w:tc>
      </w:tr>
      <w:tr>
        <w:trPr>
          <w:trHeight w:val="162"/>
        </w:trPr>
        <w:tc>
          <w:tcPr>
            <w:tcW w:w="100" w:type="dxa"/>
            <w:vAlign w:val="bottom"/>
            <w:shd w:val="clear" w:color="auto" w:fill="F2F3F2"/>
          </w:tcPr>
          <w:p>
            <w:pPr>
              <w:spacing w:after="0"/>
              <w:rPr>
                <w:sz w:val="14"/>
                <w:szCs w:val="14"/>
                <w:color w:val="auto"/>
              </w:rPr>
            </w:pPr>
          </w:p>
        </w:tc>
        <w:tc>
          <w:tcPr>
            <w:tcW w:w="2860" w:type="dxa"/>
            <w:vAlign w:val="bottom"/>
            <w:vMerge w:val="continue"/>
            <w:shd w:val="clear" w:color="auto" w:fill="F2F3F2"/>
          </w:tcPr>
          <w:p>
            <w:pPr>
              <w:spacing w:after="0"/>
              <w:rPr>
                <w:sz w:val="14"/>
                <w:szCs w:val="14"/>
                <w:color w:val="auto"/>
              </w:rPr>
            </w:pPr>
          </w:p>
        </w:tc>
        <w:tc>
          <w:tcPr>
            <w:tcW w:w="100" w:type="dxa"/>
            <w:vAlign w:val="bottom"/>
            <w:tcBorders>
              <w:right w:val="single" w:sz="8" w:color="B2B3B6"/>
            </w:tcBorders>
            <w:shd w:val="clear" w:color="auto" w:fill="F2F3F2"/>
          </w:tcPr>
          <w:p>
            <w:pPr>
              <w:spacing w:after="0"/>
              <w:rPr>
                <w:sz w:val="14"/>
                <w:szCs w:val="14"/>
                <w:color w:val="auto"/>
              </w:rPr>
            </w:pPr>
          </w:p>
        </w:tc>
        <w:tc>
          <w:tcPr>
            <w:tcW w:w="80" w:type="dxa"/>
            <w:vAlign w:val="bottom"/>
            <w:shd w:val="clear" w:color="auto" w:fill="F2F3F2"/>
          </w:tcPr>
          <w:p>
            <w:pPr>
              <w:spacing w:after="0"/>
              <w:rPr>
                <w:sz w:val="14"/>
                <w:szCs w:val="14"/>
                <w:color w:val="auto"/>
              </w:rPr>
            </w:pPr>
          </w:p>
        </w:tc>
        <w:tc>
          <w:tcPr>
            <w:tcW w:w="2840" w:type="dxa"/>
            <w:vAlign w:val="bottom"/>
            <w:vMerge w:val="restart"/>
            <w:shd w:val="clear" w:color="auto" w:fill="F2F3F2"/>
          </w:tcPr>
          <w:p>
            <w:pPr>
              <w:jc w:val="center"/>
              <w:spacing w:after="0"/>
              <w:rPr>
                <w:sz w:val="20"/>
                <w:szCs w:val="20"/>
                <w:color w:val="auto"/>
              </w:rPr>
            </w:pPr>
            <w:r>
              <w:rPr>
                <w:rFonts w:ascii="Arial" w:cs="Arial" w:eastAsia="Arial" w:hAnsi="Arial"/>
                <w:sz w:val="25"/>
                <w:szCs w:val="25"/>
                <w:color w:val="6AAA37"/>
                <w:w w:val="99"/>
              </w:rPr>
              <w:t>Work</w:t>
            </w:r>
          </w:p>
        </w:tc>
        <w:tc>
          <w:tcPr>
            <w:tcW w:w="100" w:type="dxa"/>
            <w:vAlign w:val="bottom"/>
            <w:tcBorders>
              <w:right w:val="single" w:sz="8" w:color="B2B3B6"/>
            </w:tcBorders>
            <w:shd w:val="clear" w:color="auto" w:fill="F2F3F2"/>
          </w:tcPr>
          <w:p>
            <w:pPr>
              <w:spacing w:after="0"/>
              <w:rPr>
                <w:sz w:val="14"/>
                <w:szCs w:val="14"/>
                <w:color w:val="auto"/>
              </w:rPr>
            </w:pPr>
          </w:p>
        </w:tc>
        <w:tc>
          <w:tcPr>
            <w:tcW w:w="80" w:type="dxa"/>
            <w:vAlign w:val="bottom"/>
            <w:shd w:val="clear" w:color="auto" w:fill="F2F3F2"/>
          </w:tcPr>
          <w:p>
            <w:pPr>
              <w:spacing w:after="0"/>
              <w:rPr>
                <w:sz w:val="14"/>
                <w:szCs w:val="14"/>
                <w:color w:val="auto"/>
              </w:rPr>
            </w:pPr>
          </w:p>
        </w:tc>
        <w:tc>
          <w:tcPr>
            <w:tcW w:w="2920" w:type="dxa"/>
            <w:vAlign w:val="bottom"/>
            <w:gridSpan w:val="2"/>
            <w:vMerge w:val="continue"/>
            <w:shd w:val="clear" w:color="auto" w:fill="F2F3F2"/>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00" w:type="dxa"/>
            <w:vAlign w:val="bottom"/>
            <w:shd w:val="clear" w:color="auto" w:fill="F2F3F2"/>
          </w:tcPr>
          <w:p>
            <w:pPr>
              <w:spacing w:after="0"/>
              <w:rPr>
                <w:sz w:val="14"/>
                <w:szCs w:val="14"/>
                <w:color w:val="auto"/>
              </w:rPr>
            </w:pPr>
          </w:p>
        </w:tc>
        <w:tc>
          <w:tcPr>
            <w:tcW w:w="2860" w:type="dxa"/>
            <w:vAlign w:val="bottom"/>
            <w:vMerge w:val="restart"/>
            <w:shd w:val="clear" w:color="auto" w:fill="F2F3F2"/>
          </w:tcPr>
          <w:p>
            <w:pPr>
              <w:jc w:val="center"/>
              <w:spacing w:after="0"/>
              <w:rPr>
                <w:sz w:val="20"/>
                <w:szCs w:val="20"/>
                <w:color w:val="auto"/>
              </w:rPr>
            </w:pPr>
            <w:r>
              <w:rPr>
                <w:rFonts w:ascii="Arial" w:cs="Arial" w:eastAsia="Arial" w:hAnsi="Arial"/>
                <w:sz w:val="16"/>
                <w:szCs w:val="16"/>
                <w:color w:val="auto"/>
              </w:rPr>
              <w:t>14 consecutive years</w:t>
            </w:r>
          </w:p>
        </w:tc>
        <w:tc>
          <w:tcPr>
            <w:tcW w:w="100" w:type="dxa"/>
            <w:vAlign w:val="bottom"/>
            <w:tcBorders>
              <w:right w:val="single" w:sz="8" w:color="B2B3B6"/>
            </w:tcBorders>
            <w:shd w:val="clear" w:color="auto" w:fill="F2F3F2"/>
          </w:tcPr>
          <w:p>
            <w:pPr>
              <w:spacing w:after="0"/>
              <w:rPr>
                <w:sz w:val="14"/>
                <w:szCs w:val="14"/>
                <w:color w:val="auto"/>
              </w:rPr>
            </w:pPr>
          </w:p>
        </w:tc>
        <w:tc>
          <w:tcPr>
            <w:tcW w:w="80" w:type="dxa"/>
            <w:vAlign w:val="bottom"/>
            <w:shd w:val="clear" w:color="auto" w:fill="F2F3F2"/>
          </w:tcPr>
          <w:p>
            <w:pPr>
              <w:spacing w:after="0"/>
              <w:rPr>
                <w:sz w:val="14"/>
                <w:szCs w:val="14"/>
                <w:color w:val="auto"/>
              </w:rPr>
            </w:pPr>
          </w:p>
        </w:tc>
        <w:tc>
          <w:tcPr>
            <w:tcW w:w="2840" w:type="dxa"/>
            <w:vAlign w:val="bottom"/>
            <w:vMerge w:val="continue"/>
            <w:shd w:val="clear" w:color="auto" w:fill="F2F3F2"/>
          </w:tcPr>
          <w:p>
            <w:pPr>
              <w:spacing w:after="0"/>
              <w:rPr>
                <w:sz w:val="14"/>
                <w:szCs w:val="14"/>
                <w:color w:val="auto"/>
              </w:rPr>
            </w:pPr>
          </w:p>
        </w:tc>
        <w:tc>
          <w:tcPr>
            <w:tcW w:w="100" w:type="dxa"/>
            <w:vAlign w:val="bottom"/>
            <w:tcBorders>
              <w:right w:val="single" w:sz="8" w:color="B2B3B6"/>
            </w:tcBorders>
            <w:shd w:val="clear" w:color="auto" w:fill="F2F3F2"/>
          </w:tcPr>
          <w:p>
            <w:pPr>
              <w:spacing w:after="0"/>
              <w:rPr>
                <w:sz w:val="14"/>
                <w:szCs w:val="14"/>
                <w:color w:val="auto"/>
              </w:rPr>
            </w:pPr>
          </w:p>
        </w:tc>
        <w:tc>
          <w:tcPr>
            <w:tcW w:w="2900" w:type="dxa"/>
            <w:vAlign w:val="bottom"/>
            <w:gridSpan w:val="2"/>
            <w:vMerge w:val="restart"/>
            <w:shd w:val="clear" w:color="auto" w:fill="F2F3F2"/>
          </w:tcPr>
          <w:p>
            <w:pPr>
              <w:jc w:val="center"/>
              <w:spacing w:after="0"/>
              <w:rPr>
                <w:sz w:val="20"/>
                <w:szCs w:val="20"/>
                <w:color w:val="auto"/>
              </w:rPr>
            </w:pPr>
            <w:r>
              <w:rPr>
                <w:rFonts w:ascii="Arial" w:cs="Arial" w:eastAsia="Arial" w:hAnsi="Arial"/>
                <w:sz w:val="25"/>
                <w:szCs w:val="25"/>
                <w:color w:val="6AAA37"/>
              </w:rPr>
              <w:t>2024</w:t>
            </w:r>
          </w:p>
        </w:tc>
        <w:tc>
          <w:tcPr>
            <w:tcW w:w="100" w:type="dxa"/>
            <w:vAlign w:val="bottom"/>
            <w:shd w:val="clear" w:color="auto" w:fill="F2F3F2"/>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 w:type="dxa"/>
            <w:vAlign w:val="bottom"/>
            <w:shd w:val="clear" w:color="auto" w:fill="F2F3F2"/>
          </w:tcPr>
          <w:p>
            <w:pPr>
              <w:spacing w:after="0"/>
              <w:rPr>
                <w:sz w:val="14"/>
                <w:szCs w:val="14"/>
                <w:color w:val="auto"/>
              </w:rPr>
            </w:pPr>
          </w:p>
        </w:tc>
        <w:tc>
          <w:tcPr>
            <w:tcW w:w="2860" w:type="dxa"/>
            <w:vAlign w:val="bottom"/>
            <w:vMerge w:val="continue"/>
            <w:shd w:val="clear" w:color="auto" w:fill="F2F3F2"/>
          </w:tcPr>
          <w:p>
            <w:pPr>
              <w:spacing w:after="0"/>
              <w:rPr>
                <w:sz w:val="14"/>
                <w:szCs w:val="14"/>
                <w:color w:val="auto"/>
              </w:rPr>
            </w:pPr>
          </w:p>
        </w:tc>
        <w:tc>
          <w:tcPr>
            <w:tcW w:w="100" w:type="dxa"/>
            <w:vAlign w:val="bottom"/>
            <w:tcBorders>
              <w:right w:val="single" w:sz="8" w:color="B2B3B6"/>
            </w:tcBorders>
            <w:shd w:val="clear" w:color="auto" w:fill="F2F3F2"/>
          </w:tcPr>
          <w:p>
            <w:pPr>
              <w:spacing w:after="0"/>
              <w:rPr>
                <w:sz w:val="14"/>
                <w:szCs w:val="14"/>
                <w:color w:val="auto"/>
              </w:rPr>
            </w:pPr>
          </w:p>
        </w:tc>
        <w:tc>
          <w:tcPr>
            <w:tcW w:w="80" w:type="dxa"/>
            <w:vAlign w:val="bottom"/>
            <w:shd w:val="clear" w:color="auto" w:fill="F2F3F2"/>
          </w:tcPr>
          <w:p>
            <w:pPr>
              <w:spacing w:after="0"/>
              <w:rPr>
                <w:sz w:val="14"/>
                <w:szCs w:val="14"/>
                <w:color w:val="auto"/>
              </w:rPr>
            </w:pPr>
          </w:p>
        </w:tc>
        <w:tc>
          <w:tcPr>
            <w:tcW w:w="2840" w:type="dxa"/>
            <w:vAlign w:val="bottom"/>
            <w:shd w:val="clear" w:color="auto" w:fill="F2F3F2"/>
          </w:tcPr>
          <w:p>
            <w:pPr>
              <w:spacing w:after="0"/>
              <w:rPr>
                <w:sz w:val="14"/>
                <w:szCs w:val="14"/>
                <w:color w:val="auto"/>
              </w:rPr>
            </w:pPr>
          </w:p>
        </w:tc>
        <w:tc>
          <w:tcPr>
            <w:tcW w:w="100" w:type="dxa"/>
            <w:vAlign w:val="bottom"/>
            <w:tcBorders>
              <w:right w:val="single" w:sz="8" w:color="B2B3B6"/>
            </w:tcBorders>
            <w:shd w:val="clear" w:color="auto" w:fill="F2F3F2"/>
          </w:tcPr>
          <w:p>
            <w:pPr>
              <w:spacing w:after="0"/>
              <w:rPr>
                <w:sz w:val="14"/>
                <w:szCs w:val="14"/>
                <w:color w:val="auto"/>
              </w:rPr>
            </w:pPr>
          </w:p>
        </w:tc>
        <w:tc>
          <w:tcPr>
            <w:tcW w:w="2900" w:type="dxa"/>
            <w:vAlign w:val="bottom"/>
            <w:gridSpan w:val="2"/>
            <w:vMerge w:val="continue"/>
            <w:shd w:val="clear" w:color="auto" w:fill="F2F3F2"/>
          </w:tcPr>
          <w:p>
            <w:pPr>
              <w:spacing w:after="0"/>
              <w:rPr>
                <w:sz w:val="14"/>
                <w:szCs w:val="14"/>
                <w:color w:val="auto"/>
              </w:rPr>
            </w:pPr>
          </w:p>
        </w:tc>
        <w:tc>
          <w:tcPr>
            <w:tcW w:w="100" w:type="dxa"/>
            <w:vAlign w:val="bottom"/>
            <w:shd w:val="clear" w:color="auto" w:fill="F2F3F2"/>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100" w:type="dxa"/>
            <w:vAlign w:val="bottom"/>
            <w:shd w:val="clear" w:color="auto" w:fill="F2F3F2"/>
          </w:tcPr>
          <w:p>
            <w:pPr>
              <w:spacing w:after="0"/>
              <w:rPr>
                <w:sz w:val="7"/>
                <w:szCs w:val="7"/>
                <w:color w:val="auto"/>
              </w:rPr>
            </w:pPr>
          </w:p>
        </w:tc>
        <w:tc>
          <w:tcPr>
            <w:tcW w:w="2860" w:type="dxa"/>
            <w:vAlign w:val="bottom"/>
            <w:shd w:val="clear" w:color="auto" w:fill="F2F3F2"/>
          </w:tcPr>
          <w:p>
            <w:pPr>
              <w:spacing w:after="0"/>
              <w:rPr>
                <w:sz w:val="7"/>
                <w:szCs w:val="7"/>
                <w:color w:val="auto"/>
              </w:rPr>
            </w:pPr>
          </w:p>
        </w:tc>
        <w:tc>
          <w:tcPr>
            <w:tcW w:w="100" w:type="dxa"/>
            <w:vAlign w:val="bottom"/>
            <w:tcBorders>
              <w:right w:val="single" w:sz="8" w:color="B2B3B6"/>
            </w:tcBorders>
            <w:shd w:val="clear" w:color="auto" w:fill="F2F3F2"/>
          </w:tcPr>
          <w:p>
            <w:pPr>
              <w:spacing w:after="0"/>
              <w:rPr>
                <w:sz w:val="7"/>
                <w:szCs w:val="7"/>
                <w:color w:val="auto"/>
              </w:rPr>
            </w:pPr>
          </w:p>
        </w:tc>
        <w:tc>
          <w:tcPr>
            <w:tcW w:w="80" w:type="dxa"/>
            <w:vAlign w:val="bottom"/>
            <w:shd w:val="clear" w:color="auto" w:fill="F2F3F2"/>
          </w:tcPr>
          <w:p>
            <w:pPr>
              <w:spacing w:after="0"/>
              <w:rPr>
                <w:sz w:val="7"/>
                <w:szCs w:val="7"/>
                <w:color w:val="auto"/>
              </w:rPr>
            </w:pPr>
          </w:p>
        </w:tc>
        <w:tc>
          <w:tcPr>
            <w:tcW w:w="2840" w:type="dxa"/>
            <w:vAlign w:val="bottom"/>
            <w:shd w:val="clear" w:color="auto" w:fill="F2F3F2"/>
          </w:tcPr>
          <w:p>
            <w:pPr>
              <w:spacing w:after="0"/>
              <w:rPr>
                <w:sz w:val="7"/>
                <w:szCs w:val="7"/>
                <w:color w:val="auto"/>
              </w:rPr>
            </w:pPr>
          </w:p>
        </w:tc>
        <w:tc>
          <w:tcPr>
            <w:tcW w:w="100" w:type="dxa"/>
            <w:vAlign w:val="bottom"/>
            <w:tcBorders>
              <w:right w:val="single" w:sz="8" w:color="B2B3B6"/>
            </w:tcBorders>
            <w:shd w:val="clear" w:color="auto" w:fill="F2F3F2"/>
          </w:tcPr>
          <w:p>
            <w:pPr>
              <w:spacing w:after="0"/>
              <w:rPr>
                <w:sz w:val="7"/>
                <w:szCs w:val="7"/>
                <w:color w:val="auto"/>
              </w:rPr>
            </w:pPr>
          </w:p>
        </w:tc>
        <w:tc>
          <w:tcPr>
            <w:tcW w:w="80" w:type="dxa"/>
            <w:vAlign w:val="bottom"/>
            <w:shd w:val="clear" w:color="auto" w:fill="F2F3F2"/>
          </w:tcPr>
          <w:p>
            <w:pPr>
              <w:spacing w:after="0"/>
              <w:rPr>
                <w:sz w:val="7"/>
                <w:szCs w:val="7"/>
                <w:color w:val="auto"/>
              </w:rPr>
            </w:pPr>
          </w:p>
        </w:tc>
        <w:tc>
          <w:tcPr>
            <w:tcW w:w="2820" w:type="dxa"/>
            <w:vAlign w:val="bottom"/>
            <w:shd w:val="clear" w:color="auto" w:fill="F2F3F2"/>
          </w:tcPr>
          <w:p>
            <w:pPr>
              <w:spacing w:after="0"/>
              <w:rPr>
                <w:sz w:val="7"/>
                <w:szCs w:val="7"/>
                <w:color w:val="auto"/>
              </w:rPr>
            </w:pPr>
          </w:p>
        </w:tc>
        <w:tc>
          <w:tcPr>
            <w:tcW w:w="100" w:type="dxa"/>
            <w:vAlign w:val="bottom"/>
            <w:shd w:val="clear" w:color="auto" w:fill="F2F3F2"/>
          </w:tcPr>
          <w:p>
            <w:pPr>
              <w:spacing w:after="0"/>
              <w:rPr>
                <w:sz w:val="7"/>
                <w:szCs w:val="7"/>
                <w:color w:val="auto"/>
              </w:rPr>
            </w:pPr>
          </w:p>
        </w:tc>
        <w:tc>
          <w:tcPr>
            <w:tcW w:w="0" w:type="dxa"/>
            <w:vAlign w:val="bottom"/>
          </w:tcPr>
          <w:p>
            <w:pPr>
              <w:spacing w:after="0"/>
              <w:rPr>
                <w:sz w:val="1"/>
                <w:szCs w:val="1"/>
                <w:color w:val="auto"/>
              </w:rPr>
            </w:pPr>
          </w:p>
        </w:tc>
      </w:tr>
      <w:tr>
        <w:trPr>
          <w:trHeight w:val="303"/>
        </w:trPr>
        <w:tc>
          <w:tcPr>
            <w:tcW w:w="100" w:type="dxa"/>
            <w:vAlign w:val="bottom"/>
            <w:shd w:val="clear" w:color="auto" w:fill="F2F3F2"/>
          </w:tcPr>
          <w:p>
            <w:pPr>
              <w:spacing w:after="0"/>
              <w:rPr>
                <w:sz w:val="24"/>
                <w:szCs w:val="24"/>
                <w:color w:val="auto"/>
              </w:rPr>
            </w:pPr>
          </w:p>
        </w:tc>
        <w:tc>
          <w:tcPr>
            <w:tcW w:w="2860" w:type="dxa"/>
            <w:vAlign w:val="bottom"/>
            <w:shd w:val="clear" w:color="auto" w:fill="00558C"/>
          </w:tcPr>
          <w:p>
            <w:pPr>
              <w:jc w:val="center"/>
              <w:ind w:right="49"/>
              <w:spacing w:after="0"/>
              <w:rPr>
                <w:sz w:val="20"/>
                <w:szCs w:val="20"/>
                <w:color w:val="auto"/>
              </w:rPr>
            </w:pPr>
            <w:r>
              <w:rPr>
                <w:rFonts w:ascii="Arial" w:cs="Arial" w:eastAsia="Arial" w:hAnsi="Arial"/>
                <w:sz w:val="16"/>
                <w:szCs w:val="16"/>
                <w:b w:val="1"/>
                <w:bCs w:val="1"/>
                <w:color w:val="FFFFFF"/>
              </w:rPr>
              <w:t>Consulting Magazine</w:t>
            </w:r>
          </w:p>
        </w:tc>
        <w:tc>
          <w:tcPr>
            <w:tcW w:w="100" w:type="dxa"/>
            <w:vAlign w:val="bottom"/>
            <w:tcBorders>
              <w:right w:val="single" w:sz="8" w:color="B2B3B6"/>
            </w:tcBorders>
            <w:shd w:val="clear" w:color="auto" w:fill="F2F3F2"/>
          </w:tcPr>
          <w:p>
            <w:pPr>
              <w:spacing w:after="0"/>
              <w:rPr>
                <w:sz w:val="24"/>
                <w:szCs w:val="24"/>
                <w:color w:val="auto"/>
              </w:rPr>
            </w:pPr>
          </w:p>
        </w:tc>
        <w:tc>
          <w:tcPr>
            <w:tcW w:w="80" w:type="dxa"/>
            <w:vAlign w:val="bottom"/>
            <w:shd w:val="clear" w:color="auto" w:fill="F2F3F2"/>
          </w:tcPr>
          <w:p>
            <w:pPr>
              <w:spacing w:after="0"/>
              <w:rPr>
                <w:sz w:val="24"/>
                <w:szCs w:val="24"/>
                <w:color w:val="auto"/>
              </w:rPr>
            </w:pPr>
          </w:p>
        </w:tc>
        <w:tc>
          <w:tcPr>
            <w:tcW w:w="2840" w:type="dxa"/>
            <w:vAlign w:val="bottom"/>
            <w:shd w:val="clear" w:color="auto" w:fill="00558C"/>
          </w:tcPr>
          <w:p>
            <w:pPr>
              <w:jc w:val="center"/>
              <w:spacing w:after="0"/>
              <w:rPr>
                <w:sz w:val="20"/>
                <w:szCs w:val="20"/>
                <w:color w:val="auto"/>
              </w:rPr>
            </w:pPr>
            <w:r>
              <w:rPr>
                <w:rFonts w:ascii="Arial" w:cs="Arial" w:eastAsia="Arial" w:hAnsi="Arial"/>
                <w:sz w:val="16"/>
                <w:szCs w:val="16"/>
                <w:b w:val="1"/>
                <w:bCs w:val="1"/>
                <w:color w:val="FFFFFF"/>
              </w:rPr>
              <w:t>Glassdoor</w:t>
            </w:r>
          </w:p>
        </w:tc>
        <w:tc>
          <w:tcPr>
            <w:tcW w:w="100" w:type="dxa"/>
            <w:vAlign w:val="bottom"/>
            <w:tcBorders>
              <w:right w:val="single" w:sz="8" w:color="B2B3B6"/>
            </w:tcBorders>
            <w:shd w:val="clear" w:color="auto" w:fill="F2F3F2"/>
          </w:tcPr>
          <w:p>
            <w:pPr>
              <w:spacing w:after="0"/>
              <w:rPr>
                <w:sz w:val="24"/>
                <w:szCs w:val="24"/>
                <w:color w:val="auto"/>
              </w:rPr>
            </w:pPr>
          </w:p>
        </w:tc>
        <w:tc>
          <w:tcPr>
            <w:tcW w:w="80" w:type="dxa"/>
            <w:vAlign w:val="bottom"/>
            <w:shd w:val="clear" w:color="auto" w:fill="F2F3F2"/>
          </w:tcPr>
          <w:p>
            <w:pPr>
              <w:spacing w:after="0"/>
              <w:rPr>
                <w:sz w:val="24"/>
                <w:szCs w:val="24"/>
                <w:color w:val="auto"/>
              </w:rPr>
            </w:pPr>
          </w:p>
        </w:tc>
        <w:tc>
          <w:tcPr>
            <w:tcW w:w="2820" w:type="dxa"/>
            <w:vAlign w:val="bottom"/>
            <w:shd w:val="clear" w:color="auto" w:fill="00558C"/>
          </w:tcPr>
          <w:p>
            <w:pPr>
              <w:jc w:val="center"/>
              <w:spacing w:after="0"/>
              <w:rPr>
                <w:sz w:val="20"/>
                <w:szCs w:val="20"/>
                <w:color w:val="auto"/>
              </w:rPr>
            </w:pPr>
            <w:r>
              <w:rPr>
                <w:rFonts w:ascii="Arial" w:cs="Arial" w:eastAsia="Arial" w:hAnsi="Arial"/>
                <w:sz w:val="16"/>
                <w:szCs w:val="16"/>
                <w:b w:val="1"/>
                <w:bCs w:val="1"/>
                <w:color w:val="FFFFFF"/>
              </w:rPr>
              <w:t>TIME Magazine</w:t>
            </w:r>
          </w:p>
        </w:tc>
        <w:tc>
          <w:tcPr>
            <w:tcW w:w="100" w:type="dxa"/>
            <w:vAlign w:val="bottom"/>
            <w:shd w:val="clear" w:color="auto" w:fill="F2F3F2"/>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100" w:type="dxa"/>
            <w:vAlign w:val="bottom"/>
            <w:shd w:val="clear" w:color="auto" w:fill="F2F3F2"/>
          </w:tcPr>
          <w:p>
            <w:pPr>
              <w:spacing w:after="0"/>
              <w:rPr>
                <w:sz w:val="5"/>
                <w:szCs w:val="5"/>
                <w:color w:val="auto"/>
              </w:rPr>
            </w:pPr>
          </w:p>
        </w:tc>
        <w:tc>
          <w:tcPr>
            <w:tcW w:w="2860" w:type="dxa"/>
            <w:vAlign w:val="bottom"/>
            <w:shd w:val="clear" w:color="auto" w:fill="00558C"/>
          </w:tcPr>
          <w:p>
            <w:pPr>
              <w:spacing w:after="0"/>
              <w:rPr>
                <w:sz w:val="5"/>
                <w:szCs w:val="5"/>
                <w:color w:val="auto"/>
              </w:rPr>
            </w:pPr>
          </w:p>
        </w:tc>
        <w:tc>
          <w:tcPr>
            <w:tcW w:w="100" w:type="dxa"/>
            <w:vAlign w:val="bottom"/>
            <w:tcBorders>
              <w:right w:val="single" w:sz="8" w:color="B2B3B6"/>
            </w:tcBorders>
            <w:shd w:val="clear" w:color="auto" w:fill="F2F3F2"/>
          </w:tcPr>
          <w:p>
            <w:pPr>
              <w:spacing w:after="0"/>
              <w:rPr>
                <w:sz w:val="5"/>
                <w:szCs w:val="5"/>
                <w:color w:val="auto"/>
              </w:rPr>
            </w:pPr>
          </w:p>
        </w:tc>
        <w:tc>
          <w:tcPr>
            <w:tcW w:w="80" w:type="dxa"/>
            <w:vAlign w:val="bottom"/>
            <w:shd w:val="clear" w:color="auto" w:fill="F2F3F2"/>
          </w:tcPr>
          <w:p>
            <w:pPr>
              <w:spacing w:after="0"/>
              <w:rPr>
                <w:sz w:val="5"/>
                <w:szCs w:val="5"/>
                <w:color w:val="auto"/>
              </w:rPr>
            </w:pPr>
          </w:p>
        </w:tc>
        <w:tc>
          <w:tcPr>
            <w:tcW w:w="2840" w:type="dxa"/>
            <w:vAlign w:val="bottom"/>
            <w:shd w:val="clear" w:color="auto" w:fill="00558C"/>
          </w:tcPr>
          <w:p>
            <w:pPr>
              <w:spacing w:after="0"/>
              <w:rPr>
                <w:sz w:val="5"/>
                <w:szCs w:val="5"/>
                <w:color w:val="auto"/>
              </w:rPr>
            </w:pPr>
          </w:p>
        </w:tc>
        <w:tc>
          <w:tcPr>
            <w:tcW w:w="100" w:type="dxa"/>
            <w:vAlign w:val="bottom"/>
            <w:tcBorders>
              <w:right w:val="single" w:sz="8" w:color="B2B3B6"/>
            </w:tcBorders>
            <w:shd w:val="clear" w:color="auto" w:fill="F2F3F2"/>
          </w:tcPr>
          <w:p>
            <w:pPr>
              <w:spacing w:after="0"/>
              <w:rPr>
                <w:sz w:val="5"/>
                <w:szCs w:val="5"/>
                <w:color w:val="auto"/>
              </w:rPr>
            </w:pPr>
          </w:p>
        </w:tc>
        <w:tc>
          <w:tcPr>
            <w:tcW w:w="80" w:type="dxa"/>
            <w:vAlign w:val="bottom"/>
            <w:shd w:val="clear" w:color="auto" w:fill="F2F3F2"/>
          </w:tcPr>
          <w:p>
            <w:pPr>
              <w:spacing w:after="0"/>
              <w:rPr>
                <w:sz w:val="5"/>
                <w:szCs w:val="5"/>
                <w:color w:val="auto"/>
              </w:rPr>
            </w:pPr>
          </w:p>
        </w:tc>
        <w:tc>
          <w:tcPr>
            <w:tcW w:w="2820" w:type="dxa"/>
            <w:vAlign w:val="bottom"/>
            <w:shd w:val="clear" w:color="auto" w:fill="00558C"/>
          </w:tcPr>
          <w:p>
            <w:pPr>
              <w:spacing w:after="0"/>
              <w:rPr>
                <w:sz w:val="5"/>
                <w:szCs w:val="5"/>
                <w:color w:val="auto"/>
              </w:rPr>
            </w:pPr>
          </w:p>
        </w:tc>
        <w:tc>
          <w:tcPr>
            <w:tcW w:w="100" w:type="dxa"/>
            <w:vAlign w:val="bottom"/>
            <w:shd w:val="clear" w:color="auto" w:fill="F2F3F2"/>
          </w:tcPr>
          <w:p>
            <w:pPr>
              <w:spacing w:after="0"/>
              <w:rPr>
                <w:sz w:val="5"/>
                <w:szCs w:val="5"/>
                <w:color w:val="auto"/>
              </w:rPr>
            </w:pPr>
          </w:p>
        </w:tc>
        <w:tc>
          <w:tcPr>
            <w:tcW w:w="0" w:type="dxa"/>
            <w:vAlign w:val="bottom"/>
          </w:tcPr>
          <w:p>
            <w:pPr>
              <w:spacing w:after="0"/>
              <w:rPr>
                <w:sz w:val="1"/>
                <w:szCs w:val="1"/>
                <w:color w:val="auto"/>
              </w:rPr>
            </w:pPr>
          </w:p>
        </w:tc>
      </w:tr>
      <w:tr>
        <w:trPr>
          <w:trHeight w:val="410"/>
        </w:trPr>
        <w:tc>
          <w:tcPr>
            <w:tcW w:w="100" w:type="dxa"/>
            <w:vAlign w:val="bottom"/>
            <w:shd w:val="clear" w:color="auto" w:fill="F2F3F2"/>
          </w:tcPr>
          <w:p>
            <w:pPr>
              <w:spacing w:after="0"/>
              <w:rPr>
                <w:sz w:val="24"/>
                <w:szCs w:val="24"/>
                <w:color w:val="auto"/>
              </w:rPr>
            </w:pPr>
          </w:p>
        </w:tc>
        <w:tc>
          <w:tcPr>
            <w:tcW w:w="2860" w:type="dxa"/>
            <w:vAlign w:val="bottom"/>
            <w:shd w:val="clear" w:color="auto" w:fill="F2F3F2"/>
          </w:tcPr>
          <w:p>
            <w:pPr>
              <w:jc w:val="center"/>
              <w:ind w:right="129"/>
              <w:spacing w:after="0"/>
              <w:rPr>
                <w:sz w:val="20"/>
                <w:szCs w:val="20"/>
                <w:color w:val="auto"/>
              </w:rPr>
            </w:pPr>
            <w:r>
              <w:rPr>
                <w:rFonts w:ascii="Arial" w:cs="Arial" w:eastAsia="Arial" w:hAnsi="Arial"/>
                <w:sz w:val="25"/>
                <w:szCs w:val="25"/>
                <w:color w:val="6AAA37"/>
                <w:w w:val="99"/>
              </w:rPr>
              <w:t>2024 World’s Best</w:t>
            </w:r>
          </w:p>
        </w:tc>
        <w:tc>
          <w:tcPr>
            <w:tcW w:w="100" w:type="dxa"/>
            <w:vAlign w:val="bottom"/>
            <w:tcBorders>
              <w:right w:val="single" w:sz="8" w:color="B2B3B6"/>
            </w:tcBorders>
            <w:shd w:val="clear" w:color="auto" w:fill="F2F3F2"/>
          </w:tcPr>
          <w:p>
            <w:pPr>
              <w:spacing w:after="0"/>
              <w:rPr>
                <w:sz w:val="24"/>
                <w:szCs w:val="24"/>
                <w:color w:val="auto"/>
              </w:rPr>
            </w:pPr>
          </w:p>
        </w:tc>
        <w:tc>
          <w:tcPr>
            <w:tcW w:w="80" w:type="dxa"/>
            <w:vAlign w:val="bottom"/>
            <w:shd w:val="clear" w:color="auto" w:fill="F2F3F2"/>
          </w:tcPr>
          <w:p>
            <w:pPr>
              <w:spacing w:after="0"/>
              <w:rPr>
                <w:sz w:val="24"/>
                <w:szCs w:val="24"/>
                <w:color w:val="auto"/>
              </w:rPr>
            </w:pPr>
          </w:p>
        </w:tc>
        <w:tc>
          <w:tcPr>
            <w:tcW w:w="2840" w:type="dxa"/>
            <w:vAlign w:val="bottom"/>
            <w:shd w:val="clear" w:color="auto" w:fill="F2F3F2"/>
          </w:tcPr>
          <w:p>
            <w:pPr>
              <w:jc w:val="center"/>
              <w:ind w:right="146"/>
              <w:spacing w:after="0"/>
              <w:rPr>
                <w:sz w:val="20"/>
                <w:szCs w:val="20"/>
                <w:color w:val="auto"/>
              </w:rPr>
            </w:pPr>
            <w:r>
              <w:rPr>
                <w:rFonts w:ascii="Arial" w:cs="Arial" w:eastAsia="Arial" w:hAnsi="Arial"/>
                <w:sz w:val="25"/>
                <w:szCs w:val="25"/>
                <w:color w:val="6AAA37"/>
              </w:rPr>
              <w:t>2024 America’s Best</w:t>
            </w:r>
          </w:p>
        </w:tc>
        <w:tc>
          <w:tcPr>
            <w:tcW w:w="100" w:type="dxa"/>
            <w:vAlign w:val="bottom"/>
            <w:tcBorders>
              <w:right w:val="single" w:sz="8" w:color="B2B3B6"/>
            </w:tcBorders>
            <w:shd w:val="clear" w:color="auto" w:fill="F2F3F2"/>
          </w:tcPr>
          <w:p>
            <w:pPr>
              <w:spacing w:after="0"/>
              <w:rPr>
                <w:sz w:val="24"/>
                <w:szCs w:val="24"/>
                <w:color w:val="auto"/>
              </w:rPr>
            </w:pPr>
          </w:p>
        </w:tc>
        <w:tc>
          <w:tcPr>
            <w:tcW w:w="80" w:type="dxa"/>
            <w:vAlign w:val="bottom"/>
            <w:shd w:val="clear" w:color="auto" w:fill="F2F3F2"/>
          </w:tcPr>
          <w:p>
            <w:pPr>
              <w:spacing w:after="0"/>
              <w:rPr>
                <w:sz w:val="24"/>
                <w:szCs w:val="24"/>
                <w:color w:val="auto"/>
              </w:rPr>
            </w:pPr>
          </w:p>
        </w:tc>
        <w:tc>
          <w:tcPr>
            <w:tcW w:w="2820" w:type="dxa"/>
            <w:vAlign w:val="bottom"/>
            <w:shd w:val="clear" w:color="auto" w:fill="F2F3F2"/>
          </w:tcPr>
          <w:p>
            <w:pPr>
              <w:jc w:val="center"/>
              <w:ind w:right="128"/>
              <w:spacing w:after="0"/>
              <w:rPr>
                <w:sz w:val="20"/>
                <w:szCs w:val="20"/>
                <w:color w:val="auto"/>
              </w:rPr>
            </w:pPr>
            <w:r>
              <w:rPr>
                <w:rFonts w:ascii="Arial" w:cs="Arial" w:eastAsia="Arial" w:hAnsi="Arial"/>
                <w:sz w:val="25"/>
                <w:szCs w:val="25"/>
                <w:color w:val="6AAA37"/>
              </w:rPr>
              <w:t>2024 America’s Best</w:t>
            </w:r>
          </w:p>
        </w:tc>
        <w:tc>
          <w:tcPr>
            <w:tcW w:w="100" w:type="dxa"/>
            <w:vAlign w:val="bottom"/>
            <w:shd w:val="clear" w:color="auto" w:fill="F2F3F2"/>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00" w:type="dxa"/>
            <w:vAlign w:val="bottom"/>
            <w:shd w:val="clear" w:color="auto" w:fill="F2F3F2"/>
          </w:tcPr>
          <w:p>
            <w:pPr>
              <w:spacing w:after="0"/>
              <w:rPr>
                <w:sz w:val="24"/>
                <w:szCs w:val="24"/>
                <w:color w:val="auto"/>
              </w:rPr>
            </w:pPr>
          </w:p>
        </w:tc>
        <w:tc>
          <w:tcPr>
            <w:tcW w:w="2860" w:type="dxa"/>
            <w:vAlign w:val="bottom"/>
            <w:shd w:val="clear" w:color="auto" w:fill="F2F3F2"/>
          </w:tcPr>
          <w:p>
            <w:pPr>
              <w:jc w:val="center"/>
              <w:ind w:right="149"/>
              <w:spacing w:after="0"/>
              <w:rPr>
                <w:sz w:val="20"/>
                <w:szCs w:val="20"/>
                <w:color w:val="auto"/>
              </w:rPr>
            </w:pPr>
            <w:r>
              <w:rPr>
                <w:rFonts w:ascii="Arial" w:cs="Arial" w:eastAsia="Arial" w:hAnsi="Arial"/>
                <w:sz w:val="25"/>
                <w:szCs w:val="25"/>
                <w:color w:val="6AAA37"/>
              </w:rPr>
              <w:t>Management</w:t>
            </w:r>
          </w:p>
        </w:tc>
        <w:tc>
          <w:tcPr>
            <w:tcW w:w="100" w:type="dxa"/>
            <w:vAlign w:val="bottom"/>
            <w:tcBorders>
              <w:right w:val="single" w:sz="8" w:color="B2B3B6"/>
            </w:tcBorders>
            <w:shd w:val="clear" w:color="auto" w:fill="F2F3F2"/>
          </w:tcPr>
          <w:p>
            <w:pPr>
              <w:spacing w:after="0"/>
              <w:rPr>
                <w:sz w:val="24"/>
                <w:szCs w:val="24"/>
                <w:color w:val="auto"/>
              </w:rPr>
            </w:pPr>
          </w:p>
        </w:tc>
        <w:tc>
          <w:tcPr>
            <w:tcW w:w="80" w:type="dxa"/>
            <w:vAlign w:val="bottom"/>
            <w:shd w:val="clear" w:color="auto" w:fill="F2F3F2"/>
          </w:tcPr>
          <w:p>
            <w:pPr>
              <w:spacing w:after="0"/>
              <w:rPr>
                <w:sz w:val="24"/>
                <w:szCs w:val="24"/>
                <w:color w:val="auto"/>
              </w:rPr>
            </w:pPr>
          </w:p>
        </w:tc>
        <w:tc>
          <w:tcPr>
            <w:tcW w:w="2840" w:type="dxa"/>
            <w:vAlign w:val="bottom"/>
            <w:shd w:val="clear" w:color="auto" w:fill="F2F3F2"/>
          </w:tcPr>
          <w:p>
            <w:pPr>
              <w:jc w:val="center"/>
              <w:ind w:right="146"/>
              <w:spacing w:after="0"/>
              <w:rPr>
                <w:sz w:val="20"/>
                <w:szCs w:val="20"/>
                <w:color w:val="auto"/>
              </w:rPr>
            </w:pPr>
            <w:r>
              <w:rPr>
                <w:rFonts w:ascii="Arial" w:cs="Arial" w:eastAsia="Arial" w:hAnsi="Arial"/>
                <w:sz w:val="25"/>
                <w:szCs w:val="25"/>
                <w:color w:val="6AAA37"/>
              </w:rPr>
              <w:t>Management</w:t>
            </w:r>
          </w:p>
        </w:tc>
        <w:tc>
          <w:tcPr>
            <w:tcW w:w="100" w:type="dxa"/>
            <w:vAlign w:val="bottom"/>
            <w:tcBorders>
              <w:right w:val="single" w:sz="8" w:color="B2B3B6"/>
            </w:tcBorders>
            <w:shd w:val="clear" w:color="auto" w:fill="F2F3F2"/>
          </w:tcPr>
          <w:p>
            <w:pPr>
              <w:spacing w:after="0"/>
              <w:rPr>
                <w:sz w:val="24"/>
                <w:szCs w:val="24"/>
                <w:color w:val="auto"/>
              </w:rPr>
            </w:pPr>
          </w:p>
        </w:tc>
        <w:tc>
          <w:tcPr>
            <w:tcW w:w="80" w:type="dxa"/>
            <w:vAlign w:val="bottom"/>
            <w:shd w:val="clear" w:color="auto" w:fill="F2F3F2"/>
          </w:tcPr>
          <w:p>
            <w:pPr>
              <w:spacing w:after="0"/>
              <w:rPr>
                <w:sz w:val="24"/>
                <w:szCs w:val="24"/>
                <w:color w:val="auto"/>
              </w:rPr>
            </w:pPr>
          </w:p>
        </w:tc>
        <w:tc>
          <w:tcPr>
            <w:tcW w:w="2820" w:type="dxa"/>
            <w:vAlign w:val="bottom"/>
            <w:shd w:val="clear" w:color="auto" w:fill="F2F3F2"/>
          </w:tcPr>
          <w:p>
            <w:pPr>
              <w:jc w:val="center"/>
              <w:ind w:right="68"/>
              <w:spacing w:after="0"/>
              <w:rPr>
                <w:sz w:val="20"/>
                <w:szCs w:val="20"/>
                <w:color w:val="auto"/>
              </w:rPr>
            </w:pPr>
            <w:r>
              <w:rPr>
                <w:rFonts w:ascii="Arial" w:cs="Arial" w:eastAsia="Arial" w:hAnsi="Arial"/>
                <w:sz w:val="25"/>
                <w:szCs w:val="25"/>
                <w:color w:val="6AAA37"/>
              </w:rPr>
              <w:t>Employers for</w:t>
            </w:r>
          </w:p>
        </w:tc>
        <w:tc>
          <w:tcPr>
            <w:tcW w:w="100" w:type="dxa"/>
            <w:vAlign w:val="bottom"/>
            <w:shd w:val="clear" w:color="auto" w:fill="F2F3F2"/>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100" w:type="dxa"/>
            <w:vAlign w:val="bottom"/>
            <w:shd w:val="clear" w:color="auto" w:fill="F2F3F2"/>
          </w:tcPr>
          <w:p>
            <w:pPr>
              <w:spacing w:after="0"/>
              <w:rPr>
                <w:sz w:val="24"/>
                <w:szCs w:val="24"/>
                <w:color w:val="auto"/>
              </w:rPr>
            </w:pPr>
          </w:p>
        </w:tc>
        <w:tc>
          <w:tcPr>
            <w:tcW w:w="2860" w:type="dxa"/>
            <w:vAlign w:val="bottom"/>
            <w:shd w:val="clear" w:color="auto" w:fill="F2F3F2"/>
          </w:tcPr>
          <w:p>
            <w:pPr>
              <w:jc w:val="center"/>
              <w:ind w:right="169"/>
              <w:spacing w:after="0"/>
              <w:rPr>
                <w:sz w:val="20"/>
                <w:szCs w:val="20"/>
                <w:color w:val="auto"/>
              </w:rPr>
            </w:pPr>
            <w:r>
              <w:rPr>
                <w:rFonts w:ascii="Arial" w:cs="Arial" w:eastAsia="Arial" w:hAnsi="Arial"/>
                <w:sz w:val="25"/>
                <w:szCs w:val="25"/>
                <w:color w:val="6AAA37"/>
              </w:rPr>
              <w:t>Consulting Firms</w:t>
            </w:r>
          </w:p>
        </w:tc>
        <w:tc>
          <w:tcPr>
            <w:tcW w:w="100" w:type="dxa"/>
            <w:vAlign w:val="bottom"/>
            <w:tcBorders>
              <w:right w:val="single" w:sz="8" w:color="B2B3B6"/>
            </w:tcBorders>
            <w:shd w:val="clear" w:color="auto" w:fill="F2F3F2"/>
          </w:tcPr>
          <w:p>
            <w:pPr>
              <w:spacing w:after="0"/>
              <w:rPr>
                <w:sz w:val="24"/>
                <w:szCs w:val="24"/>
                <w:color w:val="auto"/>
              </w:rPr>
            </w:pPr>
          </w:p>
        </w:tc>
        <w:tc>
          <w:tcPr>
            <w:tcW w:w="80" w:type="dxa"/>
            <w:vAlign w:val="bottom"/>
            <w:shd w:val="clear" w:color="auto" w:fill="F2F3F2"/>
          </w:tcPr>
          <w:p>
            <w:pPr>
              <w:spacing w:after="0"/>
              <w:rPr>
                <w:sz w:val="24"/>
                <w:szCs w:val="24"/>
                <w:color w:val="auto"/>
              </w:rPr>
            </w:pPr>
          </w:p>
        </w:tc>
        <w:tc>
          <w:tcPr>
            <w:tcW w:w="2840" w:type="dxa"/>
            <w:vAlign w:val="bottom"/>
            <w:shd w:val="clear" w:color="auto" w:fill="F2F3F2"/>
          </w:tcPr>
          <w:p>
            <w:pPr>
              <w:jc w:val="center"/>
              <w:ind w:right="166"/>
              <w:spacing w:after="0"/>
              <w:rPr>
                <w:sz w:val="20"/>
                <w:szCs w:val="20"/>
                <w:color w:val="auto"/>
              </w:rPr>
            </w:pPr>
            <w:r>
              <w:rPr>
                <w:rFonts w:ascii="Arial" w:cs="Arial" w:eastAsia="Arial" w:hAnsi="Arial"/>
                <w:sz w:val="25"/>
                <w:szCs w:val="25"/>
                <w:color w:val="6AAA37"/>
              </w:rPr>
              <w:t>Consulting Firms</w:t>
            </w:r>
          </w:p>
        </w:tc>
        <w:tc>
          <w:tcPr>
            <w:tcW w:w="100" w:type="dxa"/>
            <w:vAlign w:val="bottom"/>
            <w:tcBorders>
              <w:right w:val="single" w:sz="8" w:color="B2B3B6"/>
            </w:tcBorders>
            <w:shd w:val="clear" w:color="auto" w:fill="F2F3F2"/>
          </w:tcPr>
          <w:p>
            <w:pPr>
              <w:spacing w:after="0"/>
              <w:rPr>
                <w:sz w:val="24"/>
                <w:szCs w:val="24"/>
                <w:color w:val="auto"/>
              </w:rPr>
            </w:pPr>
          </w:p>
        </w:tc>
        <w:tc>
          <w:tcPr>
            <w:tcW w:w="80" w:type="dxa"/>
            <w:vAlign w:val="bottom"/>
            <w:shd w:val="clear" w:color="auto" w:fill="F2F3F2"/>
          </w:tcPr>
          <w:p>
            <w:pPr>
              <w:spacing w:after="0"/>
              <w:rPr>
                <w:sz w:val="24"/>
                <w:szCs w:val="24"/>
                <w:color w:val="auto"/>
              </w:rPr>
            </w:pPr>
          </w:p>
        </w:tc>
        <w:tc>
          <w:tcPr>
            <w:tcW w:w="2820" w:type="dxa"/>
            <w:vAlign w:val="bottom"/>
            <w:shd w:val="clear" w:color="auto" w:fill="F2F3F2"/>
          </w:tcPr>
          <w:p>
            <w:pPr>
              <w:jc w:val="center"/>
              <w:ind w:right="48"/>
              <w:spacing w:after="0"/>
              <w:rPr>
                <w:sz w:val="20"/>
                <w:szCs w:val="20"/>
                <w:color w:val="auto"/>
              </w:rPr>
            </w:pPr>
            <w:r>
              <w:rPr>
                <w:rFonts w:ascii="Arial" w:cs="Arial" w:eastAsia="Arial" w:hAnsi="Arial"/>
                <w:sz w:val="25"/>
                <w:szCs w:val="25"/>
                <w:color w:val="6AAA37"/>
                <w:w w:val="99"/>
              </w:rPr>
              <w:t>Women</w:t>
            </w:r>
          </w:p>
        </w:tc>
        <w:tc>
          <w:tcPr>
            <w:tcW w:w="100" w:type="dxa"/>
            <w:vAlign w:val="bottom"/>
            <w:shd w:val="clear" w:color="auto" w:fill="F2F3F2"/>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00" w:type="dxa"/>
            <w:vAlign w:val="bottom"/>
            <w:shd w:val="clear" w:color="auto" w:fill="F2F3F2"/>
          </w:tcPr>
          <w:p>
            <w:pPr>
              <w:spacing w:after="0"/>
              <w:rPr>
                <w:sz w:val="7"/>
                <w:szCs w:val="7"/>
                <w:color w:val="auto"/>
              </w:rPr>
            </w:pPr>
          </w:p>
        </w:tc>
        <w:tc>
          <w:tcPr>
            <w:tcW w:w="2860" w:type="dxa"/>
            <w:vAlign w:val="bottom"/>
            <w:shd w:val="clear" w:color="auto" w:fill="F2F3F2"/>
          </w:tcPr>
          <w:p>
            <w:pPr>
              <w:spacing w:after="0"/>
              <w:rPr>
                <w:sz w:val="7"/>
                <w:szCs w:val="7"/>
                <w:color w:val="auto"/>
              </w:rPr>
            </w:pPr>
          </w:p>
        </w:tc>
        <w:tc>
          <w:tcPr>
            <w:tcW w:w="100" w:type="dxa"/>
            <w:vAlign w:val="bottom"/>
            <w:tcBorders>
              <w:right w:val="single" w:sz="8" w:color="B2B3B6"/>
            </w:tcBorders>
            <w:shd w:val="clear" w:color="auto" w:fill="F2F3F2"/>
          </w:tcPr>
          <w:p>
            <w:pPr>
              <w:spacing w:after="0"/>
              <w:rPr>
                <w:sz w:val="7"/>
                <w:szCs w:val="7"/>
                <w:color w:val="auto"/>
              </w:rPr>
            </w:pPr>
          </w:p>
        </w:tc>
        <w:tc>
          <w:tcPr>
            <w:tcW w:w="80" w:type="dxa"/>
            <w:vAlign w:val="bottom"/>
            <w:shd w:val="clear" w:color="auto" w:fill="F2F3F2"/>
          </w:tcPr>
          <w:p>
            <w:pPr>
              <w:spacing w:after="0"/>
              <w:rPr>
                <w:sz w:val="7"/>
                <w:szCs w:val="7"/>
                <w:color w:val="auto"/>
              </w:rPr>
            </w:pPr>
          </w:p>
        </w:tc>
        <w:tc>
          <w:tcPr>
            <w:tcW w:w="2840" w:type="dxa"/>
            <w:vAlign w:val="bottom"/>
            <w:shd w:val="clear" w:color="auto" w:fill="F2F3F2"/>
          </w:tcPr>
          <w:p>
            <w:pPr>
              <w:spacing w:after="0"/>
              <w:rPr>
                <w:sz w:val="7"/>
                <w:szCs w:val="7"/>
                <w:color w:val="auto"/>
              </w:rPr>
            </w:pPr>
          </w:p>
        </w:tc>
        <w:tc>
          <w:tcPr>
            <w:tcW w:w="100" w:type="dxa"/>
            <w:vAlign w:val="bottom"/>
            <w:tcBorders>
              <w:right w:val="single" w:sz="8" w:color="B2B3B6"/>
            </w:tcBorders>
            <w:shd w:val="clear" w:color="auto" w:fill="F2F3F2"/>
          </w:tcPr>
          <w:p>
            <w:pPr>
              <w:spacing w:after="0"/>
              <w:rPr>
                <w:sz w:val="7"/>
                <w:szCs w:val="7"/>
                <w:color w:val="auto"/>
              </w:rPr>
            </w:pPr>
          </w:p>
        </w:tc>
        <w:tc>
          <w:tcPr>
            <w:tcW w:w="80" w:type="dxa"/>
            <w:vAlign w:val="bottom"/>
            <w:shd w:val="clear" w:color="auto" w:fill="F2F3F2"/>
          </w:tcPr>
          <w:p>
            <w:pPr>
              <w:spacing w:after="0"/>
              <w:rPr>
                <w:sz w:val="7"/>
                <w:szCs w:val="7"/>
                <w:color w:val="auto"/>
              </w:rPr>
            </w:pPr>
          </w:p>
        </w:tc>
        <w:tc>
          <w:tcPr>
            <w:tcW w:w="2820" w:type="dxa"/>
            <w:vAlign w:val="bottom"/>
            <w:shd w:val="clear" w:color="auto" w:fill="F2F3F2"/>
          </w:tcPr>
          <w:p>
            <w:pPr>
              <w:spacing w:after="0"/>
              <w:rPr>
                <w:sz w:val="7"/>
                <w:szCs w:val="7"/>
                <w:color w:val="auto"/>
              </w:rPr>
            </w:pPr>
          </w:p>
        </w:tc>
        <w:tc>
          <w:tcPr>
            <w:tcW w:w="100" w:type="dxa"/>
            <w:vAlign w:val="bottom"/>
            <w:shd w:val="clear" w:color="auto" w:fill="F2F3F2"/>
          </w:tcPr>
          <w:p>
            <w:pPr>
              <w:spacing w:after="0"/>
              <w:rPr>
                <w:sz w:val="7"/>
                <w:szCs w:val="7"/>
                <w:color w:val="auto"/>
              </w:rPr>
            </w:pPr>
          </w:p>
        </w:tc>
        <w:tc>
          <w:tcPr>
            <w:tcW w:w="0" w:type="dxa"/>
            <w:vAlign w:val="bottom"/>
          </w:tcPr>
          <w:p>
            <w:pPr>
              <w:spacing w:after="0"/>
              <w:rPr>
                <w:sz w:val="1"/>
                <w:szCs w:val="1"/>
                <w:color w:val="auto"/>
              </w:rPr>
            </w:pPr>
          </w:p>
        </w:tc>
      </w:tr>
      <w:tr>
        <w:trPr>
          <w:trHeight w:val="303"/>
        </w:trPr>
        <w:tc>
          <w:tcPr>
            <w:tcW w:w="100" w:type="dxa"/>
            <w:vAlign w:val="bottom"/>
            <w:shd w:val="clear" w:color="auto" w:fill="F2F3F2"/>
          </w:tcPr>
          <w:p>
            <w:pPr>
              <w:spacing w:after="0"/>
              <w:rPr>
                <w:sz w:val="24"/>
                <w:szCs w:val="24"/>
                <w:color w:val="auto"/>
              </w:rPr>
            </w:pPr>
          </w:p>
        </w:tc>
        <w:tc>
          <w:tcPr>
            <w:tcW w:w="2860" w:type="dxa"/>
            <w:vAlign w:val="bottom"/>
            <w:shd w:val="clear" w:color="auto" w:fill="00558C"/>
          </w:tcPr>
          <w:p>
            <w:pPr>
              <w:jc w:val="center"/>
              <w:spacing w:after="0"/>
              <w:rPr>
                <w:sz w:val="20"/>
                <w:szCs w:val="20"/>
                <w:color w:val="auto"/>
              </w:rPr>
            </w:pPr>
            <w:r>
              <w:rPr>
                <w:rFonts w:ascii="Arial" w:cs="Arial" w:eastAsia="Arial" w:hAnsi="Arial"/>
                <w:sz w:val="16"/>
                <w:szCs w:val="16"/>
                <w:b w:val="1"/>
                <w:bCs w:val="1"/>
                <w:color w:val="FFFFFF"/>
              </w:rPr>
              <w:t>Forbes</w:t>
            </w:r>
          </w:p>
        </w:tc>
        <w:tc>
          <w:tcPr>
            <w:tcW w:w="100" w:type="dxa"/>
            <w:vAlign w:val="bottom"/>
            <w:tcBorders>
              <w:right w:val="single" w:sz="8" w:color="B2B3B6"/>
            </w:tcBorders>
            <w:shd w:val="clear" w:color="auto" w:fill="F2F3F2"/>
          </w:tcPr>
          <w:p>
            <w:pPr>
              <w:spacing w:after="0"/>
              <w:rPr>
                <w:sz w:val="24"/>
                <w:szCs w:val="24"/>
                <w:color w:val="auto"/>
              </w:rPr>
            </w:pPr>
          </w:p>
        </w:tc>
        <w:tc>
          <w:tcPr>
            <w:tcW w:w="80" w:type="dxa"/>
            <w:vAlign w:val="bottom"/>
            <w:shd w:val="clear" w:color="auto" w:fill="F2F3F2"/>
          </w:tcPr>
          <w:p>
            <w:pPr>
              <w:spacing w:after="0"/>
              <w:rPr>
                <w:sz w:val="24"/>
                <w:szCs w:val="24"/>
                <w:color w:val="auto"/>
              </w:rPr>
            </w:pPr>
          </w:p>
        </w:tc>
        <w:tc>
          <w:tcPr>
            <w:tcW w:w="2840" w:type="dxa"/>
            <w:vAlign w:val="bottom"/>
            <w:shd w:val="clear" w:color="auto" w:fill="00558C"/>
          </w:tcPr>
          <w:p>
            <w:pPr>
              <w:jc w:val="center"/>
              <w:spacing w:after="0"/>
              <w:rPr>
                <w:sz w:val="20"/>
                <w:szCs w:val="20"/>
                <w:color w:val="auto"/>
              </w:rPr>
            </w:pPr>
            <w:r>
              <w:rPr>
                <w:rFonts w:ascii="Arial" w:cs="Arial" w:eastAsia="Arial" w:hAnsi="Arial"/>
                <w:sz w:val="16"/>
                <w:szCs w:val="16"/>
                <w:b w:val="1"/>
                <w:bCs w:val="1"/>
                <w:color w:val="FFFFFF"/>
              </w:rPr>
              <w:t>Forbes</w:t>
            </w:r>
          </w:p>
        </w:tc>
        <w:tc>
          <w:tcPr>
            <w:tcW w:w="100" w:type="dxa"/>
            <w:vAlign w:val="bottom"/>
            <w:tcBorders>
              <w:right w:val="single" w:sz="8" w:color="B2B3B6"/>
            </w:tcBorders>
            <w:shd w:val="clear" w:color="auto" w:fill="F2F3F2"/>
          </w:tcPr>
          <w:p>
            <w:pPr>
              <w:spacing w:after="0"/>
              <w:rPr>
                <w:sz w:val="24"/>
                <w:szCs w:val="24"/>
                <w:color w:val="auto"/>
              </w:rPr>
            </w:pPr>
          </w:p>
        </w:tc>
        <w:tc>
          <w:tcPr>
            <w:tcW w:w="80" w:type="dxa"/>
            <w:vAlign w:val="bottom"/>
            <w:shd w:val="clear" w:color="auto" w:fill="F2F3F2"/>
          </w:tcPr>
          <w:p>
            <w:pPr>
              <w:spacing w:after="0"/>
              <w:rPr>
                <w:sz w:val="24"/>
                <w:szCs w:val="24"/>
                <w:color w:val="auto"/>
              </w:rPr>
            </w:pPr>
          </w:p>
        </w:tc>
        <w:tc>
          <w:tcPr>
            <w:tcW w:w="2820" w:type="dxa"/>
            <w:vAlign w:val="bottom"/>
            <w:shd w:val="clear" w:color="auto" w:fill="00558C"/>
          </w:tcPr>
          <w:p>
            <w:pPr>
              <w:ind w:left="1120"/>
              <w:spacing w:after="0"/>
              <w:rPr>
                <w:sz w:val="20"/>
                <w:szCs w:val="20"/>
                <w:color w:val="auto"/>
              </w:rPr>
            </w:pPr>
            <w:r>
              <w:rPr>
                <w:rFonts w:ascii="Arial" w:cs="Arial" w:eastAsia="Arial" w:hAnsi="Arial"/>
                <w:sz w:val="16"/>
                <w:szCs w:val="16"/>
                <w:b w:val="1"/>
                <w:bCs w:val="1"/>
                <w:color w:val="FFFFFF"/>
              </w:rPr>
              <w:t>Forbes</w:t>
            </w:r>
          </w:p>
        </w:tc>
        <w:tc>
          <w:tcPr>
            <w:tcW w:w="100" w:type="dxa"/>
            <w:vAlign w:val="bottom"/>
            <w:shd w:val="clear" w:color="auto" w:fill="F2F3F2"/>
          </w:tcPr>
          <w:p>
            <w:pPr>
              <w:spacing w:after="0"/>
              <w:rPr>
                <w:sz w:val="24"/>
                <w:szCs w:val="24"/>
                <w:color w:val="auto"/>
              </w:rPr>
            </w:pPr>
          </w:p>
        </w:tc>
        <w:tc>
          <w:tcPr>
            <w:tcW w:w="0" w:type="dxa"/>
            <w:vAlign w:val="bottom"/>
          </w:tcPr>
          <w:p>
            <w:pPr>
              <w:spacing w:after="0"/>
              <w:rPr>
                <w:sz w:val="1"/>
                <w:szCs w:val="1"/>
                <w:color w:val="auto"/>
              </w:rPr>
            </w:pPr>
          </w:p>
        </w:tc>
      </w:tr>
      <w:tr>
        <w:trPr>
          <w:trHeight w:val="62"/>
        </w:trPr>
        <w:tc>
          <w:tcPr>
            <w:tcW w:w="100" w:type="dxa"/>
            <w:vAlign w:val="bottom"/>
            <w:tcBorders>
              <w:bottom w:val="single" w:sz="8" w:color="F2F3F2"/>
            </w:tcBorders>
            <w:shd w:val="clear" w:color="auto" w:fill="F2F3F2"/>
          </w:tcPr>
          <w:p>
            <w:pPr>
              <w:spacing w:after="0"/>
              <w:rPr>
                <w:sz w:val="5"/>
                <w:szCs w:val="5"/>
                <w:color w:val="auto"/>
              </w:rPr>
            </w:pPr>
          </w:p>
        </w:tc>
        <w:tc>
          <w:tcPr>
            <w:tcW w:w="2860" w:type="dxa"/>
            <w:vAlign w:val="bottom"/>
            <w:tcBorders>
              <w:bottom w:val="single" w:sz="8" w:color="F2F3F2"/>
            </w:tcBorders>
            <w:shd w:val="clear" w:color="auto" w:fill="00558C"/>
          </w:tcPr>
          <w:p>
            <w:pPr>
              <w:spacing w:after="0"/>
              <w:rPr>
                <w:sz w:val="5"/>
                <w:szCs w:val="5"/>
                <w:color w:val="auto"/>
              </w:rPr>
            </w:pPr>
          </w:p>
        </w:tc>
        <w:tc>
          <w:tcPr>
            <w:tcW w:w="100" w:type="dxa"/>
            <w:vAlign w:val="bottom"/>
            <w:tcBorders>
              <w:bottom w:val="single" w:sz="8" w:color="F2F3F2"/>
              <w:right w:val="single" w:sz="8" w:color="B2B3B6"/>
            </w:tcBorders>
            <w:shd w:val="clear" w:color="auto" w:fill="F2F3F2"/>
          </w:tcPr>
          <w:p>
            <w:pPr>
              <w:spacing w:after="0"/>
              <w:rPr>
                <w:sz w:val="5"/>
                <w:szCs w:val="5"/>
                <w:color w:val="auto"/>
              </w:rPr>
            </w:pPr>
          </w:p>
        </w:tc>
        <w:tc>
          <w:tcPr>
            <w:tcW w:w="80" w:type="dxa"/>
            <w:vAlign w:val="bottom"/>
            <w:tcBorders>
              <w:bottom w:val="single" w:sz="8" w:color="F2F3F2"/>
            </w:tcBorders>
            <w:shd w:val="clear" w:color="auto" w:fill="F2F3F2"/>
          </w:tcPr>
          <w:p>
            <w:pPr>
              <w:spacing w:after="0"/>
              <w:rPr>
                <w:sz w:val="5"/>
                <w:szCs w:val="5"/>
                <w:color w:val="auto"/>
              </w:rPr>
            </w:pPr>
          </w:p>
        </w:tc>
        <w:tc>
          <w:tcPr>
            <w:tcW w:w="2840" w:type="dxa"/>
            <w:vAlign w:val="bottom"/>
            <w:tcBorders>
              <w:bottom w:val="single" w:sz="8" w:color="B2B3B6"/>
            </w:tcBorders>
            <w:shd w:val="clear" w:color="auto" w:fill="00558C"/>
          </w:tcPr>
          <w:p>
            <w:pPr>
              <w:spacing w:after="0"/>
              <w:rPr>
                <w:sz w:val="5"/>
                <w:szCs w:val="5"/>
                <w:color w:val="auto"/>
              </w:rPr>
            </w:pPr>
          </w:p>
        </w:tc>
        <w:tc>
          <w:tcPr>
            <w:tcW w:w="100" w:type="dxa"/>
            <w:vAlign w:val="bottom"/>
            <w:tcBorders>
              <w:bottom w:val="single" w:sz="8" w:color="F2F3F2"/>
              <w:right w:val="single" w:sz="8" w:color="B2B3B6"/>
            </w:tcBorders>
            <w:shd w:val="clear" w:color="auto" w:fill="F2F3F2"/>
          </w:tcPr>
          <w:p>
            <w:pPr>
              <w:spacing w:after="0"/>
              <w:rPr>
                <w:sz w:val="5"/>
                <w:szCs w:val="5"/>
                <w:color w:val="auto"/>
              </w:rPr>
            </w:pPr>
          </w:p>
        </w:tc>
        <w:tc>
          <w:tcPr>
            <w:tcW w:w="80" w:type="dxa"/>
            <w:vAlign w:val="bottom"/>
            <w:tcBorders>
              <w:bottom w:val="single" w:sz="8" w:color="F2F3F2"/>
            </w:tcBorders>
            <w:shd w:val="clear" w:color="auto" w:fill="F2F3F2"/>
          </w:tcPr>
          <w:p>
            <w:pPr>
              <w:spacing w:after="0"/>
              <w:rPr>
                <w:sz w:val="5"/>
                <w:szCs w:val="5"/>
                <w:color w:val="auto"/>
              </w:rPr>
            </w:pPr>
          </w:p>
        </w:tc>
        <w:tc>
          <w:tcPr>
            <w:tcW w:w="2820" w:type="dxa"/>
            <w:vAlign w:val="bottom"/>
            <w:tcBorders>
              <w:bottom w:val="single" w:sz="8" w:color="B2B3B6"/>
            </w:tcBorders>
            <w:shd w:val="clear" w:color="auto" w:fill="00558C"/>
          </w:tcPr>
          <w:p>
            <w:pPr>
              <w:spacing w:after="0"/>
              <w:rPr>
                <w:sz w:val="5"/>
                <w:szCs w:val="5"/>
                <w:color w:val="auto"/>
              </w:rPr>
            </w:pPr>
          </w:p>
        </w:tc>
        <w:tc>
          <w:tcPr>
            <w:tcW w:w="100" w:type="dxa"/>
            <w:vAlign w:val="bottom"/>
            <w:tcBorders>
              <w:bottom w:val="single" w:sz="8" w:color="F2F3F2"/>
            </w:tcBorders>
            <w:shd w:val="clear" w:color="auto" w:fill="F2F3F2"/>
          </w:tcPr>
          <w:p>
            <w:pPr>
              <w:spacing w:after="0"/>
              <w:rPr>
                <w:sz w:val="5"/>
                <w:szCs w:val="5"/>
                <w:color w:val="auto"/>
              </w:rPr>
            </w:pPr>
          </w:p>
        </w:tc>
        <w:tc>
          <w:tcPr>
            <w:tcW w:w="0" w:type="dxa"/>
            <w:vAlign w:val="bottom"/>
          </w:tcPr>
          <w:p>
            <w:pPr>
              <w:spacing w:after="0"/>
              <w:rPr>
                <w:sz w:val="1"/>
                <w:szCs w:val="1"/>
                <w:color w:val="auto"/>
              </w:rPr>
            </w:pPr>
          </w:p>
        </w:tc>
      </w:tr>
      <w:tr>
        <w:trPr>
          <w:trHeight w:val="363"/>
        </w:trPr>
        <w:tc>
          <w:tcPr>
            <w:tcW w:w="100" w:type="dxa"/>
            <w:vAlign w:val="bottom"/>
            <w:shd w:val="clear" w:color="auto" w:fill="F2F3F2"/>
          </w:tcPr>
          <w:p>
            <w:pPr>
              <w:spacing w:after="0"/>
              <w:rPr>
                <w:sz w:val="24"/>
                <w:szCs w:val="24"/>
                <w:color w:val="auto"/>
              </w:rPr>
            </w:pPr>
          </w:p>
        </w:tc>
        <w:tc>
          <w:tcPr>
            <w:tcW w:w="2860" w:type="dxa"/>
            <w:vAlign w:val="bottom"/>
            <w:shd w:val="clear" w:color="auto" w:fill="F2F3F2"/>
          </w:tcPr>
          <w:p>
            <w:pPr>
              <w:jc w:val="center"/>
              <w:ind w:right="169"/>
              <w:spacing w:after="0"/>
              <w:rPr>
                <w:sz w:val="20"/>
                <w:szCs w:val="20"/>
                <w:color w:val="auto"/>
              </w:rPr>
            </w:pPr>
            <w:r>
              <w:rPr>
                <w:rFonts w:ascii="Arial" w:cs="Arial" w:eastAsia="Arial" w:hAnsi="Arial"/>
                <w:sz w:val="25"/>
                <w:szCs w:val="25"/>
                <w:color w:val="6AAA37"/>
              </w:rPr>
              <w:t>Best Companies to</w:t>
            </w:r>
          </w:p>
        </w:tc>
        <w:tc>
          <w:tcPr>
            <w:tcW w:w="100" w:type="dxa"/>
            <w:vAlign w:val="bottom"/>
            <w:tcBorders>
              <w:right w:val="single" w:sz="8" w:color="B2B3B6"/>
            </w:tcBorders>
            <w:shd w:val="clear" w:color="auto" w:fill="F2F3F2"/>
          </w:tcPr>
          <w:p>
            <w:pPr>
              <w:spacing w:after="0"/>
              <w:rPr>
                <w:sz w:val="24"/>
                <w:szCs w:val="24"/>
                <w:color w:val="auto"/>
              </w:rPr>
            </w:pPr>
          </w:p>
        </w:tc>
        <w:tc>
          <w:tcPr>
            <w:tcW w:w="80" w:type="dxa"/>
            <w:vAlign w:val="bottom"/>
            <w:shd w:val="clear" w:color="auto" w:fill="F2F3F2"/>
          </w:tcPr>
          <w:p>
            <w:pPr>
              <w:spacing w:after="0"/>
              <w:rPr>
                <w:sz w:val="24"/>
                <w:szCs w:val="24"/>
                <w:color w:val="auto"/>
              </w:rPr>
            </w:pPr>
          </w:p>
        </w:tc>
        <w:tc>
          <w:tcPr>
            <w:tcW w:w="2840" w:type="dxa"/>
            <w:vAlign w:val="bottom"/>
            <w:shd w:val="clear" w:color="auto" w:fill="F2F3F2"/>
          </w:tcPr>
          <w:p>
            <w:pPr>
              <w:jc w:val="center"/>
              <w:ind w:right="86"/>
              <w:spacing w:after="0"/>
              <w:rPr>
                <w:sz w:val="20"/>
                <w:szCs w:val="20"/>
                <w:color w:val="auto"/>
              </w:rPr>
            </w:pPr>
            <w:r>
              <w:rPr>
                <w:rFonts w:ascii="Arial" w:cs="Arial" w:eastAsia="Arial" w:hAnsi="Arial"/>
                <w:sz w:val="25"/>
                <w:szCs w:val="25"/>
                <w:color w:val="6AAA37"/>
              </w:rPr>
              <w:t>2025 Best Places to</w:t>
            </w:r>
          </w:p>
        </w:tc>
        <w:tc>
          <w:tcPr>
            <w:tcW w:w="100" w:type="dxa"/>
            <w:vAlign w:val="bottom"/>
            <w:tcBorders>
              <w:right w:val="single" w:sz="8" w:color="B2B3B6"/>
            </w:tcBorders>
            <w:shd w:val="clear" w:color="auto" w:fill="F2F3F2"/>
          </w:tcPr>
          <w:p>
            <w:pPr>
              <w:spacing w:after="0"/>
              <w:rPr>
                <w:sz w:val="24"/>
                <w:szCs w:val="24"/>
                <w:color w:val="auto"/>
              </w:rPr>
            </w:pPr>
          </w:p>
        </w:tc>
        <w:tc>
          <w:tcPr>
            <w:tcW w:w="80" w:type="dxa"/>
            <w:vAlign w:val="bottom"/>
            <w:shd w:val="clear" w:color="auto" w:fill="F2F3F2"/>
          </w:tcPr>
          <w:p>
            <w:pPr>
              <w:spacing w:after="0"/>
              <w:rPr>
                <w:sz w:val="24"/>
                <w:szCs w:val="24"/>
                <w:color w:val="auto"/>
              </w:rPr>
            </w:pPr>
          </w:p>
        </w:tc>
        <w:tc>
          <w:tcPr>
            <w:tcW w:w="2820" w:type="dxa"/>
            <w:vAlign w:val="bottom"/>
            <w:vMerge w:val="restart"/>
            <w:shd w:val="clear" w:color="auto" w:fill="F2F3F2"/>
          </w:tcPr>
          <w:p>
            <w:pPr>
              <w:jc w:val="center"/>
              <w:ind w:right="168"/>
              <w:spacing w:after="0"/>
              <w:rPr>
                <w:sz w:val="20"/>
                <w:szCs w:val="20"/>
                <w:color w:val="auto"/>
              </w:rPr>
            </w:pPr>
            <w:r>
              <w:rPr>
                <w:rFonts w:ascii="Arial" w:cs="Arial" w:eastAsia="Arial" w:hAnsi="Arial"/>
                <w:sz w:val="25"/>
                <w:szCs w:val="25"/>
                <w:color w:val="6AAA37"/>
              </w:rPr>
              <w:t>#4 in Consulting</w:t>
            </w:r>
          </w:p>
        </w:tc>
        <w:tc>
          <w:tcPr>
            <w:tcW w:w="100" w:type="dxa"/>
            <w:vAlign w:val="bottom"/>
            <w:shd w:val="clear" w:color="auto" w:fill="F2F3F2"/>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00" w:type="dxa"/>
            <w:vAlign w:val="bottom"/>
            <w:shd w:val="clear" w:color="auto" w:fill="F2F3F2"/>
          </w:tcPr>
          <w:p>
            <w:pPr>
              <w:spacing w:after="0"/>
              <w:rPr>
                <w:sz w:val="15"/>
                <w:szCs w:val="15"/>
                <w:color w:val="auto"/>
              </w:rPr>
            </w:pPr>
          </w:p>
        </w:tc>
        <w:tc>
          <w:tcPr>
            <w:tcW w:w="2860" w:type="dxa"/>
            <w:vAlign w:val="bottom"/>
            <w:vMerge w:val="restart"/>
            <w:shd w:val="clear" w:color="auto" w:fill="F2F3F2"/>
          </w:tcPr>
          <w:p>
            <w:pPr>
              <w:jc w:val="center"/>
              <w:ind w:right="29"/>
              <w:spacing w:after="0"/>
              <w:rPr>
                <w:sz w:val="20"/>
                <w:szCs w:val="20"/>
                <w:color w:val="auto"/>
              </w:rPr>
            </w:pPr>
            <w:r>
              <w:rPr>
                <w:rFonts w:ascii="Arial" w:cs="Arial" w:eastAsia="Arial" w:hAnsi="Arial"/>
                <w:sz w:val="25"/>
                <w:szCs w:val="25"/>
                <w:color w:val="6AAA37"/>
              </w:rPr>
              <w:t>Work For</w:t>
            </w:r>
          </w:p>
        </w:tc>
        <w:tc>
          <w:tcPr>
            <w:tcW w:w="100" w:type="dxa"/>
            <w:vAlign w:val="bottom"/>
            <w:tcBorders>
              <w:right w:val="single" w:sz="8" w:color="B2B3B6"/>
            </w:tcBorders>
            <w:shd w:val="clear" w:color="auto" w:fill="F2F3F2"/>
          </w:tcPr>
          <w:p>
            <w:pPr>
              <w:spacing w:after="0"/>
              <w:rPr>
                <w:sz w:val="15"/>
                <w:szCs w:val="15"/>
                <w:color w:val="auto"/>
              </w:rPr>
            </w:pPr>
          </w:p>
        </w:tc>
        <w:tc>
          <w:tcPr>
            <w:tcW w:w="80" w:type="dxa"/>
            <w:vAlign w:val="bottom"/>
            <w:shd w:val="clear" w:color="auto" w:fill="F2F3F2"/>
          </w:tcPr>
          <w:p>
            <w:pPr>
              <w:spacing w:after="0"/>
              <w:rPr>
                <w:sz w:val="15"/>
                <w:szCs w:val="15"/>
                <w:color w:val="auto"/>
              </w:rPr>
            </w:pPr>
          </w:p>
        </w:tc>
        <w:tc>
          <w:tcPr>
            <w:tcW w:w="2840" w:type="dxa"/>
            <w:vAlign w:val="bottom"/>
            <w:vMerge w:val="restart"/>
            <w:shd w:val="clear" w:color="auto" w:fill="F2F3F2"/>
          </w:tcPr>
          <w:p>
            <w:pPr>
              <w:ind w:left="120"/>
              <w:spacing w:after="0"/>
              <w:rPr>
                <w:sz w:val="20"/>
                <w:szCs w:val="20"/>
                <w:color w:val="auto"/>
              </w:rPr>
            </w:pPr>
            <w:r>
              <w:rPr>
                <w:rFonts w:ascii="Arial" w:cs="Arial" w:eastAsia="Arial" w:hAnsi="Arial"/>
                <w:sz w:val="25"/>
                <w:szCs w:val="25"/>
                <w:color w:val="6AAA37"/>
              </w:rPr>
              <w:t>Work for Supporting</w:t>
            </w:r>
          </w:p>
        </w:tc>
        <w:tc>
          <w:tcPr>
            <w:tcW w:w="100" w:type="dxa"/>
            <w:vAlign w:val="bottom"/>
            <w:tcBorders>
              <w:right w:val="single" w:sz="8" w:color="B2B3B6"/>
            </w:tcBorders>
            <w:shd w:val="clear" w:color="auto" w:fill="F2F3F2"/>
          </w:tcPr>
          <w:p>
            <w:pPr>
              <w:spacing w:after="0"/>
              <w:rPr>
                <w:sz w:val="15"/>
                <w:szCs w:val="15"/>
                <w:color w:val="auto"/>
              </w:rPr>
            </w:pPr>
          </w:p>
        </w:tc>
        <w:tc>
          <w:tcPr>
            <w:tcW w:w="80" w:type="dxa"/>
            <w:vAlign w:val="bottom"/>
            <w:shd w:val="clear" w:color="auto" w:fill="F2F3F2"/>
          </w:tcPr>
          <w:p>
            <w:pPr>
              <w:spacing w:after="0"/>
              <w:rPr>
                <w:sz w:val="15"/>
                <w:szCs w:val="15"/>
                <w:color w:val="auto"/>
              </w:rPr>
            </w:pPr>
          </w:p>
        </w:tc>
        <w:tc>
          <w:tcPr>
            <w:tcW w:w="2820" w:type="dxa"/>
            <w:vAlign w:val="bottom"/>
            <w:vMerge w:val="continue"/>
            <w:shd w:val="clear" w:color="auto" w:fill="F2F3F2"/>
          </w:tcPr>
          <w:p>
            <w:pPr>
              <w:spacing w:after="0"/>
              <w:rPr>
                <w:sz w:val="15"/>
                <w:szCs w:val="15"/>
                <w:color w:val="auto"/>
              </w:rPr>
            </w:pPr>
          </w:p>
        </w:tc>
        <w:tc>
          <w:tcPr>
            <w:tcW w:w="100" w:type="dxa"/>
            <w:vAlign w:val="bottom"/>
            <w:shd w:val="clear" w:color="auto" w:fill="F2F3F2"/>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00" w:type="dxa"/>
            <w:vAlign w:val="bottom"/>
            <w:shd w:val="clear" w:color="auto" w:fill="F2F3F2"/>
          </w:tcPr>
          <w:p>
            <w:pPr>
              <w:spacing w:after="0"/>
              <w:rPr>
                <w:sz w:val="14"/>
                <w:szCs w:val="14"/>
                <w:color w:val="auto"/>
              </w:rPr>
            </w:pPr>
          </w:p>
        </w:tc>
        <w:tc>
          <w:tcPr>
            <w:tcW w:w="2860" w:type="dxa"/>
            <w:vAlign w:val="bottom"/>
            <w:vMerge w:val="continue"/>
            <w:shd w:val="clear" w:color="auto" w:fill="F2F3F2"/>
          </w:tcPr>
          <w:p>
            <w:pPr>
              <w:spacing w:after="0"/>
              <w:rPr>
                <w:sz w:val="14"/>
                <w:szCs w:val="14"/>
                <w:color w:val="auto"/>
              </w:rPr>
            </w:pPr>
          </w:p>
        </w:tc>
        <w:tc>
          <w:tcPr>
            <w:tcW w:w="100" w:type="dxa"/>
            <w:vAlign w:val="bottom"/>
            <w:tcBorders>
              <w:right w:val="single" w:sz="8" w:color="B2B3B6"/>
            </w:tcBorders>
            <w:shd w:val="clear" w:color="auto" w:fill="F2F3F2"/>
          </w:tcPr>
          <w:p>
            <w:pPr>
              <w:spacing w:after="0"/>
              <w:rPr>
                <w:sz w:val="14"/>
                <w:szCs w:val="14"/>
                <w:color w:val="auto"/>
              </w:rPr>
            </w:pPr>
          </w:p>
        </w:tc>
        <w:tc>
          <w:tcPr>
            <w:tcW w:w="80" w:type="dxa"/>
            <w:vAlign w:val="bottom"/>
            <w:shd w:val="clear" w:color="auto" w:fill="F2F3F2"/>
          </w:tcPr>
          <w:p>
            <w:pPr>
              <w:spacing w:after="0"/>
              <w:rPr>
                <w:sz w:val="14"/>
                <w:szCs w:val="14"/>
                <w:color w:val="auto"/>
              </w:rPr>
            </w:pPr>
          </w:p>
        </w:tc>
        <w:tc>
          <w:tcPr>
            <w:tcW w:w="2840" w:type="dxa"/>
            <w:vAlign w:val="bottom"/>
            <w:vMerge w:val="continue"/>
            <w:shd w:val="clear" w:color="auto" w:fill="F2F3F2"/>
          </w:tcPr>
          <w:p>
            <w:pPr>
              <w:spacing w:after="0"/>
              <w:rPr>
                <w:sz w:val="14"/>
                <w:szCs w:val="14"/>
                <w:color w:val="auto"/>
              </w:rPr>
            </w:pPr>
          </w:p>
        </w:tc>
        <w:tc>
          <w:tcPr>
            <w:tcW w:w="100" w:type="dxa"/>
            <w:vAlign w:val="bottom"/>
            <w:tcBorders>
              <w:right w:val="single" w:sz="8" w:color="B2B3B6"/>
            </w:tcBorders>
            <w:shd w:val="clear" w:color="auto" w:fill="F2F3F2"/>
          </w:tcPr>
          <w:p>
            <w:pPr>
              <w:spacing w:after="0"/>
              <w:rPr>
                <w:sz w:val="14"/>
                <w:szCs w:val="14"/>
                <w:color w:val="auto"/>
              </w:rPr>
            </w:pPr>
          </w:p>
        </w:tc>
        <w:tc>
          <w:tcPr>
            <w:tcW w:w="80" w:type="dxa"/>
            <w:vAlign w:val="bottom"/>
            <w:shd w:val="clear" w:color="auto" w:fill="F2F3F2"/>
          </w:tcPr>
          <w:p>
            <w:pPr>
              <w:spacing w:after="0"/>
              <w:rPr>
                <w:sz w:val="14"/>
                <w:szCs w:val="14"/>
                <w:color w:val="auto"/>
              </w:rPr>
            </w:pPr>
          </w:p>
        </w:tc>
        <w:tc>
          <w:tcPr>
            <w:tcW w:w="2820" w:type="dxa"/>
            <w:vAlign w:val="bottom"/>
            <w:vMerge w:val="restart"/>
            <w:shd w:val="clear" w:color="auto" w:fill="F2F3F2"/>
          </w:tcPr>
          <w:p>
            <w:pPr>
              <w:jc w:val="center"/>
              <w:ind w:right="128"/>
              <w:spacing w:after="0"/>
              <w:rPr>
                <w:sz w:val="20"/>
                <w:szCs w:val="20"/>
                <w:color w:val="auto"/>
              </w:rPr>
            </w:pPr>
            <w:r>
              <w:rPr>
                <w:rFonts w:ascii="Arial" w:cs="Arial" w:eastAsia="Arial" w:hAnsi="Arial"/>
                <w:sz w:val="25"/>
                <w:szCs w:val="25"/>
                <w:color w:val="6AAA37"/>
              </w:rPr>
              <w:t>Internships 2024</w:t>
            </w:r>
          </w:p>
        </w:tc>
        <w:tc>
          <w:tcPr>
            <w:tcW w:w="100" w:type="dxa"/>
            <w:vAlign w:val="bottom"/>
            <w:shd w:val="clear" w:color="auto" w:fill="F2F3F2"/>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00" w:type="dxa"/>
            <w:vAlign w:val="bottom"/>
            <w:shd w:val="clear" w:color="auto" w:fill="F2F3F2"/>
          </w:tcPr>
          <w:p>
            <w:pPr>
              <w:spacing w:after="0"/>
              <w:rPr>
                <w:sz w:val="14"/>
                <w:szCs w:val="14"/>
                <w:color w:val="auto"/>
              </w:rPr>
            </w:pPr>
          </w:p>
        </w:tc>
        <w:tc>
          <w:tcPr>
            <w:tcW w:w="2860" w:type="dxa"/>
            <w:vAlign w:val="bottom"/>
            <w:vMerge w:val="restart"/>
            <w:shd w:val="clear" w:color="auto" w:fill="F2F3F2"/>
          </w:tcPr>
          <w:p>
            <w:pPr>
              <w:jc w:val="center"/>
              <w:ind w:right="9"/>
              <w:spacing w:after="0"/>
              <w:rPr>
                <w:sz w:val="20"/>
                <w:szCs w:val="20"/>
                <w:color w:val="auto"/>
              </w:rPr>
            </w:pPr>
            <w:r>
              <w:rPr>
                <w:rFonts w:ascii="Arial" w:cs="Arial" w:eastAsia="Arial" w:hAnsi="Arial"/>
                <w:sz w:val="25"/>
                <w:szCs w:val="25"/>
                <w:color w:val="6AAA37"/>
              </w:rPr>
              <w:t>2024 - 2025</w:t>
            </w:r>
          </w:p>
        </w:tc>
        <w:tc>
          <w:tcPr>
            <w:tcW w:w="100" w:type="dxa"/>
            <w:vAlign w:val="bottom"/>
            <w:tcBorders>
              <w:right w:val="single" w:sz="8" w:color="B2B3B6"/>
            </w:tcBorders>
            <w:shd w:val="clear" w:color="auto" w:fill="F2F3F2"/>
          </w:tcPr>
          <w:p>
            <w:pPr>
              <w:spacing w:after="0"/>
              <w:rPr>
                <w:sz w:val="14"/>
                <w:szCs w:val="14"/>
                <w:color w:val="auto"/>
              </w:rPr>
            </w:pPr>
          </w:p>
        </w:tc>
        <w:tc>
          <w:tcPr>
            <w:tcW w:w="80" w:type="dxa"/>
            <w:vAlign w:val="bottom"/>
            <w:shd w:val="clear" w:color="auto" w:fill="F2F3F2"/>
          </w:tcPr>
          <w:p>
            <w:pPr>
              <w:spacing w:after="0"/>
              <w:rPr>
                <w:sz w:val="14"/>
                <w:szCs w:val="14"/>
                <w:color w:val="auto"/>
              </w:rPr>
            </w:pPr>
          </w:p>
        </w:tc>
        <w:tc>
          <w:tcPr>
            <w:tcW w:w="2840" w:type="dxa"/>
            <w:vAlign w:val="bottom"/>
            <w:vMerge w:val="restart"/>
            <w:shd w:val="clear" w:color="auto" w:fill="F2F3F2"/>
          </w:tcPr>
          <w:p>
            <w:pPr>
              <w:jc w:val="center"/>
              <w:ind w:right="146"/>
              <w:spacing w:after="0"/>
              <w:rPr>
                <w:sz w:val="20"/>
                <w:szCs w:val="20"/>
                <w:color w:val="auto"/>
              </w:rPr>
            </w:pPr>
            <w:r>
              <w:rPr>
                <w:rFonts w:ascii="Arial" w:cs="Arial" w:eastAsia="Arial" w:hAnsi="Arial"/>
                <w:sz w:val="25"/>
                <w:szCs w:val="25"/>
                <w:color w:val="6AAA37"/>
              </w:rPr>
              <w:t>Family Caregiving</w:t>
            </w:r>
          </w:p>
        </w:tc>
        <w:tc>
          <w:tcPr>
            <w:tcW w:w="100" w:type="dxa"/>
            <w:vAlign w:val="bottom"/>
            <w:tcBorders>
              <w:right w:val="single" w:sz="8" w:color="B2B3B6"/>
            </w:tcBorders>
            <w:shd w:val="clear" w:color="auto" w:fill="F2F3F2"/>
          </w:tcPr>
          <w:p>
            <w:pPr>
              <w:spacing w:after="0"/>
              <w:rPr>
                <w:sz w:val="14"/>
                <w:szCs w:val="14"/>
                <w:color w:val="auto"/>
              </w:rPr>
            </w:pPr>
          </w:p>
        </w:tc>
        <w:tc>
          <w:tcPr>
            <w:tcW w:w="80" w:type="dxa"/>
            <w:vAlign w:val="bottom"/>
            <w:shd w:val="clear" w:color="auto" w:fill="F2F3F2"/>
          </w:tcPr>
          <w:p>
            <w:pPr>
              <w:spacing w:after="0"/>
              <w:rPr>
                <w:sz w:val="14"/>
                <w:szCs w:val="14"/>
                <w:color w:val="auto"/>
              </w:rPr>
            </w:pPr>
          </w:p>
        </w:tc>
        <w:tc>
          <w:tcPr>
            <w:tcW w:w="2820" w:type="dxa"/>
            <w:vAlign w:val="bottom"/>
            <w:vMerge w:val="continue"/>
            <w:shd w:val="clear" w:color="auto" w:fill="F2F3F2"/>
          </w:tcPr>
          <w:p>
            <w:pPr>
              <w:spacing w:after="0"/>
              <w:rPr>
                <w:sz w:val="14"/>
                <w:szCs w:val="14"/>
                <w:color w:val="auto"/>
              </w:rPr>
            </w:pPr>
          </w:p>
        </w:tc>
        <w:tc>
          <w:tcPr>
            <w:tcW w:w="100" w:type="dxa"/>
            <w:vAlign w:val="bottom"/>
            <w:shd w:val="clear" w:color="auto" w:fill="F2F3F2"/>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100" w:type="dxa"/>
            <w:vAlign w:val="bottom"/>
            <w:tcBorders>
              <w:bottom w:val="single" w:sz="8" w:color="F2F3F2"/>
            </w:tcBorders>
            <w:shd w:val="clear" w:color="auto" w:fill="F2F3F2"/>
          </w:tcPr>
          <w:p>
            <w:pPr>
              <w:spacing w:after="0"/>
              <w:rPr>
                <w:sz w:val="19"/>
                <w:szCs w:val="19"/>
                <w:color w:val="auto"/>
              </w:rPr>
            </w:pPr>
          </w:p>
        </w:tc>
        <w:tc>
          <w:tcPr>
            <w:tcW w:w="2860" w:type="dxa"/>
            <w:vAlign w:val="bottom"/>
            <w:tcBorders>
              <w:bottom w:val="single" w:sz="8" w:color="F2F3F2"/>
            </w:tcBorders>
            <w:vMerge w:val="continue"/>
            <w:shd w:val="clear" w:color="auto" w:fill="F2F3F2"/>
          </w:tcPr>
          <w:p>
            <w:pPr>
              <w:spacing w:after="0"/>
              <w:rPr>
                <w:sz w:val="19"/>
                <w:szCs w:val="19"/>
                <w:color w:val="auto"/>
              </w:rPr>
            </w:pPr>
          </w:p>
        </w:tc>
        <w:tc>
          <w:tcPr>
            <w:tcW w:w="100" w:type="dxa"/>
            <w:vAlign w:val="bottom"/>
            <w:tcBorders>
              <w:bottom w:val="single" w:sz="8" w:color="F2F3F2"/>
              <w:right w:val="single" w:sz="8" w:color="B2B3B6"/>
            </w:tcBorders>
            <w:shd w:val="clear" w:color="auto" w:fill="F2F3F2"/>
          </w:tcPr>
          <w:p>
            <w:pPr>
              <w:spacing w:after="0"/>
              <w:rPr>
                <w:sz w:val="19"/>
                <w:szCs w:val="19"/>
                <w:color w:val="auto"/>
              </w:rPr>
            </w:pPr>
          </w:p>
        </w:tc>
        <w:tc>
          <w:tcPr>
            <w:tcW w:w="80" w:type="dxa"/>
            <w:vAlign w:val="bottom"/>
            <w:tcBorders>
              <w:bottom w:val="single" w:sz="8" w:color="F2F3F2"/>
            </w:tcBorders>
            <w:shd w:val="clear" w:color="auto" w:fill="F2F3F2"/>
          </w:tcPr>
          <w:p>
            <w:pPr>
              <w:spacing w:after="0"/>
              <w:rPr>
                <w:sz w:val="19"/>
                <w:szCs w:val="19"/>
                <w:color w:val="auto"/>
              </w:rPr>
            </w:pPr>
          </w:p>
        </w:tc>
        <w:tc>
          <w:tcPr>
            <w:tcW w:w="2840" w:type="dxa"/>
            <w:vAlign w:val="bottom"/>
            <w:tcBorders>
              <w:bottom w:val="single" w:sz="8" w:color="F2F3F2"/>
            </w:tcBorders>
            <w:vMerge w:val="continue"/>
            <w:shd w:val="clear" w:color="auto" w:fill="F2F3F2"/>
          </w:tcPr>
          <w:p>
            <w:pPr>
              <w:spacing w:after="0"/>
              <w:rPr>
                <w:sz w:val="19"/>
                <w:szCs w:val="19"/>
                <w:color w:val="auto"/>
              </w:rPr>
            </w:pPr>
          </w:p>
        </w:tc>
        <w:tc>
          <w:tcPr>
            <w:tcW w:w="100" w:type="dxa"/>
            <w:vAlign w:val="bottom"/>
            <w:tcBorders>
              <w:bottom w:val="single" w:sz="8" w:color="F2F3F2"/>
              <w:right w:val="single" w:sz="8" w:color="B2B3B6"/>
            </w:tcBorders>
            <w:shd w:val="clear" w:color="auto" w:fill="F2F3F2"/>
          </w:tcPr>
          <w:p>
            <w:pPr>
              <w:spacing w:after="0"/>
              <w:rPr>
                <w:sz w:val="19"/>
                <w:szCs w:val="19"/>
                <w:color w:val="auto"/>
              </w:rPr>
            </w:pPr>
          </w:p>
        </w:tc>
        <w:tc>
          <w:tcPr>
            <w:tcW w:w="80" w:type="dxa"/>
            <w:vAlign w:val="bottom"/>
            <w:tcBorders>
              <w:bottom w:val="single" w:sz="8" w:color="F2F3F2"/>
            </w:tcBorders>
            <w:shd w:val="clear" w:color="auto" w:fill="F2F3F2"/>
          </w:tcPr>
          <w:p>
            <w:pPr>
              <w:spacing w:after="0"/>
              <w:rPr>
                <w:sz w:val="19"/>
                <w:szCs w:val="19"/>
                <w:color w:val="auto"/>
              </w:rPr>
            </w:pPr>
          </w:p>
        </w:tc>
        <w:tc>
          <w:tcPr>
            <w:tcW w:w="2820" w:type="dxa"/>
            <w:vAlign w:val="bottom"/>
            <w:tcBorders>
              <w:bottom w:val="single" w:sz="8" w:color="F2F3F2"/>
            </w:tcBorders>
            <w:shd w:val="clear" w:color="auto" w:fill="F2F3F2"/>
          </w:tcPr>
          <w:p>
            <w:pPr>
              <w:spacing w:after="0"/>
              <w:rPr>
                <w:sz w:val="19"/>
                <w:szCs w:val="19"/>
                <w:color w:val="auto"/>
              </w:rPr>
            </w:pPr>
          </w:p>
        </w:tc>
        <w:tc>
          <w:tcPr>
            <w:tcW w:w="100" w:type="dxa"/>
            <w:vAlign w:val="bottom"/>
            <w:tcBorders>
              <w:bottom w:val="single" w:sz="8" w:color="F2F3F2"/>
            </w:tcBorders>
            <w:shd w:val="clear" w:color="auto" w:fill="F2F3F2"/>
          </w:tcPr>
          <w:p>
            <w:pPr>
              <w:spacing w:after="0"/>
              <w:rPr>
                <w:sz w:val="19"/>
                <w:szCs w:val="19"/>
                <w:color w:val="auto"/>
              </w:rPr>
            </w:pPr>
          </w:p>
        </w:tc>
        <w:tc>
          <w:tcPr>
            <w:tcW w:w="0" w:type="dxa"/>
            <w:vAlign w:val="bottom"/>
          </w:tcPr>
          <w:p>
            <w:pPr>
              <w:spacing w:after="0"/>
              <w:rPr>
                <w:sz w:val="1"/>
                <w:szCs w:val="1"/>
                <w:color w:val="auto"/>
              </w:rPr>
            </w:pPr>
          </w:p>
        </w:tc>
      </w:tr>
      <w:tr>
        <w:trPr>
          <w:trHeight w:val="303"/>
        </w:trPr>
        <w:tc>
          <w:tcPr>
            <w:tcW w:w="100" w:type="dxa"/>
            <w:vAlign w:val="bottom"/>
            <w:shd w:val="clear" w:color="auto" w:fill="F2F3F2"/>
          </w:tcPr>
          <w:p>
            <w:pPr>
              <w:spacing w:after="0"/>
              <w:rPr>
                <w:sz w:val="24"/>
                <w:szCs w:val="24"/>
                <w:color w:val="auto"/>
              </w:rPr>
            </w:pPr>
          </w:p>
        </w:tc>
        <w:tc>
          <w:tcPr>
            <w:tcW w:w="2860" w:type="dxa"/>
            <w:vAlign w:val="bottom"/>
            <w:shd w:val="clear" w:color="auto" w:fill="00558C"/>
          </w:tcPr>
          <w:p>
            <w:pPr>
              <w:jc w:val="center"/>
              <w:ind w:right="69"/>
              <w:spacing w:after="0"/>
              <w:rPr>
                <w:sz w:val="20"/>
                <w:szCs w:val="20"/>
                <w:color w:val="auto"/>
              </w:rPr>
            </w:pPr>
            <w:r>
              <w:rPr>
                <w:rFonts w:ascii="Arial" w:cs="Arial" w:eastAsia="Arial" w:hAnsi="Arial"/>
                <w:sz w:val="16"/>
                <w:szCs w:val="16"/>
                <w:b w:val="1"/>
                <w:bCs w:val="1"/>
                <w:color w:val="FFFFFF"/>
              </w:rPr>
              <w:t>U.S. News &amp; World Report</w:t>
            </w:r>
          </w:p>
        </w:tc>
        <w:tc>
          <w:tcPr>
            <w:tcW w:w="100" w:type="dxa"/>
            <w:vAlign w:val="bottom"/>
            <w:tcBorders>
              <w:right w:val="single" w:sz="8" w:color="B2B3B6"/>
            </w:tcBorders>
            <w:shd w:val="clear" w:color="auto" w:fill="F2F3F2"/>
          </w:tcPr>
          <w:p>
            <w:pPr>
              <w:spacing w:after="0"/>
              <w:rPr>
                <w:sz w:val="24"/>
                <w:szCs w:val="24"/>
                <w:color w:val="auto"/>
              </w:rPr>
            </w:pPr>
          </w:p>
        </w:tc>
        <w:tc>
          <w:tcPr>
            <w:tcW w:w="80" w:type="dxa"/>
            <w:vAlign w:val="bottom"/>
            <w:shd w:val="clear" w:color="auto" w:fill="F2F3F2"/>
          </w:tcPr>
          <w:p>
            <w:pPr>
              <w:spacing w:after="0"/>
              <w:rPr>
                <w:sz w:val="24"/>
                <w:szCs w:val="24"/>
                <w:color w:val="auto"/>
              </w:rPr>
            </w:pPr>
          </w:p>
        </w:tc>
        <w:tc>
          <w:tcPr>
            <w:tcW w:w="2840" w:type="dxa"/>
            <w:vAlign w:val="bottom"/>
            <w:shd w:val="clear" w:color="auto" w:fill="00558C"/>
          </w:tcPr>
          <w:p>
            <w:pPr>
              <w:jc w:val="center"/>
              <w:ind w:right="66"/>
              <w:spacing w:after="0"/>
              <w:rPr>
                <w:sz w:val="20"/>
                <w:szCs w:val="20"/>
                <w:color w:val="auto"/>
              </w:rPr>
            </w:pPr>
            <w:r>
              <w:rPr>
                <w:rFonts w:ascii="Arial" w:cs="Arial" w:eastAsia="Arial" w:hAnsi="Arial"/>
                <w:sz w:val="16"/>
                <w:szCs w:val="16"/>
                <w:b w:val="1"/>
                <w:bCs w:val="1"/>
                <w:color w:val="FFFFFF"/>
              </w:rPr>
              <w:t>U.S. News &amp; World Report</w:t>
            </w:r>
          </w:p>
        </w:tc>
        <w:tc>
          <w:tcPr>
            <w:tcW w:w="100" w:type="dxa"/>
            <w:vAlign w:val="bottom"/>
            <w:tcBorders>
              <w:right w:val="single" w:sz="8" w:color="B2B3B6"/>
            </w:tcBorders>
            <w:shd w:val="clear" w:color="auto" w:fill="F2F3F2"/>
          </w:tcPr>
          <w:p>
            <w:pPr>
              <w:spacing w:after="0"/>
              <w:rPr>
                <w:sz w:val="24"/>
                <w:szCs w:val="24"/>
                <w:color w:val="auto"/>
              </w:rPr>
            </w:pPr>
          </w:p>
        </w:tc>
        <w:tc>
          <w:tcPr>
            <w:tcW w:w="80" w:type="dxa"/>
            <w:vAlign w:val="bottom"/>
            <w:shd w:val="clear" w:color="auto" w:fill="F2F3F2"/>
          </w:tcPr>
          <w:p>
            <w:pPr>
              <w:spacing w:after="0"/>
              <w:rPr>
                <w:sz w:val="24"/>
                <w:szCs w:val="24"/>
                <w:color w:val="auto"/>
              </w:rPr>
            </w:pPr>
          </w:p>
        </w:tc>
        <w:tc>
          <w:tcPr>
            <w:tcW w:w="2820" w:type="dxa"/>
            <w:vAlign w:val="bottom"/>
            <w:shd w:val="clear" w:color="auto" w:fill="00558C"/>
          </w:tcPr>
          <w:p>
            <w:pPr>
              <w:jc w:val="center"/>
              <w:spacing w:after="0"/>
              <w:rPr>
                <w:sz w:val="20"/>
                <w:szCs w:val="20"/>
                <w:color w:val="auto"/>
              </w:rPr>
            </w:pPr>
            <w:r>
              <w:rPr>
                <w:rFonts w:ascii="Arial" w:cs="Arial" w:eastAsia="Arial" w:hAnsi="Arial"/>
                <w:sz w:val="16"/>
                <w:szCs w:val="16"/>
                <w:b w:val="1"/>
                <w:bCs w:val="1"/>
                <w:color w:val="FFFFFF"/>
              </w:rPr>
              <w:t>Vault</w:t>
            </w:r>
          </w:p>
        </w:tc>
        <w:tc>
          <w:tcPr>
            <w:tcW w:w="100" w:type="dxa"/>
            <w:vAlign w:val="bottom"/>
            <w:shd w:val="clear" w:color="auto" w:fill="F2F3F2"/>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100" w:type="dxa"/>
            <w:vAlign w:val="bottom"/>
            <w:shd w:val="clear" w:color="auto" w:fill="F2F3F2"/>
          </w:tcPr>
          <w:p>
            <w:pPr>
              <w:spacing w:after="0"/>
              <w:rPr>
                <w:sz w:val="6"/>
                <w:szCs w:val="6"/>
                <w:color w:val="auto"/>
              </w:rPr>
            </w:pPr>
          </w:p>
        </w:tc>
        <w:tc>
          <w:tcPr>
            <w:tcW w:w="2860" w:type="dxa"/>
            <w:vAlign w:val="bottom"/>
            <w:shd w:val="clear" w:color="auto" w:fill="00558C"/>
          </w:tcPr>
          <w:p>
            <w:pPr>
              <w:spacing w:after="0"/>
              <w:rPr>
                <w:sz w:val="6"/>
                <w:szCs w:val="6"/>
                <w:color w:val="auto"/>
              </w:rPr>
            </w:pPr>
          </w:p>
        </w:tc>
        <w:tc>
          <w:tcPr>
            <w:tcW w:w="100" w:type="dxa"/>
            <w:vAlign w:val="bottom"/>
            <w:tcBorders>
              <w:right w:val="single" w:sz="8" w:color="B2B3B6"/>
            </w:tcBorders>
            <w:shd w:val="clear" w:color="auto" w:fill="F2F3F2"/>
          </w:tcPr>
          <w:p>
            <w:pPr>
              <w:spacing w:after="0"/>
              <w:rPr>
                <w:sz w:val="6"/>
                <w:szCs w:val="6"/>
                <w:color w:val="auto"/>
              </w:rPr>
            </w:pPr>
          </w:p>
        </w:tc>
        <w:tc>
          <w:tcPr>
            <w:tcW w:w="80" w:type="dxa"/>
            <w:vAlign w:val="bottom"/>
            <w:shd w:val="clear" w:color="auto" w:fill="F2F3F2"/>
          </w:tcPr>
          <w:p>
            <w:pPr>
              <w:spacing w:after="0"/>
              <w:rPr>
                <w:sz w:val="6"/>
                <w:szCs w:val="6"/>
                <w:color w:val="auto"/>
              </w:rPr>
            </w:pPr>
          </w:p>
        </w:tc>
        <w:tc>
          <w:tcPr>
            <w:tcW w:w="2840" w:type="dxa"/>
            <w:vAlign w:val="bottom"/>
            <w:shd w:val="clear" w:color="auto" w:fill="00558C"/>
          </w:tcPr>
          <w:p>
            <w:pPr>
              <w:spacing w:after="0"/>
              <w:rPr>
                <w:sz w:val="6"/>
                <w:szCs w:val="6"/>
                <w:color w:val="auto"/>
              </w:rPr>
            </w:pPr>
          </w:p>
        </w:tc>
        <w:tc>
          <w:tcPr>
            <w:tcW w:w="100" w:type="dxa"/>
            <w:vAlign w:val="bottom"/>
            <w:tcBorders>
              <w:right w:val="single" w:sz="8" w:color="B2B3B6"/>
            </w:tcBorders>
            <w:shd w:val="clear" w:color="auto" w:fill="F2F3F2"/>
          </w:tcPr>
          <w:p>
            <w:pPr>
              <w:spacing w:after="0"/>
              <w:rPr>
                <w:sz w:val="6"/>
                <w:szCs w:val="6"/>
                <w:color w:val="auto"/>
              </w:rPr>
            </w:pPr>
          </w:p>
        </w:tc>
        <w:tc>
          <w:tcPr>
            <w:tcW w:w="80" w:type="dxa"/>
            <w:vAlign w:val="bottom"/>
            <w:shd w:val="clear" w:color="auto" w:fill="F2F3F2"/>
          </w:tcPr>
          <w:p>
            <w:pPr>
              <w:spacing w:after="0"/>
              <w:rPr>
                <w:sz w:val="6"/>
                <w:szCs w:val="6"/>
                <w:color w:val="auto"/>
              </w:rPr>
            </w:pPr>
          </w:p>
        </w:tc>
        <w:tc>
          <w:tcPr>
            <w:tcW w:w="2820" w:type="dxa"/>
            <w:vAlign w:val="bottom"/>
            <w:shd w:val="clear" w:color="auto" w:fill="00558C"/>
          </w:tcPr>
          <w:p>
            <w:pPr>
              <w:spacing w:after="0"/>
              <w:rPr>
                <w:sz w:val="6"/>
                <w:szCs w:val="6"/>
                <w:color w:val="auto"/>
              </w:rPr>
            </w:pPr>
          </w:p>
        </w:tc>
        <w:tc>
          <w:tcPr>
            <w:tcW w:w="100" w:type="dxa"/>
            <w:vAlign w:val="bottom"/>
            <w:shd w:val="clear" w:color="auto" w:fill="F2F3F2"/>
          </w:tcPr>
          <w:p>
            <w:pPr>
              <w:spacing w:after="0"/>
              <w:rPr>
                <w:sz w:val="6"/>
                <w:szCs w:val="6"/>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For additional information on our commitment to our employees and shaping a more sustainable future, refer to our 2024</w:t>
      </w:r>
    </w:p>
    <w:p>
      <w:pPr>
        <w:spacing w:after="0" w:line="381" w:lineRule="exact"/>
        <w:rPr>
          <w:sz w:val="20"/>
          <w:szCs w:val="20"/>
          <w:color w:val="auto"/>
        </w:rPr>
      </w:pPr>
    </w:p>
    <w:p>
      <w:pPr>
        <w:ind w:right="40" w:firstLine="8"/>
        <w:spacing w:after="0" w:line="271" w:lineRule="auto"/>
        <w:tabs>
          <w:tab w:leader="none" w:pos="90" w:val="left"/>
        </w:tabs>
        <w:numPr>
          <w:ilvl w:val="0"/>
          <w:numId w:val="65"/>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See Appendix C for the definitions of adjusted EBITDA margin, adjusted diluted earnings per share and free cash flows, and other non-GAAP financial measures included in this Proxy Statement, as well as their reconciliation to the most directly comparable GAAP financial measure.</w:t>
      </w:r>
    </w:p>
    <w:p>
      <w:pPr>
        <w:spacing w:after="0" w:line="296" w:lineRule="exact"/>
        <w:rPr>
          <w:sz w:val="20"/>
          <w:szCs w:val="20"/>
          <w:color w:val="auto"/>
        </w:rPr>
      </w:pPr>
    </w:p>
    <w:p>
      <w:pPr>
        <w:ind w:left="60"/>
        <w:spacing w:after="0"/>
        <w:tabs>
          <w:tab w:leader="none" w:pos="444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13"/>
          <w:szCs w:val="13"/>
          <w:b w:val="1"/>
          <w:bCs w:val="1"/>
          <w:color w:val="00558C"/>
        </w:rPr>
        <w:t>36</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420370</wp:posOffset>
            </wp:positionV>
            <wp:extent cx="6810375" cy="35052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10375" cy="3505200"/>
                    </a:xfrm>
                    <a:prstGeom prst="rect">
                      <a:avLst/>
                    </a:prstGeom>
                    <a:noFill/>
                  </pic:spPr>
                </pic:pic>
              </a:graphicData>
            </a:graphic>
          </wp:anchor>
        </w:drawing>
      </w:r>
    </w:p>
    <w:p>
      <w:pPr>
        <w:sectPr>
          <w:pgSz w:w="11900" w:h="16838" w:orient="portrait"/>
          <w:cols w:equalWidth="0" w:num="1">
            <w:col w:w="9080"/>
          </w:cols>
          <w:pgMar w:left="1400" w:top="33" w:right="1419" w:bottom="18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0"/>
        <w:spacing w:after="0" w:line="274" w:lineRule="auto"/>
        <w:rPr>
          <w:sz w:val="20"/>
          <w:szCs w:val="20"/>
          <w:color w:val="auto"/>
        </w:rPr>
      </w:pPr>
      <w:r>
        <w:rPr>
          <w:rFonts w:ascii="Arial" w:cs="Arial" w:eastAsia="Arial" w:hAnsi="Arial"/>
          <w:sz w:val="13"/>
          <w:szCs w:val="13"/>
          <w:b w:val="1"/>
          <w:bCs w:val="1"/>
          <w:color w:val="B2B3B6"/>
        </w:rPr>
        <w:t>General Proposal Information 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line="274" w:lineRule="auto"/>
        <w:rPr>
          <w:sz w:val="20"/>
          <w:szCs w:val="20"/>
          <w:color w:val="auto"/>
        </w:rPr>
      </w:pPr>
      <w:r>
        <w:rPr>
          <w:rFonts w:ascii="Arial" w:cs="Arial" w:eastAsia="Arial" w:hAnsi="Arial"/>
          <w:sz w:val="13"/>
          <w:szCs w:val="13"/>
          <w:b w:val="1"/>
          <w:bCs w:val="1"/>
          <w:color w:val="B2B3B6"/>
        </w:rPr>
        <w:t xml:space="preserve">Corporate Proposal </w:t>
      </w:r>
      <w:r>
        <w:rPr>
          <w:rFonts w:ascii="Arial" w:cs="Arial" w:eastAsia="Arial" w:hAnsi="Arial"/>
          <w:sz w:val="13"/>
          <w:szCs w:val="13"/>
          <w:b w:val="1"/>
          <w:bCs w:val="1"/>
          <w:color w:val="6AAA37"/>
        </w:rPr>
        <w:t>Executive</w:t>
      </w:r>
      <w:r>
        <w:rPr>
          <w:rFonts w:ascii="Arial" w:cs="Arial" w:eastAsia="Arial" w:hAnsi="Arial"/>
          <w:sz w:val="13"/>
          <w:szCs w:val="13"/>
          <w:b w:val="1"/>
          <w:bCs w:val="1"/>
          <w:color w:val="B2B3B6"/>
        </w:rPr>
        <w:t xml:space="preserve"> Governance Two </w:t>
      </w:r>
      <w:r>
        <w:rPr>
          <w:rFonts w:ascii="Arial" w:cs="Arial" w:eastAsia="Arial" w:hAnsi="Arial"/>
          <w:sz w:val="13"/>
          <w:szCs w:val="13"/>
          <w:b w:val="1"/>
          <w:bCs w:val="1"/>
          <w:color w:val="6AAA37"/>
        </w:rPr>
        <w:t>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200"/>
        <w:spacing w:after="0" w:line="274" w:lineRule="auto"/>
        <w:rPr>
          <w:sz w:val="20"/>
          <w:szCs w:val="20"/>
          <w:color w:val="auto"/>
        </w:rPr>
      </w:pPr>
      <w:r>
        <w:rPr>
          <w:rFonts w:ascii="Arial" w:cs="Arial" w:eastAsia="Arial" w:hAnsi="Arial"/>
          <w:sz w:val="13"/>
          <w:szCs w:val="13"/>
          <w:b w:val="1"/>
          <w:bCs w:val="1"/>
          <w:color w:val="B2B3B6"/>
        </w:rPr>
        <w:t>Proposal Proposal Proposal Stockholder Other Three Four Five Proposals Matters</w:t>
      </w:r>
    </w:p>
    <w:p>
      <w:pPr>
        <w:spacing w:after="0" w:line="200" w:lineRule="exact"/>
        <w:rPr>
          <w:sz w:val="20"/>
          <w:szCs w:val="20"/>
          <w:color w:val="auto"/>
        </w:rPr>
      </w:pPr>
    </w:p>
    <w:p>
      <w:pPr>
        <w:sectPr>
          <w:pgSz w:w="11900" w:h="16838" w:orient="portrait"/>
          <w:cols w:equalWidth="0" w:num="3">
            <w:col w:w="1600" w:space="300"/>
            <w:col w:w="2700" w:space="320"/>
            <w:col w:w="4160"/>
          </w:cols>
          <w:pgMar w:left="1400" w:top="33" w:right="1419" w:bottom="189" w:gutter="0" w:footer="0" w:header="0"/>
          <w:type w:val="continuous"/>
        </w:sectPr>
      </w:pPr>
    </w:p>
    <w:p>
      <w:pPr>
        <w:spacing w:after="0" w:line="70" w:lineRule="exact"/>
        <w:rPr>
          <w:sz w:val="20"/>
          <w:szCs w:val="20"/>
          <w:color w:val="auto"/>
        </w:rPr>
      </w:pPr>
    </w:p>
    <w:p>
      <w:pPr>
        <w:ind w:right="300"/>
        <w:spacing w:after="0" w:line="301" w:lineRule="auto"/>
        <w:rPr>
          <w:sz w:val="20"/>
          <w:szCs w:val="20"/>
          <w:color w:val="auto"/>
        </w:rPr>
      </w:pPr>
      <w:r>
        <w:rPr>
          <w:rFonts w:ascii="Arial" w:cs="Arial" w:eastAsia="Arial" w:hAnsi="Arial"/>
          <w:sz w:val="16"/>
          <w:szCs w:val="16"/>
          <w:color w:val="auto"/>
        </w:rPr>
        <w:t>Corporate Social Responsibility Report which is available on our investor relations website located at https:// ir.huronconsultinggroup.com. Please note that information contained on our website is not incorporated by reference in this Proxy Statement or considered to be part of this document.</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00558C"/>
        </w:rPr>
        <w:t>Executive  Compensation Philosophy</w:t>
      </w:r>
    </w:p>
    <w:p>
      <w:pPr>
        <w:spacing w:after="0" w:line="11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Huron's growth, distinctive integrated operating model, and continued development of leadership in global regions strategically positions the Company to identify, attract, hire and retain the caliber of leaders needed to meet our strategic objectives. Therefore, it is imperative that Huron’s executives exemplify the company’s values and leadership principles, while possessing the expertise and experience necessary to successfully lead and engage a growing organization operating across multiple countries, each with its own unique business, economic, and regulatory landscape. As such, our compensation philosophy is focused on motivating and effectively rewarding our executives for their significant contributions, while aligning their interests with the Company and our stockholders.</w:t>
      </w:r>
    </w:p>
    <w:p>
      <w:pPr>
        <w:spacing w:after="0" w:line="112" w:lineRule="exact"/>
        <w:rPr>
          <w:sz w:val="20"/>
          <w:szCs w:val="20"/>
          <w:color w:val="auto"/>
        </w:rPr>
      </w:pPr>
    </w:p>
    <w:p>
      <w:pPr>
        <w:ind w:right="80"/>
        <w:spacing w:after="0" w:line="300" w:lineRule="auto"/>
        <w:rPr>
          <w:sz w:val="20"/>
          <w:szCs w:val="20"/>
          <w:color w:val="auto"/>
        </w:rPr>
      </w:pPr>
      <w:r>
        <w:rPr>
          <w:rFonts w:ascii="Arial" w:cs="Arial" w:eastAsia="Arial" w:hAnsi="Arial"/>
          <w:sz w:val="16"/>
          <w:szCs w:val="16"/>
          <w:color w:val="auto"/>
        </w:rPr>
        <w:t>Huron’s Compensation Committee aligns our executives’ interests with the Company and stockholders through a careful and robust pay-for-performance compensation program, while also minimizing the potential for excessive risk-taking through thorough oversight and governance practices. When determining 2024 executive compensation target levels and payouts, the Compensation Committee was guided by the following principles and objectives:</w:t>
      </w:r>
    </w:p>
    <w:p>
      <w:pPr>
        <w:sectPr>
          <w:pgSz w:w="11900" w:h="16838" w:orient="portrait"/>
          <w:cols w:equalWidth="0" w:num="1">
            <w:col w:w="9080"/>
          </w:cols>
          <w:pgMar w:left="1400" w:top="33" w:right="1419" w:bottom="189" w:gutter="0" w:footer="0" w:header="0"/>
          <w:type w:val="continuous"/>
        </w:sectPr>
      </w:pPr>
    </w:p>
    <w:bookmarkStart w:id="42" w:name="page43"/>
    <w:bookmarkEnd w:id="42"/>
    <w:p>
      <w:pPr>
        <w:spacing w:after="0" w:line="3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5351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10375" cy="53511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10"/>
        </w:trPr>
        <w:tc>
          <w:tcPr>
            <w:tcW w:w="2160" w:type="dxa"/>
            <w:vAlign w:val="bottom"/>
            <w:shd w:val="clear" w:color="auto" w:fill="F2F3F2"/>
          </w:tcPr>
          <w:p>
            <w:pPr>
              <w:ind w:left="140"/>
              <w:spacing w:after="0" w:line="390" w:lineRule="exact"/>
              <w:rPr>
                <w:sz w:val="20"/>
                <w:szCs w:val="20"/>
                <w:color w:val="auto"/>
              </w:rPr>
            </w:pPr>
            <w:r>
              <w:rPr>
                <w:rFonts w:ascii="Arial" w:cs="Arial" w:eastAsia="Arial" w:hAnsi="Arial"/>
                <w:sz w:val="43"/>
                <w:szCs w:val="43"/>
                <w:b w:val="1"/>
                <w:bCs w:val="1"/>
                <w:color w:val="00558C"/>
              </w:rPr>
              <w:t>1</w:t>
            </w:r>
          </w:p>
        </w:tc>
        <w:tc>
          <w:tcPr>
            <w:tcW w:w="2380" w:type="dxa"/>
            <w:vAlign w:val="bottom"/>
            <w:tcBorders>
              <w:right w:val="single" w:sz="8" w:color="F2F3F2"/>
            </w:tcBorders>
            <w:gridSpan w:val="3"/>
            <w:shd w:val="clear" w:color="auto" w:fill="F2F3F2"/>
          </w:tcPr>
          <w:p>
            <w:pPr>
              <w:ind w:left="240"/>
              <w:spacing w:after="0" w:line="390" w:lineRule="exact"/>
              <w:rPr>
                <w:sz w:val="20"/>
                <w:szCs w:val="20"/>
                <w:color w:val="auto"/>
              </w:rPr>
            </w:pPr>
            <w:r>
              <w:rPr>
                <w:rFonts w:ascii="Arial" w:cs="Arial" w:eastAsia="Arial" w:hAnsi="Arial"/>
                <w:sz w:val="43"/>
                <w:szCs w:val="43"/>
                <w:b w:val="1"/>
                <w:bCs w:val="1"/>
                <w:color w:val="00558C"/>
              </w:rPr>
              <w:t>2</w:t>
            </w:r>
          </w:p>
        </w:tc>
        <w:tc>
          <w:tcPr>
            <w:tcW w:w="2260" w:type="dxa"/>
            <w:vAlign w:val="bottom"/>
            <w:tcBorders>
              <w:right w:val="single" w:sz="8" w:color="F2F3F2"/>
            </w:tcBorders>
            <w:shd w:val="clear" w:color="auto" w:fill="F2F3F2"/>
          </w:tcPr>
          <w:p>
            <w:pPr>
              <w:ind w:left="120"/>
              <w:spacing w:after="0" w:line="390" w:lineRule="exact"/>
              <w:rPr>
                <w:sz w:val="20"/>
                <w:szCs w:val="20"/>
                <w:color w:val="auto"/>
              </w:rPr>
            </w:pPr>
            <w:r>
              <w:rPr>
                <w:rFonts w:ascii="Arial" w:cs="Arial" w:eastAsia="Arial" w:hAnsi="Arial"/>
                <w:sz w:val="43"/>
                <w:szCs w:val="43"/>
                <w:b w:val="1"/>
                <w:bCs w:val="1"/>
                <w:color w:val="00558C"/>
              </w:rPr>
              <w:t>3</w:t>
            </w:r>
          </w:p>
        </w:tc>
        <w:tc>
          <w:tcPr>
            <w:tcW w:w="2280" w:type="dxa"/>
            <w:vAlign w:val="bottom"/>
            <w:shd w:val="clear" w:color="auto" w:fill="F2F3F2"/>
          </w:tcPr>
          <w:p>
            <w:pPr>
              <w:ind w:left="120"/>
              <w:spacing w:after="0" w:line="390" w:lineRule="exact"/>
              <w:rPr>
                <w:sz w:val="20"/>
                <w:szCs w:val="20"/>
                <w:color w:val="auto"/>
              </w:rPr>
            </w:pPr>
            <w:r>
              <w:rPr>
                <w:rFonts w:ascii="Arial" w:cs="Arial" w:eastAsia="Arial" w:hAnsi="Arial"/>
                <w:sz w:val="43"/>
                <w:szCs w:val="43"/>
                <w:b w:val="1"/>
                <w:bCs w:val="1"/>
                <w:color w:val="00558C"/>
              </w:rPr>
              <w:t>4</w:t>
            </w:r>
          </w:p>
        </w:tc>
      </w:tr>
      <w:tr>
        <w:trPr>
          <w:trHeight w:val="633"/>
        </w:trPr>
        <w:tc>
          <w:tcPr>
            <w:tcW w:w="2160" w:type="dxa"/>
            <w:vAlign w:val="bottom"/>
          </w:tcPr>
          <w:p>
            <w:pPr>
              <w:ind w:left="140"/>
              <w:spacing w:after="0"/>
              <w:rPr>
                <w:sz w:val="20"/>
                <w:szCs w:val="20"/>
                <w:color w:val="auto"/>
              </w:rPr>
            </w:pPr>
            <w:r>
              <w:rPr>
                <w:rFonts w:ascii="Arial" w:cs="Arial" w:eastAsia="Arial" w:hAnsi="Arial"/>
                <w:sz w:val="18"/>
                <w:szCs w:val="18"/>
                <w:b w:val="1"/>
                <w:bCs w:val="1"/>
                <w:color w:val="auto"/>
              </w:rPr>
              <w:t>Align to Business</w:t>
            </w:r>
          </w:p>
        </w:tc>
        <w:tc>
          <w:tcPr>
            <w:tcW w:w="120" w:type="dxa"/>
            <w:vAlign w:val="bottom"/>
            <w:tcBorders>
              <w:right w:val="single" w:sz="8" w:color="B2B3B6"/>
            </w:tcBorders>
          </w:tcPr>
          <w:p>
            <w:pPr>
              <w:spacing w:after="0"/>
              <w:rPr>
                <w:sz w:val="24"/>
                <w:szCs w:val="24"/>
                <w:color w:val="auto"/>
              </w:rPr>
            </w:pPr>
          </w:p>
        </w:tc>
        <w:tc>
          <w:tcPr>
            <w:tcW w:w="80" w:type="dxa"/>
            <w:vAlign w:val="bottom"/>
          </w:tcPr>
          <w:p>
            <w:pPr>
              <w:spacing w:after="0"/>
              <w:rPr>
                <w:sz w:val="24"/>
                <w:szCs w:val="24"/>
                <w:color w:val="auto"/>
              </w:rPr>
            </w:pPr>
          </w:p>
        </w:tc>
        <w:tc>
          <w:tcPr>
            <w:tcW w:w="2180" w:type="dxa"/>
            <w:vAlign w:val="bottom"/>
            <w:tcBorders>
              <w:right w:val="single" w:sz="8" w:color="B2B3B6"/>
            </w:tcBorders>
          </w:tcPr>
          <w:p>
            <w:pPr>
              <w:ind w:left="40"/>
              <w:spacing w:after="0"/>
              <w:rPr>
                <w:sz w:val="20"/>
                <w:szCs w:val="20"/>
                <w:color w:val="auto"/>
              </w:rPr>
            </w:pPr>
            <w:r>
              <w:rPr>
                <w:rFonts w:ascii="Arial" w:cs="Arial" w:eastAsia="Arial" w:hAnsi="Arial"/>
                <w:sz w:val="18"/>
                <w:szCs w:val="18"/>
                <w:b w:val="1"/>
                <w:bCs w:val="1"/>
                <w:color w:val="auto"/>
              </w:rPr>
              <w:t>Attract</w:t>
            </w:r>
          </w:p>
        </w:tc>
        <w:tc>
          <w:tcPr>
            <w:tcW w:w="2260" w:type="dxa"/>
            <w:vAlign w:val="bottom"/>
            <w:tcBorders>
              <w:right w:val="single" w:sz="8" w:color="B2B3B6"/>
            </w:tcBorders>
          </w:tcPr>
          <w:p>
            <w:pPr>
              <w:ind w:left="120"/>
              <w:spacing w:after="0"/>
              <w:rPr>
                <w:sz w:val="20"/>
                <w:szCs w:val="20"/>
                <w:color w:val="auto"/>
              </w:rPr>
            </w:pPr>
            <w:r>
              <w:rPr>
                <w:rFonts w:ascii="Arial" w:cs="Arial" w:eastAsia="Arial" w:hAnsi="Arial"/>
                <w:sz w:val="18"/>
                <w:szCs w:val="18"/>
                <w:b w:val="1"/>
                <w:bCs w:val="1"/>
                <w:color w:val="auto"/>
              </w:rPr>
              <w:t>Pay for</w:t>
            </w:r>
          </w:p>
        </w:tc>
        <w:tc>
          <w:tcPr>
            <w:tcW w:w="2280" w:type="dxa"/>
            <w:vAlign w:val="bottom"/>
          </w:tcPr>
          <w:p>
            <w:pPr>
              <w:ind w:left="120"/>
              <w:spacing w:after="0"/>
              <w:rPr>
                <w:sz w:val="20"/>
                <w:szCs w:val="20"/>
                <w:color w:val="auto"/>
              </w:rPr>
            </w:pPr>
            <w:r>
              <w:rPr>
                <w:rFonts w:ascii="Arial" w:cs="Arial" w:eastAsia="Arial" w:hAnsi="Arial"/>
                <w:sz w:val="18"/>
                <w:szCs w:val="18"/>
                <w:b w:val="1"/>
                <w:bCs w:val="1"/>
                <w:color w:val="auto"/>
              </w:rPr>
              <w:t>Uphold Strong</w:t>
            </w:r>
          </w:p>
        </w:tc>
      </w:tr>
      <w:tr>
        <w:trPr>
          <w:trHeight w:val="42"/>
        </w:trPr>
        <w:tc>
          <w:tcPr>
            <w:tcW w:w="2160" w:type="dxa"/>
            <w:vAlign w:val="bottom"/>
          </w:tcPr>
          <w:p>
            <w:pPr>
              <w:spacing w:after="0"/>
              <w:rPr>
                <w:sz w:val="3"/>
                <w:szCs w:val="3"/>
                <w:color w:val="auto"/>
              </w:rPr>
            </w:pPr>
          </w:p>
        </w:tc>
        <w:tc>
          <w:tcPr>
            <w:tcW w:w="120" w:type="dxa"/>
            <w:vAlign w:val="bottom"/>
            <w:tcBorders>
              <w:right w:val="single" w:sz="8" w:color="B2B3B6"/>
            </w:tcBorders>
          </w:tcPr>
          <w:p>
            <w:pPr>
              <w:spacing w:after="0"/>
              <w:rPr>
                <w:sz w:val="3"/>
                <w:szCs w:val="3"/>
                <w:color w:val="auto"/>
              </w:rPr>
            </w:pPr>
          </w:p>
        </w:tc>
        <w:tc>
          <w:tcPr>
            <w:tcW w:w="80" w:type="dxa"/>
            <w:vAlign w:val="bottom"/>
          </w:tcPr>
          <w:p>
            <w:pPr>
              <w:spacing w:after="0"/>
              <w:rPr>
                <w:sz w:val="3"/>
                <w:szCs w:val="3"/>
                <w:color w:val="auto"/>
              </w:rPr>
            </w:pPr>
          </w:p>
        </w:tc>
        <w:tc>
          <w:tcPr>
            <w:tcW w:w="2180" w:type="dxa"/>
            <w:vAlign w:val="bottom"/>
            <w:tcBorders>
              <w:right w:val="single" w:sz="8" w:color="B2B3B6"/>
            </w:tcBorders>
          </w:tcPr>
          <w:p>
            <w:pPr>
              <w:spacing w:after="0"/>
              <w:rPr>
                <w:sz w:val="3"/>
                <w:szCs w:val="3"/>
                <w:color w:val="auto"/>
              </w:rPr>
            </w:pPr>
          </w:p>
        </w:tc>
        <w:tc>
          <w:tcPr>
            <w:tcW w:w="2260" w:type="dxa"/>
            <w:vAlign w:val="bottom"/>
            <w:tcBorders>
              <w:right w:val="single" w:sz="8" w:color="B2B3B6"/>
            </w:tcBorders>
          </w:tcPr>
          <w:p>
            <w:pPr>
              <w:spacing w:after="0"/>
              <w:rPr>
                <w:sz w:val="3"/>
                <w:szCs w:val="3"/>
                <w:color w:val="auto"/>
              </w:rPr>
            </w:pPr>
          </w:p>
        </w:tc>
        <w:tc>
          <w:tcPr>
            <w:tcW w:w="2280" w:type="dxa"/>
            <w:vAlign w:val="bottom"/>
          </w:tcPr>
          <w:p>
            <w:pPr>
              <w:spacing w:after="0"/>
              <w:rPr>
                <w:sz w:val="3"/>
                <w:szCs w:val="3"/>
                <w:color w:val="auto"/>
              </w:rPr>
            </w:pPr>
          </w:p>
        </w:tc>
      </w:tr>
      <w:tr>
        <w:trPr>
          <w:trHeight w:val="176"/>
        </w:trPr>
        <w:tc>
          <w:tcPr>
            <w:tcW w:w="2160" w:type="dxa"/>
            <w:vAlign w:val="bottom"/>
          </w:tcPr>
          <w:p>
            <w:pPr>
              <w:ind w:left="140"/>
              <w:spacing w:after="0" w:line="176" w:lineRule="exact"/>
              <w:rPr>
                <w:sz w:val="20"/>
                <w:szCs w:val="20"/>
                <w:color w:val="auto"/>
              </w:rPr>
            </w:pPr>
            <w:r>
              <w:rPr>
                <w:rFonts w:ascii="Arial" w:cs="Arial" w:eastAsia="Arial" w:hAnsi="Arial"/>
                <w:sz w:val="18"/>
                <w:szCs w:val="18"/>
                <w:b w:val="1"/>
                <w:bCs w:val="1"/>
                <w:color w:val="auto"/>
              </w:rPr>
              <w:t>Strategy</w:t>
            </w:r>
          </w:p>
        </w:tc>
        <w:tc>
          <w:tcPr>
            <w:tcW w:w="120" w:type="dxa"/>
            <w:vAlign w:val="bottom"/>
            <w:tcBorders>
              <w:right w:val="single" w:sz="8" w:color="B2B3B6"/>
            </w:tcBorders>
          </w:tcPr>
          <w:p>
            <w:pPr>
              <w:spacing w:after="0"/>
              <w:rPr>
                <w:sz w:val="15"/>
                <w:szCs w:val="15"/>
                <w:color w:val="auto"/>
              </w:rPr>
            </w:pPr>
          </w:p>
        </w:tc>
        <w:tc>
          <w:tcPr>
            <w:tcW w:w="80" w:type="dxa"/>
            <w:vAlign w:val="bottom"/>
            <w:shd w:val="clear" w:color="auto" w:fill="F2F3F2"/>
          </w:tcPr>
          <w:p>
            <w:pPr>
              <w:spacing w:after="0"/>
              <w:rPr>
                <w:sz w:val="15"/>
                <w:szCs w:val="15"/>
                <w:color w:val="auto"/>
              </w:rPr>
            </w:pPr>
          </w:p>
        </w:tc>
        <w:tc>
          <w:tcPr>
            <w:tcW w:w="2180" w:type="dxa"/>
            <w:vAlign w:val="bottom"/>
            <w:tcBorders>
              <w:right w:val="single" w:sz="8" w:color="B2B3B6"/>
            </w:tcBorders>
            <w:shd w:val="clear" w:color="auto" w:fill="F2F3F2"/>
          </w:tcPr>
          <w:p>
            <w:pPr>
              <w:ind w:left="40"/>
              <w:spacing w:after="0" w:line="176" w:lineRule="exact"/>
              <w:rPr>
                <w:sz w:val="20"/>
                <w:szCs w:val="20"/>
                <w:color w:val="auto"/>
              </w:rPr>
            </w:pPr>
            <w:r>
              <w:rPr>
                <w:rFonts w:ascii="Arial" w:cs="Arial" w:eastAsia="Arial" w:hAnsi="Arial"/>
                <w:sz w:val="18"/>
                <w:szCs w:val="18"/>
                <w:b w:val="1"/>
                <w:bCs w:val="1"/>
                <w:color w:val="auto"/>
              </w:rPr>
              <w:t>and Retain</w:t>
            </w:r>
          </w:p>
        </w:tc>
        <w:tc>
          <w:tcPr>
            <w:tcW w:w="2260" w:type="dxa"/>
            <w:vAlign w:val="bottom"/>
            <w:tcBorders>
              <w:right w:val="single" w:sz="8" w:color="B2B3B6"/>
            </w:tcBorders>
            <w:shd w:val="clear" w:color="auto" w:fill="F2F3F2"/>
          </w:tcPr>
          <w:p>
            <w:pPr>
              <w:ind w:left="120"/>
              <w:spacing w:after="0" w:line="176" w:lineRule="exact"/>
              <w:rPr>
                <w:sz w:val="20"/>
                <w:szCs w:val="20"/>
                <w:color w:val="auto"/>
              </w:rPr>
            </w:pPr>
            <w:r>
              <w:rPr>
                <w:rFonts w:ascii="Arial" w:cs="Arial" w:eastAsia="Arial" w:hAnsi="Arial"/>
                <w:sz w:val="18"/>
                <w:szCs w:val="18"/>
                <w:b w:val="1"/>
                <w:bCs w:val="1"/>
                <w:color w:val="auto"/>
              </w:rPr>
              <w:t>Performance</w:t>
            </w:r>
          </w:p>
        </w:tc>
        <w:tc>
          <w:tcPr>
            <w:tcW w:w="2280" w:type="dxa"/>
            <w:vAlign w:val="bottom"/>
            <w:shd w:val="clear" w:color="auto" w:fill="F2F3F2"/>
          </w:tcPr>
          <w:p>
            <w:pPr>
              <w:ind w:left="120"/>
              <w:spacing w:after="0" w:line="176" w:lineRule="exact"/>
              <w:rPr>
                <w:sz w:val="20"/>
                <w:szCs w:val="20"/>
                <w:color w:val="auto"/>
              </w:rPr>
            </w:pPr>
            <w:r>
              <w:rPr>
                <w:rFonts w:ascii="Arial" w:cs="Arial" w:eastAsia="Arial" w:hAnsi="Arial"/>
                <w:sz w:val="18"/>
                <w:szCs w:val="18"/>
                <w:b w:val="1"/>
                <w:bCs w:val="1"/>
                <w:color w:val="auto"/>
              </w:rPr>
              <w:t>Governance</w:t>
            </w:r>
          </w:p>
        </w:tc>
      </w:tr>
      <w:tr>
        <w:trPr>
          <w:trHeight w:val="220"/>
        </w:trPr>
        <w:tc>
          <w:tcPr>
            <w:tcW w:w="2160" w:type="dxa"/>
            <w:vAlign w:val="bottom"/>
          </w:tcPr>
          <w:p>
            <w:pPr>
              <w:ind w:left="140"/>
              <w:spacing w:after="0"/>
              <w:rPr>
                <w:sz w:val="20"/>
                <w:szCs w:val="20"/>
                <w:color w:val="auto"/>
              </w:rPr>
            </w:pPr>
            <w:r>
              <w:rPr>
                <w:rFonts w:ascii="Arial" w:cs="Arial" w:eastAsia="Arial" w:hAnsi="Arial"/>
                <w:sz w:val="14"/>
                <w:szCs w:val="14"/>
                <w:color w:val="auto"/>
              </w:rPr>
              <w:t>Enable our “Team Huron”</w:t>
            </w:r>
          </w:p>
        </w:tc>
        <w:tc>
          <w:tcPr>
            <w:tcW w:w="120" w:type="dxa"/>
            <w:vAlign w:val="bottom"/>
            <w:tcBorders>
              <w:right w:val="single" w:sz="8" w:color="B2B3B6"/>
            </w:tcBorders>
          </w:tcPr>
          <w:p>
            <w:pPr>
              <w:spacing w:after="0"/>
              <w:rPr>
                <w:sz w:val="19"/>
                <w:szCs w:val="19"/>
                <w:color w:val="auto"/>
              </w:rPr>
            </w:pPr>
          </w:p>
        </w:tc>
        <w:tc>
          <w:tcPr>
            <w:tcW w:w="80" w:type="dxa"/>
            <w:vAlign w:val="bottom"/>
          </w:tcPr>
          <w:p>
            <w:pPr>
              <w:spacing w:after="0"/>
              <w:rPr>
                <w:sz w:val="19"/>
                <w:szCs w:val="19"/>
                <w:color w:val="auto"/>
              </w:rPr>
            </w:pPr>
          </w:p>
        </w:tc>
        <w:tc>
          <w:tcPr>
            <w:tcW w:w="2180" w:type="dxa"/>
            <w:vAlign w:val="bottom"/>
            <w:tcBorders>
              <w:right w:val="single" w:sz="8" w:color="B2B3B6"/>
            </w:tcBorders>
            <w:shd w:val="clear" w:color="auto" w:fill="F2F3F2"/>
          </w:tcPr>
          <w:p>
            <w:pPr>
              <w:ind w:left="40"/>
              <w:spacing w:after="0"/>
              <w:rPr>
                <w:sz w:val="20"/>
                <w:szCs w:val="20"/>
                <w:color w:val="auto"/>
              </w:rPr>
            </w:pPr>
            <w:r>
              <w:rPr>
                <w:rFonts w:ascii="Arial" w:cs="Arial" w:eastAsia="Arial" w:hAnsi="Arial"/>
                <w:sz w:val="14"/>
                <w:szCs w:val="14"/>
                <w:color w:val="auto"/>
              </w:rPr>
              <w:t>Attract and retain</w:t>
            </w:r>
          </w:p>
        </w:tc>
        <w:tc>
          <w:tcPr>
            <w:tcW w:w="2260" w:type="dxa"/>
            <w:vAlign w:val="bottom"/>
            <w:tcBorders>
              <w:right w:val="single" w:sz="8" w:color="B2B3B6"/>
            </w:tcBorders>
            <w:shd w:val="clear" w:color="auto" w:fill="F2F3F2"/>
          </w:tcPr>
          <w:p>
            <w:pPr>
              <w:ind w:left="120"/>
              <w:spacing w:after="0"/>
              <w:rPr>
                <w:sz w:val="20"/>
                <w:szCs w:val="20"/>
                <w:color w:val="auto"/>
              </w:rPr>
            </w:pPr>
            <w:r>
              <w:rPr>
                <w:rFonts w:ascii="Arial" w:cs="Arial" w:eastAsia="Arial" w:hAnsi="Arial"/>
                <w:sz w:val="14"/>
                <w:szCs w:val="14"/>
                <w:color w:val="auto"/>
              </w:rPr>
              <w:t>Reward leaders for delivering</w:t>
            </w:r>
          </w:p>
        </w:tc>
        <w:tc>
          <w:tcPr>
            <w:tcW w:w="2280" w:type="dxa"/>
            <w:vAlign w:val="bottom"/>
            <w:shd w:val="clear" w:color="auto" w:fill="F2F3F2"/>
          </w:tcPr>
          <w:p>
            <w:pPr>
              <w:ind w:left="120"/>
              <w:spacing w:after="0"/>
              <w:rPr>
                <w:sz w:val="20"/>
                <w:szCs w:val="20"/>
                <w:color w:val="auto"/>
              </w:rPr>
            </w:pPr>
            <w:r>
              <w:rPr>
                <w:rFonts w:ascii="Arial" w:cs="Arial" w:eastAsia="Arial" w:hAnsi="Arial"/>
                <w:sz w:val="14"/>
                <w:szCs w:val="14"/>
                <w:color w:val="auto"/>
              </w:rPr>
              <w:t>Implement and execute on</w:t>
            </w:r>
          </w:p>
        </w:tc>
      </w:tr>
      <w:tr>
        <w:trPr>
          <w:trHeight w:val="162"/>
        </w:trPr>
        <w:tc>
          <w:tcPr>
            <w:tcW w:w="2160" w:type="dxa"/>
            <w:vAlign w:val="bottom"/>
          </w:tcPr>
          <w:p>
            <w:pPr>
              <w:ind w:left="140"/>
              <w:spacing w:after="0"/>
              <w:rPr>
                <w:sz w:val="20"/>
                <w:szCs w:val="20"/>
                <w:color w:val="auto"/>
              </w:rPr>
            </w:pPr>
            <w:r>
              <w:rPr>
                <w:rFonts w:ascii="Arial" w:cs="Arial" w:eastAsia="Arial" w:hAnsi="Arial"/>
                <w:sz w:val="14"/>
                <w:szCs w:val="14"/>
                <w:color w:val="auto"/>
              </w:rPr>
              <w:t>integrated operating model by</w:t>
            </w:r>
          </w:p>
        </w:tc>
        <w:tc>
          <w:tcPr>
            <w:tcW w:w="120" w:type="dxa"/>
            <w:vAlign w:val="bottom"/>
            <w:tcBorders>
              <w:right w:val="single" w:sz="8" w:color="B2B3B6"/>
            </w:tcBorders>
          </w:tcPr>
          <w:p>
            <w:pPr>
              <w:spacing w:after="0"/>
              <w:rPr>
                <w:sz w:val="14"/>
                <w:szCs w:val="14"/>
                <w:color w:val="auto"/>
              </w:rPr>
            </w:pPr>
          </w:p>
        </w:tc>
        <w:tc>
          <w:tcPr>
            <w:tcW w:w="80" w:type="dxa"/>
            <w:vAlign w:val="bottom"/>
          </w:tcPr>
          <w:p>
            <w:pPr>
              <w:spacing w:after="0"/>
              <w:rPr>
                <w:sz w:val="14"/>
                <w:szCs w:val="14"/>
                <w:color w:val="auto"/>
              </w:rPr>
            </w:pPr>
          </w:p>
        </w:tc>
        <w:tc>
          <w:tcPr>
            <w:tcW w:w="2180" w:type="dxa"/>
            <w:vAlign w:val="bottom"/>
            <w:tcBorders>
              <w:right w:val="single" w:sz="8" w:color="B2B3B6"/>
            </w:tcBorders>
            <w:shd w:val="clear" w:color="auto" w:fill="F2F3F2"/>
          </w:tcPr>
          <w:p>
            <w:pPr>
              <w:ind w:left="40"/>
              <w:spacing w:after="0"/>
              <w:rPr>
                <w:sz w:val="20"/>
                <w:szCs w:val="20"/>
                <w:color w:val="auto"/>
              </w:rPr>
            </w:pPr>
            <w:r>
              <w:rPr>
                <w:rFonts w:ascii="Arial" w:cs="Arial" w:eastAsia="Arial" w:hAnsi="Arial"/>
                <w:sz w:val="14"/>
                <w:szCs w:val="14"/>
                <w:color w:val="auto"/>
              </w:rPr>
              <w:t>extraordinary leaders who</w:t>
            </w:r>
          </w:p>
        </w:tc>
        <w:tc>
          <w:tcPr>
            <w:tcW w:w="2260" w:type="dxa"/>
            <w:vAlign w:val="bottom"/>
            <w:tcBorders>
              <w:right w:val="single" w:sz="8" w:color="B2B3B6"/>
            </w:tcBorders>
            <w:shd w:val="clear" w:color="auto" w:fill="F2F3F2"/>
          </w:tcPr>
          <w:p>
            <w:pPr>
              <w:ind w:left="120"/>
              <w:spacing w:after="0"/>
              <w:rPr>
                <w:sz w:val="20"/>
                <w:szCs w:val="20"/>
                <w:color w:val="auto"/>
              </w:rPr>
            </w:pPr>
            <w:r>
              <w:rPr>
                <w:rFonts w:ascii="Arial" w:cs="Arial" w:eastAsia="Arial" w:hAnsi="Arial"/>
                <w:sz w:val="14"/>
                <w:szCs w:val="14"/>
                <w:color w:val="auto"/>
              </w:rPr>
              <w:t>profitable growth and balance</w:t>
            </w:r>
          </w:p>
        </w:tc>
        <w:tc>
          <w:tcPr>
            <w:tcW w:w="2280" w:type="dxa"/>
            <w:vAlign w:val="bottom"/>
            <w:shd w:val="clear" w:color="auto" w:fill="F2F3F2"/>
          </w:tcPr>
          <w:p>
            <w:pPr>
              <w:ind w:left="120"/>
              <w:spacing w:after="0"/>
              <w:rPr>
                <w:sz w:val="20"/>
                <w:szCs w:val="20"/>
                <w:color w:val="auto"/>
              </w:rPr>
            </w:pPr>
            <w:r>
              <w:rPr>
                <w:rFonts w:ascii="Arial" w:cs="Arial" w:eastAsia="Arial" w:hAnsi="Arial"/>
                <w:sz w:val="14"/>
                <w:szCs w:val="14"/>
                <w:color w:val="auto"/>
              </w:rPr>
              <w:t>thorough practices that lie at</w:t>
            </w:r>
          </w:p>
        </w:tc>
      </w:tr>
      <w:tr>
        <w:trPr>
          <w:trHeight w:val="176"/>
        </w:trPr>
        <w:tc>
          <w:tcPr>
            <w:tcW w:w="2160" w:type="dxa"/>
            <w:vAlign w:val="bottom"/>
          </w:tcPr>
          <w:p>
            <w:pPr>
              <w:ind w:left="140"/>
              <w:spacing w:after="0"/>
              <w:rPr>
                <w:sz w:val="20"/>
                <w:szCs w:val="20"/>
                <w:color w:val="auto"/>
              </w:rPr>
            </w:pPr>
            <w:r>
              <w:rPr>
                <w:rFonts w:ascii="Arial" w:cs="Arial" w:eastAsia="Arial" w:hAnsi="Arial"/>
                <w:sz w:val="14"/>
                <w:szCs w:val="14"/>
                <w:color w:val="auto"/>
              </w:rPr>
              <w:t>holding leaders accountable</w:t>
            </w:r>
          </w:p>
        </w:tc>
        <w:tc>
          <w:tcPr>
            <w:tcW w:w="120" w:type="dxa"/>
            <w:vAlign w:val="bottom"/>
            <w:tcBorders>
              <w:right w:val="single" w:sz="8" w:color="B2B3B6"/>
            </w:tcBorders>
          </w:tcPr>
          <w:p>
            <w:pPr>
              <w:spacing w:after="0"/>
              <w:rPr>
                <w:sz w:val="15"/>
                <w:szCs w:val="15"/>
                <w:color w:val="auto"/>
              </w:rPr>
            </w:pPr>
          </w:p>
        </w:tc>
        <w:tc>
          <w:tcPr>
            <w:tcW w:w="80" w:type="dxa"/>
            <w:vAlign w:val="bottom"/>
          </w:tcPr>
          <w:p>
            <w:pPr>
              <w:spacing w:after="0"/>
              <w:rPr>
                <w:sz w:val="15"/>
                <w:szCs w:val="15"/>
                <w:color w:val="auto"/>
              </w:rPr>
            </w:pPr>
          </w:p>
        </w:tc>
        <w:tc>
          <w:tcPr>
            <w:tcW w:w="2180" w:type="dxa"/>
            <w:vAlign w:val="bottom"/>
            <w:tcBorders>
              <w:right w:val="single" w:sz="8" w:color="B2B3B6"/>
            </w:tcBorders>
            <w:shd w:val="clear" w:color="auto" w:fill="F2F3F2"/>
          </w:tcPr>
          <w:p>
            <w:pPr>
              <w:ind w:left="40"/>
              <w:spacing w:after="0"/>
              <w:rPr>
                <w:sz w:val="20"/>
                <w:szCs w:val="20"/>
                <w:color w:val="auto"/>
              </w:rPr>
            </w:pPr>
            <w:r>
              <w:rPr>
                <w:rFonts w:ascii="Arial" w:cs="Arial" w:eastAsia="Arial" w:hAnsi="Arial"/>
                <w:sz w:val="14"/>
                <w:szCs w:val="14"/>
                <w:color w:val="auto"/>
              </w:rPr>
              <w:t>both model our Leadership</w:t>
            </w:r>
          </w:p>
        </w:tc>
        <w:tc>
          <w:tcPr>
            <w:tcW w:w="2260" w:type="dxa"/>
            <w:vAlign w:val="bottom"/>
            <w:tcBorders>
              <w:right w:val="single" w:sz="8" w:color="B2B3B6"/>
            </w:tcBorders>
            <w:shd w:val="clear" w:color="auto" w:fill="F2F3F2"/>
          </w:tcPr>
          <w:p>
            <w:pPr>
              <w:ind w:left="120"/>
              <w:spacing w:after="0"/>
              <w:rPr>
                <w:sz w:val="20"/>
                <w:szCs w:val="20"/>
                <w:color w:val="auto"/>
              </w:rPr>
            </w:pPr>
            <w:r>
              <w:rPr>
                <w:rFonts w:ascii="Arial" w:cs="Arial" w:eastAsia="Arial" w:hAnsi="Arial"/>
                <w:sz w:val="14"/>
                <w:szCs w:val="14"/>
                <w:color w:val="auto"/>
              </w:rPr>
              <w:t>the achievement of financial</w:t>
            </w:r>
          </w:p>
        </w:tc>
        <w:tc>
          <w:tcPr>
            <w:tcW w:w="2280" w:type="dxa"/>
            <w:vAlign w:val="bottom"/>
            <w:shd w:val="clear" w:color="auto" w:fill="F2F3F2"/>
          </w:tcPr>
          <w:p>
            <w:pPr>
              <w:ind w:left="120"/>
              <w:spacing w:after="0"/>
              <w:rPr>
                <w:sz w:val="20"/>
                <w:szCs w:val="20"/>
                <w:color w:val="auto"/>
              </w:rPr>
            </w:pPr>
            <w:r>
              <w:rPr>
                <w:rFonts w:ascii="Arial" w:cs="Arial" w:eastAsia="Arial" w:hAnsi="Arial"/>
                <w:sz w:val="14"/>
                <w:szCs w:val="14"/>
                <w:color w:val="auto"/>
              </w:rPr>
              <w:t>the heart of what the</w:t>
            </w:r>
          </w:p>
        </w:tc>
      </w:tr>
      <w:tr>
        <w:trPr>
          <w:trHeight w:val="175"/>
        </w:trPr>
        <w:tc>
          <w:tcPr>
            <w:tcW w:w="2160" w:type="dxa"/>
            <w:vAlign w:val="bottom"/>
          </w:tcPr>
          <w:p>
            <w:pPr>
              <w:ind w:left="140"/>
              <w:spacing w:after="0"/>
              <w:rPr>
                <w:sz w:val="20"/>
                <w:szCs w:val="20"/>
                <w:color w:val="auto"/>
              </w:rPr>
            </w:pPr>
            <w:r>
              <w:rPr>
                <w:rFonts w:ascii="Arial" w:cs="Arial" w:eastAsia="Arial" w:hAnsi="Arial"/>
                <w:sz w:val="14"/>
                <w:szCs w:val="14"/>
                <w:color w:val="auto"/>
              </w:rPr>
              <w:t>for delivering challenging, but</w:t>
            </w:r>
          </w:p>
        </w:tc>
        <w:tc>
          <w:tcPr>
            <w:tcW w:w="120" w:type="dxa"/>
            <w:vAlign w:val="bottom"/>
            <w:tcBorders>
              <w:right w:val="single" w:sz="8" w:color="B2B3B6"/>
            </w:tcBorders>
          </w:tcPr>
          <w:p>
            <w:pPr>
              <w:spacing w:after="0"/>
              <w:rPr>
                <w:sz w:val="15"/>
                <w:szCs w:val="15"/>
                <w:color w:val="auto"/>
              </w:rPr>
            </w:pPr>
          </w:p>
        </w:tc>
        <w:tc>
          <w:tcPr>
            <w:tcW w:w="80" w:type="dxa"/>
            <w:vAlign w:val="bottom"/>
          </w:tcPr>
          <w:p>
            <w:pPr>
              <w:spacing w:after="0"/>
              <w:rPr>
                <w:sz w:val="15"/>
                <w:szCs w:val="15"/>
                <w:color w:val="auto"/>
              </w:rPr>
            </w:pPr>
          </w:p>
        </w:tc>
        <w:tc>
          <w:tcPr>
            <w:tcW w:w="2180" w:type="dxa"/>
            <w:vAlign w:val="bottom"/>
            <w:tcBorders>
              <w:right w:val="single" w:sz="8" w:color="B2B3B6"/>
            </w:tcBorders>
            <w:shd w:val="clear" w:color="auto" w:fill="F2F3F2"/>
          </w:tcPr>
          <w:p>
            <w:pPr>
              <w:ind w:left="40"/>
              <w:spacing w:after="0"/>
              <w:rPr>
                <w:sz w:val="20"/>
                <w:szCs w:val="20"/>
                <w:color w:val="auto"/>
              </w:rPr>
            </w:pPr>
            <w:r>
              <w:rPr>
                <w:rFonts w:ascii="Arial" w:cs="Arial" w:eastAsia="Arial" w:hAnsi="Arial"/>
                <w:sz w:val="14"/>
                <w:szCs w:val="14"/>
                <w:color w:val="auto"/>
              </w:rPr>
              <w:t>Principles and enable our</w:t>
            </w:r>
          </w:p>
        </w:tc>
        <w:tc>
          <w:tcPr>
            <w:tcW w:w="2260" w:type="dxa"/>
            <w:vAlign w:val="bottom"/>
            <w:tcBorders>
              <w:right w:val="single" w:sz="8" w:color="B2B3B6"/>
            </w:tcBorders>
            <w:shd w:val="clear" w:color="auto" w:fill="F2F3F2"/>
          </w:tcPr>
          <w:p>
            <w:pPr>
              <w:ind w:left="120"/>
              <w:spacing w:after="0"/>
              <w:rPr>
                <w:sz w:val="20"/>
                <w:szCs w:val="20"/>
                <w:color w:val="auto"/>
              </w:rPr>
            </w:pPr>
            <w:r>
              <w:rPr>
                <w:rFonts w:ascii="Arial" w:cs="Arial" w:eastAsia="Arial" w:hAnsi="Arial"/>
                <w:sz w:val="14"/>
                <w:szCs w:val="14"/>
                <w:color w:val="auto"/>
              </w:rPr>
              <w:t>and non-financial results,</w:t>
            </w:r>
          </w:p>
        </w:tc>
        <w:tc>
          <w:tcPr>
            <w:tcW w:w="2280" w:type="dxa"/>
            <w:vAlign w:val="bottom"/>
            <w:shd w:val="clear" w:color="auto" w:fill="F2F3F2"/>
          </w:tcPr>
          <w:p>
            <w:pPr>
              <w:ind w:left="120"/>
              <w:spacing w:after="0"/>
              <w:rPr>
                <w:sz w:val="20"/>
                <w:szCs w:val="20"/>
                <w:color w:val="auto"/>
              </w:rPr>
            </w:pPr>
            <w:r>
              <w:rPr>
                <w:rFonts w:ascii="Arial" w:cs="Arial" w:eastAsia="Arial" w:hAnsi="Arial"/>
                <w:sz w:val="14"/>
                <w:szCs w:val="14"/>
                <w:color w:val="auto"/>
              </w:rPr>
              <w:t>Compensation Committee</w:t>
            </w:r>
          </w:p>
        </w:tc>
      </w:tr>
      <w:tr>
        <w:trPr>
          <w:trHeight w:val="176"/>
        </w:trPr>
        <w:tc>
          <w:tcPr>
            <w:tcW w:w="2160" w:type="dxa"/>
            <w:vAlign w:val="bottom"/>
          </w:tcPr>
          <w:p>
            <w:pPr>
              <w:ind w:left="140"/>
              <w:spacing w:after="0"/>
              <w:rPr>
                <w:sz w:val="20"/>
                <w:szCs w:val="20"/>
                <w:color w:val="auto"/>
              </w:rPr>
            </w:pPr>
            <w:r>
              <w:rPr>
                <w:rFonts w:ascii="Arial" w:cs="Arial" w:eastAsia="Arial" w:hAnsi="Arial"/>
                <w:sz w:val="14"/>
                <w:szCs w:val="14"/>
                <w:color w:val="auto"/>
              </w:rPr>
              <w:t>achievable, goals that align</w:t>
            </w:r>
          </w:p>
        </w:tc>
        <w:tc>
          <w:tcPr>
            <w:tcW w:w="120" w:type="dxa"/>
            <w:vAlign w:val="bottom"/>
            <w:tcBorders>
              <w:right w:val="single" w:sz="8" w:color="B2B3B6"/>
            </w:tcBorders>
          </w:tcPr>
          <w:p>
            <w:pPr>
              <w:spacing w:after="0"/>
              <w:rPr>
                <w:sz w:val="15"/>
                <w:szCs w:val="15"/>
                <w:color w:val="auto"/>
              </w:rPr>
            </w:pPr>
          </w:p>
        </w:tc>
        <w:tc>
          <w:tcPr>
            <w:tcW w:w="80" w:type="dxa"/>
            <w:vAlign w:val="bottom"/>
          </w:tcPr>
          <w:p>
            <w:pPr>
              <w:spacing w:after="0"/>
              <w:rPr>
                <w:sz w:val="15"/>
                <w:szCs w:val="15"/>
                <w:color w:val="auto"/>
              </w:rPr>
            </w:pPr>
          </w:p>
        </w:tc>
        <w:tc>
          <w:tcPr>
            <w:tcW w:w="2180" w:type="dxa"/>
            <w:vAlign w:val="bottom"/>
            <w:tcBorders>
              <w:right w:val="single" w:sz="8" w:color="B2B3B6"/>
            </w:tcBorders>
            <w:shd w:val="clear" w:color="auto" w:fill="F2F3F2"/>
          </w:tcPr>
          <w:p>
            <w:pPr>
              <w:ind w:left="40"/>
              <w:spacing w:after="0"/>
              <w:rPr>
                <w:sz w:val="20"/>
                <w:szCs w:val="20"/>
                <w:color w:val="auto"/>
              </w:rPr>
            </w:pPr>
            <w:r>
              <w:rPr>
                <w:rFonts w:ascii="Arial" w:cs="Arial" w:eastAsia="Arial" w:hAnsi="Arial"/>
                <w:sz w:val="14"/>
                <w:szCs w:val="14"/>
                <w:color w:val="auto"/>
              </w:rPr>
              <w:t>purpose-driven culture by</w:t>
            </w:r>
          </w:p>
        </w:tc>
        <w:tc>
          <w:tcPr>
            <w:tcW w:w="2260" w:type="dxa"/>
            <w:vAlign w:val="bottom"/>
            <w:tcBorders>
              <w:right w:val="single" w:sz="8" w:color="B2B3B6"/>
            </w:tcBorders>
            <w:shd w:val="clear" w:color="auto" w:fill="F2F3F2"/>
          </w:tcPr>
          <w:p>
            <w:pPr>
              <w:ind w:left="120"/>
              <w:spacing w:after="0"/>
              <w:rPr>
                <w:sz w:val="20"/>
                <w:szCs w:val="20"/>
                <w:color w:val="auto"/>
              </w:rPr>
            </w:pPr>
            <w:r>
              <w:rPr>
                <w:rFonts w:ascii="Arial" w:cs="Arial" w:eastAsia="Arial" w:hAnsi="Arial"/>
                <w:sz w:val="14"/>
                <w:szCs w:val="14"/>
                <w:color w:val="auto"/>
              </w:rPr>
              <w:t>emphasizing our clients,</w:t>
            </w:r>
          </w:p>
        </w:tc>
        <w:tc>
          <w:tcPr>
            <w:tcW w:w="2280" w:type="dxa"/>
            <w:vAlign w:val="bottom"/>
            <w:shd w:val="clear" w:color="auto" w:fill="F2F3F2"/>
          </w:tcPr>
          <w:p>
            <w:pPr>
              <w:ind w:left="120"/>
              <w:spacing w:after="0"/>
              <w:rPr>
                <w:sz w:val="20"/>
                <w:szCs w:val="20"/>
                <w:color w:val="auto"/>
              </w:rPr>
            </w:pPr>
            <w:r>
              <w:rPr>
                <w:rFonts w:ascii="Arial" w:cs="Arial" w:eastAsia="Arial" w:hAnsi="Arial"/>
                <w:sz w:val="14"/>
                <w:szCs w:val="14"/>
                <w:color w:val="auto"/>
              </w:rPr>
              <w:t>considers good governance as</w:t>
            </w:r>
          </w:p>
        </w:tc>
      </w:tr>
      <w:tr>
        <w:trPr>
          <w:trHeight w:val="175"/>
        </w:trPr>
        <w:tc>
          <w:tcPr>
            <w:tcW w:w="2160" w:type="dxa"/>
            <w:vAlign w:val="bottom"/>
          </w:tcPr>
          <w:p>
            <w:pPr>
              <w:ind w:left="140"/>
              <w:spacing w:after="0"/>
              <w:rPr>
                <w:sz w:val="20"/>
                <w:szCs w:val="20"/>
                <w:color w:val="auto"/>
              </w:rPr>
            </w:pPr>
            <w:r>
              <w:rPr>
                <w:rFonts w:ascii="Arial" w:cs="Arial" w:eastAsia="Arial" w:hAnsi="Arial"/>
                <w:sz w:val="14"/>
                <w:szCs w:val="14"/>
                <w:color w:val="auto"/>
              </w:rPr>
              <w:t>with the long-term interests of</w:t>
            </w:r>
          </w:p>
        </w:tc>
        <w:tc>
          <w:tcPr>
            <w:tcW w:w="120" w:type="dxa"/>
            <w:vAlign w:val="bottom"/>
            <w:tcBorders>
              <w:right w:val="single" w:sz="8" w:color="B2B3B6"/>
            </w:tcBorders>
          </w:tcPr>
          <w:p>
            <w:pPr>
              <w:spacing w:after="0"/>
              <w:rPr>
                <w:sz w:val="15"/>
                <w:szCs w:val="15"/>
                <w:color w:val="auto"/>
              </w:rPr>
            </w:pPr>
          </w:p>
        </w:tc>
        <w:tc>
          <w:tcPr>
            <w:tcW w:w="80" w:type="dxa"/>
            <w:vAlign w:val="bottom"/>
          </w:tcPr>
          <w:p>
            <w:pPr>
              <w:spacing w:after="0"/>
              <w:rPr>
                <w:sz w:val="15"/>
                <w:szCs w:val="15"/>
                <w:color w:val="auto"/>
              </w:rPr>
            </w:pPr>
          </w:p>
        </w:tc>
        <w:tc>
          <w:tcPr>
            <w:tcW w:w="2180" w:type="dxa"/>
            <w:vAlign w:val="bottom"/>
            <w:tcBorders>
              <w:right w:val="single" w:sz="8" w:color="B2B3B6"/>
            </w:tcBorders>
            <w:shd w:val="clear" w:color="auto" w:fill="F2F3F2"/>
          </w:tcPr>
          <w:p>
            <w:pPr>
              <w:ind w:left="40"/>
              <w:spacing w:after="0"/>
              <w:rPr>
                <w:sz w:val="20"/>
                <w:szCs w:val="20"/>
                <w:color w:val="auto"/>
              </w:rPr>
            </w:pPr>
            <w:r>
              <w:rPr>
                <w:rFonts w:ascii="Arial" w:cs="Arial" w:eastAsia="Arial" w:hAnsi="Arial"/>
                <w:sz w:val="14"/>
                <w:szCs w:val="14"/>
                <w:color w:val="auto"/>
              </w:rPr>
              <w:t>providing a competitive total</w:t>
            </w:r>
          </w:p>
        </w:tc>
        <w:tc>
          <w:tcPr>
            <w:tcW w:w="2260" w:type="dxa"/>
            <w:vAlign w:val="bottom"/>
            <w:tcBorders>
              <w:right w:val="single" w:sz="8" w:color="B2B3B6"/>
            </w:tcBorders>
            <w:shd w:val="clear" w:color="auto" w:fill="F2F3F2"/>
          </w:tcPr>
          <w:p>
            <w:pPr>
              <w:ind w:left="120"/>
              <w:spacing w:after="0"/>
              <w:rPr>
                <w:sz w:val="20"/>
                <w:szCs w:val="20"/>
                <w:color w:val="auto"/>
              </w:rPr>
            </w:pPr>
            <w:r>
              <w:rPr>
                <w:rFonts w:ascii="Arial" w:cs="Arial" w:eastAsia="Arial" w:hAnsi="Arial"/>
                <w:sz w:val="14"/>
                <w:szCs w:val="14"/>
                <w:color w:val="auto"/>
              </w:rPr>
              <w:t>communities and employees.</w:t>
            </w:r>
          </w:p>
        </w:tc>
        <w:tc>
          <w:tcPr>
            <w:tcW w:w="2280" w:type="dxa"/>
            <w:vAlign w:val="bottom"/>
            <w:shd w:val="clear" w:color="auto" w:fill="F2F3F2"/>
          </w:tcPr>
          <w:p>
            <w:pPr>
              <w:ind w:left="120"/>
              <w:spacing w:after="0"/>
              <w:rPr>
                <w:sz w:val="20"/>
                <w:szCs w:val="20"/>
                <w:color w:val="auto"/>
              </w:rPr>
            </w:pPr>
            <w:r>
              <w:rPr>
                <w:rFonts w:ascii="Arial" w:cs="Arial" w:eastAsia="Arial" w:hAnsi="Arial"/>
                <w:sz w:val="14"/>
                <w:szCs w:val="14"/>
                <w:color w:val="auto"/>
              </w:rPr>
              <w:t>they review our compensation</w:t>
            </w:r>
          </w:p>
        </w:tc>
      </w:tr>
      <w:tr>
        <w:trPr>
          <w:trHeight w:val="162"/>
        </w:trPr>
        <w:tc>
          <w:tcPr>
            <w:tcW w:w="2160" w:type="dxa"/>
            <w:vAlign w:val="bottom"/>
          </w:tcPr>
          <w:p>
            <w:pPr>
              <w:ind w:left="140"/>
              <w:spacing w:after="0"/>
              <w:rPr>
                <w:sz w:val="20"/>
                <w:szCs w:val="20"/>
                <w:color w:val="auto"/>
              </w:rPr>
            </w:pPr>
            <w:r>
              <w:rPr>
                <w:rFonts w:ascii="Arial" w:cs="Arial" w:eastAsia="Arial" w:hAnsi="Arial"/>
                <w:sz w:val="14"/>
                <w:szCs w:val="14"/>
                <w:color w:val="auto"/>
              </w:rPr>
              <w:t>our stockholders.</w:t>
            </w:r>
          </w:p>
        </w:tc>
        <w:tc>
          <w:tcPr>
            <w:tcW w:w="120" w:type="dxa"/>
            <w:vAlign w:val="bottom"/>
            <w:tcBorders>
              <w:right w:val="single" w:sz="8" w:color="B2B3B6"/>
            </w:tcBorders>
          </w:tcPr>
          <w:p>
            <w:pPr>
              <w:spacing w:after="0"/>
              <w:rPr>
                <w:sz w:val="14"/>
                <w:szCs w:val="14"/>
                <w:color w:val="auto"/>
              </w:rPr>
            </w:pPr>
          </w:p>
        </w:tc>
        <w:tc>
          <w:tcPr>
            <w:tcW w:w="80" w:type="dxa"/>
            <w:vAlign w:val="bottom"/>
          </w:tcPr>
          <w:p>
            <w:pPr>
              <w:spacing w:after="0"/>
              <w:rPr>
                <w:sz w:val="14"/>
                <w:szCs w:val="14"/>
                <w:color w:val="auto"/>
              </w:rPr>
            </w:pPr>
          </w:p>
        </w:tc>
        <w:tc>
          <w:tcPr>
            <w:tcW w:w="2180" w:type="dxa"/>
            <w:vAlign w:val="bottom"/>
            <w:tcBorders>
              <w:right w:val="single" w:sz="8" w:color="B2B3B6"/>
            </w:tcBorders>
            <w:shd w:val="clear" w:color="auto" w:fill="F2F3F2"/>
          </w:tcPr>
          <w:p>
            <w:pPr>
              <w:ind w:left="40"/>
              <w:spacing w:after="0"/>
              <w:rPr>
                <w:sz w:val="20"/>
                <w:szCs w:val="20"/>
                <w:color w:val="auto"/>
              </w:rPr>
            </w:pPr>
            <w:r>
              <w:rPr>
                <w:rFonts w:ascii="Arial" w:cs="Arial" w:eastAsia="Arial" w:hAnsi="Arial"/>
                <w:sz w:val="14"/>
                <w:szCs w:val="14"/>
                <w:color w:val="auto"/>
              </w:rPr>
              <w:t>rewards program compared to</w:t>
            </w:r>
          </w:p>
        </w:tc>
        <w:tc>
          <w:tcPr>
            <w:tcW w:w="2260" w:type="dxa"/>
            <w:vAlign w:val="bottom"/>
            <w:tcBorders>
              <w:right w:val="single" w:sz="8" w:color="B2B3B6"/>
            </w:tcBorders>
            <w:shd w:val="clear" w:color="auto" w:fill="F2F3F2"/>
          </w:tcPr>
          <w:p>
            <w:pPr>
              <w:spacing w:after="0"/>
              <w:rPr>
                <w:sz w:val="14"/>
                <w:szCs w:val="14"/>
                <w:color w:val="auto"/>
              </w:rPr>
            </w:pPr>
          </w:p>
        </w:tc>
        <w:tc>
          <w:tcPr>
            <w:tcW w:w="2280" w:type="dxa"/>
            <w:vAlign w:val="bottom"/>
            <w:shd w:val="clear" w:color="auto" w:fill="F2F3F2"/>
          </w:tcPr>
          <w:p>
            <w:pPr>
              <w:ind w:left="120"/>
              <w:spacing w:after="0"/>
              <w:rPr>
                <w:sz w:val="20"/>
                <w:szCs w:val="20"/>
                <w:color w:val="auto"/>
              </w:rPr>
            </w:pPr>
            <w:r>
              <w:rPr>
                <w:rFonts w:ascii="Arial" w:cs="Arial" w:eastAsia="Arial" w:hAnsi="Arial"/>
                <w:sz w:val="14"/>
                <w:szCs w:val="14"/>
                <w:color w:val="auto"/>
              </w:rPr>
              <w:t>programs and adopt policies</w:t>
            </w:r>
          </w:p>
        </w:tc>
      </w:tr>
      <w:tr>
        <w:trPr>
          <w:trHeight w:val="175"/>
        </w:trPr>
        <w:tc>
          <w:tcPr>
            <w:tcW w:w="2160" w:type="dxa"/>
            <w:vAlign w:val="bottom"/>
          </w:tcPr>
          <w:p>
            <w:pPr>
              <w:spacing w:after="0"/>
              <w:rPr>
                <w:sz w:val="15"/>
                <w:szCs w:val="15"/>
                <w:color w:val="auto"/>
              </w:rPr>
            </w:pPr>
          </w:p>
        </w:tc>
        <w:tc>
          <w:tcPr>
            <w:tcW w:w="120" w:type="dxa"/>
            <w:vAlign w:val="bottom"/>
            <w:tcBorders>
              <w:right w:val="single" w:sz="8" w:color="B2B3B6"/>
            </w:tcBorders>
          </w:tcPr>
          <w:p>
            <w:pPr>
              <w:spacing w:after="0"/>
              <w:rPr>
                <w:sz w:val="15"/>
                <w:szCs w:val="15"/>
                <w:color w:val="auto"/>
              </w:rPr>
            </w:pPr>
          </w:p>
        </w:tc>
        <w:tc>
          <w:tcPr>
            <w:tcW w:w="80" w:type="dxa"/>
            <w:vAlign w:val="bottom"/>
          </w:tcPr>
          <w:p>
            <w:pPr>
              <w:spacing w:after="0"/>
              <w:rPr>
                <w:sz w:val="15"/>
                <w:szCs w:val="15"/>
                <w:color w:val="auto"/>
              </w:rPr>
            </w:pPr>
          </w:p>
        </w:tc>
        <w:tc>
          <w:tcPr>
            <w:tcW w:w="2180" w:type="dxa"/>
            <w:vAlign w:val="bottom"/>
            <w:tcBorders>
              <w:right w:val="single" w:sz="8" w:color="B2B3B6"/>
            </w:tcBorders>
            <w:shd w:val="clear" w:color="auto" w:fill="F2F3F2"/>
          </w:tcPr>
          <w:p>
            <w:pPr>
              <w:ind w:left="40"/>
              <w:spacing w:after="0"/>
              <w:rPr>
                <w:sz w:val="20"/>
                <w:szCs w:val="20"/>
                <w:color w:val="auto"/>
              </w:rPr>
            </w:pPr>
            <w:r>
              <w:rPr>
                <w:rFonts w:ascii="Arial" w:cs="Arial" w:eastAsia="Arial" w:hAnsi="Arial"/>
                <w:sz w:val="14"/>
                <w:szCs w:val="14"/>
                <w:color w:val="auto"/>
              </w:rPr>
              <w:t>companies with whom we</w:t>
            </w:r>
          </w:p>
        </w:tc>
        <w:tc>
          <w:tcPr>
            <w:tcW w:w="2260" w:type="dxa"/>
            <w:vAlign w:val="bottom"/>
            <w:tcBorders>
              <w:right w:val="single" w:sz="8" w:color="B2B3B6"/>
            </w:tcBorders>
            <w:shd w:val="clear" w:color="auto" w:fill="F2F3F2"/>
          </w:tcPr>
          <w:p>
            <w:pPr>
              <w:spacing w:after="0"/>
              <w:rPr>
                <w:sz w:val="15"/>
                <w:szCs w:val="15"/>
                <w:color w:val="auto"/>
              </w:rPr>
            </w:pPr>
          </w:p>
        </w:tc>
        <w:tc>
          <w:tcPr>
            <w:tcW w:w="2280" w:type="dxa"/>
            <w:vAlign w:val="bottom"/>
            <w:shd w:val="clear" w:color="auto" w:fill="F2F3F2"/>
          </w:tcPr>
          <w:p>
            <w:pPr>
              <w:ind w:left="120"/>
              <w:spacing w:after="0"/>
              <w:rPr>
                <w:sz w:val="20"/>
                <w:szCs w:val="20"/>
                <w:color w:val="auto"/>
              </w:rPr>
            </w:pPr>
            <w:r>
              <w:rPr>
                <w:rFonts w:ascii="Arial" w:cs="Arial" w:eastAsia="Arial" w:hAnsi="Arial"/>
                <w:sz w:val="14"/>
                <w:szCs w:val="14"/>
                <w:color w:val="auto"/>
              </w:rPr>
              <w:t>that mitigate risk and</w:t>
            </w:r>
          </w:p>
        </w:tc>
      </w:tr>
      <w:tr>
        <w:trPr>
          <w:trHeight w:val="176"/>
        </w:trPr>
        <w:tc>
          <w:tcPr>
            <w:tcW w:w="2160" w:type="dxa"/>
            <w:vAlign w:val="bottom"/>
          </w:tcPr>
          <w:p>
            <w:pPr>
              <w:spacing w:after="0"/>
              <w:rPr>
                <w:sz w:val="15"/>
                <w:szCs w:val="15"/>
                <w:color w:val="auto"/>
              </w:rPr>
            </w:pPr>
          </w:p>
        </w:tc>
        <w:tc>
          <w:tcPr>
            <w:tcW w:w="120" w:type="dxa"/>
            <w:vAlign w:val="bottom"/>
            <w:tcBorders>
              <w:right w:val="single" w:sz="8" w:color="B2B3B6"/>
            </w:tcBorders>
          </w:tcPr>
          <w:p>
            <w:pPr>
              <w:spacing w:after="0"/>
              <w:rPr>
                <w:sz w:val="15"/>
                <w:szCs w:val="15"/>
                <w:color w:val="auto"/>
              </w:rPr>
            </w:pPr>
          </w:p>
        </w:tc>
        <w:tc>
          <w:tcPr>
            <w:tcW w:w="80" w:type="dxa"/>
            <w:vAlign w:val="bottom"/>
          </w:tcPr>
          <w:p>
            <w:pPr>
              <w:spacing w:after="0"/>
              <w:rPr>
                <w:sz w:val="15"/>
                <w:szCs w:val="15"/>
                <w:color w:val="auto"/>
              </w:rPr>
            </w:pPr>
          </w:p>
        </w:tc>
        <w:tc>
          <w:tcPr>
            <w:tcW w:w="2180" w:type="dxa"/>
            <w:vAlign w:val="bottom"/>
            <w:tcBorders>
              <w:right w:val="single" w:sz="8" w:color="B2B3B6"/>
            </w:tcBorders>
            <w:shd w:val="clear" w:color="auto" w:fill="F2F3F2"/>
          </w:tcPr>
          <w:p>
            <w:pPr>
              <w:ind w:left="40"/>
              <w:spacing w:after="0"/>
              <w:rPr>
                <w:sz w:val="20"/>
                <w:szCs w:val="20"/>
                <w:color w:val="auto"/>
              </w:rPr>
            </w:pPr>
            <w:r>
              <w:rPr>
                <w:rFonts w:ascii="Arial" w:cs="Arial" w:eastAsia="Arial" w:hAnsi="Arial"/>
                <w:sz w:val="14"/>
                <w:szCs w:val="14"/>
                <w:color w:val="auto"/>
              </w:rPr>
              <w:t>compete for business and</w:t>
            </w:r>
          </w:p>
        </w:tc>
        <w:tc>
          <w:tcPr>
            <w:tcW w:w="2260" w:type="dxa"/>
            <w:vAlign w:val="bottom"/>
            <w:tcBorders>
              <w:right w:val="single" w:sz="8" w:color="B2B3B6"/>
            </w:tcBorders>
            <w:shd w:val="clear" w:color="auto" w:fill="F2F3F2"/>
          </w:tcPr>
          <w:p>
            <w:pPr>
              <w:spacing w:after="0"/>
              <w:rPr>
                <w:sz w:val="15"/>
                <w:szCs w:val="15"/>
                <w:color w:val="auto"/>
              </w:rPr>
            </w:pPr>
          </w:p>
        </w:tc>
        <w:tc>
          <w:tcPr>
            <w:tcW w:w="2280" w:type="dxa"/>
            <w:vAlign w:val="bottom"/>
            <w:shd w:val="clear" w:color="auto" w:fill="F2F3F2"/>
          </w:tcPr>
          <w:p>
            <w:pPr>
              <w:ind w:left="120"/>
              <w:spacing w:after="0"/>
              <w:rPr>
                <w:sz w:val="20"/>
                <w:szCs w:val="20"/>
                <w:color w:val="auto"/>
              </w:rPr>
            </w:pPr>
            <w:r>
              <w:rPr>
                <w:rFonts w:ascii="Arial" w:cs="Arial" w:eastAsia="Arial" w:hAnsi="Arial"/>
                <w:sz w:val="14"/>
                <w:szCs w:val="14"/>
                <w:color w:val="auto"/>
              </w:rPr>
              <w:t>incentivize long-term results.</w:t>
            </w:r>
          </w:p>
        </w:tc>
      </w:tr>
      <w:tr>
        <w:trPr>
          <w:trHeight w:val="175"/>
        </w:trPr>
        <w:tc>
          <w:tcPr>
            <w:tcW w:w="2160" w:type="dxa"/>
            <w:vAlign w:val="bottom"/>
          </w:tcPr>
          <w:p>
            <w:pPr>
              <w:spacing w:after="0"/>
              <w:rPr>
                <w:sz w:val="15"/>
                <w:szCs w:val="15"/>
                <w:color w:val="auto"/>
              </w:rPr>
            </w:pPr>
          </w:p>
        </w:tc>
        <w:tc>
          <w:tcPr>
            <w:tcW w:w="120" w:type="dxa"/>
            <w:vAlign w:val="bottom"/>
            <w:tcBorders>
              <w:right w:val="single" w:sz="8" w:color="B2B3B6"/>
            </w:tcBorders>
          </w:tcPr>
          <w:p>
            <w:pPr>
              <w:spacing w:after="0"/>
              <w:rPr>
                <w:sz w:val="15"/>
                <w:szCs w:val="15"/>
                <w:color w:val="auto"/>
              </w:rPr>
            </w:pPr>
          </w:p>
        </w:tc>
        <w:tc>
          <w:tcPr>
            <w:tcW w:w="80" w:type="dxa"/>
            <w:vAlign w:val="bottom"/>
          </w:tcPr>
          <w:p>
            <w:pPr>
              <w:spacing w:after="0"/>
              <w:rPr>
                <w:sz w:val="15"/>
                <w:szCs w:val="15"/>
                <w:color w:val="auto"/>
              </w:rPr>
            </w:pPr>
          </w:p>
        </w:tc>
        <w:tc>
          <w:tcPr>
            <w:tcW w:w="2180" w:type="dxa"/>
            <w:vAlign w:val="bottom"/>
            <w:tcBorders>
              <w:right w:val="single" w:sz="8" w:color="B2B3B6"/>
            </w:tcBorders>
            <w:shd w:val="clear" w:color="auto" w:fill="F2F3F2"/>
          </w:tcPr>
          <w:p>
            <w:pPr>
              <w:ind w:left="40"/>
              <w:spacing w:after="0"/>
              <w:rPr>
                <w:sz w:val="20"/>
                <w:szCs w:val="20"/>
                <w:color w:val="auto"/>
              </w:rPr>
            </w:pPr>
            <w:r>
              <w:rPr>
                <w:rFonts w:ascii="Arial" w:cs="Arial" w:eastAsia="Arial" w:hAnsi="Arial"/>
                <w:sz w:val="14"/>
                <w:szCs w:val="14"/>
                <w:color w:val="auto"/>
              </w:rPr>
              <w:t>talent including, but not limited</w:t>
            </w:r>
          </w:p>
        </w:tc>
        <w:tc>
          <w:tcPr>
            <w:tcW w:w="2260" w:type="dxa"/>
            <w:vAlign w:val="bottom"/>
            <w:tcBorders>
              <w:right w:val="single" w:sz="8" w:color="B2B3B6"/>
            </w:tcBorders>
            <w:shd w:val="clear" w:color="auto" w:fill="F2F3F2"/>
          </w:tcPr>
          <w:p>
            <w:pPr>
              <w:spacing w:after="0"/>
              <w:rPr>
                <w:sz w:val="15"/>
                <w:szCs w:val="15"/>
                <w:color w:val="auto"/>
              </w:rPr>
            </w:pPr>
          </w:p>
        </w:tc>
        <w:tc>
          <w:tcPr>
            <w:tcW w:w="2280" w:type="dxa"/>
            <w:vAlign w:val="bottom"/>
            <w:shd w:val="clear" w:color="auto" w:fill="F2F3F2"/>
          </w:tcPr>
          <w:p>
            <w:pPr>
              <w:spacing w:after="0"/>
              <w:rPr>
                <w:sz w:val="15"/>
                <w:szCs w:val="15"/>
                <w:color w:val="auto"/>
              </w:rPr>
            </w:pPr>
          </w:p>
        </w:tc>
      </w:tr>
      <w:tr>
        <w:trPr>
          <w:trHeight w:val="176"/>
        </w:trPr>
        <w:tc>
          <w:tcPr>
            <w:tcW w:w="2160" w:type="dxa"/>
            <w:vAlign w:val="bottom"/>
          </w:tcPr>
          <w:p>
            <w:pPr>
              <w:spacing w:after="0"/>
              <w:rPr>
                <w:sz w:val="15"/>
                <w:szCs w:val="15"/>
                <w:color w:val="auto"/>
              </w:rPr>
            </w:pPr>
          </w:p>
        </w:tc>
        <w:tc>
          <w:tcPr>
            <w:tcW w:w="120" w:type="dxa"/>
            <w:vAlign w:val="bottom"/>
            <w:tcBorders>
              <w:right w:val="single" w:sz="8" w:color="B2B3B6"/>
            </w:tcBorders>
          </w:tcPr>
          <w:p>
            <w:pPr>
              <w:spacing w:after="0"/>
              <w:rPr>
                <w:sz w:val="15"/>
                <w:szCs w:val="15"/>
                <w:color w:val="auto"/>
              </w:rPr>
            </w:pPr>
          </w:p>
        </w:tc>
        <w:tc>
          <w:tcPr>
            <w:tcW w:w="80" w:type="dxa"/>
            <w:vAlign w:val="bottom"/>
          </w:tcPr>
          <w:p>
            <w:pPr>
              <w:spacing w:after="0"/>
              <w:rPr>
                <w:sz w:val="15"/>
                <w:szCs w:val="15"/>
                <w:color w:val="auto"/>
              </w:rPr>
            </w:pPr>
          </w:p>
        </w:tc>
        <w:tc>
          <w:tcPr>
            <w:tcW w:w="2180" w:type="dxa"/>
            <w:vAlign w:val="bottom"/>
            <w:tcBorders>
              <w:right w:val="single" w:sz="8" w:color="B2B3B6"/>
            </w:tcBorders>
            <w:shd w:val="clear" w:color="auto" w:fill="F2F3F2"/>
          </w:tcPr>
          <w:p>
            <w:pPr>
              <w:ind w:left="40"/>
              <w:spacing w:after="0"/>
              <w:rPr>
                <w:sz w:val="20"/>
                <w:szCs w:val="20"/>
                <w:color w:val="auto"/>
              </w:rPr>
            </w:pPr>
            <w:r>
              <w:rPr>
                <w:rFonts w:ascii="Arial" w:cs="Arial" w:eastAsia="Arial" w:hAnsi="Arial"/>
                <w:sz w:val="14"/>
                <w:szCs w:val="14"/>
                <w:color w:val="auto"/>
              </w:rPr>
              <w:t>to, our compensation peer</w:t>
            </w:r>
          </w:p>
        </w:tc>
        <w:tc>
          <w:tcPr>
            <w:tcW w:w="2260" w:type="dxa"/>
            <w:vAlign w:val="bottom"/>
            <w:tcBorders>
              <w:right w:val="single" w:sz="8" w:color="B2B3B6"/>
            </w:tcBorders>
            <w:shd w:val="clear" w:color="auto" w:fill="F2F3F2"/>
          </w:tcPr>
          <w:p>
            <w:pPr>
              <w:spacing w:after="0"/>
              <w:rPr>
                <w:sz w:val="15"/>
                <w:szCs w:val="15"/>
                <w:color w:val="auto"/>
              </w:rPr>
            </w:pPr>
          </w:p>
        </w:tc>
        <w:tc>
          <w:tcPr>
            <w:tcW w:w="2280" w:type="dxa"/>
            <w:vAlign w:val="bottom"/>
            <w:shd w:val="clear" w:color="auto" w:fill="F2F3F2"/>
          </w:tcPr>
          <w:p>
            <w:pPr>
              <w:spacing w:after="0"/>
              <w:rPr>
                <w:sz w:val="15"/>
                <w:szCs w:val="15"/>
                <w:color w:val="auto"/>
              </w:rPr>
            </w:pPr>
          </w:p>
        </w:tc>
      </w:tr>
      <w:tr>
        <w:trPr>
          <w:trHeight w:val="190"/>
        </w:trPr>
        <w:tc>
          <w:tcPr>
            <w:tcW w:w="2160" w:type="dxa"/>
            <w:vAlign w:val="bottom"/>
          </w:tcPr>
          <w:p>
            <w:pPr>
              <w:spacing w:after="0"/>
              <w:rPr>
                <w:sz w:val="16"/>
                <w:szCs w:val="16"/>
                <w:color w:val="auto"/>
              </w:rPr>
            </w:pPr>
          </w:p>
        </w:tc>
        <w:tc>
          <w:tcPr>
            <w:tcW w:w="120" w:type="dxa"/>
            <w:vAlign w:val="bottom"/>
            <w:tcBorders>
              <w:right w:val="single" w:sz="8" w:color="B2B3B6"/>
            </w:tcBorders>
          </w:tcPr>
          <w:p>
            <w:pPr>
              <w:spacing w:after="0"/>
              <w:rPr>
                <w:sz w:val="16"/>
                <w:szCs w:val="16"/>
                <w:color w:val="auto"/>
              </w:rPr>
            </w:pPr>
          </w:p>
        </w:tc>
        <w:tc>
          <w:tcPr>
            <w:tcW w:w="80" w:type="dxa"/>
            <w:vAlign w:val="bottom"/>
          </w:tcPr>
          <w:p>
            <w:pPr>
              <w:spacing w:after="0"/>
              <w:rPr>
                <w:sz w:val="16"/>
                <w:szCs w:val="16"/>
                <w:color w:val="auto"/>
              </w:rPr>
            </w:pPr>
          </w:p>
        </w:tc>
        <w:tc>
          <w:tcPr>
            <w:tcW w:w="2180" w:type="dxa"/>
            <w:vAlign w:val="bottom"/>
            <w:tcBorders>
              <w:right w:val="single" w:sz="8" w:color="B2B3B6"/>
            </w:tcBorders>
            <w:shd w:val="clear" w:color="auto" w:fill="F2F3F2"/>
          </w:tcPr>
          <w:p>
            <w:pPr>
              <w:ind w:left="40"/>
              <w:spacing w:after="0"/>
              <w:rPr>
                <w:sz w:val="20"/>
                <w:szCs w:val="20"/>
                <w:color w:val="auto"/>
              </w:rPr>
            </w:pPr>
            <w:r>
              <w:rPr>
                <w:rFonts w:ascii="Arial" w:cs="Arial" w:eastAsia="Arial" w:hAnsi="Arial"/>
                <w:sz w:val="14"/>
                <w:szCs w:val="14"/>
                <w:color w:val="auto"/>
              </w:rPr>
              <w:t>group.</w:t>
            </w:r>
          </w:p>
        </w:tc>
        <w:tc>
          <w:tcPr>
            <w:tcW w:w="2260" w:type="dxa"/>
            <w:vAlign w:val="bottom"/>
            <w:tcBorders>
              <w:right w:val="single" w:sz="8" w:color="B2B3B6"/>
            </w:tcBorders>
            <w:shd w:val="clear" w:color="auto" w:fill="F2F3F2"/>
          </w:tcPr>
          <w:p>
            <w:pPr>
              <w:spacing w:after="0"/>
              <w:rPr>
                <w:sz w:val="16"/>
                <w:szCs w:val="16"/>
                <w:color w:val="auto"/>
              </w:rPr>
            </w:pPr>
          </w:p>
        </w:tc>
        <w:tc>
          <w:tcPr>
            <w:tcW w:w="2280" w:type="dxa"/>
            <w:vAlign w:val="bottom"/>
            <w:shd w:val="clear" w:color="auto" w:fill="F2F3F2"/>
          </w:tcPr>
          <w:p>
            <w:pPr>
              <w:spacing w:after="0"/>
              <w:rPr>
                <w:sz w:val="16"/>
                <w:szCs w:val="16"/>
                <w:color w:val="auto"/>
              </w:rPr>
            </w:pPr>
          </w:p>
        </w:tc>
      </w:tr>
      <w:tr>
        <w:trPr>
          <w:trHeight w:val="521"/>
        </w:trPr>
        <w:tc>
          <w:tcPr>
            <w:tcW w:w="2160" w:type="dxa"/>
            <w:vAlign w:val="bottom"/>
          </w:tcPr>
          <w:p>
            <w:pPr>
              <w:spacing w:after="0"/>
              <w:rPr>
                <w:sz w:val="24"/>
                <w:szCs w:val="24"/>
                <w:color w:val="auto"/>
              </w:rPr>
            </w:pPr>
          </w:p>
        </w:tc>
        <w:tc>
          <w:tcPr>
            <w:tcW w:w="120" w:type="dxa"/>
            <w:vAlign w:val="bottom"/>
            <w:tcBorders>
              <w:right w:val="single" w:sz="8" w:color="B2B3B6"/>
            </w:tcBorders>
          </w:tcPr>
          <w:p>
            <w:pPr>
              <w:spacing w:after="0"/>
              <w:rPr>
                <w:sz w:val="24"/>
                <w:szCs w:val="24"/>
                <w:color w:val="auto"/>
              </w:rPr>
            </w:pPr>
          </w:p>
        </w:tc>
        <w:tc>
          <w:tcPr>
            <w:tcW w:w="80" w:type="dxa"/>
            <w:vAlign w:val="bottom"/>
          </w:tcPr>
          <w:p>
            <w:pPr>
              <w:spacing w:after="0"/>
              <w:rPr>
                <w:sz w:val="24"/>
                <w:szCs w:val="24"/>
                <w:color w:val="auto"/>
              </w:rPr>
            </w:pPr>
          </w:p>
        </w:tc>
        <w:tc>
          <w:tcPr>
            <w:tcW w:w="2180" w:type="dxa"/>
            <w:vAlign w:val="bottom"/>
            <w:tcBorders>
              <w:right w:val="single" w:sz="8" w:color="B2B3B6"/>
            </w:tcBorders>
            <w:shd w:val="clear" w:color="auto" w:fill="F2F3F2"/>
          </w:tcPr>
          <w:p>
            <w:pPr>
              <w:spacing w:after="0"/>
              <w:rPr>
                <w:sz w:val="24"/>
                <w:szCs w:val="24"/>
                <w:color w:val="auto"/>
              </w:rPr>
            </w:pPr>
          </w:p>
        </w:tc>
        <w:tc>
          <w:tcPr>
            <w:tcW w:w="2260" w:type="dxa"/>
            <w:vAlign w:val="bottom"/>
            <w:tcBorders>
              <w:right w:val="single" w:sz="8" w:color="B2B3B6"/>
            </w:tcBorders>
            <w:shd w:val="clear" w:color="auto" w:fill="F2F3F2"/>
          </w:tcPr>
          <w:p>
            <w:pPr>
              <w:spacing w:after="0"/>
              <w:rPr>
                <w:sz w:val="24"/>
                <w:szCs w:val="24"/>
                <w:color w:val="auto"/>
              </w:rPr>
            </w:pPr>
          </w:p>
        </w:tc>
        <w:tc>
          <w:tcPr>
            <w:tcW w:w="2280" w:type="dxa"/>
            <w:vAlign w:val="bottom"/>
            <w:shd w:val="clear" w:color="auto" w:fill="F2F3F2"/>
          </w:tcPr>
          <w:p>
            <w:pPr>
              <w:spacing w:after="0"/>
              <w:rPr>
                <w:sz w:val="24"/>
                <w:szCs w:val="24"/>
                <w:color w:val="auto"/>
              </w:rPr>
            </w:pPr>
          </w:p>
        </w:tc>
      </w:tr>
    </w:tbl>
    <w:p>
      <w:pPr>
        <w:spacing w:after="0" w:line="94"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We define performance under the executive compensation program as a blend of delivering value to stockholders, achieving financial performance in comparison to pre-established financial goals, and establishing and executing strategic initiatives that we believe are responsive to evolving market and economic conditions and critical to future stockholder value creation. The Compensation Committee regularly reviews the design and administration of Huron’s executive compensation program to ensure the pay programs adhere to this philosophy.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60"/>
        <w:spacing w:after="0"/>
        <w:tabs>
          <w:tab w:leader="none" w:pos="444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13"/>
          <w:szCs w:val="13"/>
          <w:b w:val="1"/>
          <w:bCs w:val="1"/>
          <w:color w:val="00558C"/>
        </w:rPr>
        <w:t>37</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420370</wp:posOffset>
            </wp:positionV>
            <wp:extent cx="6810375" cy="50825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10375" cy="5082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540" w:val="left"/>
          <w:tab w:leader="none" w:pos="7360" w:val="left"/>
          <w:tab w:leader="none" w:pos="8400" w:val="left"/>
        </w:tabs>
        <w:rPr>
          <w:sz w:val="20"/>
          <w:szCs w:val="20"/>
          <w:color w:val="auto"/>
        </w:rPr>
      </w:pPr>
      <w:r>
        <w:rPr>
          <w:rFonts w:ascii="Arial" w:cs="Arial" w:eastAsia="Arial" w:hAnsi="Arial"/>
          <w:sz w:val="13"/>
          <w:szCs w:val="13"/>
          <w:b w:val="1"/>
          <w:bCs w:val="1"/>
          <w:color w:val="B2B3B6"/>
        </w:rPr>
        <w:t>General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Corporate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6AAA37"/>
        </w:rPr>
        <w:t>Executive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Stockholder</w:t>
      </w:r>
      <w:r>
        <w:rPr>
          <w:sz w:val="20"/>
          <w:szCs w:val="20"/>
          <w:color w:val="auto"/>
        </w:rPr>
        <w:tab/>
      </w:r>
      <w:r>
        <w:rPr>
          <w:rFonts w:ascii="Arial" w:cs="Arial" w:eastAsia="Arial" w:hAnsi="Arial"/>
          <w:sz w:val="12"/>
          <w:szCs w:val="12"/>
          <w:b w:val="1"/>
          <w:bCs w:val="1"/>
          <w:color w:val="B2B3B6"/>
        </w:rPr>
        <w:t>Other</w:t>
      </w:r>
    </w:p>
    <w:p>
      <w:pPr>
        <w:spacing w:after="0" w:line="11"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540" w:val="left"/>
          <w:tab w:leader="none" w:pos="7360" w:val="left"/>
          <w:tab w:leader="none" w:pos="8400" w:val="left"/>
        </w:tabs>
        <w:rPr>
          <w:sz w:val="20"/>
          <w:szCs w:val="20"/>
          <w:color w:val="auto"/>
        </w:rPr>
      </w:pPr>
      <w:r>
        <w:rPr>
          <w:rFonts w:ascii="Arial" w:cs="Arial" w:eastAsia="Arial" w:hAnsi="Arial"/>
          <w:sz w:val="13"/>
          <w:szCs w:val="13"/>
          <w:b w:val="1"/>
          <w:bCs w:val="1"/>
          <w:color w:val="B2B3B6"/>
        </w:rPr>
        <w:t>Information</w:t>
      </w:r>
      <w:r>
        <w:rPr>
          <w:sz w:val="20"/>
          <w:szCs w:val="20"/>
          <w:color w:val="auto"/>
        </w:rPr>
        <w:tab/>
      </w:r>
      <w:r>
        <w:rPr>
          <w:rFonts w:ascii="Arial" w:cs="Arial" w:eastAsia="Arial" w:hAnsi="Arial"/>
          <w:sz w:val="13"/>
          <w:szCs w:val="13"/>
          <w:b w:val="1"/>
          <w:bCs w:val="1"/>
          <w:color w:val="B2B3B6"/>
        </w:rPr>
        <w:t>One</w:t>
      </w:r>
      <w:r>
        <w:rPr>
          <w:sz w:val="20"/>
          <w:szCs w:val="20"/>
          <w:color w:val="auto"/>
        </w:rPr>
        <w:tab/>
      </w:r>
      <w:r>
        <w:rPr>
          <w:rFonts w:ascii="Arial" w:cs="Arial" w:eastAsia="Arial" w:hAnsi="Arial"/>
          <w:sz w:val="13"/>
          <w:szCs w:val="13"/>
          <w:b w:val="1"/>
          <w:bCs w:val="1"/>
          <w:color w:val="B2B3B6"/>
        </w:rPr>
        <w:t>Governance</w:t>
      </w:r>
      <w:r>
        <w:rPr>
          <w:sz w:val="20"/>
          <w:szCs w:val="20"/>
          <w:color w:val="auto"/>
        </w:rPr>
        <w:tab/>
      </w:r>
      <w:r>
        <w:rPr>
          <w:rFonts w:ascii="Arial" w:cs="Arial" w:eastAsia="Arial" w:hAnsi="Arial"/>
          <w:sz w:val="13"/>
          <w:szCs w:val="13"/>
          <w:b w:val="1"/>
          <w:bCs w:val="1"/>
          <w:color w:val="B2B3B6"/>
        </w:rPr>
        <w:t>Two</w:t>
      </w:r>
      <w:r>
        <w:rPr>
          <w:sz w:val="20"/>
          <w:szCs w:val="20"/>
          <w:color w:val="auto"/>
        </w:rPr>
        <w:tab/>
      </w:r>
      <w:r>
        <w:rPr>
          <w:rFonts w:ascii="Arial" w:cs="Arial" w:eastAsia="Arial" w:hAnsi="Arial"/>
          <w:sz w:val="13"/>
          <w:szCs w:val="13"/>
          <w:b w:val="1"/>
          <w:bCs w:val="1"/>
          <w:color w:val="6AAA37"/>
        </w:rPr>
        <w:t>Compensation</w:t>
      </w:r>
      <w:r>
        <w:rPr>
          <w:sz w:val="20"/>
          <w:szCs w:val="20"/>
          <w:color w:val="auto"/>
        </w:rPr>
        <w:tab/>
      </w:r>
      <w:r>
        <w:rPr>
          <w:rFonts w:ascii="Arial" w:cs="Arial" w:eastAsia="Arial" w:hAnsi="Arial"/>
          <w:sz w:val="13"/>
          <w:szCs w:val="13"/>
          <w:b w:val="1"/>
          <w:bCs w:val="1"/>
          <w:color w:val="B2B3B6"/>
        </w:rPr>
        <w:t>Three</w:t>
      </w:r>
      <w:r>
        <w:rPr>
          <w:sz w:val="20"/>
          <w:szCs w:val="20"/>
          <w:color w:val="auto"/>
        </w:rPr>
        <w:tab/>
      </w:r>
      <w:r>
        <w:rPr>
          <w:rFonts w:ascii="Arial" w:cs="Arial" w:eastAsia="Arial" w:hAnsi="Arial"/>
          <w:sz w:val="13"/>
          <w:szCs w:val="13"/>
          <w:b w:val="1"/>
          <w:bCs w:val="1"/>
          <w:color w:val="B2B3B6"/>
        </w:rPr>
        <w:t>Four</w:t>
      </w:r>
      <w:r>
        <w:rPr>
          <w:sz w:val="20"/>
          <w:szCs w:val="20"/>
          <w:color w:val="auto"/>
        </w:rPr>
        <w:tab/>
      </w:r>
      <w:r>
        <w:rPr>
          <w:rFonts w:ascii="Arial" w:cs="Arial" w:eastAsia="Arial" w:hAnsi="Arial"/>
          <w:sz w:val="13"/>
          <w:szCs w:val="13"/>
          <w:b w:val="1"/>
          <w:bCs w:val="1"/>
          <w:color w:val="B2B3B6"/>
        </w:rPr>
        <w:t>Five</w:t>
      </w:r>
      <w:r>
        <w:rPr>
          <w:sz w:val="20"/>
          <w:szCs w:val="20"/>
          <w:color w:val="auto"/>
        </w:rPr>
        <w:tab/>
      </w:r>
      <w:r>
        <w:rPr>
          <w:rFonts w:ascii="Arial" w:cs="Arial" w:eastAsia="Arial" w:hAnsi="Arial"/>
          <w:sz w:val="13"/>
          <w:szCs w:val="13"/>
          <w:b w:val="1"/>
          <w:bCs w:val="1"/>
          <w:color w:val="B2B3B6"/>
        </w:rPr>
        <w:t>Proposals</w:t>
      </w:r>
      <w:r>
        <w:rPr>
          <w:sz w:val="20"/>
          <w:szCs w:val="20"/>
          <w:color w:val="auto"/>
        </w:rPr>
        <w:tab/>
      </w:r>
      <w:r>
        <w:rPr>
          <w:rFonts w:ascii="Arial" w:cs="Arial" w:eastAsia="Arial" w:hAnsi="Arial"/>
          <w:sz w:val="12"/>
          <w:szCs w:val="12"/>
          <w:b w:val="1"/>
          <w:bCs w:val="1"/>
          <w:color w:val="B2B3B6"/>
        </w:rPr>
        <w:t>Matters</w:t>
      </w:r>
    </w:p>
    <w:p>
      <w:pPr>
        <w:sectPr>
          <w:pgSz w:w="11900" w:h="16869" w:orient="portrait"/>
          <w:cols w:equalWidth="0" w:num="1">
            <w:col w:w="9080"/>
          </w:cols>
          <w:pgMar w:left="1400" w:top="0" w:right="1419" w:bottom="0" w:gutter="0" w:footer="0" w:header="0"/>
        </w:sect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 ion Best Practices</w:t>
      </w:r>
    </w:p>
    <w:p>
      <w:pPr>
        <w:spacing w:after="0" w:line="289" w:lineRule="exact"/>
        <w:rPr>
          <w:sz w:val="20"/>
          <w:szCs w:val="20"/>
          <w:color w:val="auto"/>
        </w:rPr>
      </w:pPr>
    </w:p>
    <w:p>
      <w:pPr>
        <w:ind w:left="1700"/>
        <w:spacing w:after="0"/>
        <w:rPr>
          <w:sz w:val="20"/>
          <w:szCs w:val="20"/>
          <w:color w:val="auto"/>
        </w:rPr>
      </w:pPr>
      <w:r>
        <w:rPr>
          <w:rFonts w:ascii="Arial" w:cs="Arial" w:eastAsia="Arial" w:hAnsi="Arial"/>
          <w:sz w:val="14"/>
          <w:szCs w:val="14"/>
          <w:b w:val="1"/>
          <w:bCs w:val="1"/>
          <w:color w:val="FFFFFF"/>
        </w:rPr>
        <w:t>What We Do</w:t>
      </w:r>
    </w:p>
    <w:p>
      <w:pPr>
        <w:spacing w:after="0" w:line="23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Align pay with performance with a significant majority of</w:t>
      </w:r>
    </w:p>
    <w:p>
      <w:pPr>
        <w:spacing w:after="0" w:line="15" w:lineRule="exact"/>
        <w:rPr>
          <w:sz w:val="20"/>
          <w:szCs w:val="20"/>
          <w:color w:val="auto"/>
        </w:rPr>
      </w:pPr>
    </w:p>
    <w:p>
      <w:pPr>
        <w:ind w:left="460" w:right="360" w:hanging="345"/>
        <w:spacing w:after="0" w:line="216" w:lineRule="auto"/>
        <w:tabs>
          <w:tab w:leader="none" w:pos="460" w:val="left"/>
        </w:tabs>
        <w:numPr>
          <w:ilvl w:val="0"/>
          <w:numId w:val="66"/>
        </w:numPr>
        <w:rPr>
          <w:rFonts w:ascii="Wingdings" w:cs="Wingdings" w:eastAsia="Wingdings" w:hAnsi="Wingdings"/>
          <w:sz w:val="22"/>
          <w:szCs w:val="22"/>
          <w:b w:val="1"/>
          <w:bCs w:val="1"/>
          <w:color w:val="6AAA37"/>
        </w:rPr>
      </w:pPr>
      <w:r>
        <w:rPr>
          <w:rFonts w:ascii="Arial" w:cs="Arial" w:eastAsia="Arial" w:hAnsi="Arial"/>
          <w:sz w:val="14"/>
          <w:szCs w:val="14"/>
          <w:color w:val="auto"/>
        </w:rPr>
        <w:t>compensation at-risk and based on objective financial performance measures</w:t>
      </w:r>
    </w:p>
    <w:p>
      <w:pPr>
        <w:spacing w:after="0" w:line="323" w:lineRule="exact"/>
        <w:rPr>
          <w:rFonts w:ascii="Wingdings" w:cs="Wingdings" w:eastAsia="Wingdings" w:hAnsi="Wingdings"/>
          <w:sz w:val="22"/>
          <w:szCs w:val="22"/>
          <w:b w:val="1"/>
          <w:bCs w:val="1"/>
          <w:color w:val="6AAA37"/>
        </w:rPr>
      </w:pPr>
    </w:p>
    <w:p>
      <w:pPr>
        <w:ind w:left="460" w:right="80" w:hanging="345"/>
        <w:spacing w:after="0" w:line="416" w:lineRule="auto"/>
        <w:tabs>
          <w:tab w:leader="none" w:pos="460" w:val="left"/>
        </w:tabs>
        <w:numPr>
          <w:ilvl w:val="0"/>
          <w:numId w:val="66"/>
        </w:numPr>
        <w:rPr>
          <w:rFonts w:ascii="Wingdings" w:cs="Wingdings" w:eastAsia="Wingdings" w:hAnsi="Wingdings"/>
          <w:sz w:val="22"/>
          <w:szCs w:val="22"/>
          <w:b w:val="1"/>
          <w:bCs w:val="1"/>
          <w:color w:val="6AAA37"/>
        </w:rPr>
      </w:pPr>
      <w:r>
        <w:rPr>
          <w:rFonts w:ascii="Arial" w:cs="Arial" w:eastAsia="Arial" w:hAnsi="Arial"/>
          <w:sz w:val="14"/>
          <w:szCs w:val="14"/>
          <w:color w:val="auto"/>
        </w:rPr>
        <w:t>Appropriately balance short-term and long-term incentives Align executive compensation with stockholder returns</w:t>
      </w:r>
    </w:p>
    <w:p>
      <w:pPr>
        <w:ind w:left="460" w:right="360" w:hanging="345"/>
        <w:spacing w:after="0" w:line="208" w:lineRule="auto"/>
        <w:tabs>
          <w:tab w:leader="none" w:pos="460" w:val="left"/>
        </w:tabs>
        <w:numPr>
          <w:ilvl w:val="0"/>
          <w:numId w:val="66"/>
        </w:numPr>
        <w:rPr>
          <w:rFonts w:ascii="Wingdings" w:cs="Wingdings" w:eastAsia="Wingdings" w:hAnsi="Wingdings"/>
          <w:sz w:val="22"/>
          <w:szCs w:val="22"/>
          <w:b w:val="1"/>
          <w:bCs w:val="1"/>
          <w:color w:val="6AAA37"/>
        </w:rPr>
      </w:pPr>
      <w:r>
        <w:rPr>
          <w:rFonts w:ascii="Arial" w:cs="Arial" w:eastAsia="Arial" w:hAnsi="Arial"/>
          <w:sz w:val="14"/>
          <w:szCs w:val="14"/>
          <w:color w:val="auto"/>
        </w:rPr>
        <w:t>through performance-based equity grants that include minimum time-vesting requirements</w:t>
      </w:r>
    </w:p>
    <w:p>
      <w:pPr>
        <w:spacing w:after="0" w:line="147" w:lineRule="exact"/>
        <w:rPr>
          <w:rFonts w:ascii="Wingdings" w:cs="Wingdings" w:eastAsia="Wingdings" w:hAnsi="Wingdings"/>
          <w:sz w:val="22"/>
          <w:szCs w:val="22"/>
          <w:b w:val="1"/>
          <w:bCs w:val="1"/>
          <w:color w:val="6AAA37"/>
        </w:rPr>
      </w:pPr>
    </w:p>
    <w:p>
      <w:pPr>
        <w:ind w:left="460"/>
        <w:spacing w:after="0"/>
        <w:rPr>
          <w:rFonts w:ascii="Wingdings" w:cs="Wingdings" w:eastAsia="Wingdings" w:hAnsi="Wingdings"/>
          <w:sz w:val="22"/>
          <w:szCs w:val="22"/>
          <w:b w:val="1"/>
          <w:bCs w:val="1"/>
          <w:color w:val="6AAA37"/>
        </w:rPr>
      </w:pPr>
      <w:r>
        <w:rPr>
          <w:rFonts w:ascii="Arial" w:cs="Arial" w:eastAsia="Arial" w:hAnsi="Arial"/>
          <w:sz w:val="14"/>
          <w:szCs w:val="14"/>
          <w:color w:val="auto"/>
        </w:rPr>
        <w:t>Establish rigorous, achievable, and predominantly</w:t>
      </w:r>
    </w:p>
    <w:p>
      <w:pPr>
        <w:spacing w:after="0" w:line="28" w:lineRule="exact"/>
        <w:rPr>
          <w:rFonts w:ascii="Wingdings" w:cs="Wingdings" w:eastAsia="Wingdings" w:hAnsi="Wingdings"/>
          <w:sz w:val="22"/>
          <w:szCs w:val="22"/>
          <w:b w:val="1"/>
          <w:bCs w:val="1"/>
          <w:color w:val="6AAA37"/>
        </w:rPr>
      </w:pPr>
    </w:p>
    <w:p>
      <w:pPr>
        <w:ind w:left="460" w:right="480" w:hanging="345"/>
        <w:spacing w:after="0" w:line="208" w:lineRule="auto"/>
        <w:tabs>
          <w:tab w:leader="none" w:pos="460" w:val="left"/>
        </w:tabs>
        <w:numPr>
          <w:ilvl w:val="0"/>
          <w:numId w:val="66"/>
        </w:numPr>
        <w:rPr>
          <w:rFonts w:ascii="Wingdings" w:cs="Wingdings" w:eastAsia="Wingdings" w:hAnsi="Wingdings"/>
          <w:sz w:val="22"/>
          <w:szCs w:val="22"/>
          <w:b w:val="1"/>
          <w:bCs w:val="1"/>
          <w:color w:val="6AAA37"/>
        </w:rPr>
      </w:pPr>
      <w:r>
        <w:rPr>
          <w:rFonts w:ascii="Arial" w:cs="Arial" w:eastAsia="Arial" w:hAnsi="Arial"/>
          <w:sz w:val="14"/>
          <w:szCs w:val="14"/>
          <w:color w:val="auto"/>
        </w:rPr>
        <w:t>quantitative goals, that ensure focused, measurable progress and overall organizational advancement</w:t>
      </w:r>
    </w:p>
    <w:p>
      <w:pPr>
        <w:spacing w:after="0" w:line="147" w:lineRule="exact"/>
        <w:rPr>
          <w:rFonts w:ascii="Wingdings" w:cs="Wingdings" w:eastAsia="Wingdings" w:hAnsi="Wingdings"/>
          <w:sz w:val="22"/>
          <w:szCs w:val="22"/>
          <w:b w:val="1"/>
          <w:bCs w:val="1"/>
          <w:color w:val="6AAA37"/>
        </w:rPr>
      </w:pPr>
    </w:p>
    <w:p>
      <w:pPr>
        <w:ind w:left="460"/>
        <w:spacing w:after="0"/>
        <w:rPr>
          <w:rFonts w:ascii="Wingdings" w:cs="Wingdings" w:eastAsia="Wingdings" w:hAnsi="Wingdings"/>
          <w:sz w:val="22"/>
          <w:szCs w:val="22"/>
          <w:b w:val="1"/>
          <w:bCs w:val="1"/>
          <w:color w:val="6AAA37"/>
        </w:rPr>
      </w:pPr>
      <w:r>
        <w:rPr>
          <w:rFonts w:ascii="Arial" w:cs="Arial" w:eastAsia="Arial" w:hAnsi="Arial"/>
          <w:sz w:val="14"/>
          <w:szCs w:val="14"/>
          <w:color w:val="auto"/>
        </w:rPr>
        <w:t>Require the annual incentive program funding to be capped</w:t>
      </w:r>
    </w:p>
    <w:p>
      <w:pPr>
        <w:spacing w:after="0" w:line="28" w:lineRule="exact"/>
        <w:rPr>
          <w:rFonts w:ascii="Wingdings" w:cs="Wingdings" w:eastAsia="Wingdings" w:hAnsi="Wingdings"/>
          <w:sz w:val="22"/>
          <w:szCs w:val="22"/>
          <w:b w:val="1"/>
          <w:bCs w:val="1"/>
          <w:color w:val="6AAA37"/>
        </w:rPr>
      </w:pPr>
    </w:p>
    <w:p>
      <w:pPr>
        <w:ind w:left="460" w:right="220" w:hanging="345"/>
        <w:spacing w:after="0" w:line="208" w:lineRule="auto"/>
        <w:tabs>
          <w:tab w:leader="none" w:pos="460" w:val="left"/>
        </w:tabs>
        <w:numPr>
          <w:ilvl w:val="0"/>
          <w:numId w:val="66"/>
        </w:numPr>
        <w:rPr>
          <w:rFonts w:ascii="Wingdings" w:cs="Wingdings" w:eastAsia="Wingdings" w:hAnsi="Wingdings"/>
          <w:sz w:val="22"/>
          <w:szCs w:val="22"/>
          <w:b w:val="1"/>
          <w:bCs w:val="1"/>
          <w:color w:val="6AAA37"/>
        </w:rPr>
      </w:pPr>
      <w:r>
        <w:rPr>
          <w:rFonts w:ascii="Arial" w:cs="Arial" w:eastAsia="Arial" w:hAnsi="Arial"/>
          <w:sz w:val="14"/>
          <w:szCs w:val="14"/>
          <w:color w:val="auto"/>
        </w:rPr>
        <w:t>at target payout if total shareholder return for the year is negative</w:t>
      </w:r>
    </w:p>
    <w:p>
      <w:pPr>
        <w:spacing w:after="0" w:line="242" w:lineRule="exact"/>
        <w:rPr>
          <w:rFonts w:ascii="Wingdings" w:cs="Wingdings" w:eastAsia="Wingdings" w:hAnsi="Wingdings"/>
          <w:sz w:val="22"/>
          <w:szCs w:val="22"/>
          <w:b w:val="1"/>
          <w:bCs w:val="1"/>
          <w:color w:val="6AAA37"/>
        </w:rPr>
      </w:pPr>
    </w:p>
    <w:p>
      <w:pPr>
        <w:ind w:left="460" w:right="180" w:hanging="345"/>
        <w:spacing w:after="0"/>
        <w:tabs>
          <w:tab w:leader="none" w:pos="460" w:val="left"/>
        </w:tabs>
        <w:numPr>
          <w:ilvl w:val="0"/>
          <w:numId w:val="66"/>
        </w:numPr>
        <w:rPr>
          <w:rFonts w:ascii="Wingdings" w:cs="Wingdings" w:eastAsia="Wingdings" w:hAnsi="Wingdings"/>
          <w:sz w:val="31"/>
          <w:szCs w:val="31"/>
          <w:b w:val="1"/>
          <w:bCs w:val="1"/>
          <w:color w:val="6AAA37"/>
          <w:vertAlign w:val="subscript"/>
        </w:rPr>
      </w:pPr>
      <w:r>
        <w:rPr>
          <w:rFonts w:ascii="Arial" w:cs="Arial" w:eastAsia="Arial" w:hAnsi="Arial"/>
          <w:sz w:val="12"/>
          <w:szCs w:val="12"/>
          <w:color w:val="auto"/>
        </w:rPr>
        <w:t>Perform an annual risk assessment of our compensation programs</w:t>
      </w:r>
    </w:p>
    <w:p>
      <w:pPr>
        <w:spacing w:after="0" w:line="371" w:lineRule="exact"/>
        <w:rPr>
          <w:rFonts w:ascii="Wingdings" w:cs="Wingdings" w:eastAsia="Wingdings" w:hAnsi="Wingdings"/>
          <w:sz w:val="31"/>
          <w:szCs w:val="31"/>
          <w:b w:val="1"/>
          <w:bCs w:val="1"/>
          <w:color w:val="6AAA37"/>
          <w:vertAlign w:val="subscript"/>
        </w:rPr>
      </w:pPr>
    </w:p>
    <w:p>
      <w:pPr>
        <w:ind w:left="460" w:hanging="345"/>
        <w:spacing w:after="0"/>
        <w:tabs>
          <w:tab w:leader="none" w:pos="460" w:val="left"/>
        </w:tabs>
        <w:numPr>
          <w:ilvl w:val="0"/>
          <w:numId w:val="66"/>
        </w:numPr>
        <w:rPr>
          <w:rFonts w:ascii="Wingdings" w:cs="Wingdings" w:eastAsia="Wingdings" w:hAnsi="Wingdings"/>
          <w:sz w:val="22"/>
          <w:szCs w:val="22"/>
          <w:b w:val="1"/>
          <w:bCs w:val="1"/>
          <w:color w:val="6AAA37"/>
        </w:rPr>
      </w:pPr>
      <w:r>
        <w:rPr>
          <w:rFonts w:ascii="Arial" w:cs="Arial" w:eastAsia="Arial" w:hAnsi="Arial"/>
          <w:sz w:val="14"/>
          <w:szCs w:val="14"/>
          <w:color w:val="auto"/>
        </w:rPr>
        <w:t>Maintain robust stock ownership guidelines</w:t>
      </w:r>
    </w:p>
    <w:p>
      <w:pPr>
        <w:spacing w:after="0" w:line="372" w:lineRule="exact"/>
        <w:rPr>
          <w:rFonts w:ascii="Wingdings" w:cs="Wingdings" w:eastAsia="Wingdings" w:hAnsi="Wingdings"/>
          <w:sz w:val="22"/>
          <w:szCs w:val="22"/>
          <w:b w:val="1"/>
          <w:bCs w:val="1"/>
          <w:color w:val="6AAA37"/>
        </w:rPr>
      </w:pPr>
    </w:p>
    <w:p>
      <w:pPr>
        <w:ind w:left="460" w:hanging="345"/>
        <w:spacing w:after="0"/>
        <w:tabs>
          <w:tab w:leader="none" w:pos="460" w:val="left"/>
        </w:tabs>
        <w:numPr>
          <w:ilvl w:val="0"/>
          <w:numId w:val="66"/>
        </w:numPr>
        <w:rPr>
          <w:rFonts w:ascii="Wingdings" w:cs="Wingdings" w:eastAsia="Wingdings" w:hAnsi="Wingdings"/>
          <w:sz w:val="37"/>
          <w:szCs w:val="37"/>
          <w:b w:val="1"/>
          <w:bCs w:val="1"/>
          <w:color w:val="6AAA37"/>
          <w:vertAlign w:val="subscript"/>
        </w:rPr>
      </w:pPr>
      <w:r>
        <w:rPr>
          <w:rFonts w:ascii="Arial" w:cs="Arial" w:eastAsia="Arial" w:hAnsi="Arial"/>
          <w:sz w:val="13"/>
          <w:szCs w:val="13"/>
          <w:color w:val="auto"/>
        </w:rPr>
        <w:t>Provide</w:t>
      </w:r>
      <w:r>
        <w:rPr>
          <w:rFonts w:ascii="Arial" w:cs="Arial" w:eastAsia="Arial" w:hAnsi="Arial"/>
          <w:sz w:val="25"/>
          <w:szCs w:val="25"/>
          <w:color w:val="auto"/>
          <w:vertAlign w:val="subscript"/>
        </w:rPr>
        <w:t>event</w:t>
      </w:r>
      <w:r>
        <w:rPr>
          <w:rFonts w:ascii="Arial" w:cs="Arial" w:eastAsia="Arial" w:hAnsi="Arial"/>
          <w:sz w:val="13"/>
          <w:szCs w:val="13"/>
          <w:color w:val="auto"/>
        </w:rPr>
        <w:t xml:space="preserve"> only double-trigger benefits in a change of control</w:t>
      </w:r>
    </w:p>
    <w:p>
      <w:pPr>
        <w:spacing w:after="0" w:line="322" w:lineRule="exact"/>
        <w:rPr>
          <w:rFonts w:ascii="Wingdings" w:cs="Wingdings" w:eastAsia="Wingdings" w:hAnsi="Wingdings"/>
          <w:sz w:val="37"/>
          <w:szCs w:val="37"/>
          <w:b w:val="1"/>
          <w:bCs w:val="1"/>
          <w:color w:val="6AAA37"/>
          <w:vertAlign w:val="subscript"/>
        </w:rPr>
      </w:pPr>
    </w:p>
    <w:p>
      <w:pPr>
        <w:ind w:left="460" w:right="280" w:hanging="345"/>
        <w:spacing w:after="0" w:line="182" w:lineRule="auto"/>
        <w:tabs>
          <w:tab w:leader="none" w:pos="460" w:val="left"/>
        </w:tabs>
        <w:numPr>
          <w:ilvl w:val="0"/>
          <w:numId w:val="66"/>
        </w:numPr>
        <w:rPr>
          <w:rFonts w:ascii="Wingdings" w:cs="Wingdings" w:eastAsia="Wingdings" w:hAnsi="Wingdings"/>
          <w:sz w:val="31"/>
          <w:szCs w:val="31"/>
          <w:b w:val="1"/>
          <w:bCs w:val="1"/>
          <w:color w:val="6AAA37"/>
          <w:vertAlign w:val="subscript"/>
        </w:rPr>
      </w:pPr>
      <w:r>
        <w:rPr>
          <w:rFonts w:ascii="Arial" w:cs="Arial" w:eastAsia="Arial" w:hAnsi="Arial"/>
          <w:sz w:val="12"/>
          <w:szCs w:val="12"/>
          <w:color w:val="auto"/>
        </w:rPr>
        <w:t>Maintain a clawback policy providing for recoupment of incentive-based 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275"/>
        <w:spacing w:after="0"/>
        <w:rPr>
          <w:sz w:val="20"/>
          <w:szCs w:val="20"/>
          <w:color w:val="auto"/>
        </w:rPr>
      </w:pPr>
      <w:r>
        <w:rPr>
          <w:rFonts w:ascii="Arial" w:cs="Arial" w:eastAsia="Arial" w:hAnsi="Arial"/>
          <w:sz w:val="14"/>
          <w:szCs w:val="14"/>
          <w:b w:val="1"/>
          <w:bCs w:val="1"/>
          <w:color w:val="FFFFFF"/>
        </w:rPr>
        <w:t>What We Do Not Do</w:t>
      </w:r>
    </w:p>
    <w:p>
      <w:pPr>
        <w:spacing w:after="0" w:line="352" w:lineRule="exact"/>
        <w:rPr>
          <w:sz w:val="20"/>
          <w:szCs w:val="20"/>
          <w:color w:val="auto"/>
        </w:rPr>
      </w:pPr>
    </w:p>
    <w:p>
      <w:pPr>
        <w:ind w:left="315" w:hanging="315"/>
        <w:spacing w:after="0"/>
        <w:tabs>
          <w:tab w:leader="none" w:pos="315" w:val="left"/>
        </w:tabs>
        <w:numPr>
          <w:ilvl w:val="0"/>
          <w:numId w:val="67"/>
        </w:numPr>
        <w:rPr>
          <w:rFonts w:ascii="Wingdings" w:cs="Wingdings" w:eastAsia="Wingdings" w:hAnsi="Wingdings"/>
          <w:sz w:val="22"/>
          <w:szCs w:val="22"/>
          <w:b w:val="1"/>
          <w:bCs w:val="1"/>
          <w:color w:val="00588C"/>
        </w:rPr>
      </w:pPr>
      <w:r>
        <w:rPr>
          <w:rFonts w:ascii="Arial" w:cs="Arial" w:eastAsia="Arial" w:hAnsi="Arial"/>
          <w:sz w:val="14"/>
          <w:szCs w:val="14"/>
          <w:color w:val="auto"/>
        </w:rPr>
        <w:t>No excise tax gross-ups</w:t>
      </w:r>
    </w:p>
    <w:p>
      <w:pPr>
        <w:spacing w:after="0" w:line="200" w:lineRule="exact"/>
        <w:rPr>
          <w:rFonts w:ascii="Wingdings" w:cs="Wingdings" w:eastAsia="Wingdings" w:hAnsi="Wingdings"/>
          <w:sz w:val="22"/>
          <w:szCs w:val="22"/>
          <w:b w:val="1"/>
          <w:bCs w:val="1"/>
          <w:color w:val="00588C"/>
        </w:rPr>
      </w:pPr>
    </w:p>
    <w:p>
      <w:pPr>
        <w:spacing w:after="0" w:line="244" w:lineRule="exact"/>
        <w:rPr>
          <w:rFonts w:ascii="Wingdings" w:cs="Wingdings" w:eastAsia="Wingdings" w:hAnsi="Wingdings"/>
          <w:sz w:val="22"/>
          <w:szCs w:val="22"/>
          <w:b w:val="1"/>
          <w:bCs w:val="1"/>
          <w:color w:val="00588C"/>
        </w:rPr>
      </w:pPr>
    </w:p>
    <w:p>
      <w:pPr>
        <w:ind w:left="315" w:hanging="315"/>
        <w:spacing w:after="0"/>
        <w:tabs>
          <w:tab w:leader="none" w:pos="315" w:val="left"/>
        </w:tabs>
        <w:numPr>
          <w:ilvl w:val="0"/>
          <w:numId w:val="67"/>
        </w:numPr>
        <w:rPr>
          <w:rFonts w:ascii="Wingdings" w:cs="Wingdings" w:eastAsia="Wingdings" w:hAnsi="Wingdings"/>
          <w:sz w:val="22"/>
          <w:szCs w:val="22"/>
          <w:b w:val="1"/>
          <w:bCs w:val="1"/>
          <w:color w:val="00588C"/>
        </w:rPr>
      </w:pPr>
      <w:r>
        <w:rPr>
          <w:rFonts w:ascii="Arial" w:cs="Arial" w:eastAsia="Arial" w:hAnsi="Arial"/>
          <w:sz w:val="14"/>
          <w:szCs w:val="14"/>
          <w:color w:val="auto"/>
        </w:rPr>
        <w:t>No hedging or pledging of Huron stock</w:t>
      </w:r>
    </w:p>
    <w:p>
      <w:pPr>
        <w:spacing w:after="0" w:line="200" w:lineRule="exact"/>
        <w:rPr>
          <w:rFonts w:ascii="Wingdings" w:cs="Wingdings" w:eastAsia="Wingdings" w:hAnsi="Wingdings"/>
          <w:sz w:val="22"/>
          <w:szCs w:val="22"/>
          <w:b w:val="1"/>
          <w:bCs w:val="1"/>
          <w:color w:val="00588C"/>
        </w:rPr>
      </w:pPr>
    </w:p>
    <w:p>
      <w:pPr>
        <w:spacing w:after="0" w:line="244" w:lineRule="exact"/>
        <w:rPr>
          <w:rFonts w:ascii="Wingdings" w:cs="Wingdings" w:eastAsia="Wingdings" w:hAnsi="Wingdings"/>
          <w:sz w:val="22"/>
          <w:szCs w:val="22"/>
          <w:b w:val="1"/>
          <w:bCs w:val="1"/>
          <w:color w:val="00588C"/>
        </w:rPr>
      </w:pPr>
    </w:p>
    <w:p>
      <w:pPr>
        <w:ind w:left="315" w:hanging="315"/>
        <w:spacing w:after="0"/>
        <w:tabs>
          <w:tab w:leader="none" w:pos="315" w:val="left"/>
        </w:tabs>
        <w:numPr>
          <w:ilvl w:val="0"/>
          <w:numId w:val="67"/>
        </w:numPr>
        <w:rPr>
          <w:rFonts w:ascii="Wingdings" w:cs="Wingdings" w:eastAsia="Wingdings" w:hAnsi="Wingdings"/>
          <w:sz w:val="22"/>
          <w:szCs w:val="22"/>
          <w:b w:val="1"/>
          <w:bCs w:val="1"/>
          <w:color w:val="00588C"/>
        </w:rPr>
      </w:pPr>
      <w:r>
        <w:rPr>
          <w:rFonts w:ascii="Arial" w:cs="Arial" w:eastAsia="Arial" w:hAnsi="Arial"/>
          <w:sz w:val="14"/>
          <w:szCs w:val="14"/>
          <w:color w:val="auto"/>
        </w:rPr>
        <w:t>No stock grants are "timed" or awards to be repriced</w:t>
      </w:r>
    </w:p>
    <w:p>
      <w:pPr>
        <w:spacing w:after="0" w:line="322" w:lineRule="exact"/>
        <w:rPr>
          <w:rFonts w:ascii="Wingdings" w:cs="Wingdings" w:eastAsia="Wingdings" w:hAnsi="Wingdings"/>
          <w:sz w:val="22"/>
          <w:szCs w:val="22"/>
          <w:b w:val="1"/>
          <w:bCs w:val="1"/>
          <w:color w:val="00588C"/>
        </w:rPr>
      </w:pPr>
    </w:p>
    <w:p>
      <w:pPr>
        <w:ind w:left="315"/>
        <w:spacing w:after="0"/>
        <w:rPr>
          <w:rFonts w:ascii="Wingdings" w:cs="Wingdings" w:eastAsia="Wingdings" w:hAnsi="Wingdings"/>
          <w:sz w:val="22"/>
          <w:szCs w:val="22"/>
          <w:b w:val="1"/>
          <w:bCs w:val="1"/>
          <w:color w:val="00588C"/>
        </w:rPr>
      </w:pPr>
      <w:r>
        <w:rPr>
          <w:rFonts w:ascii="Arial" w:cs="Arial" w:eastAsia="Arial" w:hAnsi="Arial"/>
          <w:sz w:val="14"/>
          <w:szCs w:val="14"/>
          <w:color w:val="auto"/>
        </w:rPr>
        <w:t>No material executive perquisites not commonly available to</w:t>
      </w:r>
    </w:p>
    <w:p>
      <w:pPr>
        <w:spacing w:after="0" w:line="28" w:lineRule="exact"/>
        <w:rPr>
          <w:rFonts w:ascii="Wingdings" w:cs="Wingdings" w:eastAsia="Wingdings" w:hAnsi="Wingdings"/>
          <w:sz w:val="22"/>
          <w:szCs w:val="22"/>
          <w:b w:val="1"/>
          <w:bCs w:val="1"/>
          <w:color w:val="00588C"/>
        </w:rPr>
      </w:pPr>
    </w:p>
    <w:p>
      <w:pPr>
        <w:ind w:left="315" w:right="500" w:hanging="315"/>
        <w:spacing w:after="0" w:line="208" w:lineRule="auto"/>
        <w:tabs>
          <w:tab w:leader="none" w:pos="315" w:val="left"/>
        </w:tabs>
        <w:numPr>
          <w:ilvl w:val="0"/>
          <w:numId w:val="67"/>
        </w:numPr>
        <w:rPr>
          <w:rFonts w:ascii="Wingdings" w:cs="Wingdings" w:eastAsia="Wingdings" w:hAnsi="Wingdings"/>
          <w:sz w:val="22"/>
          <w:szCs w:val="22"/>
          <w:b w:val="1"/>
          <w:bCs w:val="1"/>
          <w:color w:val="00588C"/>
        </w:rPr>
      </w:pPr>
      <w:r>
        <w:rPr>
          <w:rFonts w:ascii="Arial" w:cs="Arial" w:eastAsia="Arial" w:hAnsi="Arial"/>
          <w:sz w:val="14"/>
          <w:szCs w:val="14"/>
          <w:color w:val="auto"/>
        </w:rPr>
        <w:t>the broader Huron employee population or to similarly situated key management employees</w:t>
      </w:r>
    </w:p>
    <w:p>
      <w:pPr>
        <w:spacing w:after="0" w:line="242" w:lineRule="exact"/>
        <w:rPr>
          <w:rFonts w:ascii="Wingdings" w:cs="Wingdings" w:eastAsia="Wingdings" w:hAnsi="Wingdings"/>
          <w:sz w:val="22"/>
          <w:szCs w:val="22"/>
          <w:b w:val="1"/>
          <w:bCs w:val="1"/>
          <w:color w:val="00588C"/>
        </w:rPr>
      </w:pPr>
    </w:p>
    <w:p>
      <w:pPr>
        <w:ind w:left="315" w:right="120" w:hanging="315"/>
        <w:spacing w:after="0" w:line="182" w:lineRule="auto"/>
        <w:tabs>
          <w:tab w:leader="none" w:pos="315" w:val="left"/>
        </w:tabs>
        <w:numPr>
          <w:ilvl w:val="0"/>
          <w:numId w:val="67"/>
        </w:numPr>
        <w:rPr>
          <w:rFonts w:ascii="Wingdings" w:cs="Wingdings" w:eastAsia="Wingdings" w:hAnsi="Wingdings"/>
          <w:sz w:val="31"/>
          <w:szCs w:val="31"/>
          <w:b w:val="1"/>
          <w:bCs w:val="1"/>
          <w:color w:val="00588C"/>
          <w:vertAlign w:val="subscript"/>
        </w:rPr>
      </w:pPr>
      <w:r>
        <w:rPr>
          <w:rFonts w:ascii="Arial" w:cs="Arial" w:eastAsia="Arial" w:hAnsi="Arial"/>
          <w:sz w:val="12"/>
          <w:szCs w:val="12"/>
          <w:color w:val="auto"/>
        </w:rPr>
        <w:t>No "evergreen" features or liberal share counting provisions within our equity plan</w:t>
      </w:r>
    </w:p>
    <w:p>
      <w:pPr>
        <w:spacing w:after="0" w:line="350" w:lineRule="exact"/>
        <w:rPr>
          <w:rFonts w:ascii="Wingdings" w:cs="Wingdings" w:eastAsia="Wingdings" w:hAnsi="Wingdings"/>
          <w:sz w:val="31"/>
          <w:szCs w:val="31"/>
          <w:b w:val="1"/>
          <w:bCs w:val="1"/>
          <w:color w:val="00588C"/>
          <w:vertAlign w:val="subscript"/>
        </w:rPr>
      </w:pPr>
    </w:p>
    <w:p>
      <w:pPr>
        <w:ind w:left="315" w:hanging="315"/>
        <w:spacing w:after="0"/>
        <w:tabs>
          <w:tab w:leader="none" w:pos="315" w:val="left"/>
        </w:tabs>
        <w:numPr>
          <w:ilvl w:val="0"/>
          <w:numId w:val="67"/>
        </w:numPr>
        <w:rPr>
          <w:rFonts w:ascii="Wingdings" w:cs="Wingdings" w:eastAsia="Wingdings" w:hAnsi="Wingdings"/>
          <w:sz w:val="22"/>
          <w:szCs w:val="22"/>
          <w:b w:val="1"/>
          <w:bCs w:val="1"/>
          <w:color w:val="00588C"/>
        </w:rPr>
      </w:pPr>
      <w:r>
        <w:rPr>
          <w:rFonts w:ascii="Arial" w:cs="Arial" w:eastAsia="Arial" w:hAnsi="Arial"/>
          <w:sz w:val="14"/>
          <w:szCs w:val="14"/>
          <w:color w:val="auto"/>
        </w:rPr>
        <w:t>No automatic grants to any participant within the equity plan</w:t>
      </w:r>
    </w:p>
    <w:p>
      <w:pPr>
        <w:sectPr>
          <w:pgSz w:w="11900" w:h="16869" w:orient="portrait"/>
          <w:cols w:equalWidth="0" w:num="2">
            <w:col w:w="4240" w:space="605"/>
            <w:col w:w="4235"/>
          </w:cols>
          <w:pgMar w:left="1400" w:top="0" w:right="1419" w:bottom="0" w:gutter="0" w:footer="0" w:header="0"/>
          <w:type w:val="continuous"/>
        </w:sectPr>
      </w:pPr>
    </w:p>
    <w:bookmarkStart w:id="43" w:name="page44"/>
    <w:bookmarkEnd w:id="43"/>
    <w:p>
      <w:pPr>
        <w:jc w:val="both"/>
        <w:ind w:left="460" w:right="5140" w:hanging="345"/>
        <w:spacing w:after="0" w:line="344" w:lineRule="auto"/>
        <w:tabs>
          <w:tab w:leader="none" w:pos="460" w:val="left"/>
        </w:tabs>
        <w:numPr>
          <w:ilvl w:val="0"/>
          <w:numId w:val="68"/>
        </w:numPr>
        <w:rPr>
          <w:rFonts w:ascii="Wingdings" w:cs="Wingdings" w:eastAsia="Wingdings" w:hAnsi="Wingdings"/>
          <w:sz w:val="37"/>
          <w:szCs w:val="37"/>
          <w:b w:val="1"/>
          <w:bCs w:val="1"/>
          <w:color w:val="6AAA37"/>
          <w:vertAlign w:val="subscript"/>
        </w:rPr>
      </w:pPr>
      <w:r>
        <w:rPr>
          <w:rFonts w:ascii="Arial" w:cs="Arial" w:eastAsia="Arial" w:hAnsi="Arial"/>
          <w:sz w:val="13"/>
          <w:szCs w:val="13"/>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37738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10375" cy="3773805"/>
                    </a:xfrm>
                    <a:prstGeom prst="rect">
                      <a:avLst/>
                    </a:prstGeom>
                    <a:noFill/>
                  </pic:spPr>
                </pic:pic>
              </a:graphicData>
            </a:graphic>
          </wp:anchor>
        </w:drawing>
        <w:t>Retain</w:t>
      </w:r>
      <w:r>
        <w:rPr>
          <w:rFonts w:ascii="Arial" w:cs="Arial" w:eastAsia="Arial" w:hAnsi="Arial"/>
          <w:sz w:val="25"/>
          <w:szCs w:val="25"/>
          <w:color w:val="auto"/>
          <w:vertAlign w:val="subscript"/>
        </w:rPr>
        <w:t>Board</w:t>
      </w:r>
      <w:r>
        <w:rPr>
          <w:rFonts w:ascii="Arial" w:cs="Arial" w:eastAsia="Arial" w:hAnsi="Arial"/>
          <w:sz w:val="13"/>
          <w:szCs w:val="13"/>
          <w:color w:val="auto"/>
        </w:rPr>
        <w:t xml:space="preserve"> an independent compensation consultant to the Administer the equity plans through the Compensation</w:t>
      </w:r>
    </w:p>
    <w:p>
      <w:pPr>
        <w:ind w:left="460" w:right="5140" w:hanging="345"/>
        <w:spacing w:after="0" w:line="208" w:lineRule="auto"/>
        <w:tabs>
          <w:tab w:leader="none" w:pos="460" w:val="left"/>
        </w:tabs>
        <w:numPr>
          <w:ilvl w:val="0"/>
          <w:numId w:val="68"/>
        </w:numPr>
        <w:rPr>
          <w:rFonts w:ascii="Wingdings" w:cs="Wingdings" w:eastAsia="Wingdings" w:hAnsi="Wingdings"/>
          <w:sz w:val="22"/>
          <w:szCs w:val="22"/>
          <w:b w:val="1"/>
          <w:bCs w:val="1"/>
          <w:color w:val="6AAA37"/>
        </w:rPr>
      </w:pPr>
      <w:r>
        <w:rPr>
          <w:rFonts w:ascii="Arial" w:cs="Arial" w:eastAsia="Arial" w:hAnsi="Arial"/>
          <w:sz w:val="14"/>
          <w:szCs w:val="14"/>
          <w:color w:val="auto"/>
        </w:rPr>
        <w:t>Committee, which is comprised entirely of independent directors</w:t>
      </w:r>
    </w:p>
    <w:p>
      <w:pPr>
        <w:spacing w:after="0" w:line="242" w:lineRule="exact"/>
        <w:rPr>
          <w:rFonts w:ascii="Wingdings" w:cs="Wingdings" w:eastAsia="Wingdings" w:hAnsi="Wingdings"/>
          <w:sz w:val="22"/>
          <w:szCs w:val="22"/>
          <w:b w:val="1"/>
          <w:bCs w:val="1"/>
          <w:color w:val="6AAA37"/>
        </w:rPr>
      </w:pPr>
    </w:p>
    <w:p>
      <w:pPr>
        <w:ind w:left="460" w:right="4800" w:hanging="345"/>
        <w:spacing w:after="0" w:line="182" w:lineRule="auto"/>
        <w:tabs>
          <w:tab w:leader="none" w:pos="460" w:val="left"/>
        </w:tabs>
        <w:numPr>
          <w:ilvl w:val="0"/>
          <w:numId w:val="68"/>
        </w:numPr>
        <w:rPr>
          <w:rFonts w:ascii="Wingdings" w:cs="Wingdings" w:eastAsia="Wingdings" w:hAnsi="Wingdings"/>
          <w:sz w:val="31"/>
          <w:szCs w:val="31"/>
          <w:b w:val="1"/>
          <w:bCs w:val="1"/>
          <w:color w:val="6AAA37"/>
          <w:vertAlign w:val="subscript"/>
        </w:rPr>
      </w:pPr>
      <w:r>
        <w:rPr>
          <w:rFonts w:ascii="Arial" w:cs="Arial" w:eastAsia="Arial" w:hAnsi="Arial"/>
          <w:sz w:val="12"/>
          <w:szCs w:val="12"/>
          <w:color w:val="auto"/>
        </w:rPr>
        <w:t>Mitigate potential dilution of equity award grants through our share repurchase program</w:t>
      </w:r>
    </w:p>
    <w:p>
      <w:pPr>
        <w:spacing w:after="0" w:line="228" w:lineRule="exact"/>
        <w:rPr>
          <w:rFonts w:ascii="Wingdings" w:cs="Wingdings" w:eastAsia="Wingdings" w:hAnsi="Wingdings"/>
          <w:sz w:val="31"/>
          <w:szCs w:val="31"/>
          <w:b w:val="1"/>
          <w:bCs w:val="1"/>
          <w:color w:val="6AAA37"/>
          <w:vertAlign w:val="subscript"/>
        </w:rPr>
      </w:pPr>
    </w:p>
    <w:p>
      <w:pPr>
        <w:ind w:left="460"/>
        <w:spacing w:after="0"/>
        <w:rPr>
          <w:rFonts w:ascii="Wingdings" w:cs="Wingdings" w:eastAsia="Wingdings" w:hAnsi="Wingdings"/>
          <w:sz w:val="31"/>
          <w:szCs w:val="31"/>
          <w:b w:val="1"/>
          <w:bCs w:val="1"/>
          <w:color w:val="6AAA37"/>
          <w:vertAlign w:val="subscript"/>
        </w:rPr>
      </w:pPr>
      <w:r>
        <w:rPr>
          <w:rFonts w:ascii="Arial" w:cs="Arial" w:eastAsia="Arial" w:hAnsi="Arial"/>
          <w:sz w:val="14"/>
          <w:szCs w:val="14"/>
          <w:color w:val="auto"/>
        </w:rPr>
        <w:t>Solicit investor feedback on our compensation program and</w:t>
      </w:r>
    </w:p>
    <w:p>
      <w:pPr>
        <w:spacing w:after="0" w:line="28" w:lineRule="exact"/>
        <w:rPr>
          <w:rFonts w:ascii="Wingdings" w:cs="Wingdings" w:eastAsia="Wingdings" w:hAnsi="Wingdings"/>
          <w:sz w:val="31"/>
          <w:szCs w:val="31"/>
          <w:b w:val="1"/>
          <w:bCs w:val="1"/>
          <w:color w:val="6AAA37"/>
          <w:vertAlign w:val="subscript"/>
        </w:rPr>
      </w:pPr>
    </w:p>
    <w:p>
      <w:pPr>
        <w:ind w:left="460" w:right="4940" w:hanging="345"/>
        <w:spacing w:after="0" w:line="208" w:lineRule="auto"/>
        <w:tabs>
          <w:tab w:leader="none" w:pos="460" w:val="left"/>
        </w:tabs>
        <w:numPr>
          <w:ilvl w:val="0"/>
          <w:numId w:val="68"/>
        </w:numPr>
        <w:rPr>
          <w:rFonts w:ascii="Wingdings" w:cs="Wingdings" w:eastAsia="Wingdings" w:hAnsi="Wingdings"/>
          <w:sz w:val="22"/>
          <w:szCs w:val="22"/>
          <w:b w:val="1"/>
          <w:bCs w:val="1"/>
          <w:color w:val="6AAA37"/>
        </w:rPr>
      </w:pPr>
      <w:r>
        <w:rPr>
          <w:rFonts w:ascii="Arial" w:cs="Arial" w:eastAsia="Arial" w:hAnsi="Arial"/>
          <w:sz w:val="14"/>
          <w:szCs w:val="14"/>
          <w:color w:val="auto"/>
        </w:rPr>
        <w:t>potential enhancements through an extensive stockholder engagement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tabs>
          <w:tab w:leader="none" w:pos="444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13"/>
          <w:szCs w:val="13"/>
          <w:b w:val="1"/>
          <w:bCs w:val="1"/>
          <w:color w:val="00558C"/>
        </w:rPr>
        <w:t>38</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420370</wp:posOffset>
            </wp:positionV>
            <wp:extent cx="6810375" cy="66598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10375" cy="6659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540" w:val="left"/>
          <w:tab w:leader="none" w:pos="7360" w:val="left"/>
          <w:tab w:leader="none" w:pos="8400" w:val="left"/>
        </w:tabs>
        <w:rPr>
          <w:sz w:val="20"/>
          <w:szCs w:val="20"/>
          <w:color w:val="auto"/>
        </w:rPr>
      </w:pPr>
      <w:r>
        <w:rPr>
          <w:rFonts w:ascii="Arial" w:cs="Arial" w:eastAsia="Arial" w:hAnsi="Arial"/>
          <w:sz w:val="13"/>
          <w:szCs w:val="13"/>
          <w:b w:val="1"/>
          <w:bCs w:val="1"/>
          <w:color w:val="B2B3B6"/>
        </w:rPr>
        <w:t>General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Corporate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6AAA37"/>
        </w:rPr>
        <w:t>Executive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Stockholder</w:t>
      </w:r>
      <w:r>
        <w:rPr>
          <w:sz w:val="20"/>
          <w:szCs w:val="20"/>
          <w:color w:val="auto"/>
        </w:rPr>
        <w:tab/>
      </w:r>
      <w:r>
        <w:rPr>
          <w:rFonts w:ascii="Arial" w:cs="Arial" w:eastAsia="Arial" w:hAnsi="Arial"/>
          <w:sz w:val="12"/>
          <w:szCs w:val="12"/>
          <w:b w:val="1"/>
          <w:bCs w:val="1"/>
          <w:color w:val="B2B3B6"/>
        </w:rPr>
        <w:t>Other</w:t>
      </w:r>
    </w:p>
    <w:p>
      <w:pPr>
        <w:spacing w:after="0" w:line="11"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540" w:val="left"/>
          <w:tab w:leader="none" w:pos="7360" w:val="left"/>
          <w:tab w:leader="none" w:pos="8400" w:val="left"/>
        </w:tabs>
        <w:rPr>
          <w:sz w:val="20"/>
          <w:szCs w:val="20"/>
          <w:color w:val="auto"/>
        </w:rPr>
      </w:pPr>
      <w:r>
        <w:rPr>
          <w:rFonts w:ascii="Arial" w:cs="Arial" w:eastAsia="Arial" w:hAnsi="Arial"/>
          <w:sz w:val="13"/>
          <w:szCs w:val="13"/>
          <w:b w:val="1"/>
          <w:bCs w:val="1"/>
          <w:color w:val="B2B3B6"/>
        </w:rPr>
        <w:t>Information</w:t>
      </w:r>
      <w:r>
        <w:rPr>
          <w:sz w:val="20"/>
          <w:szCs w:val="20"/>
          <w:color w:val="auto"/>
        </w:rPr>
        <w:tab/>
      </w:r>
      <w:r>
        <w:rPr>
          <w:rFonts w:ascii="Arial" w:cs="Arial" w:eastAsia="Arial" w:hAnsi="Arial"/>
          <w:sz w:val="13"/>
          <w:szCs w:val="13"/>
          <w:b w:val="1"/>
          <w:bCs w:val="1"/>
          <w:color w:val="B2B3B6"/>
        </w:rPr>
        <w:t>One</w:t>
      </w:r>
      <w:r>
        <w:rPr>
          <w:sz w:val="20"/>
          <w:szCs w:val="20"/>
          <w:color w:val="auto"/>
        </w:rPr>
        <w:tab/>
      </w:r>
      <w:r>
        <w:rPr>
          <w:rFonts w:ascii="Arial" w:cs="Arial" w:eastAsia="Arial" w:hAnsi="Arial"/>
          <w:sz w:val="13"/>
          <w:szCs w:val="13"/>
          <w:b w:val="1"/>
          <w:bCs w:val="1"/>
          <w:color w:val="B2B3B6"/>
        </w:rPr>
        <w:t>Governance</w:t>
      </w:r>
      <w:r>
        <w:rPr>
          <w:sz w:val="20"/>
          <w:szCs w:val="20"/>
          <w:color w:val="auto"/>
        </w:rPr>
        <w:tab/>
      </w:r>
      <w:r>
        <w:rPr>
          <w:rFonts w:ascii="Arial" w:cs="Arial" w:eastAsia="Arial" w:hAnsi="Arial"/>
          <w:sz w:val="13"/>
          <w:szCs w:val="13"/>
          <w:b w:val="1"/>
          <w:bCs w:val="1"/>
          <w:color w:val="B2B3B6"/>
        </w:rPr>
        <w:t>Two</w:t>
      </w:r>
      <w:r>
        <w:rPr>
          <w:sz w:val="20"/>
          <w:szCs w:val="20"/>
          <w:color w:val="auto"/>
        </w:rPr>
        <w:tab/>
      </w:r>
      <w:r>
        <w:rPr>
          <w:rFonts w:ascii="Arial" w:cs="Arial" w:eastAsia="Arial" w:hAnsi="Arial"/>
          <w:sz w:val="13"/>
          <w:szCs w:val="13"/>
          <w:b w:val="1"/>
          <w:bCs w:val="1"/>
          <w:color w:val="6AAA37"/>
        </w:rPr>
        <w:t>Compensation</w:t>
      </w:r>
      <w:r>
        <w:rPr>
          <w:sz w:val="20"/>
          <w:szCs w:val="20"/>
          <w:color w:val="auto"/>
        </w:rPr>
        <w:tab/>
      </w:r>
      <w:r>
        <w:rPr>
          <w:rFonts w:ascii="Arial" w:cs="Arial" w:eastAsia="Arial" w:hAnsi="Arial"/>
          <w:sz w:val="13"/>
          <w:szCs w:val="13"/>
          <w:b w:val="1"/>
          <w:bCs w:val="1"/>
          <w:color w:val="B2B3B6"/>
        </w:rPr>
        <w:t>Three</w:t>
      </w:r>
      <w:r>
        <w:rPr>
          <w:sz w:val="20"/>
          <w:szCs w:val="20"/>
          <w:color w:val="auto"/>
        </w:rPr>
        <w:tab/>
      </w:r>
      <w:r>
        <w:rPr>
          <w:rFonts w:ascii="Arial" w:cs="Arial" w:eastAsia="Arial" w:hAnsi="Arial"/>
          <w:sz w:val="13"/>
          <w:szCs w:val="13"/>
          <w:b w:val="1"/>
          <w:bCs w:val="1"/>
          <w:color w:val="B2B3B6"/>
        </w:rPr>
        <w:t>Four</w:t>
      </w:r>
      <w:r>
        <w:rPr>
          <w:sz w:val="20"/>
          <w:szCs w:val="20"/>
          <w:color w:val="auto"/>
        </w:rPr>
        <w:tab/>
      </w:r>
      <w:r>
        <w:rPr>
          <w:rFonts w:ascii="Arial" w:cs="Arial" w:eastAsia="Arial" w:hAnsi="Arial"/>
          <w:sz w:val="13"/>
          <w:szCs w:val="13"/>
          <w:b w:val="1"/>
          <w:bCs w:val="1"/>
          <w:color w:val="B2B3B6"/>
        </w:rPr>
        <w:t>Five</w:t>
      </w:r>
      <w:r>
        <w:rPr>
          <w:sz w:val="20"/>
          <w:szCs w:val="20"/>
          <w:color w:val="auto"/>
        </w:rPr>
        <w:tab/>
      </w:r>
      <w:r>
        <w:rPr>
          <w:rFonts w:ascii="Arial" w:cs="Arial" w:eastAsia="Arial" w:hAnsi="Arial"/>
          <w:sz w:val="13"/>
          <w:szCs w:val="13"/>
          <w:b w:val="1"/>
          <w:bCs w:val="1"/>
          <w:color w:val="B2B3B6"/>
        </w:rPr>
        <w:t>Proposals</w:t>
      </w:r>
      <w:r>
        <w:rPr>
          <w:sz w:val="20"/>
          <w:szCs w:val="20"/>
          <w:color w:val="auto"/>
        </w:rPr>
        <w:tab/>
      </w:r>
      <w:r>
        <w:rPr>
          <w:rFonts w:ascii="Arial" w:cs="Arial" w:eastAsia="Arial" w:hAnsi="Arial"/>
          <w:sz w:val="12"/>
          <w:szCs w:val="12"/>
          <w:b w:val="1"/>
          <w:bCs w:val="1"/>
          <w:color w:val="B2B3B6"/>
        </w:rPr>
        <w:t>Matters</w:t>
      </w:r>
    </w:p>
    <w:p>
      <w:pPr>
        <w:spacing w:after="0" w:line="314" w:lineRule="exact"/>
        <w:rPr>
          <w:sz w:val="20"/>
          <w:szCs w:val="20"/>
          <w:color w:val="auto"/>
        </w:rPr>
      </w:pPr>
    </w:p>
    <w:p>
      <w:pPr>
        <w:spacing w:after="0"/>
        <w:rPr>
          <w:sz w:val="20"/>
          <w:szCs w:val="20"/>
          <w:color w:val="auto"/>
        </w:rPr>
      </w:pPr>
      <w:r>
        <w:rPr>
          <w:rFonts w:ascii="Arial" w:cs="Arial" w:eastAsia="Arial" w:hAnsi="Arial"/>
          <w:sz w:val="22"/>
          <w:szCs w:val="22"/>
          <w:b w:val="1"/>
          <w:bCs w:val="1"/>
          <w:color w:val="00558C"/>
        </w:rPr>
        <w:t>Executive  Compensation Pay Components</w:t>
      </w:r>
    </w:p>
    <w:p>
      <w:pPr>
        <w:spacing w:after="0" w:line="112" w:lineRule="exact"/>
        <w:rPr>
          <w:sz w:val="20"/>
          <w:szCs w:val="20"/>
          <w:color w:val="auto"/>
        </w:rPr>
      </w:pPr>
    </w:p>
    <w:p>
      <w:pPr>
        <w:ind w:right="20"/>
        <w:spacing w:after="0" w:line="321" w:lineRule="auto"/>
        <w:rPr>
          <w:sz w:val="20"/>
          <w:szCs w:val="20"/>
          <w:color w:val="auto"/>
        </w:rPr>
      </w:pPr>
      <w:r>
        <w:rPr>
          <w:rFonts w:ascii="Arial" w:cs="Arial" w:eastAsia="Arial" w:hAnsi="Arial"/>
          <w:sz w:val="16"/>
          <w:szCs w:val="16"/>
          <w:color w:val="auto"/>
        </w:rPr>
        <w:t>Our executive compensation program design strives to execute on our market-competitive compensation philosophy through a meaningful mix of three principal components: (i) base salary, (ii) annual incentives and (iii) long-term incentives.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301"/>
        </w:trPr>
        <w:tc>
          <w:tcPr>
            <w:tcW w:w="1840" w:type="dxa"/>
            <w:vAlign w:val="bottom"/>
            <w:shd w:val="clear" w:color="auto" w:fill="00558C"/>
          </w:tcPr>
          <w:p>
            <w:pPr>
              <w:ind w:left="140"/>
              <w:spacing w:after="0"/>
              <w:rPr>
                <w:sz w:val="20"/>
                <w:szCs w:val="20"/>
                <w:color w:val="auto"/>
              </w:rPr>
            </w:pPr>
            <w:r>
              <w:rPr>
                <w:rFonts w:ascii="Arial" w:cs="Arial" w:eastAsia="Arial" w:hAnsi="Arial"/>
                <w:sz w:val="14"/>
                <w:szCs w:val="14"/>
                <w:b w:val="1"/>
                <w:bCs w:val="1"/>
                <w:color w:val="FFFFFF"/>
              </w:rPr>
              <w:t>Compensation</w:t>
            </w:r>
          </w:p>
        </w:tc>
        <w:tc>
          <w:tcPr>
            <w:tcW w:w="960" w:type="dxa"/>
            <w:vAlign w:val="bottom"/>
            <w:shd w:val="clear" w:color="auto" w:fill="00558C"/>
          </w:tcPr>
          <w:p>
            <w:pPr>
              <w:spacing w:after="0"/>
              <w:rPr>
                <w:sz w:val="24"/>
                <w:szCs w:val="24"/>
                <w:color w:val="auto"/>
              </w:rPr>
            </w:pPr>
          </w:p>
        </w:tc>
        <w:tc>
          <w:tcPr>
            <w:tcW w:w="3460" w:type="dxa"/>
            <w:vAlign w:val="bottom"/>
            <w:shd w:val="clear" w:color="auto" w:fill="00558C"/>
          </w:tcPr>
          <w:p>
            <w:pPr>
              <w:spacing w:after="0"/>
              <w:rPr>
                <w:sz w:val="24"/>
                <w:szCs w:val="24"/>
                <w:color w:val="auto"/>
              </w:rPr>
            </w:pPr>
          </w:p>
        </w:tc>
        <w:tc>
          <w:tcPr>
            <w:tcW w:w="2820" w:type="dxa"/>
            <w:vAlign w:val="bottom"/>
            <w:shd w:val="clear" w:color="auto" w:fill="00558C"/>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40" w:type="dxa"/>
            <w:vAlign w:val="bottom"/>
            <w:shd w:val="clear" w:color="auto" w:fill="00558C"/>
          </w:tcPr>
          <w:p>
            <w:pPr>
              <w:ind w:left="140"/>
              <w:spacing w:after="0"/>
              <w:rPr>
                <w:sz w:val="20"/>
                <w:szCs w:val="20"/>
                <w:color w:val="auto"/>
              </w:rPr>
            </w:pPr>
            <w:r>
              <w:rPr>
                <w:rFonts w:ascii="Arial" w:cs="Arial" w:eastAsia="Arial" w:hAnsi="Arial"/>
                <w:sz w:val="14"/>
                <w:szCs w:val="14"/>
                <w:b w:val="1"/>
                <w:bCs w:val="1"/>
                <w:color w:val="FFFFFF"/>
              </w:rPr>
              <w:t>Element</w:t>
            </w:r>
          </w:p>
        </w:tc>
        <w:tc>
          <w:tcPr>
            <w:tcW w:w="960" w:type="dxa"/>
            <w:vAlign w:val="bottom"/>
            <w:shd w:val="clear" w:color="auto" w:fill="00558C"/>
          </w:tcPr>
          <w:p>
            <w:pPr>
              <w:ind w:left="260"/>
              <w:spacing w:after="0"/>
              <w:rPr>
                <w:sz w:val="20"/>
                <w:szCs w:val="20"/>
                <w:color w:val="auto"/>
              </w:rPr>
            </w:pPr>
            <w:r>
              <w:rPr>
                <w:rFonts w:ascii="Arial" w:cs="Arial" w:eastAsia="Arial" w:hAnsi="Arial"/>
                <w:sz w:val="14"/>
                <w:szCs w:val="14"/>
                <w:b w:val="1"/>
                <w:bCs w:val="1"/>
                <w:color w:val="FFFFFF"/>
              </w:rPr>
              <w:t>Form</w:t>
            </w:r>
          </w:p>
        </w:tc>
        <w:tc>
          <w:tcPr>
            <w:tcW w:w="3460" w:type="dxa"/>
            <w:vAlign w:val="bottom"/>
            <w:shd w:val="clear" w:color="auto" w:fill="00558C"/>
          </w:tcPr>
          <w:p>
            <w:pPr>
              <w:ind w:left="100"/>
              <w:spacing w:after="0"/>
              <w:rPr>
                <w:sz w:val="20"/>
                <w:szCs w:val="20"/>
                <w:color w:val="auto"/>
              </w:rPr>
            </w:pPr>
            <w:r>
              <w:rPr>
                <w:rFonts w:ascii="Arial" w:cs="Arial" w:eastAsia="Arial" w:hAnsi="Arial"/>
                <w:sz w:val="14"/>
                <w:szCs w:val="14"/>
                <w:b w:val="1"/>
                <w:bCs w:val="1"/>
                <w:color w:val="FFFFFF"/>
              </w:rPr>
              <w:t>Compensation Philosophy Alignment</w:t>
            </w:r>
          </w:p>
        </w:tc>
        <w:tc>
          <w:tcPr>
            <w:tcW w:w="2820" w:type="dxa"/>
            <w:vAlign w:val="bottom"/>
            <w:shd w:val="clear" w:color="auto" w:fill="00558C"/>
          </w:tcPr>
          <w:p>
            <w:pPr>
              <w:ind w:left="100"/>
              <w:spacing w:after="0"/>
              <w:rPr>
                <w:sz w:val="20"/>
                <w:szCs w:val="20"/>
                <w:color w:val="auto"/>
              </w:rPr>
            </w:pPr>
            <w:r>
              <w:rPr>
                <w:rFonts w:ascii="Arial" w:cs="Arial" w:eastAsia="Arial" w:hAnsi="Arial"/>
                <w:sz w:val="14"/>
                <w:szCs w:val="14"/>
                <w:b w:val="1"/>
                <w:bCs w:val="1"/>
                <w:color w:val="FFFFFF"/>
              </w:rPr>
              <w:t>What it Rewards</w:t>
            </w:r>
          </w:p>
        </w:tc>
        <w:tc>
          <w:tcPr>
            <w:tcW w:w="0" w:type="dxa"/>
            <w:vAlign w:val="bottom"/>
          </w:tcPr>
          <w:p>
            <w:pPr>
              <w:spacing w:after="0"/>
              <w:rPr>
                <w:sz w:val="1"/>
                <w:szCs w:val="1"/>
                <w:color w:val="auto"/>
              </w:rPr>
            </w:pPr>
          </w:p>
        </w:tc>
      </w:tr>
      <w:tr>
        <w:trPr>
          <w:trHeight w:val="96"/>
        </w:trPr>
        <w:tc>
          <w:tcPr>
            <w:tcW w:w="1840" w:type="dxa"/>
            <w:vAlign w:val="bottom"/>
            <w:shd w:val="clear" w:color="auto" w:fill="00558C"/>
          </w:tcPr>
          <w:p>
            <w:pPr>
              <w:spacing w:after="0"/>
              <w:rPr>
                <w:sz w:val="8"/>
                <w:szCs w:val="8"/>
                <w:color w:val="auto"/>
              </w:rPr>
            </w:pPr>
          </w:p>
        </w:tc>
        <w:tc>
          <w:tcPr>
            <w:tcW w:w="960" w:type="dxa"/>
            <w:vAlign w:val="bottom"/>
            <w:shd w:val="clear" w:color="auto" w:fill="00558C"/>
          </w:tcPr>
          <w:p>
            <w:pPr>
              <w:spacing w:after="0"/>
              <w:rPr>
                <w:sz w:val="8"/>
                <w:szCs w:val="8"/>
                <w:color w:val="auto"/>
              </w:rPr>
            </w:pPr>
          </w:p>
        </w:tc>
        <w:tc>
          <w:tcPr>
            <w:tcW w:w="3460" w:type="dxa"/>
            <w:vAlign w:val="bottom"/>
            <w:shd w:val="clear" w:color="auto" w:fill="00558C"/>
          </w:tcPr>
          <w:p>
            <w:pPr>
              <w:spacing w:after="0"/>
              <w:rPr>
                <w:sz w:val="8"/>
                <w:szCs w:val="8"/>
                <w:color w:val="auto"/>
              </w:rPr>
            </w:pPr>
          </w:p>
        </w:tc>
        <w:tc>
          <w:tcPr>
            <w:tcW w:w="2820" w:type="dxa"/>
            <w:vAlign w:val="bottom"/>
            <w:shd w:val="clear" w:color="auto" w:fill="00558C"/>
          </w:tcPr>
          <w:p>
            <w:pPr>
              <w:spacing w:after="0"/>
              <w:rPr>
                <w:sz w:val="8"/>
                <w:szCs w:val="8"/>
                <w:color w:val="auto"/>
              </w:rPr>
            </w:pPr>
          </w:p>
        </w:tc>
        <w:tc>
          <w:tcPr>
            <w:tcW w:w="0" w:type="dxa"/>
            <w:vAlign w:val="bottom"/>
          </w:tcPr>
          <w:p>
            <w:pPr>
              <w:spacing w:after="0"/>
              <w:rPr>
                <w:sz w:val="1"/>
                <w:szCs w:val="1"/>
                <w:color w:val="auto"/>
              </w:rPr>
            </w:pPr>
          </w:p>
        </w:tc>
      </w:tr>
      <w:tr>
        <w:trPr>
          <w:trHeight w:val="328"/>
        </w:trPr>
        <w:tc>
          <w:tcPr>
            <w:tcW w:w="1840" w:type="dxa"/>
            <w:vAlign w:val="bottom"/>
            <w:shd w:val="clear" w:color="auto" w:fill="F2F3F2"/>
          </w:tcPr>
          <w:p>
            <w:pPr>
              <w:spacing w:after="0"/>
              <w:rPr>
                <w:sz w:val="24"/>
                <w:szCs w:val="24"/>
                <w:color w:val="auto"/>
              </w:rPr>
            </w:pPr>
          </w:p>
        </w:tc>
        <w:tc>
          <w:tcPr>
            <w:tcW w:w="960" w:type="dxa"/>
            <w:vAlign w:val="bottom"/>
            <w:shd w:val="clear" w:color="auto" w:fill="F2F3F2"/>
          </w:tcPr>
          <w:p>
            <w:pPr>
              <w:spacing w:after="0"/>
              <w:rPr>
                <w:sz w:val="24"/>
                <w:szCs w:val="24"/>
                <w:color w:val="auto"/>
              </w:rPr>
            </w:pPr>
          </w:p>
        </w:tc>
        <w:tc>
          <w:tcPr>
            <w:tcW w:w="3460" w:type="dxa"/>
            <w:vAlign w:val="bottom"/>
            <w:shd w:val="clear" w:color="auto" w:fill="F2F3F2"/>
          </w:tcPr>
          <w:p>
            <w:pPr>
              <w:ind w:left="100"/>
              <w:spacing w:after="0"/>
              <w:rPr>
                <w:sz w:val="20"/>
                <w:szCs w:val="20"/>
                <w:color w:val="auto"/>
              </w:rPr>
            </w:pPr>
            <w:r>
              <w:rPr>
                <w:rFonts w:ascii="Arial" w:cs="Arial" w:eastAsia="Arial" w:hAnsi="Arial"/>
                <w:sz w:val="14"/>
                <w:szCs w:val="14"/>
                <w:color w:val="auto"/>
              </w:rPr>
              <w:t>Provide market-competitive base pay that reflects</w:t>
            </w:r>
          </w:p>
        </w:tc>
        <w:tc>
          <w:tcPr>
            <w:tcW w:w="2820" w:type="dxa"/>
            <w:vAlign w:val="bottom"/>
            <w:shd w:val="clear" w:color="auto" w:fill="F2F3F2"/>
          </w:tcPr>
          <w:p>
            <w:pPr>
              <w:ind w:left="100"/>
              <w:spacing w:after="0"/>
              <w:rPr>
                <w:sz w:val="20"/>
                <w:szCs w:val="20"/>
                <w:color w:val="auto"/>
              </w:rPr>
            </w:pPr>
            <w:r>
              <w:rPr>
                <w:rFonts w:ascii="Arial" w:cs="Arial" w:eastAsia="Arial" w:hAnsi="Arial"/>
                <w:sz w:val="14"/>
                <w:szCs w:val="14"/>
                <w:color w:val="auto"/>
              </w:rPr>
              <w:t>Accomplishment of day-to-day</w:t>
            </w:r>
          </w:p>
        </w:tc>
        <w:tc>
          <w:tcPr>
            <w:tcW w:w="0" w:type="dxa"/>
            <w:vAlign w:val="bottom"/>
          </w:tcPr>
          <w:p>
            <w:pPr>
              <w:spacing w:after="0"/>
              <w:rPr>
                <w:sz w:val="1"/>
                <w:szCs w:val="1"/>
                <w:color w:val="auto"/>
              </w:rPr>
            </w:pPr>
          </w:p>
        </w:tc>
      </w:tr>
      <w:tr>
        <w:trPr>
          <w:trHeight w:val="176"/>
        </w:trPr>
        <w:tc>
          <w:tcPr>
            <w:tcW w:w="1840" w:type="dxa"/>
            <w:vAlign w:val="bottom"/>
            <w:vMerge w:val="restart"/>
            <w:shd w:val="clear" w:color="auto" w:fill="F2F3F2"/>
          </w:tcPr>
          <w:p>
            <w:pPr>
              <w:ind w:left="140"/>
              <w:spacing w:after="0"/>
              <w:rPr>
                <w:sz w:val="20"/>
                <w:szCs w:val="20"/>
                <w:color w:val="auto"/>
              </w:rPr>
            </w:pPr>
            <w:r>
              <w:rPr>
                <w:rFonts w:ascii="Arial" w:cs="Arial" w:eastAsia="Arial" w:hAnsi="Arial"/>
                <w:sz w:val="14"/>
                <w:szCs w:val="14"/>
                <w:b w:val="1"/>
                <w:bCs w:val="1"/>
                <w:color w:val="auto"/>
              </w:rPr>
              <w:t>Base Salary</w:t>
            </w:r>
          </w:p>
        </w:tc>
        <w:tc>
          <w:tcPr>
            <w:tcW w:w="960" w:type="dxa"/>
            <w:vAlign w:val="bottom"/>
            <w:vMerge w:val="restart"/>
            <w:shd w:val="clear" w:color="auto" w:fill="F2F3F2"/>
          </w:tcPr>
          <w:p>
            <w:pPr>
              <w:ind w:left="100"/>
              <w:spacing w:after="0"/>
              <w:rPr>
                <w:sz w:val="20"/>
                <w:szCs w:val="20"/>
                <w:color w:val="auto"/>
              </w:rPr>
            </w:pPr>
            <w:r>
              <w:rPr>
                <w:rFonts w:ascii="Arial" w:cs="Arial" w:eastAsia="Arial" w:hAnsi="Arial"/>
                <w:sz w:val="14"/>
                <w:szCs w:val="14"/>
                <w:color w:val="auto"/>
              </w:rPr>
              <w:t>100% Cash</w:t>
            </w:r>
          </w:p>
        </w:tc>
        <w:tc>
          <w:tcPr>
            <w:tcW w:w="3460" w:type="dxa"/>
            <w:vAlign w:val="bottom"/>
            <w:shd w:val="clear" w:color="auto" w:fill="F2F3F2"/>
          </w:tcPr>
          <w:p>
            <w:pPr>
              <w:ind w:left="100"/>
              <w:spacing w:after="0"/>
              <w:rPr>
                <w:sz w:val="20"/>
                <w:szCs w:val="20"/>
                <w:color w:val="auto"/>
              </w:rPr>
            </w:pPr>
            <w:r>
              <w:rPr>
                <w:rFonts w:ascii="Arial" w:cs="Arial" w:eastAsia="Arial" w:hAnsi="Arial"/>
                <w:sz w:val="14"/>
                <w:szCs w:val="14"/>
                <w:color w:val="auto"/>
              </w:rPr>
              <w:t>the role and responsibilities, the ability to influence</w:t>
            </w:r>
          </w:p>
        </w:tc>
        <w:tc>
          <w:tcPr>
            <w:tcW w:w="2820" w:type="dxa"/>
            <w:vAlign w:val="bottom"/>
            <w:shd w:val="clear" w:color="auto" w:fill="F2F3F2"/>
          </w:tcPr>
          <w:p>
            <w:pPr>
              <w:ind w:left="100"/>
              <w:spacing w:after="0"/>
              <w:rPr>
                <w:sz w:val="20"/>
                <w:szCs w:val="20"/>
                <w:color w:val="auto"/>
              </w:rPr>
            </w:pPr>
            <w:r>
              <w:rPr>
                <w:rFonts w:ascii="Arial" w:cs="Arial" w:eastAsia="Arial" w:hAnsi="Arial"/>
                <w:sz w:val="14"/>
                <w:szCs w:val="14"/>
                <w:color w:val="auto"/>
              </w:rPr>
              <w:t>responsibilities, individual performance,</w:t>
            </w:r>
          </w:p>
        </w:tc>
        <w:tc>
          <w:tcPr>
            <w:tcW w:w="0" w:type="dxa"/>
            <w:vAlign w:val="bottom"/>
          </w:tcPr>
          <w:p>
            <w:pPr>
              <w:spacing w:after="0"/>
              <w:rPr>
                <w:sz w:val="1"/>
                <w:szCs w:val="1"/>
                <w:color w:val="auto"/>
              </w:rPr>
            </w:pPr>
          </w:p>
        </w:tc>
      </w:tr>
      <w:tr>
        <w:trPr>
          <w:trHeight w:val="102"/>
        </w:trPr>
        <w:tc>
          <w:tcPr>
            <w:tcW w:w="1840" w:type="dxa"/>
            <w:vAlign w:val="bottom"/>
            <w:vMerge w:val="continue"/>
            <w:shd w:val="clear" w:color="auto" w:fill="F2F3F2"/>
          </w:tcPr>
          <w:p>
            <w:pPr>
              <w:spacing w:after="0"/>
              <w:rPr>
                <w:sz w:val="8"/>
                <w:szCs w:val="8"/>
                <w:color w:val="auto"/>
              </w:rPr>
            </w:pPr>
          </w:p>
        </w:tc>
        <w:tc>
          <w:tcPr>
            <w:tcW w:w="960" w:type="dxa"/>
            <w:vAlign w:val="bottom"/>
            <w:vMerge w:val="continue"/>
            <w:shd w:val="clear" w:color="auto" w:fill="F2F3F2"/>
          </w:tcPr>
          <w:p>
            <w:pPr>
              <w:spacing w:after="0"/>
              <w:rPr>
                <w:sz w:val="8"/>
                <w:szCs w:val="8"/>
                <w:color w:val="auto"/>
              </w:rPr>
            </w:pPr>
          </w:p>
        </w:tc>
        <w:tc>
          <w:tcPr>
            <w:tcW w:w="3460" w:type="dxa"/>
            <w:vAlign w:val="bottom"/>
            <w:vMerge w:val="restart"/>
            <w:shd w:val="clear" w:color="auto" w:fill="F2F3F2"/>
          </w:tcPr>
          <w:p>
            <w:pPr>
              <w:ind w:left="100"/>
              <w:spacing w:after="0"/>
              <w:rPr>
                <w:sz w:val="20"/>
                <w:szCs w:val="20"/>
                <w:color w:val="auto"/>
              </w:rPr>
            </w:pPr>
            <w:r>
              <w:rPr>
                <w:rFonts w:ascii="Arial" w:cs="Arial" w:eastAsia="Arial" w:hAnsi="Arial"/>
                <w:sz w:val="14"/>
                <w:szCs w:val="14"/>
                <w:color w:val="auto"/>
              </w:rPr>
              <w:t>company results, and the experience and individual</w:t>
            </w:r>
          </w:p>
        </w:tc>
        <w:tc>
          <w:tcPr>
            <w:tcW w:w="2820" w:type="dxa"/>
            <w:vAlign w:val="bottom"/>
            <w:vMerge w:val="restart"/>
            <w:shd w:val="clear" w:color="auto" w:fill="F2F3F2"/>
          </w:tcPr>
          <w:p>
            <w:pPr>
              <w:ind w:left="100"/>
              <w:spacing w:after="0"/>
              <w:rPr>
                <w:sz w:val="20"/>
                <w:szCs w:val="20"/>
                <w:color w:val="auto"/>
              </w:rPr>
            </w:pPr>
            <w:r>
              <w:rPr>
                <w:rFonts w:ascii="Arial" w:cs="Arial" w:eastAsia="Arial" w:hAnsi="Arial"/>
                <w:sz w:val="14"/>
                <w:szCs w:val="14"/>
                <w:color w:val="auto"/>
              </w:rPr>
              <w:t>the executive's experience, and the</w:t>
            </w:r>
          </w:p>
        </w:tc>
        <w:tc>
          <w:tcPr>
            <w:tcW w:w="0" w:type="dxa"/>
            <w:vAlign w:val="bottom"/>
          </w:tcPr>
          <w:p>
            <w:pPr>
              <w:spacing w:after="0"/>
              <w:rPr>
                <w:sz w:val="1"/>
                <w:szCs w:val="1"/>
                <w:color w:val="auto"/>
              </w:rPr>
            </w:pPr>
          </w:p>
        </w:tc>
      </w:tr>
      <w:tr>
        <w:trPr>
          <w:trHeight w:val="74"/>
        </w:trPr>
        <w:tc>
          <w:tcPr>
            <w:tcW w:w="1840" w:type="dxa"/>
            <w:vAlign w:val="bottom"/>
            <w:shd w:val="clear" w:color="auto" w:fill="F2F3F2"/>
          </w:tcPr>
          <w:p>
            <w:pPr>
              <w:spacing w:after="0"/>
              <w:rPr>
                <w:sz w:val="6"/>
                <w:szCs w:val="6"/>
                <w:color w:val="auto"/>
              </w:rPr>
            </w:pPr>
          </w:p>
        </w:tc>
        <w:tc>
          <w:tcPr>
            <w:tcW w:w="960" w:type="dxa"/>
            <w:vAlign w:val="bottom"/>
            <w:shd w:val="clear" w:color="auto" w:fill="F2F3F2"/>
          </w:tcPr>
          <w:p>
            <w:pPr>
              <w:spacing w:after="0"/>
              <w:rPr>
                <w:sz w:val="6"/>
                <w:szCs w:val="6"/>
                <w:color w:val="auto"/>
              </w:rPr>
            </w:pPr>
          </w:p>
        </w:tc>
        <w:tc>
          <w:tcPr>
            <w:tcW w:w="3460" w:type="dxa"/>
            <w:vAlign w:val="bottom"/>
            <w:vMerge w:val="continue"/>
            <w:shd w:val="clear" w:color="auto" w:fill="F2F3F2"/>
          </w:tcPr>
          <w:p>
            <w:pPr>
              <w:spacing w:after="0"/>
              <w:rPr>
                <w:sz w:val="6"/>
                <w:szCs w:val="6"/>
                <w:color w:val="auto"/>
              </w:rPr>
            </w:pPr>
          </w:p>
        </w:tc>
        <w:tc>
          <w:tcPr>
            <w:tcW w:w="2820" w:type="dxa"/>
            <w:vAlign w:val="bottom"/>
            <w:vMerge w:val="continue"/>
            <w:shd w:val="clear" w:color="auto" w:fill="F2F3F2"/>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1840" w:type="dxa"/>
            <w:vAlign w:val="bottom"/>
            <w:shd w:val="clear" w:color="auto" w:fill="F2F3F2"/>
          </w:tcPr>
          <w:p>
            <w:pPr>
              <w:spacing w:after="0"/>
              <w:rPr>
                <w:sz w:val="16"/>
                <w:szCs w:val="16"/>
                <w:color w:val="auto"/>
              </w:rPr>
            </w:pPr>
          </w:p>
        </w:tc>
        <w:tc>
          <w:tcPr>
            <w:tcW w:w="960" w:type="dxa"/>
            <w:vAlign w:val="bottom"/>
            <w:shd w:val="clear" w:color="auto" w:fill="F2F3F2"/>
          </w:tcPr>
          <w:p>
            <w:pPr>
              <w:spacing w:after="0"/>
              <w:rPr>
                <w:sz w:val="16"/>
                <w:szCs w:val="16"/>
                <w:color w:val="auto"/>
              </w:rPr>
            </w:pPr>
          </w:p>
        </w:tc>
        <w:tc>
          <w:tcPr>
            <w:tcW w:w="3460" w:type="dxa"/>
            <w:vAlign w:val="bottom"/>
            <w:shd w:val="clear" w:color="auto" w:fill="F2F3F2"/>
          </w:tcPr>
          <w:p>
            <w:pPr>
              <w:ind w:left="100"/>
              <w:spacing w:after="0"/>
              <w:rPr>
                <w:sz w:val="20"/>
                <w:szCs w:val="20"/>
                <w:color w:val="auto"/>
              </w:rPr>
            </w:pPr>
            <w:r>
              <w:rPr>
                <w:rFonts w:ascii="Arial" w:cs="Arial" w:eastAsia="Arial" w:hAnsi="Arial"/>
                <w:sz w:val="14"/>
                <w:szCs w:val="14"/>
                <w:color w:val="auto"/>
              </w:rPr>
              <w:t>performance of each executive.</w:t>
            </w:r>
          </w:p>
        </w:tc>
        <w:tc>
          <w:tcPr>
            <w:tcW w:w="2820" w:type="dxa"/>
            <w:vAlign w:val="bottom"/>
            <w:shd w:val="clear" w:color="auto" w:fill="F2F3F2"/>
          </w:tcPr>
          <w:p>
            <w:pPr>
              <w:ind w:left="100"/>
              <w:spacing w:after="0"/>
              <w:rPr>
                <w:sz w:val="20"/>
                <w:szCs w:val="20"/>
                <w:color w:val="auto"/>
              </w:rPr>
            </w:pPr>
            <w:r>
              <w:rPr>
                <w:rFonts w:ascii="Arial" w:cs="Arial" w:eastAsia="Arial" w:hAnsi="Arial"/>
                <w:sz w:val="14"/>
                <w:szCs w:val="14"/>
                <w:color w:val="auto"/>
              </w:rPr>
              <w:t>competitiveness of the talent market.</w:t>
            </w:r>
          </w:p>
        </w:tc>
        <w:tc>
          <w:tcPr>
            <w:tcW w:w="0" w:type="dxa"/>
            <w:vAlign w:val="bottom"/>
          </w:tcPr>
          <w:p>
            <w:pPr>
              <w:spacing w:after="0"/>
              <w:rPr>
                <w:sz w:val="1"/>
                <w:szCs w:val="1"/>
                <w:color w:val="auto"/>
              </w:rPr>
            </w:pPr>
          </w:p>
        </w:tc>
      </w:tr>
      <w:tr>
        <w:trPr>
          <w:trHeight w:val="116"/>
        </w:trPr>
        <w:tc>
          <w:tcPr>
            <w:tcW w:w="1840" w:type="dxa"/>
            <w:vAlign w:val="bottom"/>
            <w:shd w:val="clear" w:color="auto" w:fill="F2F3F2"/>
          </w:tcPr>
          <w:p>
            <w:pPr>
              <w:spacing w:after="0"/>
              <w:rPr>
                <w:sz w:val="10"/>
                <w:szCs w:val="10"/>
                <w:color w:val="auto"/>
              </w:rPr>
            </w:pPr>
          </w:p>
        </w:tc>
        <w:tc>
          <w:tcPr>
            <w:tcW w:w="960" w:type="dxa"/>
            <w:vAlign w:val="bottom"/>
            <w:shd w:val="clear" w:color="auto" w:fill="F2F3F2"/>
          </w:tcPr>
          <w:p>
            <w:pPr>
              <w:spacing w:after="0"/>
              <w:rPr>
                <w:sz w:val="10"/>
                <w:szCs w:val="10"/>
                <w:color w:val="auto"/>
              </w:rPr>
            </w:pPr>
          </w:p>
        </w:tc>
        <w:tc>
          <w:tcPr>
            <w:tcW w:w="3460" w:type="dxa"/>
            <w:vAlign w:val="bottom"/>
            <w:shd w:val="clear" w:color="auto" w:fill="F2F3F2"/>
          </w:tcPr>
          <w:p>
            <w:pPr>
              <w:spacing w:after="0"/>
              <w:rPr>
                <w:sz w:val="10"/>
                <w:szCs w:val="10"/>
                <w:color w:val="auto"/>
              </w:rPr>
            </w:pPr>
          </w:p>
        </w:tc>
        <w:tc>
          <w:tcPr>
            <w:tcW w:w="2820" w:type="dxa"/>
            <w:vAlign w:val="bottom"/>
            <w:shd w:val="clear" w:color="auto" w:fill="F2F3F2"/>
          </w:tcPr>
          <w:p>
            <w:pPr>
              <w:spacing w:after="0"/>
              <w:rPr>
                <w:sz w:val="10"/>
                <w:szCs w:val="10"/>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sectPr>
          <w:pgSz w:w="11900" w:h="16838" w:orient="portrait"/>
          <w:cols w:equalWidth="0" w:num="1">
            <w:col w:w="9080"/>
          </w:cols>
          <w:pgMar w:left="1400" w:top="394" w:right="1419" w:bottom="1440" w:gutter="0" w:footer="0" w:header="0"/>
        </w:sectPr>
      </w:pPr>
    </w:p>
    <w:p>
      <w:pPr>
        <w:spacing w:after="0" w:line="256" w:lineRule="exact"/>
        <w:rPr>
          <w:sz w:val="20"/>
          <w:szCs w:val="20"/>
          <w:color w:val="auto"/>
        </w:rPr>
      </w:pPr>
    </w:p>
    <w:p>
      <w:pPr>
        <w:ind w:left="140"/>
        <w:spacing w:after="0"/>
        <w:tabs>
          <w:tab w:leader="none" w:pos="1920" w:val="left"/>
        </w:tabs>
        <w:rPr>
          <w:sz w:val="20"/>
          <w:szCs w:val="20"/>
          <w:color w:val="auto"/>
        </w:rPr>
      </w:pPr>
      <w:r>
        <w:rPr>
          <w:rFonts w:ascii="Arial" w:cs="Arial" w:eastAsia="Arial" w:hAnsi="Arial"/>
          <w:sz w:val="14"/>
          <w:szCs w:val="14"/>
          <w:b w:val="1"/>
          <w:bCs w:val="1"/>
          <w:color w:val="auto"/>
        </w:rPr>
        <w:t>Annual Incentive</w:t>
      </w:r>
      <w:r>
        <w:rPr>
          <w:sz w:val="20"/>
          <w:szCs w:val="20"/>
          <w:color w:val="auto"/>
        </w:rPr>
        <w:tab/>
      </w:r>
      <w:r>
        <w:rPr>
          <w:rFonts w:ascii="Arial" w:cs="Arial" w:eastAsia="Arial" w:hAnsi="Arial"/>
          <w:sz w:val="14"/>
          <w:szCs w:val="14"/>
          <w:color w:val="auto"/>
        </w:rPr>
        <w:t>100% Cash</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left="1900"/>
        <w:spacing w:after="0"/>
        <w:rPr>
          <w:sz w:val="20"/>
          <w:szCs w:val="20"/>
          <w:color w:val="auto"/>
        </w:rPr>
      </w:pPr>
      <w:r>
        <w:rPr>
          <w:rFonts w:ascii="Arial" w:cs="Arial" w:eastAsia="Arial" w:hAnsi="Arial"/>
          <w:sz w:val="14"/>
          <w:szCs w:val="14"/>
          <w:color w:val="auto"/>
        </w:rPr>
        <w:t>70%</w:t>
      </w:r>
    </w:p>
    <w:p>
      <w:pPr>
        <w:spacing w:after="0" w:line="29" w:lineRule="exact"/>
        <w:rPr>
          <w:sz w:val="20"/>
          <w:szCs w:val="20"/>
          <w:color w:val="auto"/>
        </w:rPr>
      </w:pPr>
    </w:p>
    <w:p>
      <w:pPr>
        <w:jc w:val="center"/>
        <w:ind w:left="1900"/>
        <w:spacing w:after="0"/>
        <w:rPr>
          <w:sz w:val="20"/>
          <w:szCs w:val="20"/>
          <w:color w:val="auto"/>
        </w:rPr>
      </w:pPr>
      <w:r>
        <w:rPr>
          <w:rFonts w:ascii="Arial" w:cs="Arial" w:eastAsia="Arial" w:hAnsi="Arial"/>
          <w:sz w:val="14"/>
          <w:szCs w:val="14"/>
          <w:color w:val="auto"/>
        </w:rPr>
        <w:t>Performance</w:t>
      </w:r>
    </w:p>
    <w:p>
      <w:pPr>
        <w:spacing w:after="0" w:line="15" w:lineRule="exact"/>
        <w:rPr>
          <w:sz w:val="20"/>
          <w:szCs w:val="20"/>
          <w:color w:val="auto"/>
        </w:rPr>
      </w:pPr>
    </w:p>
    <w:p>
      <w:pPr>
        <w:jc w:val="center"/>
        <w:ind w:left="1900"/>
        <w:spacing w:after="0"/>
        <w:rPr>
          <w:sz w:val="20"/>
          <w:szCs w:val="20"/>
          <w:color w:val="auto"/>
        </w:rPr>
      </w:pPr>
      <w:r>
        <w:rPr>
          <w:rFonts w:ascii="Arial" w:cs="Arial" w:eastAsia="Arial" w:hAnsi="Arial"/>
          <w:sz w:val="14"/>
          <w:szCs w:val="14"/>
          <w:color w:val="auto"/>
        </w:rPr>
        <w:t>Share Units</w:t>
      </w:r>
    </w:p>
    <w:p>
      <w:pPr>
        <w:spacing w:after="0" w:line="15" w:lineRule="exact"/>
        <w:rPr>
          <w:sz w:val="20"/>
          <w:szCs w:val="20"/>
          <w:color w:val="auto"/>
        </w:rPr>
      </w:pPr>
    </w:p>
    <w:p>
      <w:pPr>
        <w:jc w:val="center"/>
        <w:ind w:left="1900"/>
        <w:spacing w:after="0"/>
        <w:rPr>
          <w:sz w:val="20"/>
          <w:szCs w:val="20"/>
          <w:color w:val="auto"/>
        </w:rPr>
      </w:pPr>
      <w:r>
        <w:rPr>
          <w:rFonts w:ascii="Arial" w:cs="Arial" w:eastAsia="Arial" w:hAnsi="Arial"/>
          <w:sz w:val="14"/>
          <w:szCs w:val="14"/>
          <w:color w:val="auto"/>
        </w:rPr>
        <w:t>(PSUs)</w:t>
      </w:r>
    </w:p>
    <w:p>
      <w:pPr>
        <w:spacing w:after="0" w:line="95"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Long-Term Incentive</w:t>
      </w:r>
    </w:p>
    <w:p>
      <w:pPr>
        <w:spacing w:after="0" w:line="163" w:lineRule="exact"/>
        <w:rPr>
          <w:sz w:val="20"/>
          <w:szCs w:val="20"/>
          <w:color w:val="auto"/>
        </w:rPr>
      </w:pPr>
    </w:p>
    <w:p>
      <w:pPr>
        <w:ind w:left="2160"/>
        <w:spacing w:after="0"/>
        <w:rPr>
          <w:sz w:val="20"/>
          <w:szCs w:val="20"/>
          <w:color w:val="auto"/>
        </w:rPr>
      </w:pPr>
      <w:r>
        <w:rPr>
          <w:rFonts w:ascii="Arial" w:cs="Arial" w:eastAsia="Arial" w:hAnsi="Arial"/>
          <w:sz w:val="14"/>
          <w:szCs w:val="14"/>
          <w:color w:val="auto"/>
        </w:rPr>
        <w:t>30%</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4"/>
          <w:szCs w:val="14"/>
          <w:color w:val="auto"/>
        </w:rPr>
        <w:t>Restricted</w:t>
      </w:r>
    </w:p>
    <w:p>
      <w:pPr>
        <w:spacing w:after="0" w:line="1" w:lineRule="exact"/>
        <w:rPr>
          <w:sz w:val="20"/>
          <w:szCs w:val="20"/>
          <w:color w:val="auto"/>
        </w:rPr>
      </w:pPr>
    </w:p>
    <w:p>
      <w:pPr>
        <w:jc w:val="center"/>
        <w:ind w:left="1900"/>
        <w:spacing w:after="0"/>
        <w:rPr>
          <w:sz w:val="20"/>
          <w:szCs w:val="20"/>
          <w:color w:val="auto"/>
        </w:rPr>
      </w:pPr>
      <w:r>
        <w:rPr>
          <w:rFonts w:ascii="Arial" w:cs="Arial" w:eastAsia="Arial" w:hAnsi="Arial"/>
          <w:sz w:val="14"/>
          <w:szCs w:val="14"/>
          <w:color w:val="auto"/>
        </w:rPr>
        <w:t>Stock Units</w:t>
      </w:r>
    </w:p>
    <w:p>
      <w:pPr>
        <w:spacing w:after="0" w:line="15" w:lineRule="exact"/>
        <w:rPr>
          <w:sz w:val="20"/>
          <w:szCs w:val="20"/>
          <w:color w:val="auto"/>
        </w:rPr>
      </w:pPr>
    </w:p>
    <w:p>
      <w:pPr>
        <w:jc w:val="center"/>
        <w:ind w:left="1900"/>
        <w:spacing w:after="0"/>
        <w:rPr>
          <w:sz w:val="20"/>
          <w:szCs w:val="20"/>
          <w:color w:val="auto"/>
        </w:rPr>
      </w:pPr>
      <w:r>
        <w:rPr>
          <w:rFonts w:ascii="Arial" w:cs="Arial" w:eastAsia="Arial" w:hAnsi="Arial"/>
          <w:sz w:val="14"/>
          <w:szCs w:val="14"/>
          <w:color w:val="auto"/>
        </w:rPr>
        <w:t>(RSUs)</w:t>
      </w:r>
    </w:p>
    <w:p>
      <w:pPr>
        <w:spacing w:after="0" w:line="20" w:lineRule="exact"/>
        <w:rPr>
          <w:sz w:val="20"/>
          <w:szCs w:val="20"/>
          <w:color w:val="auto"/>
        </w:rPr>
      </w:pPr>
      <w:r>
        <w:rPr>
          <w:sz w:val="20"/>
          <w:szCs w:val="20"/>
          <w:color w:val="auto"/>
        </w:rPr>
        <w:br w:type="column"/>
      </w:r>
    </w:p>
    <w:p>
      <w:pPr>
        <w:spacing w:after="0" w:line="276" w:lineRule="auto"/>
        <w:rPr>
          <w:sz w:val="20"/>
          <w:szCs w:val="20"/>
          <w:color w:val="auto"/>
        </w:rPr>
      </w:pPr>
      <w:r>
        <w:rPr>
          <w:rFonts w:ascii="Arial" w:cs="Arial" w:eastAsia="Arial" w:hAnsi="Arial"/>
          <w:sz w:val="14"/>
          <w:szCs w:val="14"/>
          <w:color w:val="auto"/>
        </w:rPr>
        <w:t>Set challenging, but attainable, goals that motivate exceptional performance against the annual operating plan and serve as a key compensation vehicle for differentiating performance each year.</w:t>
      </w:r>
    </w:p>
    <w:p>
      <w:pPr>
        <w:spacing w:after="0" w:line="245" w:lineRule="exact"/>
        <w:rPr>
          <w:sz w:val="20"/>
          <w:szCs w:val="20"/>
          <w:color w:val="auto"/>
        </w:rPr>
      </w:pPr>
    </w:p>
    <w:p>
      <w:pPr>
        <w:ind w:right="200"/>
        <w:spacing w:after="0" w:line="267" w:lineRule="auto"/>
        <w:rPr>
          <w:sz w:val="20"/>
          <w:szCs w:val="20"/>
          <w:color w:val="auto"/>
        </w:rPr>
      </w:pPr>
      <w:r>
        <w:rPr>
          <w:rFonts w:ascii="Arial" w:cs="Arial" w:eastAsia="Arial" w:hAnsi="Arial"/>
          <w:sz w:val="14"/>
          <w:szCs w:val="14"/>
          <w:color w:val="auto"/>
        </w:rPr>
        <w:t>Focus executives on the achievement of strong performance against long-term strategic and financial goals to directly align each executive's interests with the long-term interests of stockholders.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4"/>
          <w:szCs w:val="14"/>
          <w:color w:val="auto"/>
        </w:rPr>
        <w:t>Provide for long-term executive retention.</w:t>
      </w:r>
    </w:p>
    <w:p>
      <w:pPr>
        <w:spacing w:after="0" w:line="20" w:lineRule="exact"/>
        <w:rPr>
          <w:sz w:val="20"/>
          <w:szCs w:val="20"/>
          <w:color w:val="auto"/>
        </w:rPr>
      </w:pPr>
      <w:r>
        <w:rPr>
          <w:sz w:val="20"/>
          <w:szCs w:val="20"/>
          <w:color w:val="auto"/>
        </w:rPr>
        <w:br w:type="column"/>
      </w:r>
    </w:p>
    <w:p>
      <w:pPr>
        <w:ind w:right="200"/>
        <w:spacing w:after="0" w:line="276" w:lineRule="auto"/>
        <w:rPr>
          <w:sz w:val="20"/>
          <w:szCs w:val="20"/>
          <w:color w:val="auto"/>
        </w:rPr>
      </w:pPr>
      <w:r>
        <w:rPr>
          <w:rFonts w:ascii="Arial" w:cs="Arial" w:eastAsia="Arial" w:hAnsi="Arial"/>
          <w:sz w:val="14"/>
          <w:szCs w:val="14"/>
          <w:color w:val="auto"/>
        </w:rPr>
        <w:t>Achievement of predefined financial, operational and strategic measures that are commensurate with performance against the annual operating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40"/>
        <w:spacing w:after="0" w:line="273" w:lineRule="auto"/>
        <w:rPr>
          <w:sz w:val="20"/>
          <w:szCs w:val="20"/>
          <w:color w:val="auto"/>
        </w:rPr>
      </w:pPr>
      <w:r>
        <w:rPr>
          <w:rFonts w:ascii="Arial" w:cs="Arial" w:eastAsia="Arial" w:hAnsi="Arial"/>
          <w:sz w:val="14"/>
          <w:szCs w:val="14"/>
          <w:color w:val="auto"/>
        </w:rPr>
        <w:t>Alignment of stockholder interests with the attainment of long-term financial goals and share price appreciation.</w:t>
      </w:r>
    </w:p>
    <w:p>
      <w:pPr>
        <w:spacing w:after="0" w:line="824" w:lineRule="exact"/>
        <w:rPr>
          <w:sz w:val="20"/>
          <w:szCs w:val="20"/>
          <w:color w:val="auto"/>
        </w:rPr>
      </w:pPr>
    </w:p>
    <w:p>
      <w:pPr>
        <w:sectPr>
          <w:pgSz w:w="11900" w:h="16838" w:orient="portrait"/>
          <w:cols w:equalWidth="0" w:num="3">
            <w:col w:w="2720" w:space="180"/>
            <w:col w:w="3200" w:space="260"/>
            <w:col w:w="2720"/>
          </w:cols>
          <w:pgMar w:left="1400" w:top="394" w:right="1419" w:bottom="1440" w:gutter="0" w:footer="0" w:header="0"/>
          <w:type w:val="continuous"/>
        </w:sectPr>
      </w:pPr>
    </w:p>
    <w:p>
      <w:pPr>
        <w:spacing w:after="0" w:line="228" w:lineRule="exact"/>
        <w:rPr>
          <w:sz w:val="20"/>
          <w:szCs w:val="20"/>
          <w:color w:val="auto"/>
        </w:rPr>
      </w:pPr>
    </w:p>
    <w:p>
      <w:pPr>
        <w:jc w:val="both"/>
        <w:ind w:right="260"/>
        <w:spacing w:after="0" w:line="310" w:lineRule="auto"/>
        <w:rPr>
          <w:sz w:val="20"/>
          <w:szCs w:val="20"/>
          <w:color w:val="auto"/>
        </w:rPr>
      </w:pPr>
      <w:r>
        <w:rPr>
          <w:rFonts w:ascii="Arial" w:cs="Arial" w:eastAsia="Arial" w:hAnsi="Arial"/>
          <w:sz w:val="16"/>
          <w:szCs w:val="16"/>
          <w:color w:val="auto"/>
        </w:rPr>
        <w:t>The 2024 program design continued to align our NEOs' interests with those of the stockholders by maintaining a majority of NEO compensation as performance-based and at-risk. The chart below illustrates the 2024 target mix of pay for the NEOs under the 2024 executive compensation program.</w:t>
      </w:r>
    </w:p>
    <w:p>
      <w:pPr>
        <w:spacing w:after="0" w:line="106"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2024 NEO Pay</w:t>
        <w:tab/>
        <w:t>Mix at Target</w:t>
      </w:r>
    </w:p>
    <w:p>
      <w:pPr>
        <w:sectPr>
          <w:pgSz w:w="11900" w:h="16838" w:orient="portrait"/>
          <w:cols w:equalWidth="0" w:num="1">
            <w:col w:w="9080"/>
          </w:cols>
          <w:pgMar w:left="1400" w:top="394" w:right="1419" w:bottom="1440" w:gutter="0" w:footer="0" w:header="0"/>
          <w:type w:val="continuous"/>
        </w:sectPr>
      </w:pPr>
    </w:p>
    <w:p>
      <w:pPr>
        <w:spacing w:after="0" w:line="248" w:lineRule="exact"/>
        <w:rPr>
          <w:sz w:val="20"/>
          <w:szCs w:val="20"/>
          <w:color w:val="auto"/>
        </w:rPr>
      </w:pPr>
    </w:p>
    <w:p>
      <w:pPr>
        <w:ind w:left="2440"/>
        <w:spacing w:after="0"/>
        <w:tabs>
          <w:tab w:leader="none" w:pos="5540" w:val="left"/>
        </w:tabs>
        <w:rPr>
          <w:sz w:val="20"/>
          <w:szCs w:val="20"/>
          <w:color w:val="auto"/>
        </w:rPr>
      </w:pPr>
      <w:r>
        <w:rPr>
          <w:rFonts w:ascii="Arial" w:cs="Arial" w:eastAsia="Arial" w:hAnsi="Arial"/>
          <w:sz w:val="14"/>
          <w:szCs w:val="14"/>
          <w:b w:val="1"/>
          <w:bCs w:val="1"/>
          <w:color w:val="6AAA37"/>
        </w:rPr>
        <w:t>CEO</w:t>
      </w:r>
      <w:r>
        <w:rPr>
          <w:sz w:val="20"/>
          <w:szCs w:val="20"/>
          <w:color w:val="auto"/>
        </w:rPr>
        <w:tab/>
      </w:r>
      <w:r>
        <w:rPr>
          <w:rFonts w:ascii="Arial" w:cs="Arial" w:eastAsia="Arial" w:hAnsi="Arial"/>
          <w:sz w:val="14"/>
          <w:szCs w:val="14"/>
          <w:b w:val="1"/>
          <w:bCs w:val="1"/>
          <w:color w:val="6AAA37"/>
        </w:rPr>
        <w:t>OTHER NEOS (AVERAGE)</w:t>
      </w:r>
    </w:p>
    <w:p>
      <w:pPr>
        <w:sectPr>
          <w:pgSz w:w="11900" w:h="16838" w:orient="portrait"/>
          <w:cols w:equalWidth="0" w:num="1">
            <w:col w:w="9080"/>
          </w:cols>
          <w:pgMar w:left="1400" w:top="394" w:right="1419" w:bottom="1440" w:gutter="0" w:footer="0" w:header="0"/>
          <w:type w:val="continuous"/>
        </w:sectPr>
      </w:pPr>
    </w:p>
    <w:bookmarkStart w:id="44" w:name="page45"/>
    <w:bookmarkEnd w:id="44"/>
    <w:p>
      <w:pPr>
        <w:spacing w:after="0" w:line="9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21964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10375" cy="2196465"/>
                    </a:xfrm>
                    <a:prstGeom prst="rect">
                      <a:avLst/>
                    </a:prstGeom>
                    <a:noFill/>
                  </pic:spPr>
                </pic:pic>
              </a:graphicData>
            </a:graphic>
          </wp:anchor>
        </w:drawing>
      </w:r>
    </w:p>
    <w:p>
      <w:pPr>
        <w:ind w:left="3780"/>
        <w:spacing w:after="0"/>
        <w:rPr>
          <w:sz w:val="20"/>
          <w:szCs w:val="20"/>
          <w:color w:val="auto"/>
        </w:rPr>
      </w:pPr>
      <w:r>
        <w:rPr>
          <w:rFonts w:ascii="Arial" w:cs="Arial" w:eastAsia="Arial" w:hAnsi="Arial"/>
          <w:sz w:val="14"/>
          <w:szCs w:val="14"/>
          <w:b w:val="1"/>
          <w:bCs w:val="1"/>
          <w:color w:val="auto"/>
        </w:rPr>
        <w:t>84%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60"/>
        <w:spacing w:after="0"/>
        <w:tabs>
          <w:tab w:leader="none" w:pos="444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13"/>
          <w:szCs w:val="13"/>
          <w:b w:val="1"/>
          <w:bCs w:val="1"/>
          <w:color w:val="00558C"/>
        </w:rPr>
        <w:t>39</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420370</wp:posOffset>
            </wp:positionV>
            <wp:extent cx="6810375" cy="82372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10375" cy="823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540" w:val="left"/>
          <w:tab w:leader="none" w:pos="7360" w:val="left"/>
          <w:tab w:leader="none" w:pos="8400" w:val="left"/>
        </w:tabs>
        <w:rPr>
          <w:sz w:val="20"/>
          <w:szCs w:val="20"/>
          <w:color w:val="auto"/>
        </w:rPr>
      </w:pPr>
      <w:r>
        <w:rPr>
          <w:rFonts w:ascii="Arial" w:cs="Arial" w:eastAsia="Arial" w:hAnsi="Arial"/>
          <w:sz w:val="13"/>
          <w:szCs w:val="13"/>
          <w:b w:val="1"/>
          <w:bCs w:val="1"/>
          <w:color w:val="B2B3B6"/>
        </w:rPr>
        <w:t>General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Corporate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6AAA37"/>
        </w:rPr>
        <w:t>Executive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Stockholder</w:t>
      </w:r>
      <w:r>
        <w:rPr>
          <w:sz w:val="20"/>
          <w:szCs w:val="20"/>
          <w:color w:val="auto"/>
        </w:rPr>
        <w:tab/>
      </w:r>
      <w:r>
        <w:rPr>
          <w:rFonts w:ascii="Arial" w:cs="Arial" w:eastAsia="Arial" w:hAnsi="Arial"/>
          <w:sz w:val="12"/>
          <w:szCs w:val="12"/>
          <w:b w:val="1"/>
          <w:bCs w:val="1"/>
          <w:color w:val="B2B3B6"/>
        </w:rPr>
        <w:t>Other</w:t>
      </w:r>
    </w:p>
    <w:p>
      <w:pPr>
        <w:spacing w:after="0" w:line="11"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540" w:val="left"/>
          <w:tab w:leader="none" w:pos="7360" w:val="left"/>
          <w:tab w:leader="none" w:pos="8400" w:val="left"/>
        </w:tabs>
        <w:rPr>
          <w:sz w:val="20"/>
          <w:szCs w:val="20"/>
          <w:color w:val="auto"/>
        </w:rPr>
      </w:pPr>
      <w:r>
        <w:rPr>
          <w:rFonts w:ascii="Arial" w:cs="Arial" w:eastAsia="Arial" w:hAnsi="Arial"/>
          <w:sz w:val="13"/>
          <w:szCs w:val="13"/>
          <w:b w:val="1"/>
          <w:bCs w:val="1"/>
          <w:color w:val="B2B3B6"/>
        </w:rPr>
        <w:t>Information</w:t>
      </w:r>
      <w:r>
        <w:rPr>
          <w:sz w:val="20"/>
          <w:szCs w:val="20"/>
          <w:color w:val="auto"/>
        </w:rPr>
        <w:tab/>
      </w:r>
      <w:r>
        <w:rPr>
          <w:rFonts w:ascii="Arial" w:cs="Arial" w:eastAsia="Arial" w:hAnsi="Arial"/>
          <w:sz w:val="13"/>
          <w:szCs w:val="13"/>
          <w:b w:val="1"/>
          <w:bCs w:val="1"/>
          <w:color w:val="B2B3B6"/>
        </w:rPr>
        <w:t>One</w:t>
      </w:r>
      <w:r>
        <w:rPr>
          <w:sz w:val="20"/>
          <w:szCs w:val="20"/>
          <w:color w:val="auto"/>
        </w:rPr>
        <w:tab/>
      </w:r>
      <w:r>
        <w:rPr>
          <w:rFonts w:ascii="Arial" w:cs="Arial" w:eastAsia="Arial" w:hAnsi="Arial"/>
          <w:sz w:val="13"/>
          <w:szCs w:val="13"/>
          <w:b w:val="1"/>
          <w:bCs w:val="1"/>
          <w:color w:val="B2B3B6"/>
        </w:rPr>
        <w:t>Governance</w:t>
      </w:r>
      <w:r>
        <w:rPr>
          <w:sz w:val="20"/>
          <w:szCs w:val="20"/>
          <w:color w:val="auto"/>
        </w:rPr>
        <w:tab/>
      </w:r>
      <w:r>
        <w:rPr>
          <w:rFonts w:ascii="Arial" w:cs="Arial" w:eastAsia="Arial" w:hAnsi="Arial"/>
          <w:sz w:val="13"/>
          <w:szCs w:val="13"/>
          <w:b w:val="1"/>
          <w:bCs w:val="1"/>
          <w:color w:val="B2B3B6"/>
        </w:rPr>
        <w:t>Two</w:t>
      </w:r>
      <w:r>
        <w:rPr>
          <w:sz w:val="20"/>
          <w:szCs w:val="20"/>
          <w:color w:val="auto"/>
        </w:rPr>
        <w:tab/>
      </w:r>
      <w:r>
        <w:rPr>
          <w:rFonts w:ascii="Arial" w:cs="Arial" w:eastAsia="Arial" w:hAnsi="Arial"/>
          <w:sz w:val="13"/>
          <w:szCs w:val="13"/>
          <w:b w:val="1"/>
          <w:bCs w:val="1"/>
          <w:color w:val="6AAA37"/>
        </w:rPr>
        <w:t>Compensation</w:t>
      </w:r>
      <w:r>
        <w:rPr>
          <w:sz w:val="20"/>
          <w:szCs w:val="20"/>
          <w:color w:val="auto"/>
        </w:rPr>
        <w:tab/>
      </w:r>
      <w:r>
        <w:rPr>
          <w:rFonts w:ascii="Arial" w:cs="Arial" w:eastAsia="Arial" w:hAnsi="Arial"/>
          <w:sz w:val="13"/>
          <w:szCs w:val="13"/>
          <w:b w:val="1"/>
          <w:bCs w:val="1"/>
          <w:color w:val="B2B3B6"/>
        </w:rPr>
        <w:t>Three</w:t>
      </w:r>
      <w:r>
        <w:rPr>
          <w:sz w:val="20"/>
          <w:szCs w:val="20"/>
          <w:color w:val="auto"/>
        </w:rPr>
        <w:tab/>
      </w:r>
      <w:r>
        <w:rPr>
          <w:rFonts w:ascii="Arial" w:cs="Arial" w:eastAsia="Arial" w:hAnsi="Arial"/>
          <w:sz w:val="13"/>
          <w:szCs w:val="13"/>
          <w:b w:val="1"/>
          <w:bCs w:val="1"/>
          <w:color w:val="B2B3B6"/>
        </w:rPr>
        <w:t>Four</w:t>
      </w:r>
      <w:r>
        <w:rPr>
          <w:sz w:val="20"/>
          <w:szCs w:val="20"/>
          <w:color w:val="auto"/>
        </w:rPr>
        <w:tab/>
      </w:r>
      <w:r>
        <w:rPr>
          <w:rFonts w:ascii="Arial" w:cs="Arial" w:eastAsia="Arial" w:hAnsi="Arial"/>
          <w:sz w:val="13"/>
          <w:szCs w:val="13"/>
          <w:b w:val="1"/>
          <w:bCs w:val="1"/>
          <w:color w:val="B2B3B6"/>
        </w:rPr>
        <w:t>Five</w:t>
      </w:r>
      <w:r>
        <w:rPr>
          <w:sz w:val="20"/>
          <w:szCs w:val="20"/>
          <w:color w:val="auto"/>
        </w:rPr>
        <w:tab/>
      </w:r>
      <w:r>
        <w:rPr>
          <w:rFonts w:ascii="Arial" w:cs="Arial" w:eastAsia="Arial" w:hAnsi="Arial"/>
          <w:sz w:val="13"/>
          <w:szCs w:val="13"/>
          <w:b w:val="1"/>
          <w:bCs w:val="1"/>
          <w:color w:val="B2B3B6"/>
        </w:rPr>
        <w:t>Proposals</w:t>
      </w:r>
      <w:r>
        <w:rPr>
          <w:sz w:val="20"/>
          <w:szCs w:val="20"/>
          <w:color w:val="auto"/>
        </w:rPr>
        <w:tab/>
      </w:r>
      <w:r>
        <w:rPr>
          <w:rFonts w:ascii="Arial" w:cs="Arial" w:eastAsia="Arial" w:hAnsi="Arial"/>
          <w:sz w:val="12"/>
          <w:szCs w:val="12"/>
          <w:b w:val="1"/>
          <w:bCs w:val="1"/>
          <w:color w:val="B2B3B6"/>
        </w:rPr>
        <w:t>Matters</w:t>
      </w:r>
    </w:p>
    <w:p>
      <w:pPr>
        <w:spacing w:after="0" w:line="314" w:lineRule="exact"/>
        <w:rPr>
          <w:sz w:val="20"/>
          <w:szCs w:val="20"/>
          <w:color w:val="auto"/>
        </w:rPr>
      </w:pPr>
    </w:p>
    <w:p>
      <w:pPr>
        <w:spacing w:after="0"/>
        <w:rPr>
          <w:sz w:val="20"/>
          <w:szCs w:val="20"/>
          <w:color w:val="auto"/>
        </w:rPr>
      </w:pPr>
      <w:r>
        <w:rPr>
          <w:rFonts w:ascii="Arial" w:cs="Arial" w:eastAsia="Arial" w:hAnsi="Arial"/>
          <w:sz w:val="22"/>
          <w:szCs w:val="22"/>
          <w:b w:val="1"/>
          <w:bCs w:val="1"/>
          <w:color w:val="00558C"/>
        </w:rPr>
        <w:t>Governance of Executive Compensation Program</w:t>
      </w:r>
    </w:p>
    <w:p>
      <w:pPr>
        <w:spacing w:after="0" w:line="112" w:lineRule="exact"/>
        <w:rPr>
          <w:sz w:val="20"/>
          <w:szCs w:val="20"/>
          <w:color w:val="auto"/>
        </w:rPr>
      </w:pPr>
    </w:p>
    <w:p>
      <w:pPr>
        <w:ind w:right="180"/>
        <w:spacing w:after="0" w:line="300" w:lineRule="auto"/>
        <w:rPr>
          <w:sz w:val="20"/>
          <w:szCs w:val="20"/>
          <w:color w:val="auto"/>
        </w:rPr>
      </w:pPr>
      <w:r>
        <w:rPr>
          <w:rFonts w:ascii="Arial" w:cs="Arial" w:eastAsia="Arial" w:hAnsi="Arial"/>
          <w:sz w:val="16"/>
          <w:szCs w:val="16"/>
          <w:color w:val="auto"/>
        </w:rPr>
        <w:t>The Compensation Committee, with support from management and independent compensation consultants, is primarily responsible for designing, reviewing, and evaluating our executive compensation program in a manner consistent with our compensation philosophy, principles and objectives. These responsibilities were achieved through the following 2024 annual compensation-setting process.</w:t>
      </w:r>
    </w:p>
    <w:p>
      <w:pPr>
        <w:sectPr>
          <w:pgSz w:w="11900" w:h="16938" w:orient="portrait"/>
          <w:cols w:equalWidth="0" w:num="1">
            <w:col w:w="9080"/>
          </w:cols>
          <w:pgMar w:left="1400" w:top="967" w:right="1419" w:bottom="0" w:gutter="0" w:footer="0" w:header="0"/>
        </w:sectPr>
      </w:pPr>
    </w:p>
    <w:p>
      <w:pPr>
        <w:spacing w:after="0" w:line="200" w:lineRule="exact"/>
        <w:rPr>
          <w:sz w:val="20"/>
          <w:szCs w:val="20"/>
          <w:color w:val="auto"/>
        </w:rPr>
      </w:pPr>
    </w:p>
    <w:p>
      <w:pPr>
        <w:spacing w:after="0" w:line="313" w:lineRule="exact"/>
        <w:rPr>
          <w:sz w:val="20"/>
          <w:szCs w:val="20"/>
          <w:color w:val="auto"/>
        </w:rPr>
      </w:pPr>
    </w:p>
    <w:tbl>
      <w:tblPr>
        <w:tblLayout w:type="fixed"/>
        <w:tblInd w:w="60" w:type="dxa"/>
        <w:tblCellMar>
          <w:top w:w="0" w:type="dxa"/>
          <w:left w:w="0" w:type="dxa"/>
          <w:bottom w:w="0" w:type="dxa"/>
          <w:right w:w="0" w:type="dxa"/>
        </w:tblCellMar>
      </w:tblPr>
      <w:tr>
        <w:trPr>
          <w:trHeight w:val="189"/>
        </w:trPr>
        <w:tc>
          <w:tcPr>
            <w:tcW w:w="100" w:type="dxa"/>
            <w:vAlign w:val="bottom"/>
          </w:tcPr>
          <w:p>
            <w:pPr>
              <w:spacing w:after="0"/>
              <w:rPr>
                <w:sz w:val="16"/>
                <w:szCs w:val="16"/>
                <w:color w:val="auto"/>
              </w:rPr>
            </w:pPr>
          </w:p>
        </w:tc>
        <w:tc>
          <w:tcPr>
            <w:tcW w:w="1960" w:type="dxa"/>
            <w:vAlign w:val="bottom"/>
          </w:tcPr>
          <w:p>
            <w:pPr>
              <w:jc w:val="center"/>
              <w:ind w:right="166"/>
              <w:spacing w:after="0"/>
              <w:rPr>
                <w:sz w:val="20"/>
                <w:szCs w:val="20"/>
                <w:color w:val="auto"/>
              </w:rPr>
            </w:pPr>
            <w:r>
              <w:rPr>
                <w:rFonts w:ascii="Arial" w:cs="Arial" w:eastAsia="Arial" w:hAnsi="Arial"/>
                <w:sz w:val="16"/>
                <w:szCs w:val="16"/>
                <w:b w:val="1"/>
                <w:bCs w:val="1"/>
                <w:color w:val="FFFFFF"/>
              </w:rPr>
              <w:t>Peer Group &amp;</w:t>
            </w:r>
          </w:p>
        </w:tc>
        <w:tc>
          <w:tcPr>
            <w:tcW w:w="380" w:type="dxa"/>
            <w:vAlign w:val="bottom"/>
          </w:tcPr>
          <w:p>
            <w:pPr>
              <w:spacing w:after="0"/>
              <w:rPr>
                <w:sz w:val="16"/>
                <w:szCs w:val="16"/>
                <w:color w:val="auto"/>
              </w:rPr>
            </w:pPr>
          </w:p>
        </w:tc>
        <w:tc>
          <w:tcPr>
            <w:tcW w:w="1560" w:type="dxa"/>
            <w:vAlign w:val="bottom"/>
            <w:vMerge w:val="restart"/>
          </w:tcPr>
          <w:p>
            <w:pPr>
              <w:ind w:left="260"/>
              <w:spacing w:after="0"/>
              <w:rPr>
                <w:sz w:val="20"/>
                <w:szCs w:val="20"/>
                <w:color w:val="auto"/>
              </w:rPr>
            </w:pPr>
            <w:r>
              <w:rPr>
                <w:rFonts w:ascii="Arial" w:cs="Arial" w:eastAsia="Arial" w:hAnsi="Arial"/>
                <w:sz w:val="16"/>
                <w:szCs w:val="16"/>
                <w:b w:val="1"/>
                <w:bCs w:val="1"/>
                <w:color w:val="FFFFFF"/>
              </w:rPr>
              <w:t>Target Setting</w:t>
            </w: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1960" w:type="dxa"/>
            <w:vAlign w:val="bottom"/>
          </w:tcPr>
          <w:p>
            <w:pPr>
              <w:jc w:val="center"/>
              <w:ind w:right="166"/>
              <w:spacing w:after="0"/>
              <w:rPr>
                <w:sz w:val="20"/>
                <w:szCs w:val="20"/>
                <w:color w:val="auto"/>
              </w:rPr>
            </w:pPr>
            <w:r>
              <w:rPr>
                <w:rFonts w:ascii="Arial" w:cs="Arial" w:eastAsia="Arial" w:hAnsi="Arial"/>
                <w:sz w:val="16"/>
                <w:szCs w:val="16"/>
                <w:b w:val="1"/>
                <w:bCs w:val="1"/>
                <w:color w:val="FFFFFF"/>
              </w:rPr>
              <w:t>Plan Design</w:t>
            </w:r>
          </w:p>
        </w:tc>
        <w:tc>
          <w:tcPr>
            <w:tcW w:w="380" w:type="dxa"/>
            <w:vAlign w:val="bottom"/>
          </w:tcPr>
          <w:p>
            <w:pPr>
              <w:spacing w:after="0"/>
              <w:rPr>
                <w:sz w:val="16"/>
                <w:szCs w:val="16"/>
                <w:color w:val="auto"/>
              </w:rPr>
            </w:pP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960" w:type="dxa"/>
            <w:vAlign w:val="bottom"/>
          </w:tcPr>
          <w:p>
            <w:pPr>
              <w:jc w:val="center"/>
              <w:ind w:right="146"/>
              <w:spacing w:after="0"/>
              <w:rPr>
                <w:sz w:val="20"/>
                <w:szCs w:val="20"/>
                <w:color w:val="auto"/>
              </w:rPr>
            </w:pPr>
            <w:r>
              <w:rPr>
                <w:rFonts w:ascii="Arial" w:cs="Arial" w:eastAsia="Arial" w:hAnsi="Arial"/>
                <w:sz w:val="16"/>
                <w:szCs w:val="16"/>
                <w:b w:val="1"/>
                <w:bCs w:val="1"/>
                <w:color w:val="FFFFFF"/>
                <w:w w:val="97"/>
              </w:rPr>
              <w:t>Review</w:t>
            </w:r>
          </w:p>
        </w:tc>
        <w:tc>
          <w:tcPr>
            <w:tcW w:w="3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5"/>
        </w:trPr>
        <w:tc>
          <w:tcPr>
            <w:tcW w:w="100" w:type="dxa"/>
            <w:vAlign w:val="bottom"/>
          </w:tcPr>
          <w:p>
            <w:pPr>
              <w:spacing w:after="0"/>
              <w:rPr>
                <w:sz w:val="20"/>
                <w:szCs w:val="20"/>
                <w:color w:val="auto"/>
              </w:rPr>
            </w:pPr>
            <w:r>
              <w:rPr>
                <w:rFonts w:ascii="Arial" w:cs="Arial" w:eastAsia="Arial" w:hAnsi="Arial"/>
                <w:sz w:val="14"/>
                <w:szCs w:val="14"/>
                <w:b w:val="1"/>
                <w:bCs w:val="1"/>
                <w:color w:val="6AAA37"/>
              </w:rPr>
              <w:t>•</w:t>
            </w:r>
          </w:p>
        </w:tc>
        <w:tc>
          <w:tcPr>
            <w:tcW w:w="1960" w:type="dxa"/>
            <w:vAlign w:val="bottom"/>
          </w:tcPr>
          <w:p>
            <w:pPr>
              <w:ind w:left="60"/>
              <w:spacing w:after="0"/>
              <w:rPr>
                <w:sz w:val="20"/>
                <w:szCs w:val="20"/>
                <w:color w:val="auto"/>
              </w:rPr>
            </w:pPr>
            <w:r>
              <w:rPr>
                <w:rFonts w:ascii="Arial" w:cs="Arial" w:eastAsia="Arial" w:hAnsi="Arial"/>
                <w:sz w:val="14"/>
                <w:szCs w:val="14"/>
                <w:color w:val="auto"/>
              </w:rPr>
              <w:t>Review compensation</w:t>
            </w:r>
          </w:p>
        </w:tc>
        <w:tc>
          <w:tcPr>
            <w:tcW w:w="380" w:type="dxa"/>
            <w:vAlign w:val="bottom"/>
          </w:tcPr>
          <w:p>
            <w:pPr>
              <w:ind w:left="280"/>
              <w:spacing w:after="0"/>
              <w:rPr>
                <w:sz w:val="20"/>
                <w:szCs w:val="20"/>
                <w:color w:val="auto"/>
              </w:rPr>
            </w:pPr>
            <w:r>
              <w:rPr>
                <w:rFonts w:ascii="Arial" w:cs="Arial" w:eastAsia="Arial" w:hAnsi="Arial"/>
                <w:sz w:val="14"/>
                <w:szCs w:val="14"/>
                <w:b w:val="1"/>
                <w:bCs w:val="1"/>
                <w:color w:val="6AAA37"/>
              </w:rPr>
              <w:t>•</w:t>
            </w:r>
          </w:p>
        </w:tc>
        <w:tc>
          <w:tcPr>
            <w:tcW w:w="1560" w:type="dxa"/>
            <w:vAlign w:val="bottom"/>
          </w:tcPr>
          <w:p>
            <w:pPr>
              <w:ind w:left="60"/>
              <w:spacing w:after="0"/>
              <w:rPr>
                <w:sz w:val="20"/>
                <w:szCs w:val="20"/>
                <w:color w:val="auto"/>
              </w:rPr>
            </w:pPr>
            <w:r>
              <w:rPr>
                <w:rFonts w:ascii="Arial" w:cs="Arial" w:eastAsia="Arial" w:hAnsi="Arial"/>
                <w:sz w:val="14"/>
                <w:szCs w:val="14"/>
                <w:color w:val="auto"/>
              </w:rPr>
              <w:t>Approve total target</w:t>
            </w:r>
          </w:p>
        </w:tc>
        <w:tc>
          <w:tcPr>
            <w:tcW w:w="0" w:type="dxa"/>
            <w:vAlign w:val="bottom"/>
          </w:tcPr>
          <w:p>
            <w:pPr>
              <w:spacing w:after="0"/>
              <w:rPr>
                <w:sz w:val="1"/>
                <w:szCs w:val="1"/>
                <w:color w:val="auto"/>
              </w:rPr>
            </w:pPr>
          </w:p>
        </w:tc>
      </w:tr>
      <w:tr>
        <w:trPr>
          <w:trHeight w:val="175"/>
        </w:trPr>
        <w:tc>
          <w:tcPr>
            <w:tcW w:w="100" w:type="dxa"/>
            <w:vAlign w:val="bottom"/>
          </w:tcPr>
          <w:p>
            <w:pPr>
              <w:spacing w:after="0"/>
              <w:rPr>
                <w:sz w:val="15"/>
                <w:szCs w:val="15"/>
                <w:color w:val="auto"/>
              </w:rPr>
            </w:pPr>
          </w:p>
        </w:tc>
        <w:tc>
          <w:tcPr>
            <w:tcW w:w="1960" w:type="dxa"/>
            <w:vAlign w:val="bottom"/>
          </w:tcPr>
          <w:p>
            <w:pPr>
              <w:ind w:left="60"/>
              <w:spacing w:after="0"/>
              <w:rPr>
                <w:sz w:val="20"/>
                <w:szCs w:val="20"/>
                <w:color w:val="auto"/>
              </w:rPr>
            </w:pPr>
            <w:r>
              <w:rPr>
                <w:rFonts w:ascii="Arial" w:cs="Arial" w:eastAsia="Arial" w:hAnsi="Arial"/>
                <w:sz w:val="14"/>
                <w:szCs w:val="14"/>
                <w:color w:val="auto"/>
              </w:rPr>
              <w:t>peer group for</w:t>
            </w:r>
          </w:p>
        </w:tc>
        <w:tc>
          <w:tcPr>
            <w:tcW w:w="380" w:type="dxa"/>
            <w:vAlign w:val="bottom"/>
          </w:tcPr>
          <w:p>
            <w:pPr>
              <w:spacing w:after="0"/>
              <w:rPr>
                <w:sz w:val="15"/>
                <w:szCs w:val="15"/>
                <w:color w:val="auto"/>
              </w:rPr>
            </w:pPr>
          </w:p>
        </w:tc>
        <w:tc>
          <w:tcPr>
            <w:tcW w:w="1560" w:type="dxa"/>
            <w:vAlign w:val="bottom"/>
          </w:tcPr>
          <w:p>
            <w:pPr>
              <w:ind w:left="60"/>
              <w:spacing w:after="0"/>
              <w:rPr>
                <w:sz w:val="20"/>
                <w:szCs w:val="20"/>
                <w:color w:val="auto"/>
              </w:rPr>
            </w:pPr>
            <w:r>
              <w:rPr>
                <w:rFonts w:ascii="Arial" w:cs="Arial" w:eastAsia="Arial" w:hAnsi="Arial"/>
                <w:sz w:val="14"/>
                <w:szCs w:val="14"/>
                <w:color w:val="auto"/>
              </w:rPr>
              <w:t>compensation for each</w:t>
            </w: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1960" w:type="dxa"/>
            <w:vAlign w:val="bottom"/>
          </w:tcPr>
          <w:p>
            <w:pPr>
              <w:ind w:left="60"/>
              <w:spacing w:after="0"/>
              <w:rPr>
                <w:sz w:val="20"/>
                <w:szCs w:val="20"/>
                <w:color w:val="auto"/>
              </w:rPr>
            </w:pPr>
            <w:r>
              <w:rPr>
                <w:rFonts w:ascii="Arial" w:cs="Arial" w:eastAsia="Arial" w:hAnsi="Arial"/>
                <w:sz w:val="14"/>
                <w:szCs w:val="14"/>
                <w:color w:val="auto"/>
              </w:rPr>
              <w:t>consistency with Huron’s</w:t>
            </w:r>
          </w:p>
        </w:tc>
        <w:tc>
          <w:tcPr>
            <w:tcW w:w="380" w:type="dxa"/>
            <w:vAlign w:val="bottom"/>
          </w:tcPr>
          <w:p>
            <w:pPr>
              <w:spacing w:after="0"/>
              <w:rPr>
                <w:sz w:val="15"/>
                <w:szCs w:val="15"/>
                <w:color w:val="auto"/>
              </w:rPr>
            </w:pPr>
          </w:p>
        </w:tc>
        <w:tc>
          <w:tcPr>
            <w:tcW w:w="1560" w:type="dxa"/>
            <w:vAlign w:val="bottom"/>
          </w:tcPr>
          <w:p>
            <w:pPr>
              <w:ind w:left="60"/>
              <w:spacing w:after="0"/>
              <w:rPr>
                <w:sz w:val="20"/>
                <w:szCs w:val="20"/>
                <w:color w:val="auto"/>
              </w:rPr>
            </w:pPr>
            <w:r>
              <w:rPr>
                <w:rFonts w:ascii="Arial" w:cs="Arial" w:eastAsia="Arial" w:hAnsi="Arial"/>
                <w:sz w:val="14"/>
                <w:szCs w:val="14"/>
                <w:color w:val="auto"/>
              </w:rPr>
              <w:t>named executive officer</w:t>
            </w:r>
          </w:p>
        </w:tc>
        <w:tc>
          <w:tcPr>
            <w:tcW w:w="0" w:type="dxa"/>
            <w:vAlign w:val="bottom"/>
          </w:tcPr>
          <w:p>
            <w:pPr>
              <w:spacing w:after="0"/>
              <w:rPr>
                <w:sz w:val="1"/>
                <w:szCs w:val="1"/>
                <w:color w:val="auto"/>
              </w:rPr>
            </w:pPr>
          </w:p>
        </w:tc>
      </w:tr>
      <w:tr>
        <w:trPr>
          <w:trHeight w:val="175"/>
        </w:trPr>
        <w:tc>
          <w:tcPr>
            <w:tcW w:w="100" w:type="dxa"/>
            <w:vAlign w:val="bottom"/>
          </w:tcPr>
          <w:p>
            <w:pPr>
              <w:spacing w:after="0"/>
              <w:rPr>
                <w:sz w:val="15"/>
                <w:szCs w:val="15"/>
                <w:color w:val="auto"/>
              </w:rPr>
            </w:pPr>
          </w:p>
        </w:tc>
        <w:tc>
          <w:tcPr>
            <w:tcW w:w="1960" w:type="dxa"/>
            <w:vAlign w:val="bottom"/>
          </w:tcPr>
          <w:p>
            <w:pPr>
              <w:ind w:left="60"/>
              <w:spacing w:after="0"/>
              <w:rPr>
                <w:sz w:val="20"/>
                <w:szCs w:val="20"/>
                <w:color w:val="auto"/>
              </w:rPr>
            </w:pPr>
            <w:r>
              <w:rPr>
                <w:rFonts w:ascii="Arial" w:cs="Arial" w:eastAsia="Arial" w:hAnsi="Arial"/>
                <w:sz w:val="14"/>
                <w:szCs w:val="14"/>
                <w:color w:val="auto"/>
              </w:rPr>
              <w:t>size, offerings and market</w:t>
            </w:r>
          </w:p>
        </w:tc>
        <w:tc>
          <w:tcPr>
            <w:tcW w:w="380" w:type="dxa"/>
            <w:vAlign w:val="bottom"/>
            <w:vMerge w:val="restart"/>
          </w:tcPr>
          <w:p>
            <w:pPr>
              <w:ind w:left="280"/>
              <w:spacing w:after="0"/>
              <w:rPr>
                <w:sz w:val="20"/>
                <w:szCs w:val="20"/>
                <w:color w:val="auto"/>
              </w:rPr>
            </w:pPr>
            <w:r>
              <w:rPr>
                <w:rFonts w:ascii="Arial" w:cs="Arial" w:eastAsia="Arial" w:hAnsi="Arial"/>
                <w:sz w:val="14"/>
                <w:szCs w:val="14"/>
                <w:b w:val="1"/>
                <w:bCs w:val="1"/>
                <w:color w:val="6AAA37"/>
              </w:rPr>
              <w:t>•</w:t>
            </w:r>
          </w:p>
        </w:tc>
        <w:tc>
          <w:tcPr>
            <w:tcW w:w="1560" w:type="dxa"/>
            <w:vAlign w:val="bottom"/>
            <w:vMerge w:val="restart"/>
          </w:tcPr>
          <w:p>
            <w:pPr>
              <w:ind w:left="60"/>
              <w:spacing w:after="0"/>
              <w:rPr>
                <w:sz w:val="20"/>
                <w:szCs w:val="20"/>
                <w:color w:val="auto"/>
              </w:rPr>
            </w:pPr>
            <w:r>
              <w:rPr>
                <w:rFonts w:ascii="Arial" w:cs="Arial" w:eastAsia="Arial" w:hAnsi="Arial"/>
                <w:sz w:val="14"/>
                <w:szCs w:val="14"/>
                <w:color w:val="auto"/>
              </w:rPr>
              <w:t>Establish financial and</w:t>
            </w:r>
          </w:p>
        </w:tc>
        <w:tc>
          <w:tcPr>
            <w:tcW w:w="0" w:type="dxa"/>
            <w:vAlign w:val="bottom"/>
          </w:tcPr>
          <w:p>
            <w:pPr>
              <w:spacing w:after="0"/>
              <w:rPr>
                <w:sz w:val="1"/>
                <w:szCs w:val="1"/>
                <w:color w:val="auto"/>
              </w:rPr>
            </w:pPr>
          </w:p>
        </w:tc>
      </w:tr>
      <w:tr>
        <w:trPr>
          <w:trHeight w:val="54"/>
        </w:trPr>
        <w:tc>
          <w:tcPr>
            <w:tcW w:w="100" w:type="dxa"/>
            <w:vAlign w:val="bottom"/>
          </w:tcPr>
          <w:p>
            <w:pPr>
              <w:spacing w:after="0"/>
              <w:rPr>
                <w:sz w:val="4"/>
                <w:szCs w:val="4"/>
                <w:color w:val="auto"/>
              </w:rPr>
            </w:pPr>
          </w:p>
        </w:tc>
        <w:tc>
          <w:tcPr>
            <w:tcW w:w="1960" w:type="dxa"/>
            <w:vAlign w:val="bottom"/>
            <w:vMerge w:val="restart"/>
          </w:tcPr>
          <w:p>
            <w:pPr>
              <w:ind w:left="60"/>
              <w:spacing w:after="0"/>
              <w:rPr>
                <w:sz w:val="20"/>
                <w:szCs w:val="20"/>
                <w:color w:val="auto"/>
              </w:rPr>
            </w:pPr>
            <w:r>
              <w:rPr>
                <w:rFonts w:ascii="Arial" w:cs="Arial" w:eastAsia="Arial" w:hAnsi="Arial"/>
                <w:sz w:val="14"/>
                <w:szCs w:val="14"/>
                <w:color w:val="auto"/>
              </w:rPr>
              <w:t>for talent</w:t>
            </w:r>
          </w:p>
        </w:tc>
        <w:tc>
          <w:tcPr>
            <w:tcW w:w="380" w:type="dxa"/>
            <w:vAlign w:val="bottom"/>
            <w:vMerge w:val="continue"/>
          </w:tcPr>
          <w:p>
            <w:pPr>
              <w:spacing w:after="0"/>
              <w:rPr>
                <w:sz w:val="4"/>
                <w:szCs w:val="4"/>
                <w:color w:val="auto"/>
              </w:rPr>
            </w:pPr>
          </w:p>
        </w:tc>
        <w:tc>
          <w:tcPr>
            <w:tcW w:w="15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6"/>
        </w:trPr>
        <w:tc>
          <w:tcPr>
            <w:tcW w:w="100" w:type="dxa"/>
            <w:vAlign w:val="bottom"/>
          </w:tcPr>
          <w:p>
            <w:pPr>
              <w:spacing w:after="0"/>
              <w:rPr>
                <w:sz w:val="11"/>
                <w:szCs w:val="11"/>
                <w:color w:val="auto"/>
              </w:rPr>
            </w:pPr>
          </w:p>
        </w:tc>
        <w:tc>
          <w:tcPr>
            <w:tcW w:w="196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1560" w:type="dxa"/>
            <w:vAlign w:val="bottom"/>
            <w:vMerge w:val="restart"/>
          </w:tcPr>
          <w:p>
            <w:pPr>
              <w:ind w:left="60"/>
              <w:spacing w:after="0"/>
              <w:rPr>
                <w:sz w:val="20"/>
                <w:szCs w:val="20"/>
                <w:color w:val="auto"/>
              </w:rPr>
            </w:pPr>
            <w:r>
              <w:rPr>
                <w:rFonts w:ascii="Arial" w:cs="Arial" w:eastAsia="Arial" w:hAnsi="Arial"/>
                <w:sz w:val="14"/>
                <w:szCs w:val="14"/>
                <w:color w:val="auto"/>
              </w:rPr>
              <w:t>strategic measures for</w:t>
            </w:r>
          </w:p>
        </w:tc>
        <w:tc>
          <w:tcPr>
            <w:tcW w:w="0" w:type="dxa"/>
            <w:vAlign w:val="bottom"/>
          </w:tcPr>
          <w:p>
            <w:pPr>
              <w:spacing w:after="0"/>
              <w:rPr>
                <w:sz w:val="1"/>
                <w:szCs w:val="1"/>
                <w:color w:val="auto"/>
              </w:rPr>
            </w:pPr>
          </w:p>
        </w:tc>
      </w:tr>
      <w:tr>
        <w:trPr>
          <w:trHeight w:val="39"/>
        </w:trPr>
        <w:tc>
          <w:tcPr>
            <w:tcW w:w="100" w:type="dxa"/>
            <w:vAlign w:val="bottom"/>
          </w:tcPr>
          <w:p>
            <w:pPr>
              <w:spacing w:after="0"/>
              <w:rPr>
                <w:sz w:val="3"/>
                <w:szCs w:val="3"/>
                <w:color w:val="auto"/>
              </w:rPr>
            </w:pPr>
          </w:p>
        </w:tc>
        <w:tc>
          <w:tcPr>
            <w:tcW w:w="19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5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2"/>
        </w:trPr>
        <w:tc>
          <w:tcPr>
            <w:tcW w:w="100" w:type="dxa"/>
            <w:vAlign w:val="bottom"/>
          </w:tcPr>
          <w:p>
            <w:pPr>
              <w:spacing w:after="0"/>
              <w:rPr>
                <w:sz w:val="20"/>
                <w:szCs w:val="20"/>
                <w:color w:val="auto"/>
              </w:rPr>
            </w:pPr>
            <w:r>
              <w:rPr>
                <w:rFonts w:ascii="Arial" w:cs="Arial" w:eastAsia="Arial" w:hAnsi="Arial"/>
                <w:sz w:val="14"/>
                <w:szCs w:val="14"/>
                <w:b w:val="1"/>
                <w:bCs w:val="1"/>
                <w:color w:val="6AAA37"/>
              </w:rPr>
              <w:t>•</w:t>
            </w:r>
          </w:p>
        </w:tc>
        <w:tc>
          <w:tcPr>
            <w:tcW w:w="1960" w:type="dxa"/>
            <w:vAlign w:val="bottom"/>
          </w:tcPr>
          <w:p>
            <w:pPr>
              <w:ind w:left="60"/>
              <w:spacing w:after="0"/>
              <w:rPr>
                <w:sz w:val="20"/>
                <w:szCs w:val="20"/>
                <w:color w:val="auto"/>
              </w:rPr>
            </w:pPr>
            <w:r>
              <w:rPr>
                <w:rFonts w:ascii="Arial" w:cs="Arial" w:eastAsia="Arial" w:hAnsi="Arial"/>
                <w:sz w:val="14"/>
                <w:szCs w:val="14"/>
                <w:color w:val="auto"/>
              </w:rPr>
              <w:t>Perform annual risk</w:t>
            </w:r>
          </w:p>
        </w:tc>
        <w:tc>
          <w:tcPr>
            <w:tcW w:w="380" w:type="dxa"/>
            <w:vAlign w:val="bottom"/>
          </w:tcPr>
          <w:p>
            <w:pPr>
              <w:spacing w:after="0"/>
              <w:rPr>
                <w:sz w:val="14"/>
                <w:szCs w:val="14"/>
                <w:color w:val="auto"/>
              </w:rPr>
            </w:pPr>
          </w:p>
        </w:tc>
        <w:tc>
          <w:tcPr>
            <w:tcW w:w="1560" w:type="dxa"/>
            <w:vAlign w:val="bottom"/>
          </w:tcPr>
          <w:p>
            <w:pPr>
              <w:ind w:left="60"/>
              <w:spacing w:after="0"/>
              <w:rPr>
                <w:sz w:val="20"/>
                <w:szCs w:val="20"/>
                <w:color w:val="auto"/>
              </w:rPr>
            </w:pPr>
            <w:r>
              <w:rPr>
                <w:rFonts w:ascii="Arial" w:cs="Arial" w:eastAsia="Arial" w:hAnsi="Arial"/>
                <w:sz w:val="14"/>
                <w:szCs w:val="14"/>
                <w:color w:val="auto"/>
              </w:rPr>
              <w:t>2024 AIP and 2024 –</w:t>
            </w:r>
          </w:p>
        </w:tc>
        <w:tc>
          <w:tcPr>
            <w:tcW w:w="0" w:type="dxa"/>
            <w:vAlign w:val="bottom"/>
          </w:tcPr>
          <w:p>
            <w:pPr>
              <w:spacing w:after="0"/>
              <w:rPr>
                <w:sz w:val="1"/>
                <w:szCs w:val="1"/>
                <w:color w:val="auto"/>
              </w:rPr>
            </w:pPr>
          </w:p>
        </w:tc>
      </w:tr>
      <w:tr>
        <w:trPr>
          <w:trHeight w:val="175"/>
        </w:trPr>
        <w:tc>
          <w:tcPr>
            <w:tcW w:w="100" w:type="dxa"/>
            <w:vAlign w:val="bottom"/>
          </w:tcPr>
          <w:p>
            <w:pPr>
              <w:spacing w:after="0"/>
              <w:rPr>
                <w:sz w:val="15"/>
                <w:szCs w:val="15"/>
                <w:color w:val="auto"/>
              </w:rPr>
            </w:pPr>
          </w:p>
        </w:tc>
        <w:tc>
          <w:tcPr>
            <w:tcW w:w="1960" w:type="dxa"/>
            <w:vAlign w:val="bottom"/>
          </w:tcPr>
          <w:p>
            <w:pPr>
              <w:ind w:left="60"/>
              <w:spacing w:after="0"/>
              <w:rPr>
                <w:sz w:val="20"/>
                <w:szCs w:val="20"/>
                <w:color w:val="auto"/>
              </w:rPr>
            </w:pPr>
            <w:r>
              <w:rPr>
                <w:rFonts w:ascii="Arial" w:cs="Arial" w:eastAsia="Arial" w:hAnsi="Arial"/>
                <w:sz w:val="14"/>
                <w:szCs w:val="14"/>
                <w:color w:val="auto"/>
              </w:rPr>
              <w:t>assessment of</w:t>
            </w:r>
          </w:p>
        </w:tc>
        <w:tc>
          <w:tcPr>
            <w:tcW w:w="380" w:type="dxa"/>
            <w:vAlign w:val="bottom"/>
          </w:tcPr>
          <w:p>
            <w:pPr>
              <w:spacing w:after="0"/>
              <w:rPr>
                <w:sz w:val="15"/>
                <w:szCs w:val="15"/>
                <w:color w:val="auto"/>
              </w:rPr>
            </w:pPr>
          </w:p>
        </w:tc>
        <w:tc>
          <w:tcPr>
            <w:tcW w:w="1560" w:type="dxa"/>
            <w:vAlign w:val="bottom"/>
          </w:tcPr>
          <w:p>
            <w:pPr>
              <w:ind w:left="60"/>
              <w:spacing w:after="0"/>
              <w:rPr>
                <w:sz w:val="20"/>
                <w:szCs w:val="20"/>
                <w:color w:val="auto"/>
              </w:rPr>
            </w:pPr>
            <w:r>
              <w:rPr>
                <w:rFonts w:ascii="Arial" w:cs="Arial" w:eastAsia="Arial" w:hAnsi="Arial"/>
                <w:sz w:val="14"/>
                <w:szCs w:val="14"/>
                <w:color w:val="auto"/>
              </w:rPr>
              <w:t>2026 LTIP</w:t>
            </w: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1960" w:type="dxa"/>
            <w:vAlign w:val="bottom"/>
          </w:tcPr>
          <w:p>
            <w:pPr>
              <w:ind w:left="60"/>
              <w:spacing w:after="0"/>
              <w:rPr>
                <w:sz w:val="20"/>
                <w:szCs w:val="20"/>
                <w:color w:val="auto"/>
              </w:rPr>
            </w:pPr>
            <w:r>
              <w:rPr>
                <w:rFonts w:ascii="Arial" w:cs="Arial" w:eastAsia="Arial" w:hAnsi="Arial"/>
                <w:sz w:val="14"/>
                <w:szCs w:val="14"/>
                <w:color w:val="auto"/>
              </w:rPr>
              <w:t>compensation programs</w:t>
            </w:r>
          </w:p>
        </w:tc>
        <w:tc>
          <w:tcPr>
            <w:tcW w:w="3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220" w:right="2260" w:hanging="165"/>
        <w:spacing w:after="0" w:line="267" w:lineRule="auto"/>
        <w:tabs>
          <w:tab w:leader="none" w:pos="220" w:val="left"/>
        </w:tabs>
        <w:numPr>
          <w:ilvl w:val="0"/>
          <w:numId w:val="69"/>
        </w:numPr>
        <w:rPr>
          <w:rFonts w:ascii="Arial" w:cs="Arial" w:eastAsia="Arial" w:hAnsi="Arial"/>
          <w:sz w:val="14"/>
          <w:szCs w:val="14"/>
          <w:b w:val="1"/>
          <w:bCs w:val="1"/>
          <w:color w:val="6AAA37"/>
        </w:rPr>
      </w:pPr>
      <w:r>
        <w:rPr>
          <w:rFonts w:ascii="Arial" w:cs="Arial" w:eastAsia="Arial" w:hAnsi="Arial"/>
          <w:sz w:val="14"/>
          <w:szCs w:val="14"/>
          <w:color w:val="auto"/>
        </w:rPr>
        <w:t>Review peer group, external market data and stockholder feedback related to our executive compensation program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ind w:left="454"/>
        <w:spacing w:after="0"/>
        <w:rPr>
          <w:sz w:val="20"/>
          <w:szCs w:val="20"/>
          <w:color w:val="auto"/>
        </w:rPr>
      </w:pPr>
      <w:r>
        <w:rPr>
          <w:rFonts w:ascii="Arial" w:cs="Arial" w:eastAsia="Arial" w:hAnsi="Arial"/>
          <w:sz w:val="16"/>
          <w:szCs w:val="16"/>
          <w:b w:val="1"/>
          <w:bCs w:val="1"/>
          <w:color w:val="FFFFFF"/>
        </w:rPr>
        <w:t>Monitor Plan</w:t>
      </w:r>
    </w:p>
    <w:p>
      <w:pPr>
        <w:spacing w:after="0" w:line="21" w:lineRule="exact"/>
        <w:rPr>
          <w:sz w:val="20"/>
          <w:szCs w:val="20"/>
          <w:color w:val="auto"/>
        </w:rPr>
      </w:pPr>
    </w:p>
    <w:p>
      <w:pPr>
        <w:ind w:left="614"/>
        <w:spacing w:after="0"/>
        <w:rPr>
          <w:sz w:val="20"/>
          <w:szCs w:val="20"/>
          <w:color w:val="auto"/>
        </w:rPr>
      </w:pPr>
      <w:r>
        <w:rPr>
          <w:rFonts w:ascii="Arial" w:cs="Arial" w:eastAsia="Arial" w:hAnsi="Arial"/>
          <w:sz w:val="16"/>
          <w:szCs w:val="16"/>
          <w:b w:val="1"/>
          <w:bCs w:val="1"/>
          <w:color w:val="FFFFFF"/>
        </w:rPr>
        <w:t>Design &amp;</w:t>
      </w:r>
    </w:p>
    <w:p>
      <w:pPr>
        <w:spacing w:after="0" w:line="19" w:lineRule="exact"/>
        <w:rPr>
          <w:sz w:val="20"/>
          <w:szCs w:val="20"/>
          <w:color w:val="auto"/>
        </w:rPr>
      </w:pPr>
    </w:p>
    <w:p>
      <w:pPr>
        <w:jc w:val="center"/>
        <w:ind w:left="-113"/>
        <w:spacing w:after="0"/>
        <w:rPr>
          <w:sz w:val="20"/>
          <w:szCs w:val="20"/>
          <w:color w:val="auto"/>
        </w:rPr>
      </w:pPr>
      <w:r>
        <w:rPr>
          <w:rFonts w:ascii="Arial" w:cs="Arial" w:eastAsia="Arial" w:hAnsi="Arial"/>
          <w:sz w:val="16"/>
          <w:szCs w:val="16"/>
          <w:b w:val="1"/>
          <w:bCs w:val="1"/>
          <w:color w:val="FFFFFF"/>
        </w:rPr>
        <w:t>Metrics</w:t>
      </w:r>
    </w:p>
    <w:p>
      <w:pPr>
        <w:spacing w:after="0" w:line="320" w:lineRule="exact"/>
        <w:rPr>
          <w:sz w:val="20"/>
          <w:szCs w:val="20"/>
          <w:color w:val="auto"/>
        </w:rPr>
      </w:pPr>
    </w:p>
    <w:p>
      <w:pPr>
        <w:ind w:left="154" w:hanging="154"/>
        <w:spacing w:after="0" w:line="266" w:lineRule="auto"/>
        <w:tabs>
          <w:tab w:leader="none" w:pos="154" w:val="left"/>
        </w:tabs>
        <w:numPr>
          <w:ilvl w:val="0"/>
          <w:numId w:val="70"/>
        </w:numPr>
        <w:rPr>
          <w:rFonts w:ascii="Arial" w:cs="Arial" w:eastAsia="Arial" w:hAnsi="Arial"/>
          <w:sz w:val="14"/>
          <w:szCs w:val="14"/>
          <w:b w:val="1"/>
          <w:bCs w:val="1"/>
          <w:color w:val="6AAA37"/>
        </w:rPr>
      </w:pPr>
      <w:r>
        <w:rPr>
          <w:rFonts w:ascii="Arial" w:cs="Arial" w:eastAsia="Arial" w:hAnsi="Arial"/>
          <w:sz w:val="14"/>
          <w:szCs w:val="14"/>
          <w:color w:val="auto"/>
        </w:rPr>
        <w:t>Monitor performance against established AIP and LTIP targets to ensure compensation philosophy, principles and objectives are being met</w:t>
      </w:r>
    </w:p>
    <w:p>
      <w:pPr>
        <w:spacing w:after="0" w:line="9" w:lineRule="exact"/>
        <w:rPr>
          <w:rFonts w:ascii="Arial" w:cs="Arial" w:eastAsia="Arial" w:hAnsi="Arial"/>
          <w:sz w:val="14"/>
          <w:szCs w:val="14"/>
          <w:b w:val="1"/>
          <w:bCs w:val="1"/>
          <w:color w:val="6AAA37"/>
        </w:rPr>
      </w:pPr>
    </w:p>
    <w:p>
      <w:pPr>
        <w:ind w:left="154" w:right="100" w:hanging="154"/>
        <w:spacing w:after="0" w:line="283" w:lineRule="auto"/>
        <w:tabs>
          <w:tab w:leader="none" w:pos="154" w:val="left"/>
        </w:tabs>
        <w:numPr>
          <w:ilvl w:val="0"/>
          <w:numId w:val="70"/>
        </w:numPr>
        <w:rPr>
          <w:rFonts w:ascii="Arial" w:cs="Arial" w:eastAsia="Arial" w:hAnsi="Arial"/>
          <w:sz w:val="14"/>
          <w:szCs w:val="14"/>
          <w:b w:val="1"/>
          <w:bCs w:val="1"/>
          <w:color w:val="6AAA37"/>
        </w:rPr>
      </w:pPr>
      <w:r>
        <w:rPr>
          <w:rFonts w:ascii="Arial" w:cs="Arial" w:eastAsia="Arial" w:hAnsi="Arial"/>
          <w:sz w:val="14"/>
          <w:szCs w:val="14"/>
          <w:color w:val="auto"/>
        </w:rPr>
        <w:t>Monitor compliance with executive stock ownership requirements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0" w:lineRule="exact"/>
        <w:rPr>
          <w:sz w:val="20"/>
          <w:szCs w:val="20"/>
          <w:color w:val="auto"/>
        </w:rPr>
      </w:pPr>
    </w:p>
    <w:p>
      <w:pPr>
        <w:jc w:val="center"/>
        <w:ind w:right="162"/>
        <w:spacing w:after="0"/>
        <w:rPr>
          <w:sz w:val="20"/>
          <w:szCs w:val="20"/>
          <w:color w:val="auto"/>
        </w:rPr>
      </w:pPr>
      <w:r>
        <w:rPr>
          <w:rFonts w:ascii="Arial" w:cs="Arial" w:eastAsia="Arial" w:hAnsi="Arial"/>
          <w:sz w:val="16"/>
          <w:szCs w:val="16"/>
          <w:b w:val="1"/>
          <w:bCs w:val="1"/>
          <w:color w:val="FFFFFF"/>
        </w:rPr>
        <w:t>Determine</w:t>
      </w:r>
    </w:p>
    <w:p>
      <w:pPr>
        <w:spacing w:after="0" w:line="21" w:lineRule="exact"/>
        <w:rPr>
          <w:sz w:val="20"/>
          <w:szCs w:val="20"/>
          <w:color w:val="auto"/>
        </w:rPr>
      </w:pPr>
    </w:p>
    <w:p>
      <w:pPr>
        <w:jc w:val="center"/>
        <w:ind w:right="162"/>
        <w:spacing w:after="0"/>
        <w:rPr>
          <w:sz w:val="20"/>
          <w:szCs w:val="20"/>
          <w:color w:val="auto"/>
        </w:rPr>
      </w:pPr>
      <w:r>
        <w:rPr>
          <w:rFonts w:ascii="Arial" w:cs="Arial" w:eastAsia="Arial" w:hAnsi="Arial"/>
          <w:sz w:val="16"/>
          <w:szCs w:val="16"/>
          <w:b w:val="1"/>
          <w:bCs w:val="1"/>
          <w:color w:val="FFFFFF"/>
        </w:rPr>
        <w:t>Performance</w:t>
      </w:r>
    </w:p>
    <w:p>
      <w:pPr>
        <w:spacing w:after="0" w:line="200" w:lineRule="exact"/>
        <w:rPr>
          <w:sz w:val="20"/>
          <w:szCs w:val="20"/>
          <w:color w:val="auto"/>
        </w:rPr>
      </w:pPr>
    </w:p>
    <w:p>
      <w:pPr>
        <w:spacing w:after="0" w:line="228" w:lineRule="exact"/>
        <w:rPr>
          <w:sz w:val="20"/>
          <w:szCs w:val="20"/>
          <w:color w:val="auto"/>
        </w:rPr>
      </w:pPr>
    </w:p>
    <w:p>
      <w:pPr>
        <w:ind w:left="158" w:right="380" w:hanging="158"/>
        <w:spacing w:after="0" w:line="285" w:lineRule="auto"/>
        <w:tabs>
          <w:tab w:leader="none" w:pos="158" w:val="left"/>
        </w:tabs>
        <w:numPr>
          <w:ilvl w:val="0"/>
          <w:numId w:val="71"/>
        </w:numPr>
        <w:rPr>
          <w:rFonts w:ascii="Arial" w:cs="Arial" w:eastAsia="Arial" w:hAnsi="Arial"/>
          <w:sz w:val="14"/>
          <w:szCs w:val="14"/>
          <w:b w:val="1"/>
          <w:bCs w:val="1"/>
          <w:color w:val="6AAA37"/>
        </w:rPr>
      </w:pPr>
      <w:r>
        <w:rPr>
          <w:rFonts w:ascii="Arial" w:cs="Arial" w:eastAsia="Arial" w:hAnsi="Arial"/>
          <w:sz w:val="14"/>
          <w:szCs w:val="14"/>
          <w:color w:val="auto"/>
        </w:rPr>
        <w:t>Review pay-for-performance alignment</w:t>
      </w:r>
    </w:p>
    <w:p>
      <w:pPr>
        <w:spacing w:after="0" w:line="9" w:lineRule="exact"/>
        <w:rPr>
          <w:rFonts w:ascii="Arial" w:cs="Arial" w:eastAsia="Arial" w:hAnsi="Arial"/>
          <w:sz w:val="14"/>
          <w:szCs w:val="14"/>
          <w:b w:val="1"/>
          <w:bCs w:val="1"/>
          <w:color w:val="6AAA37"/>
        </w:rPr>
      </w:pPr>
    </w:p>
    <w:p>
      <w:pPr>
        <w:ind w:left="158" w:right="360" w:hanging="158"/>
        <w:spacing w:after="0" w:line="266" w:lineRule="auto"/>
        <w:tabs>
          <w:tab w:leader="none" w:pos="158" w:val="left"/>
        </w:tabs>
        <w:numPr>
          <w:ilvl w:val="0"/>
          <w:numId w:val="71"/>
        </w:numPr>
        <w:rPr>
          <w:rFonts w:ascii="Arial" w:cs="Arial" w:eastAsia="Arial" w:hAnsi="Arial"/>
          <w:sz w:val="14"/>
          <w:szCs w:val="14"/>
          <w:b w:val="1"/>
          <w:bCs w:val="1"/>
          <w:color w:val="6AAA37"/>
        </w:rPr>
      </w:pPr>
      <w:r>
        <w:rPr>
          <w:rFonts w:ascii="Arial" w:cs="Arial" w:eastAsia="Arial" w:hAnsi="Arial"/>
          <w:sz w:val="14"/>
          <w:szCs w:val="14"/>
          <w:color w:val="auto"/>
        </w:rPr>
        <w:t>Certify payout of 2024 AIP for each named executive officer based on actual achievement against pre-established targets</w:t>
      </w:r>
    </w:p>
    <w:p>
      <w:pPr>
        <w:spacing w:after="0" w:line="22" w:lineRule="exact"/>
        <w:rPr>
          <w:rFonts w:ascii="Arial" w:cs="Arial" w:eastAsia="Arial" w:hAnsi="Arial"/>
          <w:sz w:val="14"/>
          <w:szCs w:val="14"/>
          <w:b w:val="1"/>
          <w:bCs w:val="1"/>
          <w:color w:val="6AAA37"/>
        </w:rPr>
      </w:pPr>
    </w:p>
    <w:p>
      <w:pPr>
        <w:ind w:left="158" w:hanging="158"/>
        <w:spacing w:after="0"/>
        <w:tabs>
          <w:tab w:leader="none" w:pos="158" w:val="left"/>
        </w:tabs>
        <w:numPr>
          <w:ilvl w:val="0"/>
          <w:numId w:val="71"/>
        </w:numPr>
        <w:rPr>
          <w:rFonts w:ascii="Arial" w:cs="Arial" w:eastAsia="Arial" w:hAnsi="Arial"/>
          <w:sz w:val="14"/>
          <w:szCs w:val="14"/>
          <w:b w:val="1"/>
          <w:bCs w:val="1"/>
          <w:color w:val="6AAA37"/>
        </w:rPr>
      </w:pPr>
      <w:r>
        <w:rPr>
          <w:rFonts w:ascii="Arial" w:cs="Arial" w:eastAsia="Arial" w:hAnsi="Arial"/>
          <w:sz w:val="14"/>
          <w:szCs w:val="14"/>
          <w:color w:val="auto"/>
        </w:rPr>
        <w:t>Certify payout of</w:t>
      </w:r>
    </w:p>
    <w:p>
      <w:pPr>
        <w:spacing w:after="0" w:line="28" w:lineRule="exact"/>
        <w:rPr>
          <w:rFonts w:ascii="Arial" w:cs="Arial" w:eastAsia="Arial" w:hAnsi="Arial"/>
          <w:sz w:val="14"/>
          <w:szCs w:val="14"/>
          <w:b w:val="1"/>
          <w:bCs w:val="1"/>
          <w:color w:val="6AAA37"/>
        </w:rPr>
      </w:pPr>
    </w:p>
    <w:p>
      <w:pPr>
        <w:jc w:val="both"/>
        <w:ind w:left="158" w:right="360"/>
        <w:spacing w:after="0" w:line="262" w:lineRule="auto"/>
        <w:rPr>
          <w:rFonts w:ascii="Arial" w:cs="Arial" w:eastAsia="Arial" w:hAnsi="Arial"/>
          <w:sz w:val="14"/>
          <w:szCs w:val="14"/>
          <w:b w:val="1"/>
          <w:bCs w:val="1"/>
          <w:color w:val="6AAA37"/>
        </w:rPr>
      </w:pPr>
      <w:r>
        <w:rPr>
          <w:rFonts w:ascii="Arial" w:cs="Arial" w:eastAsia="Arial" w:hAnsi="Arial"/>
          <w:sz w:val="14"/>
          <w:szCs w:val="14"/>
          <w:color w:val="auto"/>
        </w:rPr>
        <w:t>2022-2024 LTIP based on actual achievement against pre-established targets</w:t>
      </w:r>
    </w:p>
    <w:p>
      <w:pPr>
        <w:spacing w:after="0" w:line="203" w:lineRule="exact"/>
        <w:rPr>
          <w:sz w:val="20"/>
          <w:szCs w:val="20"/>
          <w:color w:val="auto"/>
        </w:rPr>
      </w:pPr>
    </w:p>
    <w:p>
      <w:pPr>
        <w:sectPr>
          <w:pgSz w:w="11900" w:h="16938" w:orient="portrait"/>
          <w:cols w:equalWidth="0" w:num="3">
            <w:col w:w="4060" w:space="666"/>
            <w:col w:w="1814" w:space="522"/>
            <w:col w:w="2018"/>
          </w:cols>
          <w:pgMar w:left="1400" w:top="967" w:right="1419" w:bottom="0" w:gutter="0" w:footer="0" w:header="0"/>
          <w:type w:val="continuous"/>
        </w:sectPr>
      </w:pPr>
    </w:p>
    <w:p>
      <w:pPr>
        <w:spacing w:after="0" w:line="285" w:lineRule="exact"/>
        <w:rPr>
          <w:sz w:val="20"/>
          <w:szCs w:val="20"/>
          <w:color w:val="auto"/>
        </w:rPr>
      </w:pPr>
    </w:p>
    <w:p>
      <w:pPr>
        <w:ind w:left="20"/>
        <w:spacing w:after="0"/>
        <w:tabs>
          <w:tab w:leader="none" w:pos="1940" w:val="left"/>
          <w:tab w:leader="none" w:pos="4780" w:val="left"/>
          <w:tab w:leader="none" w:pos="7260" w:val="left"/>
        </w:tabs>
        <w:rPr>
          <w:sz w:val="20"/>
          <w:szCs w:val="20"/>
          <w:color w:val="auto"/>
        </w:rPr>
      </w:pPr>
      <w:r>
        <w:rPr>
          <w:rFonts w:ascii="Arial" w:cs="Arial" w:eastAsia="Arial" w:hAnsi="Arial"/>
          <w:sz w:val="14"/>
          <w:szCs w:val="14"/>
          <w:b w:val="1"/>
          <w:bCs w:val="1"/>
          <w:color w:val="FFFFFF"/>
        </w:rPr>
        <w:t>October - November 2023</w:t>
        <w:tab/>
        <w:t>December 2023 - February 2024</w:t>
      </w:r>
      <w:r>
        <w:rPr>
          <w:sz w:val="20"/>
          <w:szCs w:val="20"/>
          <w:color w:val="auto"/>
        </w:rPr>
        <w:tab/>
      </w:r>
      <w:r>
        <w:rPr>
          <w:rFonts w:ascii="Arial" w:cs="Arial" w:eastAsia="Arial" w:hAnsi="Arial"/>
          <w:sz w:val="14"/>
          <w:szCs w:val="14"/>
          <w:b w:val="1"/>
          <w:bCs w:val="1"/>
          <w:color w:val="FFFFFF"/>
        </w:rPr>
        <w:t>February - December 2024</w:t>
      </w:r>
      <w:r>
        <w:rPr>
          <w:sz w:val="20"/>
          <w:szCs w:val="20"/>
          <w:color w:val="auto"/>
        </w:rPr>
        <w:tab/>
      </w:r>
      <w:r>
        <w:rPr>
          <w:rFonts w:ascii="Arial" w:cs="Arial" w:eastAsia="Arial" w:hAnsi="Arial"/>
          <w:sz w:val="14"/>
          <w:szCs w:val="14"/>
          <w:b w:val="1"/>
          <w:bCs w:val="1"/>
          <w:color w:val="FFFFFF"/>
        </w:rPr>
        <w:t>February 2025</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140"/>
        <w:spacing w:after="0" w:line="321" w:lineRule="auto"/>
        <w:rPr>
          <w:sz w:val="20"/>
          <w:szCs w:val="20"/>
          <w:color w:val="auto"/>
        </w:rPr>
      </w:pPr>
      <w:r>
        <w:rPr>
          <w:rFonts w:ascii="Arial" w:cs="Arial" w:eastAsia="Arial" w:hAnsi="Arial"/>
          <w:sz w:val="16"/>
          <w:szCs w:val="16"/>
          <w:color w:val="auto"/>
        </w:rPr>
        <w:t>Below is additional detail on the roles and responsibilities of the parties involved in the design, implementation, and oversight of our executive compensation program.</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Compensation Committee</w:t>
      </w:r>
    </w:p>
    <w:p>
      <w:pPr>
        <w:spacing w:after="0" w:line="68" w:lineRule="exact"/>
        <w:rPr>
          <w:sz w:val="20"/>
          <w:szCs w:val="20"/>
          <w:color w:val="auto"/>
        </w:rPr>
      </w:pPr>
    </w:p>
    <w:p>
      <w:pPr>
        <w:jc w:val="both"/>
        <w:ind w:right="80"/>
        <w:spacing w:after="0" w:line="310" w:lineRule="auto"/>
        <w:rPr>
          <w:sz w:val="20"/>
          <w:szCs w:val="20"/>
          <w:color w:val="auto"/>
        </w:rPr>
      </w:pPr>
      <w:r>
        <w:rPr>
          <w:rFonts w:ascii="Arial" w:cs="Arial" w:eastAsia="Arial" w:hAnsi="Arial"/>
          <w:sz w:val="16"/>
          <w:szCs w:val="16"/>
          <w:color w:val="auto"/>
        </w:rPr>
        <w:t>The Compensation Committee, which is comprised entirely of independent directors, is primarily responsible for administering our executive compensation program in a manner consistent with our compensation philosophy and objectives. The principal functions of the Compensation Committee are to:</w:t>
      </w:r>
    </w:p>
    <w:p>
      <w:pPr>
        <w:spacing w:after="0" w:line="43" w:lineRule="exact"/>
        <w:rPr>
          <w:sz w:val="20"/>
          <w:szCs w:val="20"/>
          <w:color w:val="auto"/>
        </w:rPr>
      </w:pPr>
    </w:p>
    <w:p>
      <w:pPr>
        <w:ind w:left="180" w:right="100" w:hanging="172"/>
        <w:spacing w:after="0" w:line="321" w:lineRule="auto"/>
        <w:tabs>
          <w:tab w:leader="none" w:pos="180" w:val="left"/>
        </w:tabs>
        <w:numPr>
          <w:ilvl w:val="0"/>
          <w:numId w:val="72"/>
        </w:numPr>
        <w:rPr>
          <w:rFonts w:ascii="Arial" w:cs="Arial" w:eastAsia="Arial" w:hAnsi="Arial"/>
          <w:sz w:val="16"/>
          <w:szCs w:val="16"/>
          <w:b w:val="1"/>
          <w:bCs w:val="1"/>
          <w:color w:val="6AAA37"/>
        </w:rPr>
      </w:pPr>
      <w:r>
        <w:rPr>
          <w:rFonts w:ascii="Arial" w:cs="Arial" w:eastAsia="Arial" w:hAnsi="Arial"/>
          <w:sz w:val="16"/>
          <w:szCs w:val="16"/>
          <w:color w:val="auto"/>
        </w:rPr>
        <w:t>set salaries and annual and long-term incentive levels for the CEO and other named executive officers, so that the program is promoting stockholder value;</w:t>
      </w:r>
    </w:p>
    <w:p>
      <w:pPr>
        <w:spacing w:after="0" w:line="34" w:lineRule="exact"/>
        <w:rPr>
          <w:rFonts w:ascii="Arial" w:cs="Arial" w:eastAsia="Arial" w:hAnsi="Arial"/>
          <w:sz w:val="16"/>
          <w:szCs w:val="16"/>
          <w:b w:val="1"/>
          <w:bCs w:val="1"/>
          <w:color w:val="6AAA37"/>
        </w:rPr>
      </w:pPr>
    </w:p>
    <w:p>
      <w:pPr>
        <w:ind w:left="180" w:hanging="172"/>
        <w:spacing w:after="0" w:line="321" w:lineRule="auto"/>
        <w:tabs>
          <w:tab w:leader="none" w:pos="180" w:val="left"/>
        </w:tabs>
        <w:numPr>
          <w:ilvl w:val="0"/>
          <w:numId w:val="72"/>
        </w:numPr>
        <w:rPr>
          <w:rFonts w:ascii="Arial" w:cs="Arial" w:eastAsia="Arial" w:hAnsi="Arial"/>
          <w:sz w:val="16"/>
          <w:szCs w:val="16"/>
          <w:b w:val="1"/>
          <w:bCs w:val="1"/>
          <w:color w:val="6AAA37"/>
        </w:rPr>
      </w:pPr>
      <w:r>
        <w:rPr>
          <w:rFonts w:ascii="Arial" w:cs="Arial" w:eastAsia="Arial" w:hAnsi="Arial"/>
          <w:sz w:val="16"/>
          <w:szCs w:val="16"/>
          <w:color w:val="auto"/>
        </w:rPr>
        <w:t>evaluate the performance of the CEO (in coordination with the full Board) and review the CEO evaluation of the other named executive officers annually;</w:t>
      </w:r>
    </w:p>
    <w:p>
      <w:pPr>
        <w:spacing w:after="0" w:line="34" w:lineRule="exact"/>
        <w:rPr>
          <w:rFonts w:ascii="Arial" w:cs="Arial" w:eastAsia="Arial" w:hAnsi="Arial"/>
          <w:sz w:val="16"/>
          <w:szCs w:val="16"/>
          <w:b w:val="1"/>
          <w:bCs w:val="1"/>
          <w:color w:val="6AAA37"/>
        </w:rPr>
      </w:pPr>
    </w:p>
    <w:p>
      <w:pPr>
        <w:ind w:left="180" w:right="860" w:hanging="172"/>
        <w:spacing w:after="0" w:line="321" w:lineRule="auto"/>
        <w:tabs>
          <w:tab w:leader="none" w:pos="180" w:val="left"/>
        </w:tabs>
        <w:numPr>
          <w:ilvl w:val="0"/>
          <w:numId w:val="72"/>
        </w:numPr>
        <w:rPr>
          <w:rFonts w:ascii="Arial" w:cs="Arial" w:eastAsia="Arial" w:hAnsi="Arial"/>
          <w:sz w:val="16"/>
          <w:szCs w:val="16"/>
          <w:b w:val="1"/>
          <w:bCs w:val="1"/>
          <w:color w:val="6AAA37"/>
        </w:rPr>
      </w:pPr>
      <w:r>
        <w:rPr>
          <w:rFonts w:ascii="Arial" w:cs="Arial" w:eastAsia="Arial" w:hAnsi="Arial"/>
          <w:sz w:val="16"/>
          <w:szCs w:val="16"/>
          <w:color w:val="auto"/>
        </w:rPr>
        <w:t>review and approve the design and competitiveness of our executive compensation plans, including benefits and perquisites;</w:t>
      </w:r>
    </w:p>
    <w:p>
      <w:pPr>
        <w:spacing w:after="0" w:line="34" w:lineRule="exact"/>
        <w:rPr>
          <w:rFonts w:ascii="Arial" w:cs="Arial" w:eastAsia="Arial" w:hAnsi="Arial"/>
          <w:sz w:val="16"/>
          <w:szCs w:val="16"/>
          <w:b w:val="1"/>
          <w:bCs w:val="1"/>
          <w:color w:val="6AAA37"/>
        </w:rPr>
      </w:pPr>
    </w:p>
    <w:p>
      <w:pPr>
        <w:ind w:left="180" w:right="200" w:hanging="172"/>
        <w:spacing w:after="0" w:line="321" w:lineRule="auto"/>
        <w:tabs>
          <w:tab w:leader="none" w:pos="180" w:val="left"/>
        </w:tabs>
        <w:numPr>
          <w:ilvl w:val="0"/>
          <w:numId w:val="72"/>
        </w:numPr>
        <w:rPr>
          <w:rFonts w:ascii="Arial" w:cs="Arial" w:eastAsia="Arial" w:hAnsi="Arial"/>
          <w:sz w:val="16"/>
          <w:szCs w:val="16"/>
          <w:b w:val="1"/>
          <w:bCs w:val="1"/>
          <w:color w:val="6AAA37"/>
        </w:rPr>
      </w:pPr>
      <w:r>
        <w:rPr>
          <w:rFonts w:ascii="Arial" w:cs="Arial" w:eastAsia="Arial" w:hAnsi="Arial"/>
          <w:sz w:val="16"/>
          <w:szCs w:val="16"/>
          <w:color w:val="auto"/>
        </w:rPr>
        <w:t>review and approve the total cash and stock bonus pools for the organization, and approve the individual incentive payout awards for the named executive officers;</w:t>
      </w:r>
    </w:p>
    <w:p>
      <w:pPr>
        <w:spacing w:after="0" w:line="34" w:lineRule="exact"/>
        <w:rPr>
          <w:rFonts w:ascii="Arial" w:cs="Arial" w:eastAsia="Arial" w:hAnsi="Arial"/>
          <w:sz w:val="16"/>
          <w:szCs w:val="16"/>
          <w:b w:val="1"/>
          <w:bCs w:val="1"/>
          <w:color w:val="6AAA37"/>
        </w:rPr>
      </w:pPr>
    </w:p>
    <w:p>
      <w:pPr>
        <w:ind w:left="180" w:hanging="172"/>
        <w:spacing w:after="0"/>
        <w:tabs>
          <w:tab w:leader="none" w:pos="180" w:val="left"/>
        </w:tabs>
        <w:numPr>
          <w:ilvl w:val="0"/>
          <w:numId w:val="72"/>
        </w:numPr>
        <w:rPr>
          <w:rFonts w:ascii="Arial" w:cs="Arial" w:eastAsia="Arial" w:hAnsi="Arial"/>
          <w:sz w:val="16"/>
          <w:szCs w:val="16"/>
          <w:b w:val="1"/>
          <w:bCs w:val="1"/>
          <w:color w:val="6AAA37"/>
        </w:rPr>
      </w:pPr>
      <w:r>
        <w:rPr>
          <w:rFonts w:ascii="Arial" w:cs="Arial" w:eastAsia="Arial" w:hAnsi="Arial"/>
          <w:sz w:val="16"/>
          <w:szCs w:val="16"/>
          <w:color w:val="auto"/>
        </w:rPr>
        <w:t>review and approve the total compensation package for Section 16 officers and high-earning Company employees;</w:t>
      </w:r>
    </w:p>
    <w:p>
      <w:pPr>
        <w:spacing w:after="0" w:line="126" w:lineRule="exact"/>
        <w:rPr>
          <w:rFonts w:ascii="Arial" w:cs="Arial" w:eastAsia="Arial" w:hAnsi="Arial"/>
          <w:sz w:val="16"/>
          <w:szCs w:val="16"/>
          <w:b w:val="1"/>
          <w:bCs w:val="1"/>
          <w:color w:val="6AAA37"/>
        </w:rPr>
      </w:pPr>
    </w:p>
    <w:p>
      <w:pPr>
        <w:ind w:left="180" w:hanging="172"/>
        <w:spacing w:after="0"/>
        <w:tabs>
          <w:tab w:leader="none" w:pos="180" w:val="left"/>
        </w:tabs>
        <w:numPr>
          <w:ilvl w:val="0"/>
          <w:numId w:val="72"/>
        </w:numPr>
        <w:rPr>
          <w:rFonts w:ascii="Arial" w:cs="Arial" w:eastAsia="Arial" w:hAnsi="Arial"/>
          <w:sz w:val="16"/>
          <w:szCs w:val="16"/>
          <w:b w:val="1"/>
          <w:bCs w:val="1"/>
          <w:color w:val="6AAA37"/>
        </w:rPr>
      </w:pPr>
      <w:r>
        <w:rPr>
          <w:rFonts w:ascii="Arial" w:cs="Arial" w:eastAsia="Arial" w:hAnsi="Arial"/>
          <w:sz w:val="16"/>
          <w:szCs w:val="16"/>
          <w:color w:val="auto"/>
        </w:rPr>
        <w:t>review the design, competitiveness and pay equity of our Company-wide compensation plans, including benefits;</w:t>
      </w:r>
    </w:p>
    <w:p>
      <w:pPr>
        <w:spacing w:after="0" w:line="126" w:lineRule="exact"/>
        <w:rPr>
          <w:rFonts w:ascii="Arial" w:cs="Arial" w:eastAsia="Arial" w:hAnsi="Arial"/>
          <w:sz w:val="16"/>
          <w:szCs w:val="16"/>
          <w:b w:val="1"/>
          <w:bCs w:val="1"/>
          <w:color w:val="6AAA37"/>
        </w:rPr>
      </w:pPr>
    </w:p>
    <w:p>
      <w:pPr>
        <w:ind w:left="180" w:hanging="172"/>
        <w:spacing w:after="0"/>
        <w:tabs>
          <w:tab w:leader="none" w:pos="180" w:val="left"/>
        </w:tabs>
        <w:numPr>
          <w:ilvl w:val="0"/>
          <w:numId w:val="72"/>
        </w:numPr>
        <w:rPr>
          <w:rFonts w:ascii="Arial" w:cs="Arial" w:eastAsia="Arial" w:hAnsi="Arial"/>
          <w:sz w:val="16"/>
          <w:szCs w:val="16"/>
          <w:b w:val="1"/>
          <w:bCs w:val="1"/>
          <w:color w:val="6AAA37"/>
        </w:rPr>
      </w:pPr>
      <w:r>
        <w:rPr>
          <w:rFonts w:ascii="Arial" w:cs="Arial" w:eastAsia="Arial" w:hAnsi="Arial"/>
          <w:sz w:val="16"/>
          <w:szCs w:val="16"/>
          <w:color w:val="auto"/>
        </w:rPr>
        <w:t>review director compensation and make recommendations to the Board;</w:t>
      </w:r>
    </w:p>
    <w:p>
      <w:pPr>
        <w:spacing w:after="0" w:line="113" w:lineRule="exact"/>
        <w:rPr>
          <w:rFonts w:ascii="Arial" w:cs="Arial" w:eastAsia="Arial" w:hAnsi="Arial"/>
          <w:sz w:val="16"/>
          <w:szCs w:val="16"/>
          <w:b w:val="1"/>
          <w:bCs w:val="1"/>
          <w:color w:val="6AAA37"/>
        </w:rPr>
      </w:pPr>
    </w:p>
    <w:p>
      <w:pPr>
        <w:ind w:left="180" w:hanging="172"/>
        <w:spacing w:after="0"/>
        <w:tabs>
          <w:tab w:leader="none" w:pos="180" w:val="left"/>
        </w:tabs>
        <w:numPr>
          <w:ilvl w:val="0"/>
          <w:numId w:val="72"/>
        </w:numPr>
        <w:rPr>
          <w:rFonts w:ascii="Arial" w:cs="Arial" w:eastAsia="Arial" w:hAnsi="Arial"/>
          <w:sz w:val="16"/>
          <w:szCs w:val="16"/>
          <w:b w:val="1"/>
          <w:bCs w:val="1"/>
          <w:color w:val="6AAA37"/>
        </w:rPr>
      </w:pPr>
      <w:r>
        <w:rPr>
          <w:rFonts w:ascii="Arial" w:cs="Arial" w:eastAsia="Arial" w:hAnsi="Arial"/>
          <w:sz w:val="16"/>
          <w:szCs w:val="16"/>
          <w:color w:val="auto"/>
        </w:rPr>
        <w:t>review and approve goals used for the annual and long-term incentive plans;</w:t>
      </w:r>
    </w:p>
    <w:p>
      <w:pPr>
        <w:spacing w:after="0" w:line="126" w:lineRule="exact"/>
        <w:rPr>
          <w:rFonts w:ascii="Arial" w:cs="Arial" w:eastAsia="Arial" w:hAnsi="Arial"/>
          <w:sz w:val="16"/>
          <w:szCs w:val="16"/>
          <w:b w:val="1"/>
          <w:bCs w:val="1"/>
          <w:color w:val="6AAA37"/>
        </w:rPr>
      </w:pPr>
    </w:p>
    <w:p>
      <w:pPr>
        <w:ind w:left="180" w:right="580" w:hanging="172"/>
        <w:spacing w:after="0" w:line="339" w:lineRule="auto"/>
        <w:tabs>
          <w:tab w:leader="none" w:pos="180" w:val="left"/>
        </w:tabs>
        <w:numPr>
          <w:ilvl w:val="0"/>
          <w:numId w:val="72"/>
        </w:numPr>
        <w:rPr>
          <w:rFonts w:ascii="Arial" w:cs="Arial" w:eastAsia="Arial" w:hAnsi="Arial"/>
          <w:sz w:val="16"/>
          <w:szCs w:val="16"/>
          <w:b w:val="1"/>
          <w:bCs w:val="1"/>
          <w:color w:val="6AAA37"/>
        </w:rPr>
      </w:pPr>
      <w:r>
        <w:rPr>
          <w:rFonts w:ascii="Arial" w:cs="Arial" w:eastAsia="Arial" w:hAnsi="Arial"/>
          <w:sz w:val="16"/>
          <w:szCs w:val="16"/>
          <w:color w:val="auto"/>
        </w:rPr>
        <w:t>retain or terminate, in its sole discretion, any independent compensation consultant used to assist the Compensation Committee;</w:t>
      </w:r>
    </w:p>
    <w:p>
      <w:pPr>
        <w:sectPr>
          <w:pgSz w:w="11900" w:h="16938" w:orient="portrait"/>
          <w:cols w:equalWidth="0" w:num="1">
            <w:col w:w="9080"/>
          </w:cols>
          <w:pgMar w:left="1400" w:top="967" w:right="1419" w:bottom="0" w:gutter="0" w:footer="0" w:header="0"/>
          <w:type w:val="continuous"/>
        </w:sectPr>
      </w:pPr>
    </w:p>
    <w:bookmarkStart w:id="45" w:name="page46"/>
    <w:bookmarkEnd w:id="45"/>
    <w:p>
      <w:pPr>
        <w:ind w:left="60"/>
        <w:spacing w:after="0"/>
        <w:tabs>
          <w:tab w:leader="none" w:pos="4440" w:val="left"/>
          <w:tab w:leader="none" w:pos="776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61912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10375" cy="619125"/>
                    </a:xfrm>
                    <a:prstGeom prst="rect">
                      <a:avLst/>
                    </a:prstGeom>
                    <a:noFill/>
                  </pic:spPr>
                </pic:pic>
              </a:graphicData>
            </a:graphic>
          </wp:anchor>
        </w:drawing>
        <w:t>Huron Consulting Group Inc.</w:t>
      </w:r>
      <w:r>
        <w:rPr>
          <w:sz w:val="20"/>
          <w:szCs w:val="20"/>
          <w:color w:val="auto"/>
        </w:rPr>
        <w:tab/>
      </w:r>
      <w:r>
        <w:rPr>
          <w:rFonts w:ascii="Arial" w:cs="Arial" w:eastAsia="Arial" w:hAnsi="Arial"/>
          <w:sz w:val="13"/>
          <w:szCs w:val="13"/>
          <w:b w:val="1"/>
          <w:bCs w:val="1"/>
          <w:color w:val="00558C"/>
        </w:rPr>
        <w:t>40</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420370</wp:posOffset>
            </wp:positionV>
            <wp:extent cx="6810375" cy="88677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540" w:val="left"/>
          <w:tab w:leader="none" w:pos="7360" w:val="left"/>
          <w:tab w:leader="none" w:pos="8400" w:val="left"/>
        </w:tabs>
        <w:rPr>
          <w:sz w:val="20"/>
          <w:szCs w:val="20"/>
          <w:color w:val="auto"/>
        </w:rPr>
      </w:pPr>
      <w:r>
        <w:rPr>
          <w:rFonts w:ascii="Arial" w:cs="Arial" w:eastAsia="Arial" w:hAnsi="Arial"/>
          <w:sz w:val="13"/>
          <w:szCs w:val="13"/>
          <w:b w:val="1"/>
          <w:bCs w:val="1"/>
          <w:color w:val="B2B3B6"/>
        </w:rPr>
        <w:t>General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Corporate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6AAA37"/>
        </w:rPr>
        <w:t>Executive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Stockholder</w:t>
      </w:r>
      <w:r>
        <w:rPr>
          <w:sz w:val="20"/>
          <w:szCs w:val="20"/>
          <w:color w:val="auto"/>
        </w:rPr>
        <w:tab/>
      </w:r>
      <w:r>
        <w:rPr>
          <w:rFonts w:ascii="Arial" w:cs="Arial" w:eastAsia="Arial" w:hAnsi="Arial"/>
          <w:sz w:val="12"/>
          <w:szCs w:val="12"/>
          <w:b w:val="1"/>
          <w:bCs w:val="1"/>
          <w:color w:val="B2B3B6"/>
        </w:rPr>
        <w:t>Other</w:t>
      </w:r>
    </w:p>
    <w:p>
      <w:pPr>
        <w:spacing w:after="0" w:line="11"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540" w:val="left"/>
          <w:tab w:leader="none" w:pos="7360" w:val="left"/>
          <w:tab w:leader="none" w:pos="8400" w:val="left"/>
        </w:tabs>
        <w:rPr>
          <w:sz w:val="20"/>
          <w:szCs w:val="20"/>
          <w:color w:val="auto"/>
        </w:rPr>
      </w:pPr>
      <w:r>
        <w:rPr>
          <w:rFonts w:ascii="Arial" w:cs="Arial" w:eastAsia="Arial" w:hAnsi="Arial"/>
          <w:sz w:val="13"/>
          <w:szCs w:val="13"/>
          <w:b w:val="1"/>
          <w:bCs w:val="1"/>
          <w:color w:val="B2B3B6"/>
        </w:rPr>
        <w:t>Information</w:t>
      </w:r>
      <w:r>
        <w:rPr>
          <w:sz w:val="20"/>
          <w:szCs w:val="20"/>
          <w:color w:val="auto"/>
        </w:rPr>
        <w:tab/>
      </w:r>
      <w:r>
        <w:rPr>
          <w:rFonts w:ascii="Arial" w:cs="Arial" w:eastAsia="Arial" w:hAnsi="Arial"/>
          <w:sz w:val="13"/>
          <w:szCs w:val="13"/>
          <w:b w:val="1"/>
          <w:bCs w:val="1"/>
          <w:color w:val="B2B3B6"/>
        </w:rPr>
        <w:t>One</w:t>
      </w:r>
      <w:r>
        <w:rPr>
          <w:sz w:val="20"/>
          <w:szCs w:val="20"/>
          <w:color w:val="auto"/>
        </w:rPr>
        <w:tab/>
      </w:r>
      <w:r>
        <w:rPr>
          <w:rFonts w:ascii="Arial" w:cs="Arial" w:eastAsia="Arial" w:hAnsi="Arial"/>
          <w:sz w:val="13"/>
          <w:szCs w:val="13"/>
          <w:b w:val="1"/>
          <w:bCs w:val="1"/>
          <w:color w:val="B2B3B6"/>
        </w:rPr>
        <w:t>Governance</w:t>
      </w:r>
      <w:r>
        <w:rPr>
          <w:sz w:val="20"/>
          <w:szCs w:val="20"/>
          <w:color w:val="auto"/>
        </w:rPr>
        <w:tab/>
      </w:r>
      <w:r>
        <w:rPr>
          <w:rFonts w:ascii="Arial" w:cs="Arial" w:eastAsia="Arial" w:hAnsi="Arial"/>
          <w:sz w:val="13"/>
          <w:szCs w:val="13"/>
          <w:b w:val="1"/>
          <w:bCs w:val="1"/>
          <w:color w:val="B2B3B6"/>
        </w:rPr>
        <w:t>Two</w:t>
      </w:r>
      <w:r>
        <w:rPr>
          <w:sz w:val="20"/>
          <w:szCs w:val="20"/>
          <w:color w:val="auto"/>
        </w:rPr>
        <w:tab/>
      </w:r>
      <w:r>
        <w:rPr>
          <w:rFonts w:ascii="Arial" w:cs="Arial" w:eastAsia="Arial" w:hAnsi="Arial"/>
          <w:sz w:val="13"/>
          <w:szCs w:val="13"/>
          <w:b w:val="1"/>
          <w:bCs w:val="1"/>
          <w:color w:val="6AAA37"/>
        </w:rPr>
        <w:t>Compensation</w:t>
      </w:r>
      <w:r>
        <w:rPr>
          <w:sz w:val="20"/>
          <w:szCs w:val="20"/>
          <w:color w:val="auto"/>
        </w:rPr>
        <w:tab/>
      </w:r>
      <w:r>
        <w:rPr>
          <w:rFonts w:ascii="Arial" w:cs="Arial" w:eastAsia="Arial" w:hAnsi="Arial"/>
          <w:sz w:val="13"/>
          <w:szCs w:val="13"/>
          <w:b w:val="1"/>
          <w:bCs w:val="1"/>
          <w:color w:val="B2B3B6"/>
        </w:rPr>
        <w:t>Three</w:t>
      </w:r>
      <w:r>
        <w:rPr>
          <w:sz w:val="20"/>
          <w:szCs w:val="20"/>
          <w:color w:val="auto"/>
        </w:rPr>
        <w:tab/>
      </w:r>
      <w:r>
        <w:rPr>
          <w:rFonts w:ascii="Arial" w:cs="Arial" w:eastAsia="Arial" w:hAnsi="Arial"/>
          <w:sz w:val="13"/>
          <w:szCs w:val="13"/>
          <w:b w:val="1"/>
          <w:bCs w:val="1"/>
          <w:color w:val="B2B3B6"/>
        </w:rPr>
        <w:t>Four</w:t>
      </w:r>
      <w:r>
        <w:rPr>
          <w:sz w:val="20"/>
          <w:szCs w:val="20"/>
          <w:color w:val="auto"/>
        </w:rPr>
        <w:tab/>
      </w:r>
      <w:r>
        <w:rPr>
          <w:rFonts w:ascii="Arial" w:cs="Arial" w:eastAsia="Arial" w:hAnsi="Arial"/>
          <w:sz w:val="13"/>
          <w:szCs w:val="13"/>
          <w:b w:val="1"/>
          <w:bCs w:val="1"/>
          <w:color w:val="B2B3B6"/>
        </w:rPr>
        <w:t>Five</w:t>
      </w:r>
      <w:r>
        <w:rPr>
          <w:sz w:val="20"/>
          <w:szCs w:val="20"/>
          <w:color w:val="auto"/>
        </w:rPr>
        <w:tab/>
      </w:r>
      <w:r>
        <w:rPr>
          <w:rFonts w:ascii="Arial" w:cs="Arial" w:eastAsia="Arial" w:hAnsi="Arial"/>
          <w:sz w:val="13"/>
          <w:szCs w:val="13"/>
          <w:b w:val="1"/>
          <w:bCs w:val="1"/>
          <w:color w:val="B2B3B6"/>
        </w:rPr>
        <w:t>Proposals</w:t>
      </w:r>
      <w:r>
        <w:rPr>
          <w:sz w:val="20"/>
          <w:szCs w:val="20"/>
          <w:color w:val="auto"/>
        </w:rPr>
        <w:tab/>
      </w:r>
      <w:r>
        <w:rPr>
          <w:rFonts w:ascii="Arial" w:cs="Arial" w:eastAsia="Arial" w:hAnsi="Arial"/>
          <w:sz w:val="12"/>
          <w:szCs w:val="12"/>
          <w:b w:val="1"/>
          <w:bCs w:val="1"/>
          <w:color w:val="B2B3B6"/>
        </w:rPr>
        <w:t>Matters</w:t>
      </w:r>
    </w:p>
    <w:p>
      <w:pPr>
        <w:spacing w:after="0" w:line="301" w:lineRule="exact"/>
        <w:rPr>
          <w:sz w:val="20"/>
          <w:szCs w:val="20"/>
          <w:color w:val="auto"/>
        </w:rPr>
      </w:pPr>
    </w:p>
    <w:p>
      <w:pPr>
        <w:ind w:left="180" w:hanging="172"/>
        <w:spacing w:after="0"/>
        <w:tabs>
          <w:tab w:leader="none" w:pos="180" w:val="left"/>
        </w:tabs>
        <w:numPr>
          <w:ilvl w:val="0"/>
          <w:numId w:val="73"/>
        </w:numPr>
        <w:rPr>
          <w:rFonts w:ascii="Arial" w:cs="Arial" w:eastAsia="Arial" w:hAnsi="Arial"/>
          <w:sz w:val="16"/>
          <w:szCs w:val="16"/>
          <w:b w:val="1"/>
          <w:bCs w:val="1"/>
          <w:color w:val="6AAA37"/>
        </w:rPr>
      </w:pPr>
      <w:r>
        <w:rPr>
          <w:rFonts w:ascii="Arial" w:cs="Arial" w:eastAsia="Arial" w:hAnsi="Arial"/>
          <w:sz w:val="16"/>
          <w:szCs w:val="16"/>
          <w:color w:val="auto"/>
        </w:rPr>
        <w:t>review and evaluate compensation arrangements to assess whether they could encourage undue risk-taking; and</w:t>
      </w:r>
    </w:p>
    <w:p>
      <w:pPr>
        <w:spacing w:after="0" w:line="113" w:lineRule="exact"/>
        <w:rPr>
          <w:rFonts w:ascii="Arial" w:cs="Arial" w:eastAsia="Arial" w:hAnsi="Arial"/>
          <w:sz w:val="16"/>
          <w:szCs w:val="16"/>
          <w:b w:val="1"/>
          <w:bCs w:val="1"/>
          <w:color w:val="6AAA37"/>
        </w:rPr>
      </w:pPr>
    </w:p>
    <w:p>
      <w:pPr>
        <w:ind w:left="180" w:hanging="172"/>
        <w:spacing w:after="0"/>
        <w:tabs>
          <w:tab w:leader="none" w:pos="180" w:val="left"/>
        </w:tabs>
        <w:numPr>
          <w:ilvl w:val="0"/>
          <w:numId w:val="73"/>
        </w:numPr>
        <w:rPr>
          <w:rFonts w:ascii="Arial" w:cs="Arial" w:eastAsia="Arial" w:hAnsi="Arial"/>
          <w:sz w:val="16"/>
          <w:szCs w:val="16"/>
          <w:b w:val="1"/>
          <w:bCs w:val="1"/>
          <w:color w:val="6AAA37"/>
        </w:rPr>
      </w:pPr>
      <w:r>
        <w:rPr>
          <w:rFonts w:ascii="Arial" w:cs="Arial" w:eastAsia="Arial" w:hAnsi="Arial"/>
          <w:sz w:val="16"/>
          <w:szCs w:val="16"/>
          <w:color w:val="auto"/>
        </w:rPr>
        <w:t>create a Compensation Committee report on executive compensation for inclusion in the Proxy Statement.</w:t>
      </w:r>
    </w:p>
    <w:p>
      <w:pPr>
        <w:spacing w:after="0" w:line="181" w:lineRule="exact"/>
        <w:rPr>
          <w:sz w:val="20"/>
          <w:szCs w:val="20"/>
          <w:color w:val="auto"/>
        </w:rPr>
      </w:pPr>
    </w:p>
    <w:p>
      <w:pPr>
        <w:ind w:right="60"/>
        <w:spacing w:after="0" w:line="300" w:lineRule="auto"/>
        <w:rPr>
          <w:sz w:val="20"/>
          <w:szCs w:val="20"/>
          <w:color w:val="auto"/>
        </w:rPr>
      </w:pPr>
      <w:r>
        <w:rPr>
          <w:rFonts w:ascii="Arial" w:cs="Arial" w:eastAsia="Arial" w:hAnsi="Arial"/>
          <w:sz w:val="16"/>
          <w:szCs w:val="16"/>
          <w:color w:val="auto"/>
        </w:rPr>
        <w:t>The Compensation Committee exercises its judgment on an independent basis and works closely with our Board and the management team in making many of its decisions. Additionally, the Compensation Committee has retained the services of an independent compensation consultant. The Compensation Committee has the sole authority to amend or terminate the services of its independent consultant.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Management</w:t>
      </w:r>
    </w:p>
    <w:p>
      <w:pPr>
        <w:spacing w:after="0" w:line="6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Our CEO, along with the chief human resources officer and other members of senior leadership, support the Compensation Committee's design, review and evaluation of the executive compensation program. The executive officers provide recommendations for the financial and strategic measures within the annual incentive and long-term incentive programs, which are grounded in Huron's long-term growth strategy and market data. Additionally, our CEO provides a review of each named executive officer's annual performance but does not participate in the decisions related to his own compensation. The Compensation Committee carefully reviews and deliberates on all recommendations provided by management.</w:t>
      </w:r>
    </w:p>
    <w:p>
      <w:pPr>
        <w:spacing w:after="0" w:line="110" w:lineRule="exact"/>
        <w:rPr>
          <w:sz w:val="20"/>
          <w:szCs w:val="20"/>
          <w:color w:val="auto"/>
        </w:rPr>
      </w:pPr>
    </w:p>
    <w:p>
      <w:pPr>
        <w:ind w:right="60"/>
        <w:spacing w:after="0" w:line="300" w:lineRule="auto"/>
        <w:rPr>
          <w:sz w:val="20"/>
          <w:szCs w:val="20"/>
          <w:color w:val="auto"/>
        </w:rPr>
      </w:pPr>
      <w:r>
        <w:rPr>
          <w:rFonts w:ascii="Arial" w:cs="Arial" w:eastAsia="Arial" w:hAnsi="Arial"/>
          <w:sz w:val="16"/>
          <w:szCs w:val="16"/>
          <w:color w:val="auto"/>
        </w:rPr>
        <w:t>Additionally, to support the Compensation Committee's review and approval of the total cash and stock bonus pools available for the organization, and to help ensure the Company-wide compensation programs appropriately balance stockholder returns and employee retention, the executive officers regularly review Company, industry and capability performance with the Compensation Committee.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Independent Compensation Advisor</w:t>
      </w:r>
    </w:p>
    <w:p>
      <w:pPr>
        <w:spacing w:after="0" w:line="68"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The Compensation Committee retains an independent compensation advisor to assist in the ongoing assessment of the executive compensation strategy and program. The Compensation Committee's independent compensation advisor reports directly to the Compensation Committee and serves at its sole discretion and does not perform any services for the Company other than those in connection with its work for the Compensation Committee. Pay Governance served as the Compensation Committee’s independent compensation advisor for 2024.</w:t>
      </w:r>
    </w:p>
    <w:p>
      <w:pPr>
        <w:spacing w:after="0" w:line="107" w:lineRule="exact"/>
        <w:rPr>
          <w:sz w:val="20"/>
          <w:szCs w:val="20"/>
          <w:color w:val="auto"/>
        </w:rPr>
      </w:pPr>
    </w:p>
    <w:p>
      <w:pPr>
        <w:ind w:right="160"/>
        <w:spacing w:after="0" w:line="300" w:lineRule="auto"/>
        <w:rPr>
          <w:sz w:val="20"/>
          <w:szCs w:val="20"/>
          <w:color w:val="auto"/>
        </w:rPr>
      </w:pPr>
      <w:r>
        <w:rPr>
          <w:rFonts w:ascii="Arial" w:cs="Arial" w:eastAsia="Arial" w:hAnsi="Arial"/>
          <w:sz w:val="16"/>
          <w:szCs w:val="16"/>
          <w:color w:val="auto"/>
        </w:rPr>
        <w:t>The Compensation Committee annually assesses whether the independent advisor's work has raised any conflict of interest. The Compensation Committee has determined, based on its analysis of Nasdaq requirements, that the work of Pay Governance and the individual compensation advisors employed by Pay Governance as compensation consultants to the Company has not created any conflict of interest.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the Compensation Peer Group</w:t>
      </w:r>
    </w:p>
    <w:p>
      <w:pPr>
        <w:spacing w:after="0" w:line="6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Compensation Committee reviews external market data to inform its decisions about executive compensation, specifically to determine a range of pay, inclusive of salary, target annual incentives, and target long-term incentive awards. Total direct compensation, as well as the components thereof, are compared to similar roles and responsibilities for those of the Compensation Committee-approved peer group described below, as well as Radford Global Technology survey data for companies with comparable total revenues as Huron. Individual target pay is benchmarked against these external market sources, but can and does vary based on several factors including each individual executive officer's experience, qualifications and performance. We note that the Compensation Committee does not target NEOs’ pay to a specified percentile relative to the below Compensation Peer Group, but rather reviews peer group compensation data for each element of compensation, including base salary, cash annual incentive, long-term incentive targets, and target total compensation (target total cash plus long-term incentive compensation).</w:t>
      </w:r>
    </w:p>
    <w:p>
      <w:pPr>
        <w:spacing w:after="0" w:line="11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peer group is comprised of U.S.-based companies who are business-to-business service providers in the Research and Consulting Services, Human Resource and Employment Services, Health Care Technology, Health Care Services, IT Consulting and Other Services, or Application Software industry sectors with revenues within 0.5x to 2.5x of Huron’s revenues and market capitalization within 0.4x to 4.3x of Huron’s market capitalization as of the review date. Annually, the Compensation Committee reviews the composition of the peer group to determine whether any changes should be made. For 2024 executive compensation decisions, the Compensation Committee approved the addition of two new peers, Perficient, Inc. and R1 RCM, Inc., as well as the removal of Veradigm, Inc. on the basis of the foregoing criteria. Below is the approved list of fifteen (15) companies that comprised our peer group for 2024 compensation as well as Huron's relative positioning of revenue and market capitalization to the selected peer group as of October 2023 when the peer group was approved. We note</w:t>
      </w:r>
    </w:p>
    <w:p>
      <w:pPr>
        <w:spacing w:after="0" w:line="200" w:lineRule="exact"/>
        <w:rPr>
          <w:sz w:val="20"/>
          <w:szCs w:val="20"/>
          <w:color w:val="auto"/>
        </w:rPr>
      </w:pPr>
    </w:p>
    <w:p>
      <w:pPr>
        <w:spacing w:after="0" w:line="313" w:lineRule="exact"/>
        <w:rPr>
          <w:sz w:val="20"/>
          <w:szCs w:val="20"/>
          <w:color w:val="auto"/>
        </w:rPr>
      </w:pPr>
    </w:p>
    <w:p>
      <w:pPr>
        <w:ind w:left="60"/>
        <w:spacing w:after="0"/>
        <w:tabs>
          <w:tab w:leader="none" w:pos="446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13"/>
          <w:szCs w:val="13"/>
          <w:b w:val="1"/>
          <w:bCs w:val="1"/>
          <w:color w:val="00558C"/>
        </w:rPr>
        <w:t>41</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420370</wp:posOffset>
            </wp:positionV>
            <wp:extent cx="6810375" cy="86487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10375" cy="864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540" w:val="left"/>
          <w:tab w:leader="none" w:pos="7360" w:val="left"/>
          <w:tab w:leader="none" w:pos="8400" w:val="left"/>
        </w:tabs>
        <w:rPr>
          <w:sz w:val="20"/>
          <w:szCs w:val="20"/>
          <w:color w:val="auto"/>
        </w:rPr>
      </w:pPr>
      <w:r>
        <w:rPr>
          <w:rFonts w:ascii="Arial" w:cs="Arial" w:eastAsia="Arial" w:hAnsi="Arial"/>
          <w:sz w:val="13"/>
          <w:szCs w:val="13"/>
          <w:b w:val="1"/>
          <w:bCs w:val="1"/>
          <w:color w:val="B2B3B6"/>
        </w:rPr>
        <w:t>General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Corporate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6AAA37"/>
        </w:rPr>
        <w:t>Executive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Stockholder</w:t>
      </w:r>
      <w:r>
        <w:rPr>
          <w:sz w:val="20"/>
          <w:szCs w:val="20"/>
          <w:color w:val="auto"/>
        </w:rPr>
        <w:tab/>
      </w:r>
      <w:r>
        <w:rPr>
          <w:rFonts w:ascii="Arial" w:cs="Arial" w:eastAsia="Arial" w:hAnsi="Arial"/>
          <w:sz w:val="12"/>
          <w:szCs w:val="12"/>
          <w:b w:val="1"/>
          <w:bCs w:val="1"/>
          <w:color w:val="B2B3B6"/>
        </w:rPr>
        <w:t>Other</w:t>
      </w:r>
    </w:p>
    <w:p>
      <w:pPr>
        <w:spacing w:after="0" w:line="11"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540" w:val="left"/>
          <w:tab w:leader="none" w:pos="7360" w:val="left"/>
          <w:tab w:leader="none" w:pos="8400" w:val="left"/>
        </w:tabs>
        <w:rPr>
          <w:sz w:val="20"/>
          <w:szCs w:val="20"/>
          <w:color w:val="auto"/>
        </w:rPr>
      </w:pPr>
      <w:r>
        <w:rPr>
          <w:rFonts w:ascii="Arial" w:cs="Arial" w:eastAsia="Arial" w:hAnsi="Arial"/>
          <w:sz w:val="13"/>
          <w:szCs w:val="13"/>
          <w:b w:val="1"/>
          <w:bCs w:val="1"/>
          <w:color w:val="B2B3B6"/>
        </w:rPr>
        <w:t>Information</w:t>
      </w:r>
      <w:r>
        <w:rPr>
          <w:sz w:val="20"/>
          <w:szCs w:val="20"/>
          <w:color w:val="auto"/>
        </w:rPr>
        <w:tab/>
      </w:r>
      <w:r>
        <w:rPr>
          <w:rFonts w:ascii="Arial" w:cs="Arial" w:eastAsia="Arial" w:hAnsi="Arial"/>
          <w:sz w:val="13"/>
          <w:szCs w:val="13"/>
          <w:b w:val="1"/>
          <w:bCs w:val="1"/>
          <w:color w:val="B2B3B6"/>
        </w:rPr>
        <w:t>One</w:t>
      </w:r>
      <w:r>
        <w:rPr>
          <w:sz w:val="20"/>
          <w:szCs w:val="20"/>
          <w:color w:val="auto"/>
        </w:rPr>
        <w:tab/>
      </w:r>
      <w:r>
        <w:rPr>
          <w:rFonts w:ascii="Arial" w:cs="Arial" w:eastAsia="Arial" w:hAnsi="Arial"/>
          <w:sz w:val="13"/>
          <w:szCs w:val="13"/>
          <w:b w:val="1"/>
          <w:bCs w:val="1"/>
          <w:color w:val="B2B3B6"/>
        </w:rPr>
        <w:t>Governance</w:t>
      </w:r>
      <w:r>
        <w:rPr>
          <w:sz w:val="20"/>
          <w:szCs w:val="20"/>
          <w:color w:val="auto"/>
        </w:rPr>
        <w:tab/>
      </w:r>
      <w:r>
        <w:rPr>
          <w:rFonts w:ascii="Arial" w:cs="Arial" w:eastAsia="Arial" w:hAnsi="Arial"/>
          <w:sz w:val="13"/>
          <w:szCs w:val="13"/>
          <w:b w:val="1"/>
          <w:bCs w:val="1"/>
          <w:color w:val="B2B3B6"/>
        </w:rPr>
        <w:t>Two</w:t>
      </w:r>
      <w:r>
        <w:rPr>
          <w:sz w:val="20"/>
          <w:szCs w:val="20"/>
          <w:color w:val="auto"/>
        </w:rPr>
        <w:tab/>
      </w:r>
      <w:r>
        <w:rPr>
          <w:rFonts w:ascii="Arial" w:cs="Arial" w:eastAsia="Arial" w:hAnsi="Arial"/>
          <w:sz w:val="13"/>
          <w:szCs w:val="13"/>
          <w:b w:val="1"/>
          <w:bCs w:val="1"/>
          <w:color w:val="6AAA37"/>
        </w:rPr>
        <w:t>Compensation</w:t>
      </w:r>
      <w:r>
        <w:rPr>
          <w:sz w:val="20"/>
          <w:szCs w:val="20"/>
          <w:color w:val="auto"/>
        </w:rPr>
        <w:tab/>
      </w:r>
      <w:r>
        <w:rPr>
          <w:rFonts w:ascii="Arial" w:cs="Arial" w:eastAsia="Arial" w:hAnsi="Arial"/>
          <w:sz w:val="13"/>
          <w:szCs w:val="13"/>
          <w:b w:val="1"/>
          <w:bCs w:val="1"/>
          <w:color w:val="B2B3B6"/>
        </w:rPr>
        <w:t>Three</w:t>
      </w:r>
      <w:r>
        <w:rPr>
          <w:sz w:val="20"/>
          <w:szCs w:val="20"/>
          <w:color w:val="auto"/>
        </w:rPr>
        <w:tab/>
      </w:r>
      <w:r>
        <w:rPr>
          <w:rFonts w:ascii="Arial" w:cs="Arial" w:eastAsia="Arial" w:hAnsi="Arial"/>
          <w:sz w:val="13"/>
          <w:szCs w:val="13"/>
          <w:b w:val="1"/>
          <w:bCs w:val="1"/>
          <w:color w:val="B2B3B6"/>
        </w:rPr>
        <w:t>Four</w:t>
      </w:r>
      <w:r>
        <w:rPr>
          <w:sz w:val="20"/>
          <w:szCs w:val="20"/>
          <w:color w:val="auto"/>
        </w:rPr>
        <w:tab/>
      </w:r>
      <w:r>
        <w:rPr>
          <w:rFonts w:ascii="Arial" w:cs="Arial" w:eastAsia="Arial" w:hAnsi="Arial"/>
          <w:sz w:val="13"/>
          <w:szCs w:val="13"/>
          <w:b w:val="1"/>
          <w:bCs w:val="1"/>
          <w:color w:val="B2B3B6"/>
        </w:rPr>
        <w:t>Five</w:t>
      </w:r>
      <w:r>
        <w:rPr>
          <w:sz w:val="20"/>
          <w:szCs w:val="20"/>
          <w:color w:val="auto"/>
        </w:rPr>
        <w:tab/>
      </w:r>
      <w:r>
        <w:rPr>
          <w:rFonts w:ascii="Arial" w:cs="Arial" w:eastAsia="Arial" w:hAnsi="Arial"/>
          <w:sz w:val="13"/>
          <w:szCs w:val="13"/>
          <w:b w:val="1"/>
          <w:bCs w:val="1"/>
          <w:color w:val="B2B3B6"/>
        </w:rPr>
        <w:t>Proposals</w:t>
      </w:r>
      <w:r>
        <w:rPr>
          <w:sz w:val="20"/>
          <w:szCs w:val="20"/>
          <w:color w:val="auto"/>
        </w:rPr>
        <w:tab/>
      </w:r>
      <w:r>
        <w:rPr>
          <w:rFonts w:ascii="Arial" w:cs="Arial" w:eastAsia="Arial" w:hAnsi="Arial"/>
          <w:sz w:val="12"/>
          <w:szCs w:val="12"/>
          <w:b w:val="1"/>
          <w:bCs w:val="1"/>
          <w:color w:val="B2B3B6"/>
        </w:rPr>
        <w:t>Matters</w:t>
      </w:r>
    </w:p>
    <w:p>
      <w:pPr>
        <w:sectPr>
          <w:pgSz w:w="11900" w:h="16838" w:orient="portrait"/>
          <w:cols w:equalWidth="0" w:num="1">
            <w:col w:w="9080"/>
          </w:cols>
          <w:pgMar w:left="1400" w:top="432" w:right="1419" w:bottom="0" w:gutter="0" w:footer="0" w:header="0"/>
        </w:sectPr>
      </w:pPr>
    </w:p>
    <w:p>
      <w:pPr>
        <w:spacing w:after="0" w:line="301" w:lineRule="exact"/>
        <w:rPr>
          <w:sz w:val="20"/>
          <w:szCs w:val="20"/>
          <w:color w:val="auto"/>
        </w:rPr>
      </w:pPr>
    </w:p>
    <w:p>
      <w:pPr>
        <w:spacing w:after="0"/>
        <w:rPr>
          <w:sz w:val="20"/>
          <w:szCs w:val="20"/>
          <w:color w:val="auto"/>
        </w:rPr>
      </w:pPr>
      <w:r>
        <w:rPr>
          <w:rFonts w:ascii="Arial" w:cs="Arial" w:eastAsia="Arial" w:hAnsi="Arial"/>
          <w:sz w:val="16"/>
          <w:szCs w:val="16"/>
          <w:color w:val="auto"/>
        </w:rPr>
        <w:t>Huron's relative positioning within this peer group and the median total direct compensation of the executive officers within the</w:t>
      </w:r>
    </w:p>
    <w:p>
      <w:pPr>
        <w:sectPr>
          <w:pgSz w:w="11900" w:h="16838" w:orient="portrait"/>
          <w:cols w:equalWidth="0" w:num="1">
            <w:col w:w="9080"/>
          </w:cols>
          <w:pgMar w:left="1400" w:top="432" w:right="1419" w:bottom="0" w:gutter="0" w:footer="0" w:header="0"/>
          <w:type w:val="continuous"/>
        </w:sectPr>
      </w:pPr>
    </w:p>
    <w:bookmarkStart w:id="46" w:name="page47"/>
    <w:bookmarkEnd w:id="46"/>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peer group were not materially impacted by the changes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-99695</wp:posOffset>
            </wp:positionV>
            <wp:extent cx="6810375" cy="79914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10375" cy="7991475"/>
                    </a:xfrm>
                    <a:prstGeom prst="rect">
                      <a:avLst/>
                    </a:prstGeom>
                    <a:noFill/>
                  </pic:spPr>
                </pic:pic>
              </a:graphicData>
            </a:graphic>
          </wp:anchor>
        </w:drawing>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Below is the list of 15 companies that comprised our peer group for 2024 compensation.</w:t>
      </w:r>
    </w:p>
    <w:p>
      <w:pPr>
        <w:spacing w:after="0" w:line="320"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FFFFFF"/>
        </w:rPr>
        <w:t>2024 Peer Group</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90"/>
        </w:trPr>
        <w:tc>
          <w:tcPr>
            <w:tcW w:w="3040" w:type="dxa"/>
            <w:vAlign w:val="bottom"/>
          </w:tcPr>
          <w:p>
            <w:pPr>
              <w:spacing w:after="0"/>
              <w:rPr>
                <w:sz w:val="7"/>
                <w:szCs w:val="7"/>
                <w:color w:val="auto"/>
              </w:rPr>
            </w:pPr>
          </w:p>
        </w:tc>
        <w:tc>
          <w:tcPr>
            <w:tcW w:w="2860" w:type="dxa"/>
            <w:vAlign w:val="bottom"/>
            <w:shd w:val="clear" w:color="auto" w:fill="00558C"/>
          </w:tcPr>
          <w:p>
            <w:pPr>
              <w:spacing w:after="0"/>
              <w:rPr>
                <w:sz w:val="7"/>
                <w:szCs w:val="7"/>
                <w:color w:val="auto"/>
              </w:rPr>
            </w:pPr>
          </w:p>
        </w:tc>
        <w:tc>
          <w:tcPr>
            <w:tcW w:w="3180" w:type="dxa"/>
            <w:vAlign w:val="bottom"/>
            <w:shd w:val="clear" w:color="auto" w:fill="00558C"/>
          </w:tcPr>
          <w:p>
            <w:pPr>
              <w:spacing w:after="0"/>
              <w:rPr>
                <w:sz w:val="7"/>
                <w:szCs w:val="7"/>
                <w:color w:val="auto"/>
              </w:rPr>
            </w:pPr>
          </w:p>
        </w:tc>
      </w:tr>
      <w:tr>
        <w:trPr>
          <w:trHeight w:val="289"/>
        </w:trPr>
        <w:tc>
          <w:tcPr>
            <w:tcW w:w="3040" w:type="dxa"/>
            <w:vAlign w:val="bottom"/>
            <w:shd w:val="clear" w:color="auto" w:fill="F2F3F2"/>
          </w:tcPr>
          <w:p>
            <w:pPr>
              <w:ind w:left="140"/>
              <w:spacing w:after="0"/>
              <w:rPr>
                <w:sz w:val="20"/>
                <w:szCs w:val="20"/>
                <w:color w:val="auto"/>
              </w:rPr>
            </w:pPr>
            <w:r>
              <w:rPr>
                <w:rFonts w:ascii="Arial" w:cs="Arial" w:eastAsia="Arial" w:hAnsi="Arial"/>
                <w:sz w:val="14"/>
                <w:szCs w:val="14"/>
                <w:color w:val="auto"/>
              </w:rPr>
              <w:t>CBIZ, Inc.</w:t>
            </w:r>
          </w:p>
        </w:tc>
        <w:tc>
          <w:tcPr>
            <w:tcW w:w="2860" w:type="dxa"/>
            <w:vAlign w:val="bottom"/>
            <w:shd w:val="clear" w:color="auto" w:fill="F2F3F2"/>
          </w:tcPr>
          <w:p>
            <w:pPr>
              <w:ind w:left="120"/>
              <w:spacing w:after="0"/>
              <w:rPr>
                <w:sz w:val="20"/>
                <w:szCs w:val="20"/>
                <w:color w:val="auto"/>
              </w:rPr>
            </w:pPr>
            <w:r>
              <w:rPr>
                <w:rFonts w:ascii="Arial" w:cs="Arial" w:eastAsia="Arial" w:hAnsi="Arial"/>
                <w:sz w:val="14"/>
                <w:szCs w:val="14"/>
                <w:color w:val="auto"/>
              </w:rPr>
              <w:t>FTI Consulting Inc.</w:t>
            </w:r>
          </w:p>
        </w:tc>
        <w:tc>
          <w:tcPr>
            <w:tcW w:w="3180" w:type="dxa"/>
            <w:vAlign w:val="bottom"/>
            <w:shd w:val="clear" w:color="auto" w:fill="F2F3F2"/>
          </w:tcPr>
          <w:p>
            <w:pPr>
              <w:ind w:left="280"/>
              <w:spacing w:after="0"/>
              <w:rPr>
                <w:sz w:val="20"/>
                <w:szCs w:val="20"/>
                <w:color w:val="auto"/>
              </w:rPr>
            </w:pPr>
            <w:r>
              <w:rPr>
                <w:rFonts w:ascii="Arial" w:cs="Arial" w:eastAsia="Arial" w:hAnsi="Arial"/>
                <w:sz w:val="14"/>
                <w:szCs w:val="14"/>
                <w:color w:val="auto"/>
              </w:rPr>
              <w:t>NextGen Healthcare, Inc.</w:t>
            </w:r>
          </w:p>
        </w:tc>
      </w:tr>
      <w:tr>
        <w:trPr>
          <w:trHeight w:val="76"/>
        </w:trPr>
        <w:tc>
          <w:tcPr>
            <w:tcW w:w="3040" w:type="dxa"/>
            <w:vAlign w:val="bottom"/>
            <w:shd w:val="clear" w:color="auto" w:fill="F2F3F2"/>
          </w:tcPr>
          <w:p>
            <w:pPr>
              <w:spacing w:after="0"/>
              <w:rPr>
                <w:sz w:val="6"/>
                <w:szCs w:val="6"/>
                <w:color w:val="auto"/>
              </w:rPr>
            </w:pPr>
          </w:p>
        </w:tc>
        <w:tc>
          <w:tcPr>
            <w:tcW w:w="2860" w:type="dxa"/>
            <w:vAlign w:val="bottom"/>
            <w:shd w:val="clear" w:color="auto" w:fill="F2F3F2"/>
          </w:tcPr>
          <w:p>
            <w:pPr>
              <w:spacing w:after="0"/>
              <w:rPr>
                <w:sz w:val="6"/>
                <w:szCs w:val="6"/>
                <w:color w:val="auto"/>
              </w:rPr>
            </w:pPr>
          </w:p>
        </w:tc>
        <w:tc>
          <w:tcPr>
            <w:tcW w:w="3180" w:type="dxa"/>
            <w:vAlign w:val="bottom"/>
            <w:shd w:val="clear" w:color="auto" w:fill="F2F3F2"/>
          </w:tcPr>
          <w:p>
            <w:pPr>
              <w:spacing w:after="0"/>
              <w:rPr>
                <w:sz w:val="6"/>
                <w:szCs w:val="6"/>
                <w:color w:val="auto"/>
              </w:rPr>
            </w:pPr>
          </w:p>
        </w:tc>
      </w:tr>
      <w:tr>
        <w:trPr>
          <w:trHeight w:val="289"/>
        </w:trPr>
        <w:tc>
          <w:tcPr>
            <w:tcW w:w="3040" w:type="dxa"/>
            <w:vAlign w:val="bottom"/>
          </w:tcPr>
          <w:p>
            <w:pPr>
              <w:ind w:left="140"/>
              <w:spacing w:after="0"/>
              <w:rPr>
                <w:sz w:val="20"/>
                <w:szCs w:val="20"/>
                <w:color w:val="auto"/>
              </w:rPr>
            </w:pPr>
            <w:r>
              <w:rPr>
                <w:rFonts w:ascii="Arial" w:cs="Arial" w:eastAsia="Arial" w:hAnsi="Arial"/>
                <w:sz w:val="14"/>
                <w:szCs w:val="14"/>
                <w:color w:val="auto"/>
              </w:rPr>
              <w:t>CRA International, Inc.</w:t>
            </w:r>
          </w:p>
        </w:tc>
        <w:tc>
          <w:tcPr>
            <w:tcW w:w="2860" w:type="dxa"/>
            <w:vAlign w:val="bottom"/>
          </w:tcPr>
          <w:p>
            <w:pPr>
              <w:ind w:left="120"/>
              <w:spacing w:after="0"/>
              <w:rPr>
                <w:sz w:val="20"/>
                <w:szCs w:val="20"/>
                <w:color w:val="auto"/>
              </w:rPr>
            </w:pPr>
            <w:r>
              <w:rPr>
                <w:rFonts w:ascii="Arial" w:cs="Arial" w:eastAsia="Arial" w:hAnsi="Arial"/>
                <w:sz w:val="14"/>
                <w:szCs w:val="14"/>
                <w:color w:val="auto"/>
              </w:rPr>
              <w:t>Heidrick &amp; Struggles International, Inc.</w:t>
            </w:r>
          </w:p>
        </w:tc>
        <w:tc>
          <w:tcPr>
            <w:tcW w:w="3180" w:type="dxa"/>
            <w:vAlign w:val="bottom"/>
          </w:tcPr>
          <w:p>
            <w:pPr>
              <w:ind w:left="280"/>
              <w:spacing w:after="0"/>
              <w:rPr>
                <w:sz w:val="20"/>
                <w:szCs w:val="20"/>
                <w:color w:val="auto"/>
              </w:rPr>
            </w:pPr>
            <w:r>
              <w:rPr>
                <w:rFonts w:ascii="Arial" w:cs="Arial" w:eastAsia="Arial" w:hAnsi="Arial"/>
                <w:sz w:val="14"/>
                <w:szCs w:val="14"/>
                <w:color w:val="auto"/>
              </w:rPr>
              <w:t>Premier, Inc.</w:t>
            </w:r>
          </w:p>
        </w:tc>
      </w:tr>
      <w:tr>
        <w:trPr>
          <w:trHeight w:val="75"/>
        </w:trPr>
        <w:tc>
          <w:tcPr>
            <w:tcW w:w="3040" w:type="dxa"/>
            <w:vAlign w:val="bottom"/>
          </w:tcPr>
          <w:p>
            <w:pPr>
              <w:spacing w:after="0"/>
              <w:rPr>
                <w:sz w:val="6"/>
                <w:szCs w:val="6"/>
                <w:color w:val="auto"/>
              </w:rPr>
            </w:pPr>
          </w:p>
        </w:tc>
        <w:tc>
          <w:tcPr>
            <w:tcW w:w="2860" w:type="dxa"/>
            <w:vAlign w:val="bottom"/>
          </w:tcPr>
          <w:p>
            <w:pPr>
              <w:spacing w:after="0"/>
              <w:rPr>
                <w:sz w:val="6"/>
                <w:szCs w:val="6"/>
                <w:color w:val="auto"/>
              </w:rPr>
            </w:pPr>
          </w:p>
        </w:tc>
        <w:tc>
          <w:tcPr>
            <w:tcW w:w="3180" w:type="dxa"/>
            <w:vAlign w:val="bottom"/>
          </w:tcPr>
          <w:p>
            <w:pPr>
              <w:spacing w:after="0"/>
              <w:rPr>
                <w:sz w:val="6"/>
                <w:szCs w:val="6"/>
                <w:color w:val="auto"/>
              </w:rPr>
            </w:pPr>
          </w:p>
        </w:tc>
      </w:tr>
      <w:tr>
        <w:trPr>
          <w:trHeight w:val="289"/>
        </w:trPr>
        <w:tc>
          <w:tcPr>
            <w:tcW w:w="3040" w:type="dxa"/>
            <w:vAlign w:val="bottom"/>
            <w:shd w:val="clear" w:color="auto" w:fill="F2F3F2"/>
          </w:tcPr>
          <w:p>
            <w:pPr>
              <w:ind w:left="140"/>
              <w:spacing w:after="0"/>
              <w:rPr>
                <w:sz w:val="20"/>
                <w:szCs w:val="20"/>
                <w:color w:val="auto"/>
              </w:rPr>
            </w:pPr>
            <w:r>
              <w:rPr>
                <w:rFonts w:ascii="Arial" w:cs="Arial" w:eastAsia="Arial" w:hAnsi="Arial"/>
                <w:sz w:val="14"/>
                <w:szCs w:val="14"/>
                <w:color w:val="auto"/>
              </w:rPr>
              <w:t>Dun &amp; Bradstreet Holdings, Inc.</w:t>
            </w:r>
          </w:p>
        </w:tc>
        <w:tc>
          <w:tcPr>
            <w:tcW w:w="2860" w:type="dxa"/>
            <w:vAlign w:val="bottom"/>
            <w:shd w:val="clear" w:color="auto" w:fill="F2F3F2"/>
          </w:tcPr>
          <w:p>
            <w:pPr>
              <w:ind w:left="120"/>
              <w:spacing w:after="0"/>
              <w:rPr>
                <w:sz w:val="20"/>
                <w:szCs w:val="20"/>
                <w:color w:val="auto"/>
              </w:rPr>
            </w:pPr>
            <w:r>
              <w:rPr>
                <w:rFonts w:ascii="Arial" w:cs="Arial" w:eastAsia="Arial" w:hAnsi="Arial"/>
                <w:sz w:val="14"/>
                <w:szCs w:val="14"/>
                <w:color w:val="auto"/>
              </w:rPr>
              <w:t>ICF International, Inc.</w:t>
            </w:r>
          </w:p>
        </w:tc>
        <w:tc>
          <w:tcPr>
            <w:tcW w:w="3180" w:type="dxa"/>
            <w:vAlign w:val="bottom"/>
            <w:shd w:val="clear" w:color="auto" w:fill="F2F3F2"/>
          </w:tcPr>
          <w:p>
            <w:pPr>
              <w:ind w:left="280"/>
              <w:spacing w:after="0"/>
              <w:rPr>
                <w:sz w:val="20"/>
                <w:szCs w:val="20"/>
                <w:color w:val="auto"/>
              </w:rPr>
            </w:pPr>
            <w:r>
              <w:rPr>
                <w:rFonts w:ascii="Arial" w:cs="Arial" w:eastAsia="Arial" w:hAnsi="Arial"/>
                <w:sz w:val="14"/>
                <w:szCs w:val="14"/>
                <w:color w:val="auto"/>
              </w:rPr>
              <w:t>Perficient, Inc.</w:t>
            </w:r>
          </w:p>
        </w:tc>
      </w:tr>
      <w:tr>
        <w:trPr>
          <w:trHeight w:val="76"/>
        </w:trPr>
        <w:tc>
          <w:tcPr>
            <w:tcW w:w="3040" w:type="dxa"/>
            <w:vAlign w:val="bottom"/>
            <w:shd w:val="clear" w:color="auto" w:fill="F2F3F2"/>
          </w:tcPr>
          <w:p>
            <w:pPr>
              <w:spacing w:after="0"/>
              <w:rPr>
                <w:sz w:val="6"/>
                <w:szCs w:val="6"/>
                <w:color w:val="auto"/>
              </w:rPr>
            </w:pPr>
          </w:p>
        </w:tc>
        <w:tc>
          <w:tcPr>
            <w:tcW w:w="2860" w:type="dxa"/>
            <w:vAlign w:val="bottom"/>
            <w:shd w:val="clear" w:color="auto" w:fill="F2F3F2"/>
          </w:tcPr>
          <w:p>
            <w:pPr>
              <w:spacing w:after="0"/>
              <w:rPr>
                <w:sz w:val="6"/>
                <w:szCs w:val="6"/>
                <w:color w:val="auto"/>
              </w:rPr>
            </w:pPr>
          </w:p>
        </w:tc>
        <w:tc>
          <w:tcPr>
            <w:tcW w:w="3180" w:type="dxa"/>
            <w:vAlign w:val="bottom"/>
            <w:shd w:val="clear" w:color="auto" w:fill="F2F3F2"/>
          </w:tcPr>
          <w:p>
            <w:pPr>
              <w:spacing w:after="0"/>
              <w:rPr>
                <w:sz w:val="6"/>
                <w:szCs w:val="6"/>
                <w:color w:val="auto"/>
              </w:rPr>
            </w:pPr>
          </w:p>
        </w:tc>
      </w:tr>
      <w:tr>
        <w:trPr>
          <w:trHeight w:val="289"/>
        </w:trPr>
        <w:tc>
          <w:tcPr>
            <w:tcW w:w="3040" w:type="dxa"/>
            <w:vAlign w:val="bottom"/>
          </w:tcPr>
          <w:p>
            <w:pPr>
              <w:ind w:left="140"/>
              <w:spacing w:after="0"/>
              <w:rPr>
                <w:sz w:val="20"/>
                <w:szCs w:val="20"/>
                <w:color w:val="auto"/>
              </w:rPr>
            </w:pPr>
            <w:r>
              <w:rPr>
                <w:rFonts w:ascii="Arial" w:cs="Arial" w:eastAsia="Arial" w:hAnsi="Arial"/>
                <w:sz w:val="14"/>
                <w:szCs w:val="14"/>
                <w:color w:val="auto"/>
              </w:rPr>
              <w:t>Evolent Health, Inc.</w:t>
            </w:r>
          </w:p>
        </w:tc>
        <w:tc>
          <w:tcPr>
            <w:tcW w:w="2860" w:type="dxa"/>
            <w:vAlign w:val="bottom"/>
          </w:tcPr>
          <w:p>
            <w:pPr>
              <w:ind w:left="120"/>
              <w:spacing w:after="0"/>
              <w:rPr>
                <w:sz w:val="20"/>
                <w:szCs w:val="20"/>
                <w:color w:val="auto"/>
              </w:rPr>
            </w:pPr>
            <w:r>
              <w:rPr>
                <w:rFonts w:ascii="Arial" w:cs="Arial" w:eastAsia="Arial" w:hAnsi="Arial"/>
                <w:sz w:val="14"/>
                <w:szCs w:val="14"/>
                <w:color w:val="auto"/>
              </w:rPr>
              <w:t>Korn Ferry</w:t>
            </w:r>
          </w:p>
        </w:tc>
        <w:tc>
          <w:tcPr>
            <w:tcW w:w="3180" w:type="dxa"/>
            <w:vAlign w:val="bottom"/>
          </w:tcPr>
          <w:p>
            <w:pPr>
              <w:ind w:left="280"/>
              <w:spacing w:after="0"/>
              <w:rPr>
                <w:sz w:val="20"/>
                <w:szCs w:val="20"/>
                <w:color w:val="auto"/>
              </w:rPr>
            </w:pPr>
            <w:r>
              <w:rPr>
                <w:rFonts w:ascii="Arial" w:cs="Arial" w:eastAsia="Arial" w:hAnsi="Arial"/>
                <w:sz w:val="14"/>
                <w:szCs w:val="14"/>
                <w:color w:val="auto"/>
              </w:rPr>
              <w:t>R1 RCM, Inc.</w:t>
            </w:r>
          </w:p>
        </w:tc>
      </w:tr>
      <w:tr>
        <w:trPr>
          <w:trHeight w:val="76"/>
        </w:trPr>
        <w:tc>
          <w:tcPr>
            <w:tcW w:w="3040" w:type="dxa"/>
            <w:vAlign w:val="bottom"/>
          </w:tcPr>
          <w:p>
            <w:pPr>
              <w:spacing w:after="0"/>
              <w:rPr>
                <w:sz w:val="6"/>
                <w:szCs w:val="6"/>
                <w:color w:val="auto"/>
              </w:rPr>
            </w:pPr>
          </w:p>
        </w:tc>
        <w:tc>
          <w:tcPr>
            <w:tcW w:w="2860" w:type="dxa"/>
            <w:vAlign w:val="bottom"/>
          </w:tcPr>
          <w:p>
            <w:pPr>
              <w:spacing w:after="0"/>
              <w:rPr>
                <w:sz w:val="6"/>
                <w:szCs w:val="6"/>
                <w:color w:val="auto"/>
              </w:rPr>
            </w:pPr>
          </w:p>
        </w:tc>
        <w:tc>
          <w:tcPr>
            <w:tcW w:w="3180" w:type="dxa"/>
            <w:vAlign w:val="bottom"/>
          </w:tcPr>
          <w:p>
            <w:pPr>
              <w:spacing w:after="0"/>
              <w:rPr>
                <w:sz w:val="6"/>
                <w:szCs w:val="6"/>
                <w:color w:val="auto"/>
              </w:rPr>
            </w:pPr>
          </w:p>
        </w:tc>
      </w:tr>
      <w:tr>
        <w:trPr>
          <w:trHeight w:val="289"/>
        </w:trPr>
        <w:tc>
          <w:tcPr>
            <w:tcW w:w="3040" w:type="dxa"/>
            <w:vAlign w:val="bottom"/>
            <w:shd w:val="clear" w:color="auto" w:fill="F2F3F2"/>
          </w:tcPr>
          <w:p>
            <w:pPr>
              <w:ind w:left="140"/>
              <w:spacing w:after="0"/>
              <w:rPr>
                <w:sz w:val="20"/>
                <w:szCs w:val="20"/>
                <w:color w:val="auto"/>
              </w:rPr>
            </w:pPr>
            <w:r>
              <w:rPr>
                <w:rFonts w:ascii="Arial" w:cs="Arial" w:eastAsia="Arial" w:hAnsi="Arial"/>
                <w:sz w:val="14"/>
                <w:szCs w:val="14"/>
                <w:color w:val="auto"/>
              </w:rPr>
              <w:t>Exponent, Inc.</w:t>
            </w:r>
          </w:p>
        </w:tc>
        <w:tc>
          <w:tcPr>
            <w:tcW w:w="2860" w:type="dxa"/>
            <w:vAlign w:val="bottom"/>
            <w:shd w:val="clear" w:color="auto" w:fill="F2F3F2"/>
          </w:tcPr>
          <w:p>
            <w:pPr>
              <w:ind w:left="120"/>
              <w:spacing w:after="0"/>
              <w:rPr>
                <w:sz w:val="20"/>
                <w:szCs w:val="20"/>
                <w:color w:val="auto"/>
              </w:rPr>
            </w:pPr>
            <w:r>
              <w:rPr>
                <w:rFonts w:ascii="Arial" w:cs="Arial" w:eastAsia="Arial" w:hAnsi="Arial"/>
                <w:sz w:val="14"/>
                <w:szCs w:val="14"/>
                <w:color w:val="auto"/>
              </w:rPr>
              <w:t>LiveRamp Holdings, Inc.</w:t>
            </w:r>
          </w:p>
        </w:tc>
        <w:tc>
          <w:tcPr>
            <w:tcW w:w="3180" w:type="dxa"/>
            <w:vAlign w:val="bottom"/>
            <w:shd w:val="clear" w:color="auto" w:fill="F2F3F2"/>
          </w:tcPr>
          <w:p>
            <w:pPr>
              <w:ind w:left="280"/>
              <w:spacing w:after="0"/>
              <w:rPr>
                <w:sz w:val="20"/>
                <w:szCs w:val="20"/>
                <w:color w:val="auto"/>
              </w:rPr>
            </w:pPr>
            <w:r>
              <w:rPr>
                <w:rFonts w:ascii="Arial" w:cs="Arial" w:eastAsia="Arial" w:hAnsi="Arial"/>
                <w:sz w:val="14"/>
                <w:szCs w:val="14"/>
                <w:color w:val="auto"/>
              </w:rPr>
              <w:t>Resources Connection, Inc.</w:t>
            </w:r>
          </w:p>
        </w:tc>
      </w:tr>
      <w:tr>
        <w:trPr>
          <w:trHeight w:val="76"/>
        </w:trPr>
        <w:tc>
          <w:tcPr>
            <w:tcW w:w="3040" w:type="dxa"/>
            <w:vAlign w:val="bottom"/>
            <w:tcBorders>
              <w:bottom w:val="single" w:sz="8" w:color="B2B3B6"/>
            </w:tcBorders>
            <w:shd w:val="clear" w:color="auto" w:fill="F2F3F2"/>
          </w:tcPr>
          <w:p>
            <w:pPr>
              <w:spacing w:after="0"/>
              <w:rPr>
                <w:sz w:val="6"/>
                <w:szCs w:val="6"/>
                <w:color w:val="auto"/>
              </w:rPr>
            </w:pPr>
          </w:p>
        </w:tc>
        <w:tc>
          <w:tcPr>
            <w:tcW w:w="2860" w:type="dxa"/>
            <w:vAlign w:val="bottom"/>
            <w:tcBorders>
              <w:bottom w:val="single" w:sz="8" w:color="B2B3B6"/>
            </w:tcBorders>
            <w:shd w:val="clear" w:color="auto" w:fill="F2F3F2"/>
          </w:tcPr>
          <w:p>
            <w:pPr>
              <w:spacing w:after="0"/>
              <w:rPr>
                <w:sz w:val="6"/>
                <w:szCs w:val="6"/>
                <w:color w:val="auto"/>
              </w:rPr>
            </w:pPr>
          </w:p>
        </w:tc>
        <w:tc>
          <w:tcPr>
            <w:tcW w:w="3180" w:type="dxa"/>
            <w:vAlign w:val="bottom"/>
            <w:tcBorders>
              <w:bottom w:val="single" w:sz="8" w:color="B2B3B6"/>
            </w:tcBorders>
            <w:shd w:val="clear" w:color="auto" w:fill="F2F3F2"/>
          </w:tcPr>
          <w:p>
            <w:pPr>
              <w:spacing w:after="0"/>
              <w:rPr>
                <w:sz w:val="6"/>
                <w:szCs w:val="6"/>
                <w:color w:val="auto"/>
              </w:rPr>
            </w:pPr>
          </w:p>
        </w:tc>
      </w:tr>
    </w:tbl>
    <w:p>
      <w:pPr>
        <w:spacing w:after="0" w:line="229" w:lineRule="exact"/>
        <w:rPr>
          <w:sz w:val="20"/>
          <w:szCs w:val="20"/>
          <w:color w:val="auto"/>
        </w:rPr>
      </w:pPr>
    </w:p>
    <w:p>
      <w:pPr>
        <w:ind w:right="60"/>
        <w:spacing w:after="0" w:line="268" w:lineRule="auto"/>
        <w:rPr>
          <w:sz w:val="20"/>
          <w:szCs w:val="20"/>
          <w:color w:val="auto"/>
        </w:rPr>
      </w:pPr>
      <w:r>
        <w:rPr>
          <w:rFonts w:ascii="Arial" w:cs="Arial" w:eastAsia="Arial" w:hAnsi="Arial"/>
          <w:sz w:val="16"/>
          <w:szCs w:val="16"/>
          <w:color w:val="auto"/>
        </w:rPr>
        <w:t>Huron's relative positioning of revenue and market capitalization to the selected peer group as of October 2023 when the peer group was approved:</w:t>
      </w:r>
    </w:p>
    <w:p>
      <w:pPr>
        <w:spacing w:after="0" w:line="179" w:lineRule="exact"/>
        <w:rPr>
          <w:sz w:val="20"/>
          <w:szCs w:val="20"/>
          <w:color w:val="auto"/>
        </w:rPr>
      </w:pPr>
    </w:p>
    <w:tbl>
      <w:tblPr>
        <w:tblLayout w:type="fixed"/>
        <w:tblInd w:w="760" w:type="dxa"/>
        <w:tblCellMar>
          <w:top w:w="0" w:type="dxa"/>
          <w:left w:w="0" w:type="dxa"/>
          <w:bottom w:w="0" w:type="dxa"/>
          <w:right w:w="0" w:type="dxa"/>
        </w:tblCellMar>
      </w:tblPr>
      <w:tr>
        <w:trPr>
          <w:trHeight w:val="172"/>
        </w:trPr>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6AAA37"/>
                <w:w w:val="98"/>
              </w:rPr>
              <w:t>Revenues (Percentile)</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560" w:type="dxa"/>
            <w:vAlign w:val="bottom"/>
            <w:gridSpan w:val="6"/>
          </w:tcPr>
          <w:p>
            <w:pPr>
              <w:jc w:val="right"/>
              <w:ind w:right="360"/>
              <w:spacing w:after="0"/>
              <w:rPr>
                <w:sz w:val="20"/>
                <w:szCs w:val="20"/>
                <w:color w:val="auto"/>
              </w:rPr>
            </w:pPr>
            <w:r>
              <w:rPr>
                <w:rFonts w:ascii="Arial" w:cs="Arial" w:eastAsia="Arial" w:hAnsi="Arial"/>
                <w:sz w:val="13"/>
                <w:szCs w:val="13"/>
                <w:b w:val="1"/>
                <w:bCs w:val="1"/>
                <w:color w:val="6AAA37"/>
              </w:rPr>
              <w:t>Market Capitalization (Percentile)</w:t>
            </w:r>
          </w:p>
        </w:tc>
        <w:tc>
          <w:tcPr>
            <w:tcW w:w="560" w:type="dxa"/>
            <w:vAlign w:val="bottom"/>
          </w:tcPr>
          <w:p>
            <w:pPr>
              <w:spacing w:after="0"/>
              <w:rPr>
                <w:sz w:val="14"/>
                <w:szCs w:val="14"/>
                <w:color w:val="auto"/>
              </w:rPr>
            </w:pPr>
          </w:p>
        </w:tc>
      </w:tr>
      <w:tr>
        <w:trPr>
          <w:trHeight w:val="305"/>
        </w:trPr>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2"/>
          </w:tcPr>
          <w:p>
            <w:pPr>
              <w:jc w:val="right"/>
              <w:ind w:right="840"/>
              <w:spacing w:after="0"/>
              <w:rPr>
                <w:sz w:val="20"/>
                <w:szCs w:val="20"/>
                <w:color w:val="auto"/>
              </w:rPr>
            </w:pPr>
            <w:r>
              <w:rPr>
                <w:rFonts w:ascii="Arial" w:cs="Arial" w:eastAsia="Arial" w:hAnsi="Arial"/>
                <w:sz w:val="22"/>
                <w:szCs w:val="22"/>
                <w:color w:val="6AAA37"/>
              </w:rPr>
              <w:t>q</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jc w:val="right"/>
              <w:ind w:right="212"/>
              <w:spacing w:after="0"/>
              <w:rPr>
                <w:sz w:val="20"/>
                <w:szCs w:val="20"/>
                <w:color w:val="auto"/>
              </w:rPr>
            </w:pPr>
            <w:r>
              <w:rPr>
                <w:rFonts w:ascii="Arial" w:cs="Arial" w:eastAsia="Arial" w:hAnsi="Arial"/>
                <w:sz w:val="22"/>
                <w:szCs w:val="22"/>
                <w:color w:val="6AAA37"/>
              </w:rPr>
              <w:t>q</w:t>
            </w: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75"/>
        </w:trPr>
        <w:tc>
          <w:tcPr>
            <w:tcW w:w="440" w:type="dxa"/>
            <w:vAlign w:val="bottom"/>
            <w:shd w:val="clear" w:color="auto" w:fill="00558C"/>
          </w:tcPr>
          <w:p>
            <w:pPr>
              <w:spacing w:after="0"/>
              <w:rPr>
                <w:sz w:val="15"/>
                <w:szCs w:val="15"/>
                <w:color w:val="auto"/>
              </w:rPr>
            </w:pPr>
          </w:p>
        </w:tc>
        <w:tc>
          <w:tcPr>
            <w:tcW w:w="460" w:type="dxa"/>
            <w:vAlign w:val="bottom"/>
            <w:tcBorders>
              <w:right w:val="single" w:sz="8" w:color="00558C"/>
            </w:tcBorders>
            <w:shd w:val="clear" w:color="auto" w:fill="00558C"/>
          </w:tcPr>
          <w:p>
            <w:pPr>
              <w:spacing w:after="0"/>
              <w:rPr>
                <w:sz w:val="15"/>
                <w:szCs w:val="15"/>
                <w:color w:val="auto"/>
              </w:rPr>
            </w:pPr>
          </w:p>
        </w:tc>
        <w:tc>
          <w:tcPr>
            <w:tcW w:w="100" w:type="dxa"/>
            <w:vAlign w:val="bottom"/>
            <w:shd w:val="clear" w:color="auto" w:fill="00558C"/>
          </w:tcPr>
          <w:p>
            <w:pPr>
              <w:spacing w:after="0"/>
              <w:rPr>
                <w:sz w:val="15"/>
                <w:szCs w:val="15"/>
                <w:color w:val="auto"/>
              </w:rPr>
            </w:pPr>
          </w:p>
        </w:tc>
        <w:tc>
          <w:tcPr>
            <w:tcW w:w="800" w:type="dxa"/>
            <w:vAlign w:val="bottom"/>
            <w:tcBorders>
              <w:right w:val="single" w:sz="8" w:color="00558C"/>
            </w:tcBorders>
            <w:shd w:val="clear" w:color="auto" w:fill="00558C"/>
          </w:tcPr>
          <w:p>
            <w:pPr>
              <w:spacing w:after="0"/>
              <w:rPr>
                <w:sz w:val="15"/>
                <w:szCs w:val="15"/>
                <w:color w:val="auto"/>
              </w:rPr>
            </w:pPr>
          </w:p>
        </w:tc>
        <w:tc>
          <w:tcPr>
            <w:tcW w:w="680" w:type="dxa"/>
            <w:vAlign w:val="bottom"/>
            <w:shd w:val="clear" w:color="auto" w:fill="00558C"/>
          </w:tcPr>
          <w:p>
            <w:pPr>
              <w:spacing w:after="0"/>
              <w:rPr>
                <w:sz w:val="15"/>
                <w:szCs w:val="15"/>
                <w:color w:val="auto"/>
              </w:rPr>
            </w:pPr>
          </w:p>
        </w:tc>
        <w:tc>
          <w:tcPr>
            <w:tcW w:w="200" w:type="dxa"/>
            <w:vAlign w:val="bottom"/>
            <w:tcBorders>
              <w:right w:val="single" w:sz="8" w:color="00558C"/>
            </w:tcBorders>
            <w:shd w:val="clear" w:color="auto" w:fill="00558C"/>
          </w:tcPr>
          <w:p>
            <w:pPr>
              <w:spacing w:after="0"/>
              <w:rPr>
                <w:sz w:val="15"/>
                <w:szCs w:val="15"/>
                <w:color w:val="auto"/>
              </w:rPr>
            </w:pPr>
          </w:p>
        </w:tc>
        <w:tc>
          <w:tcPr>
            <w:tcW w:w="320" w:type="dxa"/>
            <w:vAlign w:val="bottom"/>
            <w:shd w:val="clear" w:color="auto" w:fill="00558C"/>
          </w:tcPr>
          <w:p>
            <w:pPr>
              <w:spacing w:after="0"/>
              <w:rPr>
                <w:sz w:val="15"/>
                <w:szCs w:val="15"/>
                <w:color w:val="auto"/>
              </w:rPr>
            </w:pPr>
          </w:p>
        </w:tc>
        <w:tc>
          <w:tcPr>
            <w:tcW w:w="560" w:type="dxa"/>
            <w:vAlign w:val="bottom"/>
            <w:shd w:val="clear" w:color="auto" w:fill="00558C"/>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shd w:val="clear" w:color="auto" w:fill="00558C"/>
          </w:tcPr>
          <w:p>
            <w:pPr>
              <w:spacing w:after="0"/>
              <w:rPr>
                <w:sz w:val="15"/>
                <w:szCs w:val="15"/>
                <w:color w:val="auto"/>
              </w:rPr>
            </w:pPr>
          </w:p>
        </w:tc>
        <w:tc>
          <w:tcPr>
            <w:tcW w:w="460" w:type="dxa"/>
            <w:vAlign w:val="bottom"/>
            <w:tcBorders>
              <w:right w:val="single" w:sz="8" w:color="00558C"/>
            </w:tcBorders>
            <w:shd w:val="clear" w:color="auto" w:fill="00558C"/>
          </w:tcPr>
          <w:p>
            <w:pPr>
              <w:spacing w:after="0"/>
              <w:rPr>
                <w:sz w:val="15"/>
                <w:szCs w:val="15"/>
                <w:color w:val="auto"/>
              </w:rPr>
            </w:pPr>
          </w:p>
        </w:tc>
        <w:tc>
          <w:tcPr>
            <w:tcW w:w="480" w:type="dxa"/>
            <w:vAlign w:val="bottom"/>
            <w:shd w:val="clear" w:color="auto" w:fill="00558C"/>
          </w:tcPr>
          <w:p>
            <w:pPr>
              <w:spacing w:after="0"/>
              <w:rPr>
                <w:sz w:val="15"/>
                <w:szCs w:val="15"/>
                <w:color w:val="auto"/>
              </w:rPr>
            </w:pPr>
          </w:p>
        </w:tc>
        <w:tc>
          <w:tcPr>
            <w:tcW w:w="420" w:type="dxa"/>
            <w:vAlign w:val="bottom"/>
            <w:tcBorders>
              <w:right w:val="single" w:sz="8" w:color="00558C"/>
            </w:tcBorders>
            <w:shd w:val="clear" w:color="auto" w:fill="00558C"/>
          </w:tcPr>
          <w:p>
            <w:pPr>
              <w:spacing w:after="0"/>
              <w:rPr>
                <w:sz w:val="15"/>
                <w:szCs w:val="15"/>
                <w:color w:val="auto"/>
              </w:rPr>
            </w:pPr>
          </w:p>
        </w:tc>
        <w:tc>
          <w:tcPr>
            <w:tcW w:w="420" w:type="dxa"/>
            <w:vAlign w:val="bottom"/>
            <w:shd w:val="clear" w:color="auto" w:fill="00558C"/>
          </w:tcPr>
          <w:p>
            <w:pPr>
              <w:spacing w:after="0"/>
              <w:rPr>
                <w:sz w:val="15"/>
                <w:szCs w:val="15"/>
                <w:color w:val="auto"/>
              </w:rPr>
            </w:pPr>
          </w:p>
        </w:tc>
        <w:tc>
          <w:tcPr>
            <w:tcW w:w="460" w:type="dxa"/>
            <w:vAlign w:val="bottom"/>
            <w:tcBorders>
              <w:right w:val="single" w:sz="8" w:color="00558C"/>
            </w:tcBorders>
            <w:shd w:val="clear" w:color="auto" w:fill="00558C"/>
          </w:tcPr>
          <w:p>
            <w:pPr>
              <w:spacing w:after="0"/>
              <w:rPr>
                <w:sz w:val="15"/>
                <w:szCs w:val="15"/>
                <w:color w:val="auto"/>
              </w:rPr>
            </w:pPr>
          </w:p>
        </w:tc>
        <w:tc>
          <w:tcPr>
            <w:tcW w:w="320" w:type="dxa"/>
            <w:vAlign w:val="bottom"/>
            <w:shd w:val="clear" w:color="auto" w:fill="00558C"/>
          </w:tcPr>
          <w:p>
            <w:pPr>
              <w:spacing w:after="0"/>
              <w:rPr>
                <w:sz w:val="15"/>
                <w:szCs w:val="15"/>
                <w:color w:val="auto"/>
              </w:rPr>
            </w:pPr>
          </w:p>
        </w:tc>
        <w:tc>
          <w:tcPr>
            <w:tcW w:w="560" w:type="dxa"/>
            <w:vAlign w:val="bottom"/>
            <w:shd w:val="clear" w:color="auto" w:fill="00558C"/>
          </w:tcPr>
          <w:p>
            <w:pPr>
              <w:spacing w:after="0"/>
              <w:rPr>
                <w:sz w:val="15"/>
                <w:szCs w:val="15"/>
                <w:color w:val="auto"/>
              </w:rPr>
            </w:pPr>
          </w:p>
        </w:tc>
      </w:tr>
      <w:tr>
        <w:trPr>
          <w:trHeight w:val="176"/>
        </w:trPr>
        <w:tc>
          <w:tcPr>
            <w:tcW w:w="440" w:type="dxa"/>
            <w:vAlign w:val="bottom"/>
            <w:shd w:val="clear" w:color="auto" w:fill="00558C"/>
          </w:tcPr>
          <w:p>
            <w:pPr>
              <w:spacing w:after="0"/>
              <w:rPr>
                <w:sz w:val="15"/>
                <w:szCs w:val="15"/>
                <w:color w:val="auto"/>
              </w:rPr>
            </w:pPr>
          </w:p>
        </w:tc>
        <w:tc>
          <w:tcPr>
            <w:tcW w:w="460" w:type="dxa"/>
            <w:vAlign w:val="bottom"/>
            <w:tcBorders>
              <w:right w:val="single" w:sz="8" w:color="B2B3B6"/>
            </w:tcBorders>
            <w:shd w:val="clear" w:color="auto" w:fill="00558C"/>
          </w:tcPr>
          <w:p>
            <w:pPr>
              <w:spacing w:after="0"/>
              <w:rPr>
                <w:sz w:val="15"/>
                <w:szCs w:val="15"/>
                <w:color w:val="auto"/>
              </w:rPr>
            </w:pPr>
          </w:p>
        </w:tc>
        <w:tc>
          <w:tcPr>
            <w:tcW w:w="100" w:type="dxa"/>
            <w:vAlign w:val="bottom"/>
            <w:shd w:val="clear" w:color="auto" w:fill="00558C"/>
          </w:tcPr>
          <w:p>
            <w:pPr>
              <w:spacing w:after="0"/>
              <w:rPr>
                <w:sz w:val="15"/>
                <w:szCs w:val="15"/>
                <w:color w:val="auto"/>
              </w:rPr>
            </w:pPr>
          </w:p>
        </w:tc>
        <w:tc>
          <w:tcPr>
            <w:tcW w:w="800" w:type="dxa"/>
            <w:vAlign w:val="bottom"/>
            <w:tcBorders>
              <w:right w:val="single" w:sz="8" w:color="B2B3B6"/>
            </w:tcBorders>
            <w:shd w:val="clear" w:color="auto" w:fill="00558C"/>
          </w:tcPr>
          <w:p>
            <w:pPr>
              <w:spacing w:after="0"/>
              <w:rPr>
                <w:sz w:val="15"/>
                <w:szCs w:val="15"/>
                <w:color w:val="auto"/>
              </w:rPr>
            </w:pPr>
          </w:p>
        </w:tc>
        <w:tc>
          <w:tcPr>
            <w:tcW w:w="680" w:type="dxa"/>
            <w:vAlign w:val="bottom"/>
            <w:shd w:val="clear" w:color="auto" w:fill="00558C"/>
          </w:tcPr>
          <w:p>
            <w:pPr>
              <w:spacing w:after="0"/>
              <w:rPr>
                <w:sz w:val="15"/>
                <w:szCs w:val="15"/>
                <w:color w:val="auto"/>
              </w:rPr>
            </w:pPr>
          </w:p>
        </w:tc>
        <w:tc>
          <w:tcPr>
            <w:tcW w:w="200" w:type="dxa"/>
            <w:vAlign w:val="bottom"/>
            <w:tcBorders>
              <w:right w:val="single" w:sz="8" w:color="B2B3B6"/>
            </w:tcBorders>
            <w:shd w:val="clear" w:color="auto" w:fill="00558C"/>
          </w:tcPr>
          <w:p>
            <w:pPr>
              <w:spacing w:after="0"/>
              <w:rPr>
                <w:sz w:val="15"/>
                <w:szCs w:val="15"/>
                <w:color w:val="auto"/>
              </w:rPr>
            </w:pPr>
          </w:p>
        </w:tc>
        <w:tc>
          <w:tcPr>
            <w:tcW w:w="320" w:type="dxa"/>
            <w:vAlign w:val="bottom"/>
            <w:shd w:val="clear" w:color="auto" w:fill="00558C"/>
          </w:tcPr>
          <w:p>
            <w:pPr>
              <w:spacing w:after="0"/>
              <w:rPr>
                <w:sz w:val="15"/>
                <w:szCs w:val="15"/>
                <w:color w:val="auto"/>
              </w:rPr>
            </w:pPr>
          </w:p>
        </w:tc>
        <w:tc>
          <w:tcPr>
            <w:tcW w:w="560" w:type="dxa"/>
            <w:vAlign w:val="bottom"/>
            <w:shd w:val="clear" w:color="auto" w:fill="00558C"/>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shd w:val="clear" w:color="auto" w:fill="00558C"/>
          </w:tcPr>
          <w:p>
            <w:pPr>
              <w:spacing w:after="0"/>
              <w:rPr>
                <w:sz w:val="15"/>
                <w:szCs w:val="15"/>
                <w:color w:val="auto"/>
              </w:rPr>
            </w:pPr>
          </w:p>
        </w:tc>
        <w:tc>
          <w:tcPr>
            <w:tcW w:w="460" w:type="dxa"/>
            <w:vAlign w:val="bottom"/>
            <w:tcBorders>
              <w:right w:val="single" w:sz="8" w:color="B2B3B6"/>
            </w:tcBorders>
            <w:shd w:val="clear" w:color="auto" w:fill="00558C"/>
          </w:tcPr>
          <w:p>
            <w:pPr>
              <w:spacing w:after="0"/>
              <w:rPr>
                <w:sz w:val="15"/>
                <w:szCs w:val="15"/>
                <w:color w:val="auto"/>
              </w:rPr>
            </w:pPr>
          </w:p>
        </w:tc>
        <w:tc>
          <w:tcPr>
            <w:tcW w:w="480" w:type="dxa"/>
            <w:vAlign w:val="bottom"/>
            <w:shd w:val="clear" w:color="auto" w:fill="00558C"/>
          </w:tcPr>
          <w:p>
            <w:pPr>
              <w:spacing w:after="0"/>
              <w:rPr>
                <w:sz w:val="15"/>
                <w:szCs w:val="15"/>
                <w:color w:val="auto"/>
              </w:rPr>
            </w:pPr>
          </w:p>
        </w:tc>
        <w:tc>
          <w:tcPr>
            <w:tcW w:w="420" w:type="dxa"/>
            <w:vAlign w:val="bottom"/>
            <w:tcBorders>
              <w:right w:val="single" w:sz="8" w:color="B2B3B6"/>
            </w:tcBorders>
            <w:shd w:val="clear" w:color="auto" w:fill="00558C"/>
          </w:tcPr>
          <w:p>
            <w:pPr>
              <w:spacing w:after="0"/>
              <w:rPr>
                <w:sz w:val="15"/>
                <w:szCs w:val="15"/>
                <w:color w:val="auto"/>
              </w:rPr>
            </w:pPr>
          </w:p>
        </w:tc>
        <w:tc>
          <w:tcPr>
            <w:tcW w:w="420" w:type="dxa"/>
            <w:vAlign w:val="bottom"/>
            <w:shd w:val="clear" w:color="auto" w:fill="00558C"/>
          </w:tcPr>
          <w:p>
            <w:pPr>
              <w:spacing w:after="0"/>
              <w:rPr>
                <w:sz w:val="15"/>
                <w:szCs w:val="15"/>
                <w:color w:val="auto"/>
              </w:rPr>
            </w:pPr>
          </w:p>
        </w:tc>
        <w:tc>
          <w:tcPr>
            <w:tcW w:w="460" w:type="dxa"/>
            <w:vAlign w:val="bottom"/>
            <w:tcBorders>
              <w:right w:val="single" w:sz="8" w:color="B2B3B6"/>
            </w:tcBorders>
            <w:shd w:val="clear" w:color="auto" w:fill="00558C"/>
          </w:tcPr>
          <w:p>
            <w:pPr>
              <w:spacing w:after="0"/>
              <w:rPr>
                <w:sz w:val="15"/>
                <w:szCs w:val="15"/>
                <w:color w:val="auto"/>
              </w:rPr>
            </w:pPr>
          </w:p>
        </w:tc>
        <w:tc>
          <w:tcPr>
            <w:tcW w:w="320" w:type="dxa"/>
            <w:vAlign w:val="bottom"/>
            <w:shd w:val="clear" w:color="auto" w:fill="00558C"/>
          </w:tcPr>
          <w:p>
            <w:pPr>
              <w:spacing w:after="0"/>
              <w:rPr>
                <w:sz w:val="15"/>
                <w:szCs w:val="15"/>
                <w:color w:val="auto"/>
              </w:rPr>
            </w:pPr>
          </w:p>
        </w:tc>
        <w:tc>
          <w:tcPr>
            <w:tcW w:w="560" w:type="dxa"/>
            <w:vAlign w:val="bottom"/>
            <w:shd w:val="clear" w:color="auto" w:fill="00558C"/>
          </w:tcPr>
          <w:p>
            <w:pPr>
              <w:spacing w:after="0"/>
              <w:rPr>
                <w:sz w:val="15"/>
                <w:szCs w:val="15"/>
                <w:color w:val="auto"/>
              </w:rPr>
            </w:pPr>
          </w:p>
        </w:tc>
      </w:tr>
      <w:tr>
        <w:trPr>
          <w:trHeight w:val="176"/>
        </w:trPr>
        <w:tc>
          <w:tcPr>
            <w:tcW w:w="440" w:type="dxa"/>
            <w:vAlign w:val="bottom"/>
          </w:tcPr>
          <w:p>
            <w:pPr>
              <w:spacing w:after="0"/>
              <w:rPr>
                <w:sz w:val="15"/>
                <w:szCs w:val="15"/>
                <w:color w:val="auto"/>
              </w:rPr>
            </w:pPr>
          </w:p>
        </w:tc>
        <w:tc>
          <w:tcPr>
            <w:tcW w:w="460" w:type="dxa"/>
            <w:vAlign w:val="bottom"/>
            <w:tcBorders>
              <w:right w:val="single" w:sz="8" w:color="B2B3B6"/>
            </w:tcBorders>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Borders>
              <w:right w:val="single" w:sz="8" w:color="B2B3B6"/>
            </w:tcBorders>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Borders>
              <w:right w:val="single" w:sz="8" w:color="B2B3B6"/>
            </w:tcBorders>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0" w:type="dxa"/>
            <w:vAlign w:val="bottom"/>
            <w:tcBorders>
              <w:right w:val="single" w:sz="8" w:color="B2B3B6"/>
            </w:tcBorders>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Borders>
              <w:right w:val="single" w:sz="8" w:color="B2B3B6"/>
            </w:tcBorders>
          </w:tcPr>
          <w:p>
            <w:pPr>
              <w:spacing w:after="0"/>
              <w:rPr>
                <w:sz w:val="15"/>
                <w:szCs w:val="15"/>
                <w:color w:val="auto"/>
              </w:rPr>
            </w:pPr>
          </w:p>
        </w:tc>
        <w:tc>
          <w:tcPr>
            <w:tcW w:w="420" w:type="dxa"/>
            <w:vAlign w:val="bottom"/>
          </w:tcPr>
          <w:p>
            <w:pPr>
              <w:spacing w:after="0"/>
              <w:rPr>
                <w:sz w:val="15"/>
                <w:szCs w:val="15"/>
                <w:color w:val="auto"/>
              </w:rPr>
            </w:pPr>
          </w:p>
        </w:tc>
        <w:tc>
          <w:tcPr>
            <w:tcW w:w="460" w:type="dxa"/>
            <w:vAlign w:val="bottom"/>
            <w:tcBorders>
              <w:right w:val="single" w:sz="8" w:color="B2B3B6"/>
            </w:tcBorders>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248"/>
        </w:trPr>
        <w:tc>
          <w:tcPr>
            <w:tcW w:w="440" w:type="dxa"/>
            <w:vAlign w:val="bottom"/>
          </w:tcPr>
          <w:p>
            <w:pPr>
              <w:jc w:val="right"/>
              <w:ind w:right="248"/>
              <w:spacing w:after="0"/>
              <w:rPr>
                <w:sz w:val="20"/>
                <w:szCs w:val="20"/>
                <w:color w:val="auto"/>
              </w:rPr>
            </w:pPr>
            <w:r>
              <w:rPr>
                <w:rFonts w:ascii="Arial" w:cs="Arial" w:eastAsia="Arial" w:hAnsi="Arial"/>
                <w:sz w:val="14"/>
                <w:szCs w:val="14"/>
                <w:color w:val="auto"/>
              </w:rPr>
              <w:t>0</w:t>
            </w: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rPr>
              <w:t>25</w:t>
            </w:r>
          </w:p>
        </w:tc>
        <w:tc>
          <w:tcPr>
            <w:tcW w:w="1480" w:type="dxa"/>
            <w:vAlign w:val="bottom"/>
            <w:gridSpan w:val="2"/>
          </w:tcPr>
          <w:p>
            <w:pPr>
              <w:jc w:val="right"/>
              <w:ind w:right="620"/>
              <w:spacing w:after="0"/>
              <w:rPr>
                <w:sz w:val="20"/>
                <w:szCs w:val="20"/>
                <w:color w:val="auto"/>
              </w:rPr>
            </w:pPr>
            <w:r>
              <w:rPr>
                <w:rFonts w:ascii="Arial" w:cs="Arial" w:eastAsia="Arial" w:hAnsi="Arial"/>
                <w:sz w:val="14"/>
                <w:szCs w:val="14"/>
                <w:color w:val="auto"/>
              </w:rPr>
              <w:t>50</w:t>
            </w:r>
          </w:p>
        </w:tc>
        <w:tc>
          <w:tcPr>
            <w:tcW w:w="520" w:type="dxa"/>
            <w:vAlign w:val="bottom"/>
            <w:gridSpan w:val="2"/>
          </w:tcPr>
          <w:p>
            <w:pPr>
              <w:jc w:val="right"/>
              <w:ind w:right="260"/>
              <w:spacing w:after="0"/>
              <w:rPr>
                <w:sz w:val="20"/>
                <w:szCs w:val="20"/>
                <w:color w:val="auto"/>
              </w:rPr>
            </w:pPr>
            <w:r>
              <w:rPr>
                <w:rFonts w:ascii="Arial" w:cs="Arial" w:eastAsia="Arial" w:hAnsi="Arial"/>
                <w:sz w:val="14"/>
                <w:szCs w:val="14"/>
                <w:color w:val="auto"/>
              </w:rPr>
              <w:t>75</w:t>
            </w:r>
          </w:p>
        </w:tc>
        <w:tc>
          <w:tcPr>
            <w:tcW w:w="560" w:type="dxa"/>
            <w:vAlign w:val="bottom"/>
          </w:tcPr>
          <w:p>
            <w:pPr>
              <w:jc w:val="right"/>
              <w:spacing w:after="0"/>
              <w:rPr>
                <w:sz w:val="20"/>
                <w:szCs w:val="20"/>
                <w:color w:val="auto"/>
              </w:rPr>
            </w:pPr>
            <w:r>
              <w:rPr>
                <w:rFonts w:ascii="Arial" w:cs="Arial" w:eastAsia="Arial" w:hAnsi="Arial"/>
                <w:sz w:val="14"/>
                <w:szCs w:val="14"/>
                <w:color w:val="auto"/>
              </w:rPr>
              <w:t>100</w:t>
            </w:r>
          </w:p>
        </w:tc>
        <w:tc>
          <w:tcPr>
            <w:tcW w:w="900" w:type="dxa"/>
            <w:vAlign w:val="bottom"/>
            <w:gridSpan w:val="2"/>
          </w:tcPr>
          <w:p>
            <w:pPr>
              <w:jc w:val="right"/>
              <w:ind w:right="320"/>
              <w:spacing w:after="0"/>
              <w:rPr>
                <w:sz w:val="20"/>
                <w:szCs w:val="20"/>
                <w:color w:val="auto"/>
              </w:rPr>
            </w:pPr>
            <w:r>
              <w:rPr>
                <w:rFonts w:ascii="Arial" w:cs="Arial" w:eastAsia="Arial" w:hAnsi="Arial"/>
                <w:sz w:val="14"/>
                <w:szCs w:val="14"/>
                <w:color w:val="auto"/>
              </w:rPr>
              <w:t>0</w:t>
            </w:r>
          </w:p>
        </w:tc>
        <w:tc>
          <w:tcPr>
            <w:tcW w:w="940" w:type="dxa"/>
            <w:vAlign w:val="bottom"/>
            <w:gridSpan w:val="2"/>
          </w:tcPr>
          <w:p>
            <w:pPr>
              <w:jc w:val="right"/>
              <w:ind w:right="312"/>
              <w:spacing w:after="0"/>
              <w:rPr>
                <w:sz w:val="20"/>
                <w:szCs w:val="20"/>
                <w:color w:val="auto"/>
              </w:rPr>
            </w:pPr>
            <w:r>
              <w:rPr>
                <w:rFonts w:ascii="Arial" w:cs="Arial" w:eastAsia="Arial" w:hAnsi="Arial"/>
                <w:sz w:val="14"/>
                <w:szCs w:val="14"/>
                <w:color w:val="auto"/>
              </w:rPr>
              <w:t>25</w:t>
            </w:r>
          </w:p>
        </w:tc>
        <w:tc>
          <w:tcPr>
            <w:tcW w:w="840" w:type="dxa"/>
            <w:vAlign w:val="bottom"/>
            <w:gridSpan w:val="2"/>
          </w:tcPr>
          <w:p>
            <w:pPr>
              <w:jc w:val="right"/>
              <w:ind w:right="360"/>
              <w:spacing w:after="0"/>
              <w:rPr>
                <w:sz w:val="20"/>
                <w:szCs w:val="20"/>
                <w:color w:val="auto"/>
              </w:rPr>
            </w:pPr>
            <w:r>
              <w:rPr>
                <w:rFonts w:ascii="Arial" w:cs="Arial" w:eastAsia="Arial" w:hAnsi="Arial"/>
                <w:sz w:val="14"/>
                <w:szCs w:val="14"/>
                <w:color w:val="auto"/>
              </w:rPr>
              <w:t>50</w:t>
            </w: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75</w:t>
            </w:r>
          </w:p>
        </w:tc>
        <w:tc>
          <w:tcPr>
            <w:tcW w:w="560" w:type="dxa"/>
            <w:vAlign w:val="bottom"/>
          </w:tcPr>
          <w:p>
            <w:pPr>
              <w:jc w:val="right"/>
              <w:spacing w:after="0"/>
              <w:rPr>
                <w:sz w:val="20"/>
                <w:szCs w:val="20"/>
                <w:color w:val="auto"/>
              </w:rPr>
            </w:pPr>
            <w:r>
              <w:rPr>
                <w:rFonts w:ascii="Arial" w:cs="Arial" w:eastAsia="Arial" w:hAnsi="Arial"/>
                <w:sz w:val="14"/>
                <w:szCs w:val="14"/>
                <w:color w:val="auto"/>
              </w:rPr>
              <w:t>100</w:t>
            </w:r>
          </w:p>
        </w:tc>
      </w:tr>
    </w:tbl>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Outreach</w:t>
      </w:r>
    </w:p>
    <w:p>
      <w:pPr>
        <w:spacing w:after="0" w:line="68"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At the 2024 Annual Meeting, ~98% of votes cast were in support of our named executive officers' compensation ("say-on-pay"). We view these results as overwhelming support of our executive compensation practices, including their strong alignment between our executives' pay and stockholder value. Additionally, at the 2023 annual meeting, a significant majority of votes cast were in support of an annual advisory vote on executive officer compensation ("say-on-pay frequency"), and Huron's Board agreed that we will continue to listen carefully to our stockholders and hold our say-on-pay vote annually.</w:t>
      </w:r>
    </w:p>
    <w:p>
      <w:pPr>
        <w:spacing w:after="0" w:line="107"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In addition to our annual say-on-pay vote, we maintain an ongoing dialogue with our stockholders regarding our growth strategy, competitive positioning, financial performance, and executive compensation philosophy and program, including offering one-on-one meetings to our top 25 stockholders. We engage in consistent, proactive outreach efforts with our stockholders and their governance teams, as well as potential investors, on a regular basis throughout the year. Our non-executive chairman, chair of the Compensation Committee and management team engage with our stockholders to seek their input, to remain well-informed of their perspectives, and to help increase their understanding of our business, our growth strategy, our executive compensation philosophy and program, and our commitment to corporate governance and corporate social responsibility issues, among other priorities.</w:t>
      </w:r>
    </w:p>
    <w:p>
      <w:pPr>
        <w:spacing w:after="0" w:line="118"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Throughout 2024, those stockholders who accepted our offer to meet during our investor outreach cycles represented approximately 42.5% of our outstanding shares held by institutional investors as of December 31, 2024, including 15 of our top 25 stockholders. These conversations primarily focused on the evolution of Huron’s operating model and long-term strategy; our executive compensation program and company-wide compensation philosophy, including our use of equity; ongoing refreshment process for the Board; and corporate social responsibility and governance topics. We heard no concerns regarding our NEO pay programs. The feedback received through our stockholder outreach efforts is communicated to and considered by the Board and helps inform our decisions and strategy. We will continue to listen carefully to our stockholders and incorporate their feedback into our decisions about 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60"/>
        <w:spacing w:after="0"/>
        <w:tabs>
          <w:tab w:leader="none" w:pos="444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13"/>
          <w:szCs w:val="13"/>
          <w:b w:val="1"/>
          <w:bCs w:val="1"/>
          <w:color w:val="00558C"/>
        </w:rPr>
        <w:t>42</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420370</wp:posOffset>
            </wp:positionV>
            <wp:extent cx="6810375" cy="24422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10375" cy="2442210"/>
                    </a:xfrm>
                    <a:prstGeom prst="rect">
                      <a:avLst/>
                    </a:prstGeom>
                    <a:noFill/>
                  </pic:spPr>
                </pic:pic>
              </a:graphicData>
            </a:graphic>
          </wp:anchor>
        </w:drawing>
      </w:r>
    </w:p>
    <w:p>
      <w:pPr>
        <w:sectPr>
          <w:pgSz w:w="11900" w:h="16998" w:orient="portrait"/>
          <w:cols w:equalWidth="0" w:num="1">
            <w:col w:w="9080"/>
          </w:cols>
          <w:pgMar w:left="1400" w:top="114" w:right="14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0"/>
        <w:spacing w:after="0" w:line="274" w:lineRule="auto"/>
        <w:rPr>
          <w:sz w:val="20"/>
          <w:szCs w:val="20"/>
          <w:color w:val="auto"/>
        </w:rPr>
      </w:pPr>
      <w:r>
        <w:rPr>
          <w:rFonts w:ascii="Arial" w:cs="Arial" w:eastAsia="Arial" w:hAnsi="Arial"/>
          <w:sz w:val="13"/>
          <w:szCs w:val="13"/>
          <w:b w:val="1"/>
          <w:bCs w:val="1"/>
          <w:color w:val="B2B3B6"/>
        </w:rPr>
        <w:t>General Proposal Information 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line="274" w:lineRule="auto"/>
        <w:rPr>
          <w:sz w:val="20"/>
          <w:szCs w:val="20"/>
          <w:color w:val="auto"/>
        </w:rPr>
      </w:pPr>
      <w:r>
        <w:rPr>
          <w:rFonts w:ascii="Arial" w:cs="Arial" w:eastAsia="Arial" w:hAnsi="Arial"/>
          <w:sz w:val="13"/>
          <w:szCs w:val="13"/>
          <w:b w:val="1"/>
          <w:bCs w:val="1"/>
          <w:color w:val="B2B3B6"/>
        </w:rPr>
        <w:t xml:space="preserve">Corporate Proposal </w:t>
      </w:r>
      <w:r>
        <w:rPr>
          <w:rFonts w:ascii="Arial" w:cs="Arial" w:eastAsia="Arial" w:hAnsi="Arial"/>
          <w:sz w:val="13"/>
          <w:szCs w:val="13"/>
          <w:b w:val="1"/>
          <w:bCs w:val="1"/>
          <w:color w:val="6AAA37"/>
        </w:rPr>
        <w:t>Executive</w:t>
      </w:r>
      <w:r>
        <w:rPr>
          <w:rFonts w:ascii="Arial" w:cs="Arial" w:eastAsia="Arial" w:hAnsi="Arial"/>
          <w:sz w:val="13"/>
          <w:szCs w:val="13"/>
          <w:b w:val="1"/>
          <w:bCs w:val="1"/>
          <w:color w:val="B2B3B6"/>
        </w:rPr>
        <w:t xml:space="preserve"> Governance Two </w:t>
      </w:r>
      <w:r>
        <w:rPr>
          <w:rFonts w:ascii="Arial" w:cs="Arial" w:eastAsia="Arial" w:hAnsi="Arial"/>
          <w:sz w:val="13"/>
          <w:szCs w:val="13"/>
          <w:b w:val="1"/>
          <w:bCs w:val="1"/>
          <w:color w:val="6AAA37"/>
        </w:rPr>
        <w:t>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200"/>
        <w:spacing w:after="0" w:line="274" w:lineRule="auto"/>
        <w:rPr>
          <w:sz w:val="20"/>
          <w:szCs w:val="20"/>
          <w:color w:val="auto"/>
        </w:rPr>
      </w:pPr>
      <w:r>
        <w:rPr>
          <w:rFonts w:ascii="Arial" w:cs="Arial" w:eastAsia="Arial" w:hAnsi="Arial"/>
          <w:sz w:val="13"/>
          <w:szCs w:val="13"/>
          <w:b w:val="1"/>
          <w:bCs w:val="1"/>
          <w:color w:val="B2B3B6"/>
        </w:rPr>
        <w:t>Proposal Proposal Proposal Stockholder Other Three Four Five Proposals Matters</w:t>
      </w:r>
    </w:p>
    <w:p>
      <w:pPr>
        <w:spacing w:after="0" w:line="200" w:lineRule="exact"/>
        <w:rPr>
          <w:sz w:val="20"/>
          <w:szCs w:val="20"/>
          <w:color w:val="auto"/>
        </w:rPr>
      </w:pPr>
    </w:p>
    <w:p>
      <w:pPr>
        <w:sectPr>
          <w:pgSz w:w="11900" w:h="16998" w:orient="portrait"/>
          <w:cols w:equalWidth="0" w:num="3">
            <w:col w:w="1600" w:space="300"/>
            <w:col w:w="2700" w:space="320"/>
            <w:col w:w="4160"/>
          </w:cols>
          <w:pgMar w:left="1400" w:top="114" w:right="1419" w:bottom="0" w:gutter="0" w:footer="0" w:header="0"/>
          <w:type w:val="continuous"/>
        </w:sectPr>
      </w:pPr>
    </w:p>
    <w:p>
      <w:pPr>
        <w:spacing w:after="0" w:line="83" w:lineRule="exact"/>
        <w:rPr>
          <w:sz w:val="20"/>
          <w:szCs w:val="20"/>
          <w:color w:val="auto"/>
        </w:rPr>
      </w:pPr>
    </w:p>
    <w:p>
      <w:pPr>
        <w:spacing w:after="0"/>
        <w:rPr>
          <w:sz w:val="20"/>
          <w:szCs w:val="20"/>
          <w:color w:val="auto"/>
        </w:rPr>
      </w:pPr>
      <w:r>
        <w:rPr>
          <w:rFonts w:ascii="Arial" w:cs="Arial" w:eastAsia="Arial" w:hAnsi="Arial"/>
          <w:sz w:val="22"/>
          <w:szCs w:val="22"/>
          <w:b w:val="1"/>
          <w:bCs w:val="1"/>
          <w:color w:val="00558C"/>
        </w:rPr>
        <w:t>2024 Executive Compensation Details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2024 Target Compensation Opportunity</w:t>
      </w:r>
    </w:p>
    <w:p>
      <w:pPr>
        <w:spacing w:after="0" w:line="81"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In February 2024, the Compensation Committee approved the following 2024 target compensation opportunities for our named executive officers after considering comparability and competitiveness to external market data and alignment with each executive's individual experience, qualifications and performance.</w:t>
      </w:r>
    </w:p>
    <w:p>
      <w:pPr>
        <w:spacing w:after="0" w:line="204" w:lineRule="exact"/>
        <w:rPr>
          <w:sz w:val="20"/>
          <w:szCs w:val="20"/>
          <w:color w:val="auto"/>
        </w:rPr>
      </w:pPr>
    </w:p>
    <w:tbl>
      <w:tblPr>
        <w:tblLayout w:type="fixed"/>
        <w:tblInd w:w="140" w:type="dxa"/>
        <w:tblCellMar>
          <w:top w:w="0" w:type="dxa"/>
          <w:left w:w="0" w:type="dxa"/>
          <w:bottom w:w="0" w:type="dxa"/>
          <w:right w:w="0" w:type="dxa"/>
        </w:tblCellMar>
      </w:tblPr>
      <w:tr>
        <w:trPr>
          <w:trHeight w:val="162"/>
        </w:trPr>
        <w:tc>
          <w:tcPr>
            <w:tcW w:w="17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540" w:type="dxa"/>
            <w:vAlign w:val="bottom"/>
          </w:tcPr>
          <w:p>
            <w:pPr>
              <w:jc w:val="right"/>
              <w:ind w:right="368"/>
              <w:spacing w:after="0"/>
              <w:rPr>
                <w:sz w:val="20"/>
                <w:szCs w:val="20"/>
                <w:color w:val="auto"/>
              </w:rPr>
            </w:pPr>
            <w:r>
              <w:rPr>
                <w:rFonts w:ascii="Arial" w:cs="Arial" w:eastAsia="Arial" w:hAnsi="Arial"/>
                <w:sz w:val="14"/>
                <w:szCs w:val="14"/>
                <w:b w:val="1"/>
                <w:bCs w:val="1"/>
                <w:color w:val="FFFFFF"/>
              </w:rPr>
              <w:t>Target Annual Incentive</w:t>
            </w:r>
          </w:p>
        </w:tc>
        <w:tc>
          <w:tcPr>
            <w:tcW w:w="2240" w:type="dxa"/>
            <w:vAlign w:val="bottom"/>
          </w:tcPr>
          <w:p>
            <w:pPr>
              <w:jc w:val="right"/>
              <w:spacing w:after="0"/>
              <w:rPr>
                <w:sz w:val="20"/>
                <w:szCs w:val="20"/>
                <w:color w:val="auto"/>
              </w:rPr>
            </w:pPr>
            <w:r>
              <w:rPr>
                <w:rFonts w:ascii="Arial" w:cs="Arial" w:eastAsia="Arial" w:hAnsi="Arial"/>
                <w:sz w:val="14"/>
                <w:szCs w:val="14"/>
                <w:b w:val="1"/>
                <w:bCs w:val="1"/>
                <w:color w:val="FFFFFF"/>
              </w:rPr>
              <w:t>Target Long-Term Incentive</w:t>
            </w:r>
          </w:p>
        </w:tc>
      </w:tr>
      <w:tr>
        <w:trPr>
          <w:trHeight w:val="196"/>
        </w:trPr>
        <w:tc>
          <w:tcPr>
            <w:tcW w:w="1760" w:type="dxa"/>
            <w:vAlign w:val="bottom"/>
          </w:tcPr>
          <w:p>
            <w:pPr>
              <w:spacing w:after="0"/>
              <w:rPr>
                <w:sz w:val="20"/>
                <w:szCs w:val="20"/>
                <w:color w:val="auto"/>
              </w:rPr>
            </w:pPr>
            <w:r>
              <w:rPr>
                <w:rFonts w:ascii="Arial" w:cs="Arial" w:eastAsia="Arial" w:hAnsi="Arial"/>
                <w:sz w:val="14"/>
                <w:szCs w:val="14"/>
                <w:b w:val="1"/>
                <w:bCs w:val="1"/>
                <w:color w:val="FFFFFF"/>
              </w:rPr>
              <w:t>Name</w:t>
            </w:r>
          </w:p>
        </w:tc>
        <w:tc>
          <w:tcPr>
            <w:tcW w:w="1920" w:type="dxa"/>
            <w:vAlign w:val="bottom"/>
          </w:tcPr>
          <w:p>
            <w:pPr>
              <w:jc w:val="right"/>
              <w:ind w:right="388"/>
              <w:spacing w:after="0"/>
              <w:rPr>
                <w:sz w:val="20"/>
                <w:szCs w:val="20"/>
                <w:color w:val="auto"/>
              </w:rPr>
            </w:pPr>
            <w:r>
              <w:rPr>
                <w:rFonts w:ascii="Arial" w:cs="Arial" w:eastAsia="Arial" w:hAnsi="Arial"/>
                <w:sz w:val="14"/>
                <w:szCs w:val="14"/>
                <w:b w:val="1"/>
                <w:bCs w:val="1"/>
                <w:color w:val="FFFFFF"/>
              </w:rPr>
              <w:t>Base Salary</w:t>
            </w:r>
          </w:p>
        </w:tc>
        <w:tc>
          <w:tcPr>
            <w:tcW w:w="2540" w:type="dxa"/>
            <w:vAlign w:val="bottom"/>
          </w:tcPr>
          <w:p>
            <w:pPr>
              <w:jc w:val="right"/>
              <w:ind w:right="288"/>
              <w:spacing w:after="0"/>
              <w:rPr>
                <w:sz w:val="20"/>
                <w:szCs w:val="20"/>
                <w:color w:val="auto"/>
              </w:rPr>
            </w:pPr>
            <w:r>
              <w:rPr>
                <w:rFonts w:ascii="Arial" w:cs="Arial" w:eastAsia="Arial" w:hAnsi="Arial"/>
                <w:sz w:val="14"/>
                <w:szCs w:val="14"/>
                <w:b w:val="1"/>
                <w:bCs w:val="1"/>
                <w:color w:val="FFFFFF"/>
              </w:rPr>
              <w:t>Opportunity (% of Salary)</w:t>
            </w:r>
          </w:p>
        </w:tc>
        <w:tc>
          <w:tcPr>
            <w:tcW w:w="2240" w:type="dxa"/>
            <w:vAlign w:val="bottom"/>
          </w:tcPr>
          <w:p>
            <w:pPr>
              <w:jc w:val="right"/>
              <w:spacing w:after="0"/>
              <w:rPr>
                <w:sz w:val="20"/>
                <w:szCs w:val="20"/>
                <w:color w:val="auto"/>
              </w:rPr>
            </w:pPr>
            <w:r>
              <w:rPr>
                <w:rFonts w:ascii="Arial" w:cs="Arial" w:eastAsia="Arial" w:hAnsi="Arial"/>
                <w:sz w:val="14"/>
                <w:szCs w:val="14"/>
                <w:b w:val="1"/>
                <w:bCs w:val="1"/>
                <w:color w:val="FFFFFF"/>
              </w:rPr>
              <w:t>Opportunity (% of Salary)</w:t>
            </w:r>
          </w:p>
        </w:tc>
      </w:tr>
      <w:tr>
        <w:trPr>
          <w:trHeight w:val="487"/>
        </w:trPr>
        <w:tc>
          <w:tcPr>
            <w:tcW w:w="1760" w:type="dxa"/>
            <w:vAlign w:val="bottom"/>
          </w:tcPr>
          <w:p>
            <w:pPr>
              <w:spacing w:after="0"/>
              <w:rPr>
                <w:sz w:val="20"/>
                <w:szCs w:val="20"/>
                <w:color w:val="auto"/>
              </w:rPr>
            </w:pPr>
            <w:r>
              <w:rPr>
                <w:rFonts w:ascii="Arial" w:cs="Arial" w:eastAsia="Arial" w:hAnsi="Arial"/>
                <w:sz w:val="14"/>
                <w:szCs w:val="14"/>
                <w:b w:val="1"/>
                <w:bCs w:val="1"/>
                <w:color w:val="00558C"/>
              </w:rPr>
              <w:t>C. Mark Hussey</w:t>
            </w:r>
            <w:r>
              <w:rPr>
                <w:rFonts w:ascii="Arial" w:cs="Arial" w:eastAsia="Arial" w:hAnsi="Arial"/>
                <w:sz w:val="18"/>
                <w:szCs w:val="18"/>
                <w:b w:val="1"/>
                <w:bCs w:val="1"/>
                <w:color w:val="00558C"/>
                <w:vertAlign w:val="superscript"/>
              </w:rPr>
              <w:t>1</w:t>
            </w:r>
          </w:p>
        </w:tc>
        <w:tc>
          <w:tcPr>
            <w:tcW w:w="1920" w:type="dxa"/>
            <w:vAlign w:val="bottom"/>
          </w:tcPr>
          <w:p>
            <w:pPr>
              <w:jc w:val="right"/>
              <w:ind w:right="468"/>
              <w:spacing w:after="0"/>
              <w:rPr>
                <w:sz w:val="20"/>
                <w:szCs w:val="20"/>
                <w:color w:val="auto"/>
              </w:rPr>
            </w:pPr>
            <w:r>
              <w:rPr>
                <w:rFonts w:ascii="Arial" w:cs="Arial" w:eastAsia="Arial" w:hAnsi="Arial"/>
                <w:sz w:val="14"/>
                <w:szCs w:val="14"/>
                <w:color w:val="auto"/>
              </w:rPr>
              <w:t>$950,000</w:t>
            </w:r>
          </w:p>
        </w:tc>
        <w:tc>
          <w:tcPr>
            <w:tcW w:w="2540" w:type="dxa"/>
            <w:vAlign w:val="bottom"/>
          </w:tcPr>
          <w:p>
            <w:pPr>
              <w:jc w:val="right"/>
              <w:ind w:right="868"/>
              <w:spacing w:after="0"/>
              <w:rPr>
                <w:sz w:val="20"/>
                <w:szCs w:val="20"/>
                <w:color w:val="auto"/>
              </w:rPr>
            </w:pPr>
            <w:r>
              <w:rPr>
                <w:rFonts w:ascii="Arial" w:cs="Arial" w:eastAsia="Arial" w:hAnsi="Arial"/>
                <w:sz w:val="14"/>
                <w:szCs w:val="14"/>
                <w:color w:val="auto"/>
              </w:rPr>
              <w:t>140%</w:t>
            </w:r>
          </w:p>
        </w:tc>
        <w:tc>
          <w:tcPr>
            <w:tcW w:w="2240" w:type="dxa"/>
            <w:vAlign w:val="bottom"/>
          </w:tcPr>
          <w:p>
            <w:pPr>
              <w:jc w:val="right"/>
              <w:ind w:right="528"/>
              <w:spacing w:after="0"/>
              <w:rPr>
                <w:sz w:val="20"/>
                <w:szCs w:val="20"/>
                <w:color w:val="auto"/>
              </w:rPr>
            </w:pPr>
            <w:r>
              <w:rPr>
                <w:rFonts w:ascii="Arial" w:cs="Arial" w:eastAsia="Arial" w:hAnsi="Arial"/>
                <w:sz w:val="14"/>
                <w:szCs w:val="14"/>
                <w:color w:val="auto"/>
              </w:rPr>
              <w:t>375%</w:t>
            </w:r>
          </w:p>
        </w:tc>
      </w:tr>
      <w:tr>
        <w:trPr>
          <w:trHeight w:val="418"/>
        </w:trPr>
        <w:tc>
          <w:tcPr>
            <w:tcW w:w="1760" w:type="dxa"/>
            <w:vAlign w:val="bottom"/>
          </w:tcPr>
          <w:p>
            <w:pPr>
              <w:spacing w:after="0"/>
              <w:rPr>
                <w:sz w:val="20"/>
                <w:szCs w:val="20"/>
                <w:color w:val="auto"/>
              </w:rPr>
            </w:pPr>
            <w:r>
              <w:rPr>
                <w:rFonts w:ascii="Arial" w:cs="Arial" w:eastAsia="Arial" w:hAnsi="Arial"/>
                <w:sz w:val="14"/>
                <w:szCs w:val="14"/>
                <w:b w:val="1"/>
                <w:bCs w:val="1"/>
                <w:color w:val="00558C"/>
              </w:rPr>
              <w:t>John D. Kelly</w:t>
            </w:r>
            <w:r>
              <w:rPr>
                <w:rFonts w:ascii="Arial" w:cs="Arial" w:eastAsia="Arial" w:hAnsi="Arial"/>
                <w:sz w:val="18"/>
                <w:szCs w:val="18"/>
                <w:b w:val="1"/>
                <w:bCs w:val="1"/>
                <w:color w:val="00558C"/>
                <w:vertAlign w:val="superscript"/>
              </w:rPr>
              <w:t>2</w:t>
            </w:r>
          </w:p>
        </w:tc>
        <w:tc>
          <w:tcPr>
            <w:tcW w:w="1920" w:type="dxa"/>
            <w:vAlign w:val="bottom"/>
          </w:tcPr>
          <w:p>
            <w:pPr>
              <w:jc w:val="right"/>
              <w:ind w:right="468"/>
              <w:spacing w:after="0"/>
              <w:rPr>
                <w:sz w:val="20"/>
                <w:szCs w:val="20"/>
                <w:color w:val="auto"/>
              </w:rPr>
            </w:pPr>
            <w:r>
              <w:rPr>
                <w:rFonts w:ascii="Arial" w:cs="Arial" w:eastAsia="Arial" w:hAnsi="Arial"/>
                <w:sz w:val="14"/>
                <w:szCs w:val="14"/>
                <w:color w:val="auto"/>
              </w:rPr>
              <w:t>$600,000</w:t>
            </w:r>
          </w:p>
        </w:tc>
        <w:tc>
          <w:tcPr>
            <w:tcW w:w="2540" w:type="dxa"/>
            <w:vAlign w:val="bottom"/>
          </w:tcPr>
          <w:p>
            <w:pPr>
              <w:jc w:val="right"/>
              <w:ind w:right="888"/>
              <w:spacing w:after="0"/>
              <w:rPr>
                <w:sz w:val="20"/>
                <w:szCs w:val="20"/>
                <w:color w:val="auto"/>
              </w:rPr>
            </w:pPr>
            <w:r>
              <w:rPr>
                <w:rFonts w:ascii="Arial" w:cs="Arial" w:eastAsia="Arial" w:hAnsi="Arial"/>
                <w:sz w:val="14"/>
                <w:szCs w:val="14"/>
                <w:color w:val="auto"/>
              </w:rPr>
              <w:t>115%</w:t>
            </w:r>
          </w:p>
        </w:tc>
        <w:tc>
          <w:tcPr>
            <w:tcW w:w="2240" w:type="dxa"/>
            <w:vAlign w:val="bottom"/>
          </w:tcPr>
          <w:p>
            <w:pPr>
              <w:jc w:val="right"/>
              <w:ind w:right="548"/>
              <w:spacing w:after="0"/>
              <w:rPr>
                <w:sz w:val="20"/>
                <w:szCs w:val="20"/>
                <w:color w:val="auto"/>
              </w:rPr>
            </w:pPr>
            <w:r>
              <w:rPr>
                <w:rFonts w:ascii="Arial" w:cs="Arial" w:eastAsia="Arial" w:hAnsi="Arial"/>
                <w:sz w:val="14"/>
                <w:szCs w:val="14"/>
                <w:color w:val="auto"/>
              </w:rPr>
              <w:t>220%</w:t>
            </w:r>
          </w:p>
        </w:tc>
      </w:tr>
    </w:tbl>
    <w:p>
      <w:pPr>
        <w:sectPr>
          <w:pgSz w:w="11900" w:h="16998" w:orient="portrait"/>
          <w:cols w:equalWidth="0" w:num="1">
            <w:col w:w="9080"/>
          </w:cols>
          <w:pgMar w:left="1400" w:top="114" w:right="1419" w:bottom="0" w:gutter="0" w:footer="0" w:header="0"/>
          <w:type w:val="continuous"/>
        </w:sectPr>
      </w:pPr>
    </w:p>
    <w:bookmarkStart w:id="47" w:name="page48"/>
    <w:bookmarkEnd w:id="4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64141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10375" cy="64141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45"/>
        </w:trPr>
        <w:tc>
          <w:tcPr>
            <w:tcW w:w="2040" w:type="dxa"/>
            <w:vAlign w:val="bottom"/>
            <w:shd w:val="clear" w:color="auto" w:fill="00558C"/>
          </w:tcPr>
          <w:p>
            <w:pPr>
              <w:ind w:left="140"/>
              <w:spacing w:after="0"/>
              <w:rPr>
                <w:sz w:val="20"/>
                <w:szCs w:val="20"/>
                <w:color w:val="auto"/>
              </w:rPr>
            </w:pPr>
            <w:r>
              <w:rPr>
                <w:rFonts w:ascii="Arial" w:cs="Arial" w:eastAsia="Arial" w:hAnsi="Arial"/>
                <w:sz w:val="14"/>
                <w:szCs w:val="14"/>
                <w:b w:val="1"/>
                <w:bCs w:val="1"/>
                <w:color w:val="00558C"/>
              </w:rPr>
              <w:t>J. Ronald Dail</w:t>
            </w:r>
            <w:r>
              <w:rPr>
                <w:rFonts w:ascii="Arial" w:cs="Arial" w:eastAsia="Arial" w:hAnsi="Arial"/>
                <w:sz w:val="18"/>
                <w:szCs w:val="18"/>
                <w:b w:val="1"/>
                <w:bCs w:val="1"/>
                <w:color w:val="00558C"/>
                <w:vertAlign w:val="superscript"/>
              </w:rPr>
              <w:t>3</w:t>
            </w:r>
          </w:p>
        </w:tc>
        <w:tc>
          <w:tcPr>
            <w:tcW w:w="2140" w:type="dxa"/>
            <w:vAlign w:val="bottom"/>
            <w:shd w:val="clear" w:color="auto" w:fill="00558C"/>
          </w:tcPr>
          <w:p>
            <w:pPr>
              <w:jc w:val="right"/>
              <w:ind w:right="828"/>
              <w:spacing w:after="0"/>
              <w:rPr>
                <w:sz w:val="20"/>
                <w:szCs w:val="20"/>
                <w:color w:val="auto"/>
              </w:rPr>
            </w:pPr>
            <w:r>
              <w:rPr>
                <w:rFonts w:ascii="Arial" w:cs="Arial" w:eastAsia="Arial" w:hAnsi="Arial"/>
                <w:sz w:val="14"/>
                <w:szCs w:val="14"/>
                <w:color w:val="auto"/>
              </w:rPr>
              <w:t>$675,000</w:t>
            </w:r>
          </w:p>
        </w:tc>
        <w:tc>
          <w:tcPr>
            <w:tcW w:w="2300" w:type="dxa"/>
            <w:vAlign w:val="bottom"/>
            <w:shd w:val="clear" w:color="auto" w:fill="00558C"/>
          </w:tcPr>
          <w:p>
            <w:pPr>
              <w:jc w:val="right"/>
              <w:ind w:right="1048"/>
              <w:spacing w:after="0"/>
              <w:rPr>
                <w:sz w:val="20"/>
                <w:szCs w:val="20"/>
                <w:color w:val="auto"/>
              </w:rPr>
            </w:pPr>
            <w:r>
              <w:rPr>
                <w:rFonts w:ascii="Arial" w:cs="Arial" w:eastAsia="Arial" w:hAnsi="Arial"/>
                <w:sz w:val="14"/>
                <w:szCs w:val="14"/>
                <w:color w:val="auto"/>
              </w:rPr>
              <w:t>90%</w:t>
            </w:r>
          </w:p>
        </w:tc>
        <w:tc>
          <w:tcPr>
            <w:tcW w:w="2600" w:type="dxa"/>
            <w:vAlign w:val="bottom"/>
            <w:shd w:val="clear" w:color="auto" w:fill="00558C"/>
          </w:tcPr>
          <w:p>
            <w:pPr>
              <w:jc w:val="right"/>
              <w:ind w:right="1028"/>
              <w:spacing w:after="0"/>
              <w:rPr>
                <w:sz w:val="20"/>
                <w:szCs w:val="20"/>
                <w:color w:val="auto"/>
              </w:rPr>
            </w:pPr>
            <w:r>
              <w:rPr>
                <w:rFonts w:ascii="Arial" w:cs="Arial" w:eastAsia="Arial" w:hAnsi="Arial"/>
                <w:sz w:val="14"/>
                <w:szCs w:val="14"/>
                <w:color w:val="auto"/>
              </w:rPr>
              <w:t>140%</w:t>
            </w:r>
          </w:p>
        </w:tc>
      </w:tr>
      <w:tr>
        <w:trPr>
          <w:trHeight w:val="94"/>
        </w:trPr>
        <w:tc>
          <w:tcPr>
            <w:tcW w:w="2040" w:type="dxa"/>
            <w:vAlign w:val="bottom"/>
            <w:shd w:val="clear" w:color="auto" w:fill="00558C"/>
          </w:tcPr>
          <w:p>
            <w:pPr>
              <w:spacing w:after="0"/>
              <w:rPr>
                <w:sz w:val="8"/>
                <w:szCs w:val="8"/>
                <w:color w:val="auto"/>
              </w:rPr>
            </w:pPr>
          </w:p>
        </w:tc>
        <w:tc>
          <w:tcPr>
            <w:tcW w:w="2140" w:type="dxa"/>
            <w:vAlign w:val="bottom"/>
            <w:shd w:val="clear" w:color="auto" w:fill="00558C"/>
          </w:tcPr>
          <w:p>
            <w:pPr>
              <w:spacing w:after="0"/>
              <w:rPr>
                <w:sz w:val="8"/>
                <w:szCs w:val="8"/>
                <w:color w:val="auto"/>
              </w:rPr>
            </w:pPr>
          </w:p>
        </w:tc>
        <w:tc>
          <w:tcPr>
            <w:tcW w:w="2300" w:type="dxa"/>
            <w:vAlign w:val="bottom"/>
            <w:shd w:val="clear" w:color="auto" w:fill="00558C"/>
          </w:tcPr>
          <w:p>
            <w:pPr>
              <w:spacing w:after="0"/>
              <w:rPr>
                <w:sz w:val="8"/>
                <w:szCs w:val="8"/>
                <w:color w:val="auto"/>
              </w:rPr>
            </w:pPr>
          </w:p>
        </w:tc>
        <w:tc>
          <w:tcPr>
            <w:tcW w:w="2600" w:type="dxa"/>
            <w:vAlign w:val="bottom"/>
            <w:shd w:val="clear" w:color="auto" w:fill="00558C"/>
          </w:tcPr>
          <w:p>
            <w:pPr>
              <w:spacing w:after="0"/>
              <w:rPr>
                <w:sz w:val="8"/>
                <w:szCs w:val="8"/>
                <w:color w:val="auto"/>
              </w:rPr>
            </w:pPr>
          </w:p>
        </w:tc>
      </w:tr>
      <w:tr>
        <w:trPr>
          <w:trHeight w:val="377"/>
        </w:trPr>
        <w:tc>
          <w:tcPr>
            <w:tcW w:w="2040" w:type="dxa"/>
            <w:vAlign w:val="bottom"/>
            <w:shd w:val="clear" w:color="auto" w:fill="F2F3F2"/>
          </w:tcPr>
          <w:p>
            <w:pPr>
              <w:ind w:left="140"/>
              <w:spacing w:after="0"/>
              <w:rPr>
                <w:sz w:val="20"/>
                <w:szCs w:val="20"/>
                <w:color w:val="auto"/>
              </w:rPr>
            </w:pPr>
            <w:r>
              <w:rPr>
                <w:rFonts w:ascii="Arial" w:cs="Arial" w:eastAsia="Arial" w:hAnsi="Arial"/>
                <w:sz w:val="14"/>
                <w:szCs w:val="14"/>
                <w:b w:val="1"/>
                <w:bCs w:val="1"/>
                <w:color w:val="00558C"/>
              </w:rPr>
              <w:t>Ernest Torain</w:t>
            </w:r>
            <w:r>
              <w:rPr>
                <w:rFonts w:ascii="Arial" w:cs="Arial" w:eastAsia="Arial" w:hAnsi="Arial"/>
                <w:sz w:val="18"/>
                <w:szCs w:val="18"/>
                <w:b w:val="1"/>
                <w:bCs w:val="1"/>
                <w:color w:val="00558C"/>
                <w:vertAlign w:val="superscript"/>
              </w:rPr>
              <w:t>4</w:t>
            </w:r>
          </w:p>
        </w:tc>
        <w:tc>
          <w:tcPr>
            <w:tcW w:w="2140" w:type="dxa"/>
            <w:vAlign w:val="bottom"/>
            <w:shd w:val="clear" w:color="auto" w:fill="F2F3F2"/>
          </w:tcPr>
          <w:p>
            <w:pPr>
              <w:jc w:val="right"/>
              <w:ind w:right="828"/>
              <w:spacing w:after="0"/>
              <w:rPr>
                <w:sz w:val="20"/>
                <w:szCs w:val="20"/>
                <w:color w:val="auto"/>
              </w:rPr>
            </w:pPr>
            <w:r>
              <w:rPr>
                <w:rFonts w:ascii="Arial" w:cs="Arial" w:eastAsia="Arial" w:hAnsi="Arial"/>
                <w:sz w:val="14"/>
                <w:szCs w:val="14"/>
                <w:color w:val="auto"/>
              </w:rPr>
              <w:t>$450,000</w:t>
            </w:r>
          </w:p>
        </w:tc>
        <w:tc>
          <w:tcPr>
            <w:tcW w:w="2300" w:type="dxa"/>
            <w:vAlign w:val="bottom"/>
            <w:shd w:val="clear" w:color="auto" w:fill="F2F3F2"/>
          </w:tcPr>
          <w:p>
            <w:pPr>
              <w:jc w:val="right"/>
              <w:ind w:right="1048"/>
              <w:spacing w:after="0"/>
              <w:rPr>
                <w:sz w:val="20"/>
                <w:szCs w:val="20"/>
                <w:color w:val="auto"/>
              </w:rPr>
            </w:pPr>
            <w:r>
              <w:rPr>
                <w:rFonts w:ascii="Arial" w:cs="Arial" w:eastAsia="Arial" w:hAnsi="Arial"/>
                <w:sz w:val="14"/>
                <w:szCs w:val="14"/>
                <w:color w:val="auto"/>
              </w:rPr>
              <w:t>75%</w:t>
            </w:r>
          </w:p>
        </w:tc>
        <w:tc>
          <w:tcPr>
            <w:tcW w:w="2600" w:type="dxa"/>
            <w:vAlign w:val="bottom"/>
            <w:shd w:val="clear" w:color="auto" w:fill="F2F3F2"/>
          </w:tcPr>
          <w:p>
            <w:pPr>
              <w:jc w:val="right"/>
              <w:ind w:right="1028"/>
              <w:spacing w:after="0"/>
              <w:rPr>
                <w:sz w:val="20"/>
                <w:szCs w:val="20"/>
                <w:color w:val="auto"/>
              </w:rPr>
            </w:pPr>
            <w:r>
              <w:rPr>
                <w:rFonts w:ascii="Arial" w:cs="Arial" w:eastAsia="Arial" w:hAnsi="Arial"/>
                <w:sz w:val="14"/>
                <w:szCs w:val="14"/>
                <w:color w:val="auto"/>
              </w:rPr>
              <w:t>125%</w:t>
            </w:r>
          </w:p>
        </w:tc>
      </w:tr>
      <w:tr>
        <w:trPr>
          <w:trHeight w:val="42"/>
        </w:trPr>
        <w:tc>
          <w:tcPr>
            <w:tcW w:w="2040" w:type="dxa"/>
            <w:vAlign w:val="bottom"/>
            <w:shd w:val="clear" w:color="auto" w:fill="F2F3F2"/>
          </w:tcPr>
          <w:p>
            <w:pPr>
              <w:spacing w:after="0"/>
              <w:rPr>
                <w:sz w:val="3"/>
                <w:szCs w:val="3"/>
                <w:color w:val="auto"/>
              </w:rPr>
            </w:pPr>
          </w:p>
        </w:tc>
        <w:tc>
          <w:tcPr>
            <w:tcW w:w="2140" w:type="dxa"/>
            <w:vAlign w:val="bottom"/>
            <w:shd w:val="clear" w:color="auto" w:fill="F2F3F2"/>
          </w:tcPr>
          <w:p>
            <w:pPr>
              <w:spacing w:after="0"/>
              <w:rPr>
                <w:sz w:val="3"/>
                <w:szCs w:val="3"/>
                <w:color w:val="auto"/>
              </w:rPr>
            </w:pPr>
          </w:p>
        </w:tc>
        <w:tc>
          <w:tcPr>
            <w:tcW w:w="2300" w:type="dxa"/>
            <w:vAlign w:val="bottom"/>
            <w:shd w:val="clear" w:color="auto" w:fill="F2F3F2"/>
          </w:tcPr>
          <w:p>
            <w:pPr>
              <w:spacing w:after="0"/>
              <w:rPr>
                <w:sz w:val="3"/>
                <w:szCs w:val="3"/>
                <w:color w:val="auto"/>
              </w:rPr>
            </w:pPr>
          </w:p>
        </w:tc>
        <w:tc>
          <w:tcPr>
            <w:tcW w:w="2600" w:type="dxa"/>
            <w:vAlign w:val="bottom"/>
            <w:shd w:val="clear" w:color="auto" w:fill="F2F3F2"/>
          </w:tcPr>
          <w:p>
            <w:pPr>
              <w:spacing w:after="0"/>
              <w:rPr>
                <w:sz w:val="3"/>
                <w:szCs w:val="3"/>
                <w:color w:val="auto"/>
              </w:rPr>
            </w:pPr>
          </w:p>
        </w:tc>
      </w:tr>
    </w:tbl>
    <w:p>
      <w:pPr>
        <w:spacing w:after="0" w:line="247" w:lineRule="exact"/>
        <w:rPr>
          <w:sz w:val="20"/>
          <w:szCs w:val="20"/>
          <w:color w:val="auto"/>
        </w:rPr>
      </w:pPr>
    </w:p>
    <w:p>
      <w:pPr>
        <w:ind w:left="420" w:hanging="331"/>
        <w:spacing w:after="0" w:line="301" w:lineRule="auto"/>
        <w:tabs>
          <w:tab w:leader="none" w:pos="420" w:val="left"/>
        </w:tabs>
        <w:numPr>
          <w:ilvl w:val="0"/>
          <w:numId w:val="74"/>
        </w:numPr>
        <w:rPr>
          <w:rFonts w:ascii="Arial" w:cs="Arial" w:eastAsia="Arial" w:hAnsi="Arial"/>
          <w:sz w:val="14"/>
          <w:szCs w:val="14"/>
          <w:color w:val="auto"/>
          <w:highlight w:val="white"/>
        </w:rPr>
      </w:pPr>
      <w:r>
        <w:rPr>
          <w:rFonts w:ascii="Arial" w:cs="Arial" w:eastAsia="Arial" w:hAnsi="Arial"/>
          <w:sz w:val="14"/>
          <w:szCs w:val="14"/>
          <w:color w:val="auto"/>
        </w:rPr>
        <w:t>In 2023, Mr. Hussey’s base salary, target annual incentive opportunity and target long-term incentive opportunity was $925,000, 125% of salary, and 225% of salary, respectively.</w:t>
      </w:r>
    </w:p>
    <w:p>
      <w:pPr>
        <w:spacing w:after="0" w:line="1" w:lineRule="exact"/>
        <w:rPr>
          <w:rFonts w:ascii="Arial" w:cs="Arial" w:eastAsia="Arial" w:hAnsi="Arial"/>
          <w:sz w:val="14"/>
          <w:szCs w:val="14"/>
          <w:color w:val="auto"/>
          <w:highlight w:val="white"/>
        </w:rPr>
      </w:pPr>
    </w:p>
    <w:p>
      <w:pPr>
        <w:ind w:left="420" w:right="180" w:hanging="331"/>
        <w:spacing w:after="0" w:line="285" w:lineRule="auto"/>
        <w:tabs>
          <w:tab w:leader="none" w:pos="420" w:val="left"/>
        </w:tabs>
        <w:numPr>
          <w:ilvl w:val="0"/>
          <w:numId w:val="74"/>
        </w:numPr>
        <w:rPr>
          <w:rFonts w:ascii="Arial" w:cs="Arial" w:eastAsia="Arial" w:hAnsi="Arial"/>
          <w:sz w:val="14"/>
          <w:szCs w:val="14"/>
          <w:color w:val="auto"/>
          <w:highlight w:val="white"/>
        </w:rPr>
      </w:pPr>
      <w:r>
        <w:rPr>
          <w:rFonts w:ascii="Arial" w:cs="Arial" w:eastAsia="Arial" w:hAnsi="Arial"/>
          <w:sz w:val="14"/>
          <w:szCs w:val="14"/>
          <w:color w:val="auto"/>
        </w:rPr>
        <w:t>In 2023, Mr. Kelly’s base salary, target annual incentive opportunity and target long-term incentive opportunity was $575,000, 100% of salary and 175% of salary, respectively.</w:t>
      </w:r>
    </w:p>
    <w:p>
      <w:pPr>
        <w:spacing w:after="0" w:line="9" w:lineRule="exact"/>
        <w:rPr>
          <w:rFonts w:ascii="Arial" w:cs="Arial" w:eastAsia="Arial" w:hAnsi="Arial"/>
          <w:sz w:val="14"/>
          <w:szCs w:val="14"/>
          <w:color w:val="auto"/>
          <w:highlight w:val="white"/>
        </w:rPr>
      </w:pPr>
    </w:p>
    <w:p>
      <w:pPr>
        <w:ind w:left="420" w:right="320" w:hanging="331"/>
        <w:spacing w:after="0" w:line="301" w:lineRule="auto"/>
        <w:tabs>
          <w:tab w:leader="none" w:pos="420" w:val="left"/>
        </w:tabs>
        <w:numPr>
          <w:ilvl w:val="0"/>
          <w:numId w:val="74"/>
        </w:numPr>
        <w:rPr>
          <w:rFonts w:ascii="Arial" w:cs="Arial" w:eastAsia="Arial" w:hAnsi="Arial"/>
          <w:sz w:val="14"/>
          <w:szCs w:val="14"/>
          <w:color w:val="auto"/>
          <w:highlight w:val="white"/>
        </w:rPr>
      </w:pPr>
      <w:r>
        <w:rPr>
          <w:rFonts w:ascii="Arial" w:cs="Arial" w:eastAsia="Arial" w:hAnsi="Arial"/>
          <w:sz w:val="14"/>
          <w:szCs w:val="14"/>
          <w:color w:val="auto"/>
        </w:rPr>
        <w:t>In 2023, Mr. Dail’s base salary, target annual incentive opportunity and target long-term incentive opportunity was $650,000, 90% of salary, and 125% of salary, respectively.</w:t>
      </w:r>
    </w:p>
    <w:p>
      <w:pPr>
        <w:spacing w:after="0" w:line="1" w:lineRule="exact"/>
        <w:rPr>
          <w:rFonts w:ascii="Arial" w:cs="Arial" w:eastAsia="Arial" w:hAnsi="Arial"/>
          <w:sz w:val="14"/>
          <w:szCs w:val="14"/>
          <w:color w:val="auto"/>
          <w:highlight w:val="white"/>
        </w:rPr>
      </w:pPr>
    </w:p>
    <w:p>
      <w:pPr>
        <w:ind w:left="420" w:hanging="331"/>
        <w:spacing w:after="0"/>
        <w:tabs>
          <w:tab w:leader="none" w:pos="420" w:val="left"/>
        </w:tabs>
        <w:numPr>
          <w:ilvl w:val="0"/>
          <w:numId w:val="74"/>
        </w:numPr>
        <w:rPr>
          <w:rFonts w:ascii="Arial" w:cs="Arial" w:eastAsia="Arial" w:hAnsi="Arial"/>
          <w:sz w:val="14"/>
          <w:szCs w:val="14"/>
          <w:color w:val="auto"/>
          <w:highlight w:val="white"/>
        </w:rPr>
      </w:pPr>
      <w:r>
        <w:rPr>
          <w:rFonts w:ascii="Arial" w:cs="Arial" w:eastAsia="Arial" w:hAnsi="Arial"/>
          <w:sz w:val="14"/>
          <w:szCs w:val="14"/>
          <w:color w:val="auto"/>
        </w:rPr>
        <w:t>Mr. Torain’s 2024 target compensation was unchanged from 2023.</w:t>
      </w:r>
    </w:p>
    <w:p>
      <w:pPr>
        <w:spacing w:after="0" w:line="145" w:lineRule="exact"/>
        <w:rPr>
          <w:sz w:val="20"/>
          <w:szCs w:val="20"/>
          <w:color w:val="auto"/>
        </w:rPr>
      </w:pPr>
    </w:p>
    <w:p>
      <w:pPr>
        <w:spacing w:after="0" w:line="300" w:lineRule="auto"/>
        <w:rPr>
          <w:sz w:val="20"/>
          <w:szCs w:val="20"/>
          <w:color w:val="auto"/>
        </w:rPr>
      </w:pPr>
      <w:r>
        <w:rPr>
          <w:rFonts w:ascii="Arial" w:cs="Arial" w:eastAsia="Arial" w:hAnsi="Arial"/>
          <w:sz w:val="16"/>
          <w:szCs w:val="16"/>
          <w:color w:val="auto"/>
        </w:rPr>
        <w:t>The increases in Messrs. Hussey, Kelly and Dail’s 2024 target compensation opportunities reflect the individual performance of each executive in 2023, drive improved competitiveness by better aligning each executive’s total direct compensation with the total direct compensation received by similarly situated executives of the Company's peer group, and enhance the alignment of the executive's interests with the long-term interests of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60"/>
        <w:spacing w:after="0"/>
        <w:tabs>
          <w:tab w:leader="none" w:pos="444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13"/>
          <w:szCs w:val="13"/>
          <w:b w:val="1"/>
          <w:bCs w:val="1"/>
          <w:color w:val="00558C"/>
        </w:rPr>
        <w:t>43</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420370</wp:posOffset>
            </wp:positionV>
            <wp:extent cx="6810375" cy="40195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10375" cy="4019550"/>
                    </a:xfrm>
                    <a:prstGeom prst="rect">
                      <a:avLst/>
                    </a:prstGeom>
                    <a:noFill/>
                  </pic:spPr>
                </pic:pic>
              </a:graphicData>
            </a:graphic>
          </wp:anchor>
        </w:drawing>
      </w:r>
    </w:p>
    <w:p>
      <w:pPr>
        <w:sectPr>
          <w:pgSz w:w="11900" w:h="16838" w:orient="portrait"/>
          <w:cols w:equalWidth="0" w:num="1">
            <w:col w:w="9080"/>
          </w:cols>
          <w:pgMar w:left="1400" w:top="140" w:right="14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0"/>
        <w:spacing w:after="0" w:line="274" w:lineRule="auto"/>
        <w:rPr>
          <w:sz w:val="20"/>
          <w:szCs w:val="20"/>
          <w:color w:val="auto"/>
        </w:rPr>
      </w:pPr>
      <w:r>
        <w:rPr>
          <w:rFonts w:ascii="Arial" w:cs="Arial" w:eastAsia="Arial" w:hAnsi="Arial"/>
          <w:sz w:val="13"/>
          <w:szCs w:val="13"/>
          <w:b w:val="1"/>
          <w:bCs w:val="1"/>
          <w:color w:val="B2B3B6"/>
        </w:rPr>
        <w:t>General Proposal Information 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line="317" w:lineRule="auto"/>
        <w:rPr>
          <w:sz w:val="20"/>
          <w:szCs w:val="20"/>
          <w:color w:val="auto"/>
        </w:rPr>
      </w:pPr>
      <w:r>
        <w:rPr>
          <w:rFonts w:ascii="Arial" w:cs="Arial" w:eastAsia="Arial" w:hAnsi="Arial"/>
          <w:sz w:val="12"/>
          <w:szCs w:val="12"/>
          <w:b w:val="1"/>
          <w:bCs w:val="1"/>
          <w:color w:val="B2B3B6"/>
        </w:rPr>
        <w:t>Corporate Governance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line="274" w:lineRule="auto"/>
        <w:rPr>
          <w:sz w:val="20"/>
          <w:szCs w:val="20"/>
          <w:color w:val="auto"/>
        </w:rPr>
      </w:pPr>
      <w:r>
        <w:rPr>
          <w:rFonts w:ascii="Arial" w:cs="Arial" w:eastAsia="Arial" w:hAnsi="Arial"/>
          <w:sz w:val="13"/>
          <w:szCs w:val="13"/>
          <w:b w:val="1"/>
          <w:bCs w:val="1"/>
          <w:color w:val="B2B3B6"/>
        </w:rPr>
        <w:t xml:space="preserve">Proposal </w:t>
      </w:r>
      <w:r>
        <w:rPr>
          <w:rFonts w:ascii="Arial" w:cs="Arial" w:eastAsia="Arial" w:hAnsi="Arial"/>
          <w:sz w:val="13"/>
          <w:szCs w:val="13"/>
          <w:b w:val="1"/>
          <w:bCs w:val="1"/>
          <w:color w:val="6AAA37"/>
        </w:rPr>
        <w:t>Executive</w:t>
      </w:r>
      <w:r>
        <w:rPr>
          <w:rFonts w:ascii="Arial" w:cs="Arial" w:eastAsia="Arial" w:hAnsi="Arial"/>
          <w:sz w:val="13"/>
          <w:szCs w:val="13"/>
          <w:b w:val="1"/>
          <w:bCs w:val="1"/>
          <w:color w:val="B2B3B6"/>
        </w:rPr>
        <w:t xml:space="preserve"> Two </w:t>
      </w:r>
      <w:r>
        <w:rPr>
          <w:rFonts w:ascii="Arial" w:cs="Arial" w:eastAsia="Arial" w:hAnsi="Arial"/>
          <w:sz w:val="13"/>
          <w:szCs w:val="13"/>
          <w:b w:val="1"/>
          <w:bCs w:val="1"/>
          <w:color w:val="6AAA37"/>
        </w:rPr>
        <w:t>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200"/>
        <w:spacing w:after="0" w:line="274" w:lineRule="auto"/>
        <w:rPr>
          <w:sz w:val="20"/>
          <w:szCs w:val="20"/>
          <w:color w:val="auto"/>
        </w:rPr>
      </w:pPr>
      <w:r>
        <w:rPr>
          <w:rFonts w:ascii="Arial" w:cs="Arial" w:eastAsia="Arial" w:hAnsi="Arial"/>
          <w:sz w:val="13"/>
          <w:szCs w:val="13"/>
          <w:b w:val="1"/>
          <w:bCs w:val="1"/>
          <w:color w:val="B2B3B6"/>
        </w:rPr>
        <w:t>Proposal Proposal Proposal Stockholder Other Three Four Five Proposals Matters</w:t>
      </w:r>
    </w:p>
    <w:p>
      <w:pPr>
        <w:spacing w:after="0" w:line="223" w:lineRule="exact"/>
        <w:rPr>
          <w:sz w:val="20"/>
          <w:szCs w:val="20"/>
          <w:color w:val="auto"/>
        </w:rPr>
      </w:pPr>
    </w:p>
    <w:p>
      <w:pPr>
        <w:sectPr>
          <w:pgSz w:w="11900" w:h="16838" w:orient="portrait"/>
          <w:cols w:equalWidth="0" w:num="4">
            <w:col w:w="1600" w:space="300"/>
            <w:col w:w="720" w:space="280"/>
            <w:col w:w="1700" w:space="320"/>
            <w:col w:w="4160"/>
          </w:cols>
          <w:pgMar w:left="1400" w:top="140" w:right="1419" w:bottom="0" w:gutter="0" w:footer="0" w:header="0"/>
          <w:type w:val="continuous"/>
        </w:sectPr>
      </w:pP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2024 Annual Incentive Program</w:t>
      </w:r>
    </w:p>
    <w:p>
      <w:pPr>
        <w:spacing w:after="0" w:line="68"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The Compensation Committee continues to believe that the NEOs should be critically focused on improving stockholder value by driving and executing on the growth strategy and delivering results against the annual operating plan. As such, the Compensation Committee retained Organic Revenue</w:t>
      </w:r>
      <w:r>
        <w:rPr>
          <w:rFonts w:ascii="Arial" w:cs="Arial" w:eastAsia="Arial" w:hAnsi="Arial"/>
          <w:sz w:val="21"/>
          <w:szCs w:val="21"/>
          <w:color w:val="auto"/>
          <w:vertAlign w:val="superscript"/>
        </w:rPr>
        <w:t>6</w:t>
      </w:r>
      <w:r>
        <w:rPr>
          <w:rFonts w:ascii="Arial" w:cs="Arial" w:eastAsia="Arial" w:hAnsi="Arial"/>
          <w:sz w:val="16"/>
          <w:szCs w:val="16"/>
          <w:color w:val="auto"/>
        </w:rPr>
        <w:t xml:space="preserve"> and Adjusted EBITDA Margin</w:t>
      </w:r>
      <w:r>
        <w:rPr>
          <w:rFonts w:ascii="Arial" w:cs="Arial" w:eastAsia="Arial" w:hAnsi="Arial"/>
          <w:sz w:val="21"/>
          <w:szCs w:val="21"/>
          <w:color w:val="auto"/>
          <w:vertAlign w:val="superscript"/>
        </w:rPr>
        <w:t>6</w:t>
      </w:r>
      <w:r>
        <w:rPr>
          <w:rFonts w:ascii="Arial" w:cs="Arial" w:eastAsia="Arial" w:hAnsi="Arial"/>
          <w:sz w:val="16"/>
          <w:szCs w:val="16"/>
          <w:color w:val="auto"/>
        </w:rPr>
        <w:t xml:space="preserve"> as the primary annual incentive financial metrics, and aligned the strategic measures to the core principles of Huron's business strategy. As in the prior year, the combination of the financial metrics and the enumerated strategic measures results in approximately 91% of the total annual incentive opportunity tied to metrics that use predefined quantitative goals. Performance against each metric is measured independently. Each performance metric is measured in a range of 0 to 200%, with threshold performance achieving a 50% payout. The minimum amount that could be paid is 12.5% of target, calculated as threshold payout of 50% for the lowest weighted component. Maximum payout represents 200% of target. The annual incentive program requires the annual incentive payout to be capped at target if total shareholder return (TSR) is not positive for the year with no Compensation Committee discretion to override; however, the cap was not triggered in 2024 as TSR was 21%.</w:t>
      </w:r>
    </w:p>
    <w:p>
      <w:pPr>
        <w:spacing w:after="0" w:line="123" w:lineRule="exact"/>
        <w:rPr>
          <w:sz w:val="20"/>
          <w:szCs w:val="20"/>
          <w:color w:val="auto"/>
        </w:rPr>
      </w:pPr>
    </w:p>
    <w:p>
      <w:pPr>
        <w:ind w:right="60"/>
        <w:spacing w:after="0" w:line="300" w:lineRule="auto"/>
        <w:rPr>
          <w:sz w:val="20"/>
          <w:szCs w:val="20"/>
          <w:color w:val="auto"/>
        </w:rPr>
      </w:pPr>
      <w:r>
        <w:rPr>
          <w:rFonts w:ascii="Arial" w:cs="Arial" w:eastAsia="Arial" w:hAnsi="Arial"/>
          <w:sz w:val="16"/>
          <w:szCs w:val="16"/>
          <w:color w:val="auto"/>
        </w:rPr>
        <w:t>As a result of the strong performance achieved in 2024, the Compensation Committee approved a total payout of 115.7% of target for the 2024 annual incentive program. The final amount of such bonuses for each NEO are reported for 2024 in the “Non-Equity Incentive Plan Compensation” column of the Summary Compensation Table. Additional detail on the 2024 annual incentive goals and performance achieved follows.</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2024 Annual Incentive Goals</w:t>
      </w:r>
    </w:p>
    <w:p>
      <w:pPr>
        <w:spacing w:after="0" w:line="199" w:lineRule="exact"/>
        <w:rPr>
          <w:sz w:val="20"/>
          <w:szCs w:val="20"/>
          <w:color w:val="auto"/>
        </w:rPr>
      </w:pPr>
    </w:p>
    <w:tbl>
      <w:tblPr>
        <w:tblLayout w:type="fixed"/>
        <w:tblInd w:w="140" w:type="dxa"/>
        <w:tblCellMar>
          <w:top w:w="0" w:type="dxa"/>
          <w:left w:w="0" w:type="dxa"/>
          <w:bottom w:w="0" w:type="dxa"/>
          <w:right w:w="0" w:type="dxa"/>
        </w:tblCellMar>
      </w:tblPr>
      <w:tr>
        <w:trPr>
          <w:trHeight w:val="196"/>
        </w:trPr>
        <w:tc>
          <w:tcPr>
            <w:tcW w:w="18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60" w:type="dxa"/>
            <w:vAlign w:val="bottom"/>
          </w:tcPr>
          <w:p>
            <w:pPr>
              <w:ind w:left="580"/>
              <w:spacing w:after="0"/>
              <w:rPr>
                <w:sz w:val="20"/>
                <w:szCs w:val="20"/>
                <w:color w:val="auto"/>
              </w:rPr>
            </w:pPr>
            <w:r>
              <w:rPr>
                <w:rFonts w:ascii="Arial" w:cs="Arial" w:eastAsia="Arial" w:hAnsi="Arial"/>
                <w:sz w:val="14"/>
                <w:szCs w:val="14"/>
                <w:b w:val="1"/>
                <w:bCs w:val="1"/>
                <w:color w:val="FFFFFF"/>
              </w:rPr>
              <w:t>Achievement</w:t>
            </w:r>
          </w:p>
        </w:tc>
        <w:tc>
          <w:tcPr>
            <w:tcW w:w="1300" w:type="dxa"/>
            <w:vAlign w:val="bottom"/>
          </w:tcPr>
          <w:p>
            <w:pPr>
              <w:spacing w:after="0"/>
              <w:rPr>
                <w:sz w:val="17"/>
                <w:szCs w:val="17"/>
                <w:color w:val="auto"/>
              </w:rPr>
            </w:pPr>
          </w:p>
        </w:tc>
        <w:tc>
          <w:tcPr>
            <w:tcW w:w="1100" w:type="dxa"/>
            <w:vAlign w:val="bottom"/>
            <w:vMerge w:val="restart"/>
          </w:tcPr>
          <w:p>
            <w:pPr>
              <w:jc w:val="center"/>
              <w:ind w:left="208"/>
              <w:spacing w:after="0"/>
              <w:rPr>
                <w:sz w:val="20"/>
                <w:szCs w:val="20"/>
                <w:color w:val="auto"/>
              </w:rPr>
            </w:pPr>
            <w:r>
              <w:rPr>
                <w:rFonts w:ascii="Arial" w:cs="Arial" w:eastAsia="Arial" w:hAnsi="Arial"/>
                <w:sz w:val="14"/>
                <w:szCs w:val="14"/>
                <w:b w:val="1"/>
                <w:bCs w:val="1"/>
                <w:color w:val="FFFFFF"/>
              </w:rPr>
              <w:t>Payout % of</w:t>
            </w:r>
          </w:p>
        </w:tc>
        <w:tc>
          <w:tcPr>
            <w:tcW w:w="0" w:type="dxa"/>
            <w:vAlign w:val="bottom"/>
          </w:tcPr>
          <w:p>
            <w:pPr>
              <w:spacing w:after="0"/>
              <w:rPr>
                <w:sz w:val="1"/>
                <w:szCs w:val="1"/>
                <w:color w:val="auto"/>
              </w:rPr>
            </w:pPr>
          </w:p>
        </w:tc>
      </w:tr>
      <w:tr>
        <w:trPr>
          <w:trHeight w:val="47"/>
        </w:trPr>
        <w:tc>
          <w:tcPr>
            <w:tcW w:w="184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8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840" w:type="dxa"/>
            <w:vAlign w:val="bottom"/>
          </w:tcPr>
          <w:p>
            <w:pPr>
              <w:spacing w:after="0"/>
              <w:rPr>
                <w:sz w:val="20"/>
                <w:szCs w:val="20"/>
                <w:color w:val="auto"/>
              </w:rPr>
            </w:pPr>
            <w:r>
              <w:rPr>
                <w:rFonts w:ascii="Arial" w:cs="Arial" w:eastAsia="Arial" w:hAnsi="Arial"/>
                <w:sz w:val="14"/>
                <w:szCs w:val="14"/>
                <w:b w:val="1"/>
                <w:bCs w:val="1"/>
                <w:color w:val="FFFFFF"/>
              </w:rPr>
              <w:t>Performance Measure</w:t>
            </w:r>
          </w:p>
        </w:tc>
        <w:tc>
          <w:tcPr>
            <w:tcW w:w="1420" w:type="dxa"/>
            <w:vAlign w:val="bottom"/>
          </w:tcPr>
          <w:p>
            <w:pPr>
              <w:ind w:left="340"/>
              <w:spacing w:after="0"/>
              <w:rPr>
                <w:sz w:val="20"/>
                <w:szCs w:val="20"/>
                <w:color w:val="auto"/>
              </w:rPr>
            </w:pPr>
            <w:r>
              <w:rPr>
                <w:rFonts w:ascii="Arial" w:cs="Arial" w:eastAsia="Arial" w:hAnsi="Arial"/>
                <w:sz w:val="14"/>
                <w:szCs w:val="14"/>
                <w:b w:val="1"/>
                <w:bCs w:val="1"/>
                <w:color w:val="FFFFFF"/>
              </w:rPr>
              <w:t>Weighting</w:t>
            </w:r>
          </w:p>
        </w:tc>
        <w:tc>
          <w:tcPr>
            <w:tcW w:w="1220" w:type="dxa"/>
            <w:vAlign w:val="bottom"/>
          </w:tcPr>
          <w:p>
            <w:pPr>
              <w:ind w:left="420"/>
              <w:spacing w:after="0"/>
              <w:rPr>
                <w:sz w:val="20"/>
                <w:szCs w:val="20"/>
                <w:color w:val="auto"/>
              </w:rPr>
            </w:pPr>
            <w:r>
              <w:rPr>
                <w:rFonts w:ascii="Arial" w:cs="Arial" w:eastAsia="Arial" w:hAnsi="Arial"/>
                <w:sz w:val="14"/>
                <w:szCs w:val="14"/>
                <w:b w:val="1"/>
                <w:bCs w:val="1"/>
                <w:color w:val="FFFFFF"/>
              </w:rPr>
              <w:t>Threshold</w:t>
            </w:r>
          </w:p>
        </w:tc>
        <w:tc>
          <w:tcPr>
            <w:tcW w:w="1860" w:type="dxa"/>
            <w:vAlign w:val="bottom"/>
          </w:tcPr>
          <w:p>
            <w:pPr>
              <w:ind w:left="840"/>
              <w:spacing w:after="0"/>
              <w:rPr>
                <w:sz w:val="20"/>
                <w:szCs w:val="20"/>
                <w:color w:val="auto"/>
              </w:rPr>
            </w:pPr>
            <w:r>
              <w:rPr>
                <w:rFonts w:ascii="Arial" w:cs="Arial" w:eastAsia="Arial" w:hAnsi="Arial"/>
                <w:sz w:val="14"/>
                <w:szCs w:val="14"/>
                <w:b w:val="1"/>
                <w:bCs w:val="1"/>
                <w:color w:val="FFFFFF"/>
              </w:rPr>
              <w:t>Target</w:t>
            </w:r>
          </w:p>
        </w:tc>
        <w:tc>
          <w:tcPr>
            <w:tcW w:w="1300" w:type="dxa"/>
            <w:vAlign w:val="bottom"/>
          </w:tcPr>
          <w:p>
            <w:pPr>
              <w:ind w:left="360"/>
              <w:spacing w:after="0"/>
              <w:rPr>
                <w:sz w:val="20"/>
                <w:szCs w:val="20"/>
                <w:color w:val="auto"/>
              </w:rPr>
            </w:pPr>
            <w:r>
              <w:rPr>
                <w:rFonts w:ascii="Arial" w:cs="Arial" w:eastAsia="Arial" w:hAnsi="Arial"/>
                <w:sz w:val="14"/>
                <w:szCs w:val="14"/>
                <w:b w:val="1"/>
                <w:bCs w:val="1"/>
                <w:color w:val="FFFFFF"/>
              </w:rPr>
              <w:t>Maximum</w:t>
            </w:r>
          </w:p>
        </w:tc>
        <w:tc>
          <w:tcPr>
            <w:tcW w:w="1100" w:type="dxa"/>
            <w:vAlign w:val="bottom"/>
          </w:tcPr>
          <w:p>
            <w:pPr>
              <w:jc w:val="center"/>
              <w:ind w:left="228"/>
              <w:spacing w:after="0"/>
              <w:rPr>
                <w:sz w:val="20"/>
                <w:szCs w:val="20"/>
                <w:color w:val="auto"/>
              </w:rPr>
            </w:pPr>
            <w:r>
              <w:rPr>
                <w:rFonts w:ascii="Arial" w:cs="Arial" w:eastAsia="Arial" w:hAnsi="Arial"/>
                <w:sz w:val="14"/>
                <w:szCs w:val="14"/>
                <w:b w:val="1"/>
                <w:bCs w:val="1"/>
                <w:color w:val="FFFFFF"/>
              </w:rPr>
              <w:t>Target</w:t>
            </w:r>
          </w:p>
        </w:tc>
        <w:tc>
          <w:tcPr>
            <w:tcW w:w="0" w:type="dxa"/>
            <w:vAlign w:val="bottom"/>
          </w:tcPr>
          <w:p>
            <w:pPr>
              <w:spacing w:after="0"/>
              <w:rPr>
                <w:sz w:val="1"/>
                <w:szCs w:val="1"/>
                <w:color w:val="auto"/>
              </w:rPr>
            </w:pPr>
          </w:p>
        </w:tc>
      </w:tr>
      <w:tr>
        <w:trPr>
          <w:trHeight w:val="300"/>
        </w:trPr>
        <w:tc>
          <w:tcPr>
            <w:tcW w:w="18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60" w:type="dxa"/>
            <w:vAlign w:val="bottom"/>
          </w:tcPr>
          <w:p>
            <w:pPr>
              <w:ind w:left="120"/>
              <w:spacing w:after="0"/>
              <w:rPr>
                <w:sz w:val="20"/>
                <w:szCs w:val="20"/>
                <w:color w:val="auto"/>
              </w:rPr>
            </w:pPr>
            <w:r>
              <w:rPr>
                <w:rFonts w:ascii="Arial" w:cs="Arial" w:eastAsia="Arial" w:hAnsi="Arial"/>
                <w:sz w:val="11"/>
                <w:szCs w:val="11"/>
                <w:color w:val="FFFFFF"/>
              </w:rPr>
              <w:t>Actual Performance $1,483B</w:t>
            </w:r>
          </w:p>
        </w:tc>
        <w:tc>
          <w:tcPr>
            <w:tcW w:w="1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18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860" w:type="dxa"/>
            <w:vAlign w:val="bottom"/>
          </w:tcPr>
          <w:p>
            <w:pPr>
              <w:ind w:left="760"/>
              <w:spacing w:after="0"/>
              <w:rPr>
                <w:sz w:val="20"/>
                <w:szCs w:val="20"/>
                <w:color w:val="auto"/>
              </w:rPr>
            </w:pPr>
            <w:r>
              <w:rPr>
                <w:rFonts w:ascii="Arial" w:cs="Arial" w:eastAsia="Arial" w:hAnsi="Arial"/>
                <w:sz w:val="11"/>
                <w:szCs w:val="11"/>
                <w:color w:val="6AAA37"/>
              </w:rPr>
              <w:t>q</w:t>
            </w:r>
          </w:p>
        </w:tc>
        <w:tc>
          <w:tcPr>
            <w:tcW w:w="1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9080"/>
          </w:cols>
          <w:pgMar w:left="1400" w:top="140" w:right="1419" w:bottom="0" w:gutter="0" w:footer="0" w:header="0"/>
          <w:type w:val="continuous"/>
        </w:sectPr>
      </w:pPr>
    </w:p>
    <w:bookmarkStart w:id="48" w:name="page49"/>
    <w:bookmarkEnd w:id="48"/>
    <w:p>
      <w:pPr>
        <w:spacing w:after="0" w:line="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483679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10375" cy="483679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9"/>
        </w:trPr>
        <w:tc>
          <w:tcPr>
            <w:tcW w:w="2000" w:type="dxa"/>
            <w:vAlign w:val="bottom"/>
            <w:shd w:val="clear" w:color="auto" w:fill="00558C"/>
          </w:tcPr>
          <w:p>
            <w:pPr>
              <w:ind w:left="140"/>
              <w:spacing w:after="0"/>
              <w:rPr>
                <w:sz w:val="20"/>
                <w:szCs w:val="20"/>
                <w:color w:val="auto"/>
              </w:rPr>
            </w:pPr>
            <w:r>
              <w:rPr>
                <w:rFonts w:ascii="Arial" w:cs="Arial" w:eastAsia="Arial" w:hAnsi="Arial"/>
                <w:sz w:val="14"/>
                <w:szCs w:val="14"/>
                <w:b w:val="1"/>
                <w:bCs w:val="1"/>
                <w:color w:val="auto"/>
              </w:rPr>
              <w:t>Organic Revenue</w:t>
            </w:r>
            <w:r>
              <w:rPr>
                <w:rFonts w:ascii="Arial" w:cs="Arial" w:eastAsia="Arial" w:hAnsi="Arial"/>
                <w:sz w:val="9"/>
                <w:szCs w:val="9"/>
                <w:b w:val="1"/>
                <w:bCs w:val="1"/>
                <w:color w:val="auto"/>
              </w:rPr>
              <w:t>6</w:t>
            </w:r>
          </w:p>
        </w:tc>
        <w:tc>
          <w:tcPr>
            <w:tcW w:w="1400" w:type="dxa"/>
            <w:vAlign w:val="bottom"/>
          </w:tcPr>
          <w:p>
            <w:pPr>
              <w:jc w:val="right"/>
              <w:ind w:right="468"/>
              <w:spacing w:after="0"/>
              <w:rPr>
                <w:sz w:val="20"/>
                <w:szCs w:val="20"/>
                <w:color w:val="auto"/>
              </w:rPr>
            </w:pPr>
            <w:r>
              <w:rPr>
                <w:rFonts w:ascii="Arial" w:cs="Arial" w:eastAsia="Arial" w:hAnsi="Arial"/>
                <w:sz w:val="14"/>
                <w:szCs w:val="14"/>
                <w:b w:val="1"/>
                <w:bCs w:val="1"/>
                <w:color w:val="6AAA37"/>
              </w:rPr>
              <w:t>40%</w:t>
            </w:r>
          </w:p>
        </w:tc>
        <w:tc>
          <w:tcPr>
            <w:tcW w:w="1300" w:type="dxa"/>
            <w:vAlign w:val="bottom"/>
            <w:tcBorders>
              <w:right w:val="single" w:sz="8" w:color="6AAA37"/>
            </w:tcBorders>
          </w:tcPr>
          <w:p>
            <w:pPr>
              <w:ind w:left="100"/>
              <w:spacing w:after="0"/>
              <w:rPr>
                <w:sz w:val="20"/>
                <w:szCs w:val="20"/>
                <w:color w:val="auto"/>
              </w:rPr>
            </w:pPr>
            <w:r>
              <w:rPr>
                <w:rFonts w:ascii="Arial" w:cs="Arial" w:eastAsia="Arial" w:hAnsi="Arial"/>
                <w:sz w:val="13"/>
                <w:szCs w:val="13"/>
                <w:b w:val="1"/>
                <w:bCs w:val="1"/>
                <w:color w:val="FFFFFF"/>
              </w:rPr>
              <w:t>No Payout Earned</w:t>
            </w:r>
          </w:p>
        </w:tc>
        <w:tc>
          <w:tcPr>
            <w:tcW w:w="440" w:type="dxa"/>
            <w:vAlign w:val="bottom"/>
            <w:shd w:val="clear" w:color="auto" w:fill="6AAA37"/>
          </w:tcPr>
          <w:p>
            <w:pPr>
              <w:spacing w:after="0"/>
              <w:rPr>
                <w:sz w:val="15"/>
                <w:szCs w:val="15"/>
                <w:color w:val="auto"/>
              </w:rPr>
            </w:pPr>
          </w:p>
        </w:tc>
        <w:tc>
          <w:tcPr>
            <w:tcW w:w="580" w:type="dxa"/>
            <w:vAlign w:val="bottom"/>
            <w:tcBorders>
              <w:right w:val="single" w:sz="8" w:color="6AAA37"/>
            </w:tcBorders>
            <w:shd w:val="clear" w:color="auto" w:fill="6AAA37"/>
          </w:tcPr>
          <w:p>
            <w:pPr>
              <w:spacing w:after="0"/>
              <w:rPr>
                <w:sz w:val="15"/>
                <w:szCs w:val="15"/>
                <w:color w:val="auto"/>
              </w:rPr>
            </w:pPr>
          </w:p>
        </w:tc>
        <w:tc>
          <w:tcPr>
            <w:tcW w:w="460" w:type="dxa"/>
            <w:vAlign w:val="bottom"/>
            <w:shd w:val="clear" w:color="auto" w:fill="6AAA37"/>
          </w:tcPr>
          <w:p>
            <w:pPr>
              <w:spacing w:after="0"/>
              <w:rPr>
                <w:sz w:val="15"/>
                <w:szCs w:val="15"/>
                <w:color w:val="auto"/>
              </w:rPr>
            </w:pPr>
          </w:p>
        </w:tc>
        <w:tc>
          <w:tcPr>
            <w:tcW w:w="500" w:type="dxa"/>
            <w:vAlign w:val="bottom"/>
          </w:tcPr>
          <w:p>
            <w:pPr>
              <w:spacing w:after="0"/>
              <w:rPr>
                <w:sz w:val="15"/>
                <w:szCs w:val="15"/>
                <w:color w:val="auto"/>
              </w:rPr>
            </w:pPr>
          </w:p>
        </w:tc>
        <w:tc>
          <w:tcPr>
            <w:tcW w:w="1300" w:type="dxa"/>
            <w:vAlign w:val="bottom"/>
            <w:gridSpan w:val="3"/>
          </w:tcPr>
          <w:p>
            <w:pPr>
              <w:ind w:left="40"/>
              <w:spacing w:after="0"/>
              <w:rPr>
                <w:sz w:val="20"/>
                <w:szCs w:val="20"/>
                <w:color w:val="auto"/>
              </w:rPr>
            </w:pPr>
            <w:r>
              <w:rPr>
                <w:rFonts w:ascii="Arial" w:cs="Arial" w:eastAsia="Arial" w:hAnsi="Arial"/>
                <w:sz w:val="13"/>
                <w:szCs w:val="13"/>
                <w:b w:val="1"/>
                <w:bCs w:val="1"/>
                <w:color w:val="FFFFFF"/>
              </w:rPr>
              <w:t>Max Payout Earned</w:t>
            </w:r>
          </w:p>
        </w:tc>
        <w:tc>
          <w:tcPr>
            <w:tcW w:w="1080" w:type="dxa"/>
            <w:vAlign w:val="bottom"/>
            <w:shd w:val="clear" w:color="auto" w:fill="00558C"/>
          </w:tcPr>
          <w:p>
            <w:pPr>
              <w:jc w:val="center"/>
              <w:spacing w:after="0"/>
              <w:rPr>
                <w:sz w:val="20"/>
                <w:szCs w:val="20"/>
                <w:color w:val="auto"/>
              </w:rPr>
            </w:pPr>
            <w:r>
              <w:rPr>
                <w:rFonts w:ascii="Arial" w:cs="Arial" w:eastAsia="Arial" w:hAnsi="Arial"/>
                <w:sz w:val="14"/>
                <w:szCs w:val="14"/>
                <w:color w:val="FFFFFF"/>
              </w:rPr>
              <w:t>88%</w:t>
            </w:r>
          </w:p>
        </w:tc>
        <w:tc>
          <w:tcPr>
            <w:tcW w:w="0" w:type="dxa"/>
            <w:vAlign w:val="bottom"/>
          </w:tcPr>
          <w:p>
            <w:pPr>
              <w:spacing w:after="0"/>
              <w:rPr>
                <w:sz w:val="1"/>
                <w:szCs w:val="1"/>
                <w:color w:val="auto"/>
              </w:rPr>
            </w:pPr>
          </w:p>
        </w:tc>
      </w:tr>
      <w:tr>
        <w:trPr>
          <w:trHeight w:val="94"/>
        </w:trPr>
        <w:tc>
          <w:tcPr>
            <w:tcW w:w="2000" w:type="dxa"/>
            <w:vAlign w:val="bottom"/>
            <w:tcBorders>
              <w:bottom w:val="single" w:sz="8" w:color="00558C"/>
            </w:tcBorders>
            <w:shd w:val="clear" w:color="auto" w:fill="00558C"/>
          </w:tcPr>
          <w:p>
            <w:pPr>
              <w:spacing w:after="0"/>
              <w:rPr>
                <w:sz w:val="8"/>
                <w:szCs w:val="8"/>
                <w:color w:val="auto"/>
              </w:rPr>
            </w:pPr>
          </w:p>
        </w:tc>
        <w:tc>
          <w:tcPr>
            <w:tcW w:w="1400" w:type="dxa"/>
            <w:vAlign w:val="bottom"/>
            <w:tcBorders>
              <w:bottom w:val="single" w:sz="8" w:color="00558C"/>
            </w:tcBorders>
          </w:tcPr>
          <w:p>
            <w:pPr>
              <w:spacing w:after="0"/>
              <w:rPr>
                <w:sz w:val="8"/>
                <w:szCs w:val="8"/>
                <w:color w:val="auto"/>
              </w:rPr>
            </w:pPr>
          </w:p>
        </w:tc>
        <w:tc>
          <w:tcPr>
            <w:tcW w:w="1740" w:type="dxa"/>
            <w:vAlign w:val="bottom"/>
            <w:gridSpan w:val="2"/>
          </w:tcPr>
          <w:p>
            <w:pPr>
              <w:jc w:val="center"/>
              <w:ind w:left="617"/>
              <w:spacing w:after="0" w:line="88" w:lineRule="exact"/>
              <w:rPr>
                <w:sz w:val="20"/>
                <w:szCs w:val="20"/>
                <w:color w:val="auto"/>
              </w:rPr>
            </w:pPr>
            <w:r>
              <w:rPr>
                <w:rFonts w:ascii="Arial" w:cs="Arial" w:eastAsia="Arial" w:hAnsi="Arial"/>
                <w:sz w:val="10"/>
                <w:szCs w:val="10"/>
                <w:color w:val="auto"/>
              </w:rPr>
              <w:t>$1.430B</w:t>
            </w:r>
          </w:p>
        </w:tc>
        <w:tc>
          <w:tcPr>
            <w:tcW w:w="1040" w:type="dxa"/>
            <w:vAlign w:val="bottom"/>
            <w:gridSpan w:val="2"/>
          </w:tcPr>
          <w:p>
            <w:pPr>
              <w:jc w:val="center"/>
              <w:spacing w:after="0" w:line="88" w:lineRule="exact"/>
              <w:rPr>
                <w:sz w:val="20"/>
                <w:szCs w:val="20"/>
                <w:color w:val="auto"/>
              </w:rPr>
            </w:pPr>
            <w:r>
              <w:rPr>
                <w:rFonts w:ascii="Arial" w:cs="Arial" w:eastAsia="Arial" w:hAnsi="Arial"/>
                <w:sz w:val="10"/>
                <w:szCs w:val="10"/>
                <w:color w:val="auto"/>
              </w:rPr>
              <w:t>$1.500B</w:t>
            </w:r>
          </w:p>
        </w:tc>
        <w:tc>
          <w:tcPr>
            <w:tcW w:w="1800" w:type="dxa"/>
            <w:vAlign w:val="bottom"/>
            <w:gridSpan w:val="4"/>
          </w:tcPr>
          <w:p>
            <w:pPr>
              <w:jc w:val="center"/>
              <w:ind w:right="680"/>
              <w:spacing w:after="0" w:line="95" w:lineRule="exact"/>
              <w:rPr>
                <w:sz w:val="20"/>
                <w:szCs w:val="20"/>
                <w:color w:val="auto"/>
              </w:rPr>
            </w:pPr>
            <w:r>
              <w:rPr>
                <w:rFonts w:ascii="Arial" w:cs="Arial" w:eastAsia="Arial" w:hAnsi="Arial"/>
                <w:sz w:val="10"/>
                <w:szCs w:val="10"/>
                <w:color w:val="auto"/>
              </w:rPr>
              <w:t>$1.655B</w:t>
            </w:r>
          </w:p>
        </w:tc>
        <w:tc>
          <w:tcPr>
            <w:tcW w:w="1080" w:type="dxa"/>
            <w:vAlign w:val="bottom"/>
            <w:tcBorders>
              <w:bottom w:val="single" w:sz="8" w:color="00558C"/>
            </w:tcBorders>
            <w:shd w:val="clear" w:color="auto" w:fill="00558C"/>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2000" w:type="dxa"/>
            <w:vAlign w:val="bottom"/>
            <w:shd w:val="clear" w:color="auto" w:fill="00558C"/>
          </w:tcPr>
          <w:p>
            <w:pPr>
              <w:spacing w:after="0"/>
              <w:rPr>
                <w:sz w:val="15"/>
                <w:szCs w:val="15"/>
                <w:color w:val="auto"/>
              </w:rPr>
            </w:pPr>
          </w:p>
        </w:tc>
        <w:tc>
          <w:tcPr>
            <w:tcW w:w="1400" w:type="dxa"/>
            <w:vAlign w:val="bottom"/>
            <w:shd w:val="clear" w:color="auto" w:fill="00558C"/>
          </w:tcPr>
          <w:p>
            <w:pPr>
              <w:spacing w:after="0"/>
              <w:rPr>
                <w:sz w:val="15"/>
                <w:szCs w:val="15"/>
                <w:color w:val="auto"/>
              </w:rPr>
            </w:pPr>
          </w:p>
        </w:tc>
        <w:tc>
          <w:tcPr>
            <w:tcW w:w="1300" w:type="dxa"/>
            <w:vAlign w:val="bottom"/>
            <w:tcBorders>
              <w:left w:val="single" w:sz="8" w:color="00558C"/>
              <w:right w:val="single" w:sz="8" w:color="B2B3B6"/>
            </w:tcBorders>
            <w:shd w:val="clear" w:color="auto" w:fill="00558C"/>
          </w:tcPr>
          <w:p>
            <w:pPr>
              <w:spacing w:after="0"/>
              <w:rPr>
                <w:sz w:val="15"/>
                <w:szCs w:val="15"/>
                <w:color w:val="auto"/>
              </w:rPr>
            </w:pPr>
          </w:p>
        </w:tc>
        <w:tc>
          <w:tcPr>
            <w:tcW w:w="440" w:type="dxa"/>
            <w:vAlign w:val="bottom"/>
            <w:shd w:val="clear" w:color="auto" w:fill="00558C"/>
          </w:tcPr>
          <w:p>
            <w:pPr>
              <w:spacing w:after="0"/>
              <w:rPr>
                <w:sz w:val="15"/>
                <w:szCs w:val="15"/>
                <w:color w:val="auto"/>
              </w:rPr>
            </w:pPr>
          </w:p>
        </w:tc>
        <w:tc>
          <w:tcPr>
            <w:tcW w:w="580" w:type="dxa"/>
            <w:vAlign w:val="bottom"/>
            <w:tcBorders>
              <w:right w:val="single" w:sz="8" w:color="B2B3B6"/>
            </w:tcBorders>
            <w:shd w:val="clear" w:color="auto" w:fill="00558C"/>
          </w:tcPr>
          <w:p>
            <w:pPr>
              <w:spacing w:after="0"/>
              <w:rPr>
                <w:sz w:val="15"/>
                <w:szCs w:val="15"/>
                <w:color w:val="auto"/>
              </w:rPr>
            </w:pPr>
          </w:p>
        </w:tc>
        <w:tc>
          <w:tcPr>
            <w:tcW w:w="960" w:type="dxa"/>
            <w:vAlign w:val="bottom"/>
            <w:tcBorders>
              <w:right w:val="single" w:sz="8" w:color="B2B3B6"/>
            </w:tcBorders>
            <w:gridSpan w:val="2"/>
            <w:shd w:val="clear" w:color="auto" w:fill="00558C"/>
          </w:tcPr>
          <w:p>
            <w:pPr>
              <w:spacing w:after="0"/>
              <w:rPr>
                <w:sz w:val="15"/>
                <w:szCs w:val="15"/>
                <w:color w:val="auto"/>
              </w:rPr>
            </w:pPr>
          </w:p>
        </w:tc>
        <w:tc>
          <w:tcPr>
            <w:tcW w:w="620" w:type="dxa"/>
            <w:vAlign w:val="bottom"/>
            <w:shd w:val="clear" w:color="auto" w:fill="00558C"/>
          </w:tcPr>
          <w:p>
            <w:pPr>
              <w:spacing w:after="0"/>
              <w:rPr>
                <w:sz w:val="15"/>
                <w:szCs w:val="15"/>
                <w:color w:val="auto"/>
              </w:rPr>
            </w:pPr>
          </w:p>
        </w:tc>
        <w:tc>
          <w:tcPr>
            <w:tcW w:w="640" w:type="dxa"/>
            <w:vAlign w:val="bottom"/>
            <w:shd w:val="clear" w:color="auto" w:fill="00558C"/>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shd w:val="clear" w:color="auto" w:fill="00558C"/>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2000" w:type="dxa"/>
            <w:vAlign w:val="bottom"/>
            <w:tcBorders>
              <w:bottom w:val="single" w:sz="8" w:color="00558C"/>
            </w:tcBorders>
            <w:shd w:val="clear" w:color="auto" w:fill="00558C"/>
          </w:tcPr>
          <w:p>
            <w:pPr>
              <w:spacing w:after="0"/>
              <w:rPr>
                <w:sz w:val="5"/>
                <w:szCs w:val="5"/>
                <w:color w:val="auto"/>
              </w:rPr>
            </w:pPr>
          </w:p>
        </w:tc>
        <w:tc>
          <w:tcPr>
            <w:tcW w:w="1400" w:type="dxa"/>
            <w:vAlign w:val="bottom"/>
            <w:tcBorders>
              <w:bottom w:val="single" w:sz="8" w:color="00558C"/>
            </w:tcBorders>
            <w:shd w:val="clear" w:color="auto" w:fill="00558C"/>
          </w:tcPr>
          <w:p>
            <w:pPr>
              <w:spacing w:after="0"/>
              <w:rPr>
                <w:sz w:val="5"/>
                <w:szCs w:val="5"/>
                <w:color w:val="auto"/>
              </w:rPr>
            </w:pPr>
          </w:p>
        </w:tc>
        <w:tc>
          <w:tcPr>
            <w:tcW w:w="1300" w:type="dxa"/>
            <w:vAlign w:val="bottom"/>
            <w:tcBorders>
              <w:left w:val="single" w:sz="8" w:color="00558C"/>
              <w:bottom w:val="single" w:sz="8" w:color="00558C"/>
              <w:right w:val="single" w:sz="8" w:color="B2B3B6"/>
            </w:tcBorders>
          </w:tcPr>
          <w:p>
            <w:pPr>
              <w:spacing w:after="0"/>
              <w:rPr>
                <w:sz w:val="5"/>
                <w:szCs w:val="5"/>
                <w:color w:val="auto"/>
              </w:rPr>
            </w:pPr>
          </w:p>
        </w:tc>
        <w:tc>
          <w:tcPr>
            <w:tcW w:w="440" w:type="dxa"/>
            <w:vAlign w:val="bottom"/>
            <w:tcBorders>
              <w:bottom w:val="single" w:sz="8" w:color="00558C"/>
            </w:tcBorders>
          </w:tcPr>
          <w:p>
            <w:pPr>
              <w:spacing w:after="0"/>
              <w:rPr>
                <w:sz w:val="5"/>
                <w:szCs w:val="5"/>
                <w:color w:val="auto"/>
              </w:rPr>
            </w:pPr>
          </w:p>
        </w:tc>
        <w:tc>
          <w:tcPr>
            <w:tcW w:w="580" w:type="dxa"/>
            <w:vAlign w:val="bottom"/>
            <w:tcBorders>
              <w:bottom w:val="single" w:sz="8" w:color="00558C"/>
              <w:right w:val="single" w:sz="8" w:color="B2B3B6"/>
            </w:tcBorders>
          </w:tcPr>
          <w:p>
            <w:pPr>
              <w:spacing w:after="0"/>
              <w:rPr>
                <w:sz w:val="5"/>
                <w:szCs w:val="5"/>
                <w:color w:val="auto"/>
              </w:rPr>
            </w:pPr>
          </w:p>
        </w:tc>
        <w:tc>
          <w:tcPr>
            <w:tcW w:w="460" w:type="dxa"/>
            <w:vAlign w:val="bottom"/>
            <w:tcBorders>
              <w:bottom w:val="single" w:sz="8" w:color="00558C"/>
            </w:tcBorders>
          </w:tcPr>
          <w:p>
            <w:pPr>
              <w:spacing w:after="0"/>
              <w:rPr>
                <w:sz w:val="5"/>
                <w:szCs w:val="5"/>
                <w:color w:val="auto"/>
              </w:rPr>
            </w:pPr>
          </w:p>
        </w:tc>
        <w:tc>
          <w:tcPr>
            <w:tcW w:w="500" w:type="dxa"/>
            <w:vAlign w:val="bottom"/>
            <w:tcBorders>
              <w:bottom w:val="single" w:sz="8" w:color="00558C"/>
              <w:right w:val="single" w:sz="8" w:color="B2B3B6"/>
            </w:tcBorders>
          </w:tcPr>
          <w:p>
            <w:pPr>
              <w:spacing w:after="0"/>
              <w:rPr>
                <w:sz w:val="5"/>
                <w:szCs w:val="5"/>
                <w:color w:val="auto"/>
              </w:rPr>
            </w:pPr>
          </w:p>
        </w:tc>
        <w:tc>
          <w:tcPr>
            <w:tcW w:w="620" w:type="dxa"/>
            <w:vAlign w:val="bottom"/>
            <w:tcBorders>
              <w:bottom w:val="single" w:sz="8" w:color="00558C"/>
            </w:tcBorders>
          </w:tcPr>
          <w:p>
            <w:pPr>
              <w:spacing w:after="0"/>
              <w:rPr>
                <w:sz w:val="5"/>
                <w:szCs w:val="5"/>
                <w:color w:val="auto"/>
              </w:rPr>
            </w:pPr>
          </w:p>
        </w:tc>
        <w:tc>
          <w:tcPr>
            <w:tcW w:w="640" w:type="dxa"/>
            <w:vAlign w:val="bottom"/>
            <w:tcBorders>
              <w:bottom w:val="single" w:sz="8" w:color="00558C"/>
            </w:tcBorders>
          </w:tcPr>
          <w:p>
            <w:pPr>
              <w:spacing w:after="0"/>
              <w:rPr>
                <w:sz w:val="5"/>
                <w:szCs w:val="5"/>
                <w:color w:val="auto"/>
              </w:rPr>
            </w:pPr>
          </w:p>
        </w:tc>
        <w:tc>
          <w:tcPr>
            <w:tcW w:w="40" w:type="dxa"/>
            <w:vAlign w:val="bottom"/>
            <w:tcBorders>
              <w:bottom w:val="single" w:sz="8" w:color="00558C"/>
            </w:tcBorders>
          </w:tcPr>
          <w:p>
            <w:pPr>
              <w:spacing w:after="0"/>
              <w:rPr>
                <w:sz w:val="5"/>
                <w:szCs w:val="5"/>
                <w:color w:val="auto"/>
              </w:rPr>
            </w:pPr>
          </w:p>
        </w:tc>
        <w:tc>
          <w:tcPr>
            <w:tcW w:w="1080" w:type="dxa"/>
            <w:vAlign w:val="bottom"/>
            <w:tcBorders>
              <w:bottom w:val="single" w:sz="8" w:color="00558C"/>
            </w:tcBorders>
            <w:shd w:val="clear" w:color="auto" w:fill="00558C"/>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2000" w:type="dxa"/>
            <w:vAlign w:val="bottom"/>
            <w:tcBorders>
              <w:top w:val="single" w:sz="8" w:color="00558C"/>
            </w:tcBorders>
            <w:shd w:val="clear" w:color="auto" w:fill="F2F3F2"/>
          </w:tcPr>
          <w:p>
            <w:pPr>
              <w:spacing w:after="0"/>
              <w:rPr>
                <w:sz w:val="13"/>
                <w:szCs w:val="13"/>
                <w:color w:val="auto"/>
              </w:rPr>
            </w:pPr>
          </w:p>
        </w:tc>
        <w:tc>
          <w:tcPr>
            <w:tcW w:w="1400" w:type="dxa"/>
            <w:vAlign w:val="bottom"/>
            <w:tcBorders>
              <w:top w:val="single" w:sz="8" w:color="00558C"/>
            </w:tcBorders>
            <w:shd w:val="clear" w:color="auto" w:fill="F2F3F2"/>
          </w:tcPr>
          <w:p>
            <w:pPr>
              <w:spacing w:after="0"/>
              <w:rPr>
                <w:sz w:val="13"/>
                <w:szCs w:val="13"/>
                <w:color w:val="auto"/>
              </w:rPr>
            </w:pPr>
          </w:p>
        </w:tc>
        <w:tc>
          <w:tcPr>
            <w:tcW w:w="1300" w:type="dxa"/>
            <w:vAlign w:val="bottom"/>
            <w:tcBorders>
              <w:top w:val="single" w:sz="8" w:color="00558C"/>
              <w:left w:val="single" w:sz="8" w:color="F2F3F2"/>
              <w:right w:val="single" w:sz="8" w:color="F2F3F2"/>
            </w:tcBorders>
            <w:shd w:val="clear" w:color="auto" w:fill="F2F3F2"/>
          </w:tcPr>
          <w:p>
            <w:pPr>
              <w:spacing w:after="0"/>
              <w:rPr>
                <w:sz w:val="13"/>
                <w:szCs w:val="13"/>
                <w:color w:val="auto"/>
              </w:rPr>
            </w:pPr>
          </w:p>
        </w:tc>
        <w:tc>
          <w:tcPr>
            <w:tcW w:w="440" w:type="dxa"/>
            <w:vAlign w:val="bottom"/>
            <w:tcBorders>
              <w:top w:val="single" w:sz="8" w:color="00558C"/>
            </w:tcBorders>
            <w:shd w:val="clear" w:color="auto" w:fill="F2F3F2"/>
          </w:tcPr>
          <w:p>
            <w:pPr>
              <w:spacing w:after="0"/>
              <w:rPr>
                <w:sz w:val="13"/>
                <w:szCs w:val="13"/>
                <w:color w:val="auto"/>
              </w:rPr>
            </w:pPr>
          </w:p>
        </w:tc>
        <w:tc>
          <w:tcPr>
            <w:tcW w:w="580" w:type="dxa"/>
            <w:vAlign w:val="bottom"/>
            <w:tcBorders>
              <w:top w:val="single" w:sz="8" w:color="00558C"/>
              <w:right w:val="single" w:sz="8" w:color="6AAA37"/>
            </w:tcBorders>
            <w:shd w:val="clear" w:color="auto" w:fill="F2F3F2"/>
          </w:tcPr>
          <w:p>
            <w:pPr>
              <w:spacing w:after="0"/>
              <w:rPr>
                <w:sz w:val="13"/>
                <w:szCs w:val="13"/>
                <w:color w:val="auto"/>
              </w:rPr>
            </w:pPr>
          </w:p>
        </w:tc>
        <w:tc>
          <w:tcPr>
            <w:tcW w:w="1580" w:type="dxa"/>
            <w:vAlign w:val="bottom"/>
            <w:tcBorders>
              <w:top w:val="single" w:sz="8" w:color="6AAA37"/>
            </w:tcBorders>
            <w:gridSpan w:val="3"/>
            <w:shd w:val="clear" w:color="auto" w:fill="6AAA37"/>
          </w:tcPr>
          <w:p>
            <w:pPr>
              <w:ind w:left="100"/>
              <w:spacing w:after="0"/>
              <w:rPr>
                <w:sz w:val="20"/>
                <w:szCs w:val="20"/>
                <w:color w:val="auto"/>
              </w:rPr>
            </w:pPr>
            <w:r>
              <w:rPr>
                <w:rFonts w:ascii="Arial" w:cs="Arial" w:eastAsia="Arial" w:hAnsi="Arial"/>
                <w:sz w:val="11"/>
                <w:szCs w:val="11"/>
                <w:color w:val="FFFFFF"/>
              </w:rPr>
              <w:t>Actual Performance 13.54</w:t>
            </w:r>
            <w:r>
              <w:rPr>
                <w:rFonts w:ascii="Arial" w:cs="Arial" w:eastAsia="Arial" w:hAnsi="Arial"/>
                <w:sz w:val="11"/>
                <w:szCs w:val="11"/>
                <w:b w:val="1"/>
                <w:bCs w:val="1"/>
                <w:color w:val="FFFFFF"/>
              </w:rPr>
              <w:t>%</w:t>
            </w:r>
          </w:p>
        </w:tc>
        <w:tc>
          <w:tcPr>
            <w:tcW w:w="680" w:type="dxa"/>
            <w:vAlign w:val="bottom"/>
            <w:tcBorders>
              <w:top w:val="single" w:sz="8" w:color="00558C"/>
            </w:tcBorders>
            <w:gridSpan w:val="2"/>
            <w:shd w:val="clear" w:color="auto" w:fill="F2F3F2"/>
          </w:tcPr>
          <w:p>
            <w:pPr>
              <w:spacing w:after="0"/>
              <w:rPr>
                <w:sz w:val="13"/>
                <w:szCs w:val="13"/>
                <w:color w:val="auto"/>
              </w:rPr>
            </w:pPr>
          </w:p>
        </w:tc>
        <w:tc>
          <w:tcPr>
            <w:tcW w:w="1080" w:type="dxa"/>
            <w:vAlign w:val="bottom"/>
            <w:tcBorders>
              <w:top w:val="single" w:sz="8" w:color="00558C"/>
            </w:tcBorders>
            <w:shd w:val="clear" w:color="auto" w:fill="6AAA37"/>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00" w:type="dxa"/>
            <w:vAlign w:val="bottom"/>
            <w:vMerge w:val="restart"/>
            <w:shd w:val="clear" w:color="auto" w:fill="F2F3F2"/>
          </w:tcPr>
          <w:p>
            <w:pPr>
              <w:ind w:left="140"/>
              <w:spacing w:after="0"/>
              <w:rPr>
                <w:sz w:val="20"/>
                <w:szCs w:val="20"/>
                <w:color w:val="auto"/>
              </w:rPr>
            </w:pPr>
            <w:r>
              <w:rPr>
                <w:rFonts w:ascii="Arial" w:cs="Arial" w:eastAsia="Arial" w:hAnsi="Arial"/>
                <w:sz w:val="14"/>
                <w:szCs w:val="14"/>
                <w:b w:val="1"/>
                <w:bCs w:val="1"/>
                <w:color w:val="auto"/>
              </w:rPr>
              <w:t>Adjusted EBITDA Margin</w:t>
            </w:r>
            <w:r>
              <w:rPr>
                <w:rFonts w:ascii="Arial" w:cs="Arial" w:eastAsia="Arial" w:hAnsi="Arial"/>
                <w:sz w:val="18"/>
                <w:szCs w:val="18"/>
                <w:b w:val="1"/>
                <w:bCs w:val="1"/>
                <w:color w:val="auto"/>
                <w:vertAlign w:val="superscript"/>
              </w:rPr>
              <w:t>6</w:t>
            </w:r>
          </w:p>
        </w:tc>
        <w:tc>
          <w:tcPr>
            <w:tcW w:w="1400" w:type="dxa"/>
            <w:vAlign w:val="bottom"/>
            <w:vMerge w:val="restart"/>
            <w:shd w:val="clear" w:color="auto" w:fill="F2F3F2"/>
          </w:tcPr>
          <w:p>
            <w:pPr>
              <w:jc w:val="center"/>
              <w:spacing w:after="0"/>
              <w:rPr>
                <w:sz w:val="20"/>
                <w:szCs w:val="20"/>
                <w:color w:val="auto"/>
              </w:rPr>
            </w:pPr>
            <w:r>
              <w:rPr>
                <w:rFonts w:ascii="Arial" w:cs="Arial" w:eastAsia="Arial" w:hAnsi="Arial"/>
                <w:sz w:val="14"/>
                <w:szCs w:val="14"/>
                <w:b w:val="1"/>
                <w:bCs w:val="1"/>
                <w:color w:val="6AAA37"/>
              </w:rPr>
              <w:t>35%</w:t>
            </w:r>
          </w:p>
        </w:tc>
        <w:tc>
          <w:tcPr>
            <w:tcW w:w="1300" w:type="dxa"/>
            <w:vAlign w:val="bottom"/>
            <w:tcBorders>
              <w:left w:val="single" w:sz="8" w:color="F2F3F2"/>
              <w:right w:val="single" w:sz="8" w:color="F2F3F2"/>
            </w:tcBorders>
            <w:shd w:val="clear" w:color="auto" w:fill="F2F3F2"/>
          </w:tcPr>
          <w:p>
            <w:pPr>
              <w:spacing w:after="0"/>
              <w:rPr>
                <w:sz w:val="9"/>
                <w:szCs w:val="9"/>
                <w:color w:val="auto"/>
              </w:rPr>
            </w:pPr>
          </w:p>
        </w:tc>
        <w:tc>
          <w:tcPr>
            <w:tcW w:w="440" w:type="dxa"/>
            <w:vAlign w:val="bottom"/>
            <w:shd w:val="clear" w:color="auto" w:fill="F2F3F2"/>
          </w:tcPr>
          <w:p>
            <w:pPr>
              <w:spacing w:after="0"/>
              <w:rPr>
                <w:sz w:val="9"/>
                <w:szCs w:val="9"/>
                <w:color w:val="auto"/>
              </w:rPr>
            </w:pPr>
          </w:p>
        </w:tc>
        <w:tc>
          <w:tcPr>
            <w:tcW w:w="580" w:type="dxa"/>
            <w:vAlign w:val="bottom"/>
            <w:tcBorders>
              <w:right w:val="single" w:sz="8" w:color="F2F3F2"/>
            </w:tcBorders>
            <w:shd w:val="clear" w:color="auto" w:fill="F2F3F2"/>
          </w:tcPr>
          <w:p>
            <w:pPr>
              <w:spacing w:after="0"/>
              <w:rPr>
                <w:sz w:val="9"/>
                <w:szCs w:val="9"/>
                <w:color w:val="auto"/>
              </w:rPr>
            </w:pPr>
          </w:p>
        </w:tc>
        <w:tc>
          <w:tcPr>
            <w:tcW w:w="460" w:type="dxa"/>
            <w:vAlign w:val="bottom"/>
            <w:shd w:val="clear" w:color="auto" w:fill="F2F3F2"/>
          </w:tcPr>
          <w:p>
            <w:pPr>
              <w:spacing w:after="0"/>
              <w:rPr>
                <w:sz w:val="9"/>
                <w:szCs w:val="9"/>
                <w:color w:val="auto"/>
              </w:rPr>
            </w:pPr>
          </w:p>
        </w:tc>
        <w:tc>
          <w:tcPr>
            <w:tcW w:w="1120" w:type="dxa"/>
            <w:vAlign w:val="bottom"/>
            <w:gridSpan w:val="2"/>
            <w:shd w:val="clear" w:color="auto" w:fill="F2F3F2"/>
          </w:tcPr>
          <w:p>
            <w:pPr>
              <w:ind w:left="40"/>
              <w:spacing w:after="0" w:line="108" w:lineRule="exact"/>
              <w:rPr>
                <w:sz w:val="20"/>
                <w:szCs w:val="20"/>
                <w:color w:val="auto"/>
              </w:rPr>
            </w:pPr>
            <w:r>
              <w:rPr>
                <w:rFonts w:ascii="Arial" w:cs="Arial" w:eastAsia="Arial" w:hAnsi="Arial"/>
                <w:sz w:val="11"/>
                <w:szCs w:val="11"/>
                <w:color w:val="6AAA37"/>
              </w:rPr>
              <w:t>q</w:t>
            </w:r>
          </w:p>
        </w:tc>
        <w:tc>
          <w:tcPr>
            <w:tcW w:w="680" w:type="dxa"/>
            <w:vAlign w:val="bottom"/>
            <w:gridSpan w:val="2"/>
            <w:shd w:val="clear" w:color="auto" w:fill="F2F3F2"/>
          </w:tcPr>
          <w:p>
            <w:pPr>
              <w:spacing w:after="0"/>
              <w:rPr>
                <w:sz w:val="9"/>
                <w:szCs w:val="9"/>
                <w:color w:val="auto"/>
              </w:rPr>
            </w:pPr>
          </w:p>
        </w:tc>
        <w:tc>
          <w:tcPr>
            <w:tcW w:w="1080" w:type="dxa"/>
            <w:vAlign w:val="bottom"/>
            <w:vMerge w:val="restart"/>
            <w:shd w:val="clear" w:color="auto" w:fill="6AAA37"/>
          </w:tcPr>
          <w:p>
            <w:pPr>
              <w:jc w:val="center"/>
              <w:spacing w:after="0"/>
              <w:rPr>
                <w:sz w:val="20"/>
                <w:szCs w:val="20"/>
                <w:color w:val="auto"/>
              </w:rPr>
            </w:pPr>
            <w:r>
              <w:rPr>
                <w:rFonts w:ascii="Arial" w:cs="Arial" w:eastAsia="Arial" w:hAnsi="Arial"/>
                <w:sz w:val="14"/>
                <w:szCs w:val="14"/>
                <w:color w:val="FFFFFF"/>
              </w:rPr>
              <w:t>154%</w:t>
            </w:r>
          </w:p>
        </w:tc>
        <w:tc>
          <w:tcPr>
            <w:tcW w:w="0" w:type="dxa"/>
            <w:vAlign w:val="bottom"/>
          </w:tcPr>
          <w:p>
            <w:pPr>
              <w:spacing w:after="0"/>
              <w:rPr>
                <w:sz w:val="1"/>
                <w:szCs w:val="1"/>
                <w:color w:val="auto"/>
              </w:rPr>
            </w:pPr>
          </w:p>
        </w:tc>
      </w:tr>
      <w:tr>
        <w:trPr>
          <w:trHeight w:val="189"/>
        </w:trPr>
        <w:tc>
          <w:tcPr>
            <w:tcW w:w="2000" w:type="dxa"/>
            <w:vAlign w:val="bottom"/>
            <w:vMerge w:val="continue"/>
            <w:shd w:val="clear" w:color="auto" w:fill="F2F3F2"/>
          </w:tcPr>
          <w:p>
            <w:pPr>
              <w:spacing w:after="0"/>
              <w:rPr>
                <w:sz w:val="16"/>
                <w:szCs w:val="16"/>
                <w:color w:val="auto"/>
              </w:rPr>
            </w:pPr>
          </w:p>
        </w:tc>
        <w:tc>
          <w:tcPr>
            <w:tcW w:w="1400" w:type="dxa"/>
            <w:vAlign w:val="bottom"/>
            <w:vMerge w:val="continue"/>
            <w:shd w:val="clear" w:color="auto" w:fill="F2F3F2"/>
          </w:tcPr>
          <w:p>
            <w:pPr>
              <w:spacing w:after="0"/>
              <w:rPr>
                <w:sz w:val="16"/>
                <w:szCs w:val="16"/>
                <w:color w:val="auto"/>
              </w:rPr>
            </w:pPr>
          </w:p>
        </w:tc>
        <w:tc>
          <w:tcPr>
            <w:tcW w:w="1300" w:type="dxa"/>
            <w:vAlign w:val="bottom"/>
            <w:tcBorders>
              <w:left w:val="single" w:sz="8" w:color="00558C"/>
              <w:right w:val="single" w:sz="8" w:color="B2B3B6"/>
            </w:tcBorders>
            <w:shd w:val="clear" w:color="auto" w:fill="00558C"/>
          </w:tcPr>
          <w:p>
            <w:pPr>
              <w:ind w:left="100"/>
              <w:spacing w:after="0"/>
              <w:rPr>
                <w:sz w:val="20"/>
                <w:szCs w:val="20"/>
                <w:color w:val="auto"/>
              </w:rPr>
            </w:pPr>
            <w:r>
              <w:rPr>
                <w:rFonts w:ascii="Arial" w:cs="Arial" w:eastAsia="Arial" w:hAnsi="Arial"/>
                <w:sz w:val="13"/>
                <w:szCs w:val="13"/>
                <w:b w:val="1"/>
                <w:bCs w:val="1"/>
                <w:color w:val="FFFFFF"/>
              </w:rPr>
              <w:t>No Payout Earned</w:t>
            </w:r>
          </w:p>
        </w:tc>
        <w:tc>
          <w:tcPr>
            <w:tcW w:w="440" w:type="dxa"/>
            <w:vAlign w:val="bottom"/>
            <w:shd w:val="clear" w:color="auto" w:fill="00558C"/>
          </w:tcPr>
          <w:p>
            <w:pPr>
              <w:spacing w:after="0"/>
              <w:rPr>
                <w:sz w:val="16"/>
                <w:szCs w:val="16"/>
                <w:color w:val="auto"/>
              </w:rPr>
            </w:pPr>
          </w:p>
        </w:tc>
        <w:tc>
          <w:tcPr>
            <w:tcW w:w="580" w:type="dxa"/>
            <w:vAlign w:val="bottom"/>
            <w:tcBorders>
              <w:right w:val="single" w:sz="8" w:color="B2B3B6"/>
            </w:tcBorders>
            <w:shd w:val="clear" w:color="auto" w:fill="00558C"/>
          </w:tcPr>
          <w:p>
            <w:pPr>
              <w:spacing w:after="0"/>
              <w:rPr>
                <w:sz w:val="16"/>
                <w:szCs w:val="16"/>
                <w:color w:val="auto"/>
              </w:rPr>
            </w:pPr>
          </w:p>
        </w:tc>
        <w:tc>
          <w:tcPr>
            <w:tcW w:w="460" w:type="dxa"/>
            <w:vAlign w:val="bottom"/>
            <w:shd w:val="clear" w:color="auto" w:fill="00558C"/>
          </w:tcPr>
          <w:p>
            <w:pPr>
              <w:spacing w:after="0"/>
              <w:rPr>
                <w:sz w:val="16"/>
                <w:szCs w:val="16"/>
                <w:color w:val="auto"/>
              </w:rPr>
            </w:pPr>
          </w:p>
        </w:tc>
        <w:tc>
          <w:tcPr>
            <w:tcW w:w="500" w:type="dxa"/>
            <w:vAlign w:val="bottom"/>
            <w:tcBorders>
              <w:right w:val="single" w:sz="8" w:color="B2B3B6"/>
            </w:tcBorders>
            <w:shd w:val="clear" w:color="auto" w:fill="00558C"/>
          </w:tcPr>
          <w:p>
            <w:pPr>
              <w:spacing w:after="0"/>
              <w:rPr>
                <w:sz w:val="16"/>
                <w:szCs w:val="16"/>
                <w:color w:val="auto"/>
              </w:rPr>
            </w:pPr>
          </w:p>
        </w:tc>
        <w:tc>
          <w:tcPr>
            <w:tcW w:w="1260" w:type="dxa"/>
            <w:vAlign w:val="bottom"/>
            <w:gridSpan w:val="2"/>
            <w:shd w:val="clear" w:color="auto" w:fill="00558C"/>
          </w:tcPr>
          <w:p>
            <w:pPr>
              <w:ind w:left="40"/>
              <w:spacing w:after="0"/>
              <w:rPr>
                <w:sz w:val="20"/>
                <w:szCs w:val="20"/>
                <w:color w:val="auto"/>
              </w:rPr>
            </w:pPr>
            <w:r>
              <w:rPr>
                <w:rFonts w:ascii="Arial" w:cs="Arial" w:eastAsia="Arial" w:hAnsi="Arial"/>
                <w:sz w:val="13"/>
                <w:szCs w:val="13"/>
                <w:b w:val="1"/>
                <w:bCs w:val="1"/>
                <w:color w:val="FFFFFF"/>
              </w:rPr>
              <w:t>Max Payout Earned</w:t>
            </w:r>
          </w:p>
        </w:tc>
        <w:tc>
          <w:tcPr>
            <w:tcW w:w="40" w:type="dxa"/>
            <w:vAlign w:val="bottom"/>
            <w:shd w:val="clear" w:color="auto" w:fill="F2F3F2"/>
          </w:tcPr>
          <w:p>
            <w:pPr>
              <w:spacing w:after="0"/>
              <w:rPr>
                <w:sz w:val="16"/>
                <w:szCs w:val="16"/>
                <w:color w:val="auto"/>
              </w:rPr>
            </w:pPr>
          </w:p>
        </w:tc>
        <w:tc>
          <w:tcPr>
            <w:tcW w:w="1080" w:type="dxa"/>
            <w:vAlign w:val="bottom"/>
            <w:vMerge w:val="continue"/>
            <w:shd w:val="clear" w:color="auto" w:fill="6AAA37"/>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00" w:type="dxa"/>
            <w:vAlign w:val="bottom"/>
            <w:shd w:val="clear" w:color="auto" w:fill="F2F3F2"/>
          </w:tcPr>
          <w:p>
            <w:pPr>
              <w:spacing w:after="0"/>
              <w:rPr>
                <w:sz w:val="5"/>
                <w:szCs w:val="5"/>
                <w:color w:val="auto"/>
              </w:rPr>
            </w:pPr>
          </w:p>
        </w:tc>
        <w:tc>
          <w:tcPr>
            <w:tcW w:w="1400" w:type="dxa"/>
            <w:vAlign w:val="bottom"/>
            <w:shd w:val="clear" w:color="auto" w:fill="F2F3F2"/>
          </w:tcPr>
          <w:p>
            <w:pPr>
              <w:spacing w:after="0"/>
              <w:rPr>
                <w:sz w:val="5"/>
                <w:szCs w:val="5"/>
                <w:color w:val="auto"/>
              </w:rPr>
            </w:pPr>
          </w:p>
        </w:tc>
        <w:tc>
          <w:tcPr>
            <w:tcW w:w="1300" w:type="dxa"/>
            <w:vAlign w:val="bottom"/>
            <w:tcBorders>
              <w:left w:val="single" w:sz="8" w:color="F2F3F2"/>
              <w:right w:val="single" w:sz="8" w:color="B2B3B6"/>
            </w:tcBorders>
            <w:shd w:val="clear" w:color="auto" w:fill="F2F3F2"/>
          </w:tcPr>
          <w:p>
            <w:pPr>
              <w:spacing w:after="0"/>
              <w:rPr>
                <w:sz w:val="5"/>
                <w:szCs w:val="5"/>
                <w:color w:val="auto"/>
              </w:rPr>
            </w:pPr>
          </w:p>
        </w:tc>
        <w:tc>
          <w:tcPr>
            <w:tcW w:w="440" w:type="dxa"/>
            <w:vAlign w:val="bottom"/>
            <w:shd w:val="clear" w:color="auto" w:fill="F2F3F2"/>
          </w:tcPr>
          <w:p>
            <w:pPr>
              <w:spacing w:after="0"/>
              <w:rPr>
                <w:sz w:val="5"/>
                <w:szCs w:val="5"/>
                <w:color w:val="auto"/>
              </w:rPr>
            </w:pPr>
          </w:p>
        </w:tc>
        <w:tc>
          <w:tcPr>
            <w:tcW w:w="580" w:type="dxa"/>
            <w:vAlign w:val="bottom"/>
            <w:tcBorders>
              <w:right w:val="single" w:sz="8" w:color="B2B3B6"/>
            </w:tcBorders>
            <w:shd w:val="clear" w:color="auto" w:fill="F2F3F2"/>
          </w:tcPr>
          <w:p>
            <w:pPr>
              <w:spacing w:after="0"/>
              <w:rPr>
                <w:sz w:val="5"/>
                <w:szCs w:val="5"/>
                <w:color w:val="auto"/>
              </w:rPr>
            </w:pPr>
          </w:p>
        </w:tc>
        <w:tc>
          <w:tcPr>
            <w:tcW w:w="460" w:type="dxa"/>
            <w:vAlign w:val="bottom"/>
            <w:shd w:val="clear" w:color="auto" w:fill="F2F3F2"/>
          </w:tcPr>
          <w:p>
            <w:pPr>
              <w:spacing w:after="0"/>
              <w:rPr>
                <w:sz w:val="5"/>
                <w:szCs w:val="5"/>
                <w:color w:val="auto"/>
              </w:rPr>
            </w:pPr>
          </w:p>
        </w:tc>
        <w:tc>
          <w:tcPr>
            <w:tcW w:w="500" w:type="dxa"/>
            <w:vAlign w:val="bottom"/>
            <w:tcBorders>
              <w:right w:val="single" w:sz="8" w:color="B2B3B6"/>
            </w:tcBorders>
            <w:shd w:val="clear" w:color="auto" w:fill="F2F3F2"/>
          </w:tcPr>
          <w:p>
            <w:pPr>
              <w:spacing w:after="0"/>
              <w:rPr>
                <w:sz w:val="5"/>
                <w:szCs w:val="5"/>
                <w:color w:val="auto"/>
              </w:rPr>
            </w:pPr>
          </w:p>
        </w:tc>
        <w:tc>
          <w:tcPr>
            <w:tcW w:w="620" w:type="dxa"/>
            <w:vAlign w:val="bottom"/>
            <w:shd w:val="clear" w:color="auto" w:fill="F2F3F2"/>
          </w:tcPr>
          <w:p>
            <w:pPr>
              <w:spacing w:after="0"/>
              <w:rPr>
                <w:sz w:val="5"/>
                <w:szCs w:val="5"/>
                <w:color w:val="auto"/>
              </w:rPr>
            </w:pPr>
          </w:p>
        </w:tc>
        <w:tc>
          <w:tcPr>
            <w:tcW w:w="640" w:type="dxa"/>
            <w:vAlign w:val="bottom"/>
            <w:shd w:val="clear" w:color="auto" w:fill="F2F3F2"/>
          </w:tcPr>
          <w:p>
            <w:pPr>
              <w:spacing w:after="0"/>
              <w:rPr>
                <w:sz w:val="5"/>
                <w:szCs w:val="5"/>
                <w:color w:val="auto"/>
              </w:rPr>
            </w:pPr>
          </w:p>
        </w:tc>
        <w:tc>
          <w:tcPr>
            <w:tcW w:w="40" w:type="dxa"/>
            <w:vAlign w:val="bottom"/>
            <w:shd w:val="clear" w:color="auto" w:fill="F2F3F2"/>
          </w:tcPr>
          <w:p>
            <w:pPr>
              <w:spacing w:after="0"/>
              <w:rPr>
                <w:sz w:val="5"/>
                <w:szCs w:val="5"/>
                <w:color w:val="auto"/>
              </w:rPr>
            </w:pPr>
          </w:p>
        </w:tc>
        <w:tc>
          <w:tcPr>
            <w:tcW w:w="1080" w:type="dxa"/>
            <w:vAlign w:val="bottom"/>
            <w:shd w:val="clear" w:color="auto" w:fill="6AAA37"/>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2000" w:type="dxa"/>
            <w:vAlign w:val="bottom"/>
            <w:shd w:val="clear" w:color="auto" w:fill="F2F3F2"/>
          </w:tcPr>
          <w:p>
            <w:pPr>
              <w:spacing w:after="0"/>
              <w:rPr>
                <w:sz w:val="15"/>
                <w:szCs w:val="15"/>
                <w:color w:val="auto"/>
              </w:rPr>
            </w:pPr>
          </w:p>
        </w:tc>
        <w:tc>
          <w:tcPr>
            <w:tcW w:w="1400" w:type="dxa"/>
            <w:vAlign w:val="bottom"/>
            <w:shd w:val="clear" w:color="auto" w:fill="F2F3F2"/>
          </w:tcPr>
          <w:p>
            <w:pPr>
              <w:spacing w:after="0"/>
              <w:rPr>
                <w:sz w:val="15"/>
                <w:szCs w:val="15"/>
                <w:color w:val="auto"/>
              </w:rPr>
            </w:pPr>
          </w:p>
        </w:tc>
        <w:tc>
          <w:tcPr>
            <w:tcW w:w="1740" w:type="dxa"/>
            <w:vAlign w:val="bottom"/>
            <w:tcBorders>
              <w:left w:val="single" w:sz="8" w:color="F2F3F2"/>
            </w:tcBorders>
            <w:gridSpan w:val="2"/>
            <w:shd w:val="clear" w:color="auto" w:fill="F2F3F2"/>
          </w:tcPr>
          <w:p>
            <w:pPr>
              <w:jc w:val="right"/>
              <w:ind w:right="340"/>
              <w:spacing w:after="0"/>
              <w:rPr>
                <w:sz w:val="20"/>
                <w:szCs w:val="20"/>
                <w:color w:val="auto"/>
              </w:rPr>
            </w:pPr>
            <w:r>
              <w:rPr>
                <w:rFonts w:ascii="Arial" w:cs="Arial" w:eastAsia="Arial" w:hAnsi="Arial"/>
                <w:sz w:val="13"/>
                <w:szCs w:val="13"/>
                <w:color w:val="auto"/>
              </w:rPr>
              <w:t>12.0%</w:t>
            </w:r>
          </w:p>
        </w:tc>
        <w:tc>
          <w:tcPr>
            <w:tcW w:w="1040" w:type="dxa"/>
            <w:vAlign w:val="bottom"/>
            <w:gridSpan w:val="2"/>
            <w:shd w:val="clear" w:color="auto" w:fill="F2F3F2"/>
          </w:tcPr>
          <w:p>
            <w:pPr>
              <w:jc w:val="right"/>
              <w:ind w:right="266"/>
              <w:spacing w:after="0"/>
              <w:rPr>
                <w:sz w:val="20"/>
                <w:szCs w:val="20"/>
                <w:color w:val="auto"/>
              </w:rPr>
            </w:pPr>
            <w:r>
              <w:rPr>
                <w:rFonts w:ascii="Arial" w:cs="Arial" w:eastAsia="Arial" w:hAnsi="Arial"/>
                <w:sz w:val="13"/>
                <w:szCs w:val="13"/>
                <w:color w:val="auto"/>
              </w:rPr>
              <w:t>13.0%</w:t>
            </w:r>
          </w:p>
        </w:tc>
        <w:tc>
          <w:tcPr>
            <w:tcW w:w="1120" w:type="dxa"/>
            <w:vAlign w:val="bottom"/>
            <w:gridSpan w:val="2"/>
            <w:shd w:val="clear" w:color="auto" w:fill="F2F3F2"/>
          </w:tcPr>
          <w:p>
            <w:pPr>
              <w:jc w:val="right"/>
              <w:ind w:right="297"/>
              <w:spacing w:after="0"/>
              <w:rPr>
                <w:sz w:val="20"/>
                <w:szCs w:val="20"/>
                <w:color w:val="auto"/>
              </w:rPr>
            </w:pPr>
            <w:r>
              <w:rPr>
                <w:rFonts w:ascii="Arial" w:cs="Arial" w:eastAsia="Arial" w:hAnsi="Arial"/>
                <w:sz w:val="13"/>
                <w:szCs w:val="13"/>
                <w:color w:val="auto"/>
              </w:rPr>
              <w:t>14.0%</w:t>
            </w:r>
          </w:p>
        </w:tc>
        <w:tc>
          <w:tcPr>
            <w:tcW w:w="640" w:type="dxa"/>
            <w:vAlign w:val="bottom"/>
            <w:shd w:val="clear" w:color="auto" w:fill="F2F3F2"/>
          </w:tcPr>
          <w:p>
            <w:pPr>
              <w:spacing w:after="0"/>
              <w:rPr>
                <w:sz w:val="15"/>
                <w:szCs w:val="15"/>
                <w:color w:val="auto"/>
              </w:rPr>
            </w:pPr>
          </w:p>
        </w:tc>
        <w:tc>
          <w:tcPr>
            <w:tcW w:w="40" w:type="dxa"/>
            <w:vAlign w:val="bottom"/>
            <w:shd w:val="clear" w:color="auto" w:fill="F2F3F2"/>
          </w:tcPr>
          <w:p>
            <w:pPr>
              <w:spacing w:after="0"/>
              <w:rPr>
                <w:sz w:val="15"/>
                <w:szCs w:val="15"/>
                <w:color w:val="auto"/>
              </w:rPr>
            </w:pPr>
          </w:p>
        </w:tc>
        <w:tc>
          <w:tcPr>
            <w:tcW w:w="1080" w:type="dxa"/>
            <w:vAlign w:val="bottom"/>
            <w:shd w:val="clear" w:color="auto" w:fill="6AAA37"/>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00" w:type="dxa"/>
            <w:vAlign w:val="bottom"/>
            <w:shd w:val="clear" w:color="auto" w:fill="F2F3F2"/>
          </w:tcPr>
          <w:p>
            <w:pPr>
              <w:spacing w:after="0"/>
              <w:rPr>
                <w:sz w:val="17"/>
                <w:szCs w:val="17"/>
                <w:color w:val="auto"/>
              </w:rPr>
            </w:pPr>
          </w:p>
        </w:tc>
        <w:tc>
          <w:tcPr>
            <w:tcW w:w="1400" w:type="dxa"/>
            <w:vAlign w:val="bottom"/>
            <w:shd w:val="clear" w:color="auto" w:fill="F2F3F2"/>
          </w:tcPr>
          <w:p>
            <w:pPr>
              <w:spacing w:after="0"/>
              <w:rPr>
                <w:sz w:val="17"/>
                <w:szCs w:val="17"/>
                <w:color w:val="auto"/>
              </w:rPr>
            </w:pPr>
          </w:p>
        </w:tc>
        <w:tc>
          <w:tcPr>
            <w:tcW w:w="1300" w:type="dxa"/>
            <w:vAlign w:val="bottom"/>
            <w:tcBorders>
              <w:left w:val="single" w:sz="8" w:color="F2F3F2"/>
              <w:right w:val="single" w:sz="8" w:color="F2F3F2"/>
            </w:tcBorders>
            <w:shd w:val="clear" w:color="auto" w:fill="F2F3F2"/>
          </w:tcPr>
          <w:p>
            <w:pPr>
              <w:spacing w:after="0"/>
              <w:rPr>
                <w:sz w:val="17"/>
                <w:szCs w:val="17"/>
                <w:color w:val="auto"/>
              </w:rPr>
            </w:pPr>
          </w:p>
        </w:tc>
        <w:tc>
          <w:tcPr>
            <w:tcW w:w="1020" w:type="dxa"/>
            <w:vAlign w:val="bottom"/>
            <w:tcBorders>
              <w:right w:val="single" w:sz="8" w:color="F2F3F2"/>
            </w:tcBorders>
            <w:gridSpan w:val="2"/>
            <w:shd w:val="clear" w:color="auto" w:fill="F2F3F2"/>
          </w:tcPr>
          <w:p>
            <w:pPr>
              <w:spacing w:after="0"/>
              <w:rPr>
                <w:sz w:val="17"/>
                <w:szCs w:val="17"/>
                <w:color w:val="auto"/>
              </w:rPr>
            </w:pPr>
          </w:p>
        </w:tc>
        <w:tc>
          <w:tcPr>
            <w:tcW w:w="960" w:type="dxa"/>
            <w:vAlign w:val="bottom"/>
            <w:tcBorders>
              <w:right w:val="single" w:sz="8" w:color="F2F3F2"/>
            </w:tcBorders>
            <w:gridSpan w:val="2"/>
            <w:shd w:val="clear" w:color="auto" w:fill="F2F3F2"/>
          </w:tcPr>
          <w:p>
            <w:pPr>
              <w:spacing w:after="0"/>
              <w:rPr>
                <w:sz w:val="17"/>
                <w:szCs w:val="17"/>
                <w:color w:val="auto"/>
              </w:rPr>
            </w:pPr>
          </w:p>
        </w:tc>
        <w:tc>
          <w:tcPr>
            <w:tcW w:w="620" w:type="dxa"/>
            <w:vAlign w:val="bottom"/>
            <w:shd w:val="clear" w:color="auto" w:fill="F2F3F2"/>
          </w:tcPr>
          <w:p>
            <w:pPr>
              <w:spacing w:after="0"/>
              <w:rPr>
                <w:sz w:val="17"/>
                <w:szCs w:val="17"/>
                <w:color w:val="auto"/>
              </w:rPr>
            </w:pPr>
          </w:p>
        </w:tc>
        <w:tc>
          <w:tcPr>
            <w:tcW w:w="640" w:type="dxa"/>
            <w:vAlign w:val="bottom"/>
            <w:shd w:val="clear" w:color="auto" w:fill="F2F3F2"/>
          </w:tcPr>
          <w:p>
            <w:pPr>
              <w:spacing w:after="0"/>
              <w:rPr>
                <w:sz w:val="17"/>
                <w:szCs w:val="17"/>
                <w:color w:val="auto"/>
              </w:rPr>
            </w:pPr>
          </w:p>
        </w:tc>
        <w:tc>
          <w:tcPr>
            <w:tcW w:w="40" w:type="dxa"/>
            <w:vAlign w:val="bottom"/>
            <w:shd w:val="clear" w:color="auto" w:fill="F2F3F2"/>
          </w:tcPr>
          <w:p>
            <w:pPr>
              <w:spacing w:after="0"/>
              <w:rPr>
                <w:sz w:val="17"/>
                <w:szCs w:val="17"/>
                <w:color w:val="auto"/>
              </w:rPr>
            </w:pPr>
          </w:p>
        </w:tc>
        <w:tc>
          <w:tcPr>
            <w:tcW w:w="1080" w:type="dxa"/>
            <w:vAlign w:val="bottom"/>
            <w:shd w:val="clear" w:color="auto" w:fill="6AAA37"/>
          </w:tcPr>
          <w:p>
            <w:pPr>
              <w:spacing w:after="0"/>
              <w:rPr>
                <w:sz w:val="17"/>
                <w:szCs w:val="17"/>
                <w:color w:val="auto"/>
              </w:rPr>
            </w:pPr>
          </w:p>
        </w:tc>
        <w:tc>
          <w:tcPr>
            <w:tcW w:w="0" w:type="dxa"/>
            <w:vAlign w:val="bottom"/>
          </w:tcPr>
          <w:p>
            <w:pPr>
              <w:spacing w:after="0"/>
              <w:rPr>
                <w:sz w:val="1"/>
                <w:szCs w:val="1"/>
                <w:color w:val="auto"/>
              </w:rPr>
            </w:pPr>
          </w:p>
        </w:tc>
      </w:tr>
      <w:tr>
        <w:trPr>
          <w:trHeight w:val="443"/>
        </w:trPr>
        <w:tc>
          <w:tcPr>
            <w:tcW w:w="2000" w:type="dxa"/>
            <w:vAlign w:val="bottom"/>
          </w:tcPr>
          <w:p>
            <w:pPr>
              <w:ind w:left="140"/>
              <w:spacing w:after="0"/>
              <w:rPr>
                <w:sz w:val="20"/>
                <w:szCs w:val="20"/>
                <w:color w:val="auto"/>
              </w:rPr>
            </w:pPr>
            <w:r>
              <w:rPr>
                <w:rFonts w:ascii="Arial" w:cs="Arial" w:eastAsia="Arial" w:hAnsi="Arial"/>
                <w:sz w:val="14"/>
                <w:szCs w:val="14"/>
                <w:b w:val="1"/>
                <w:bCs w:val="1"/>
                <w:color w:val="auto"/>
              </w:rPr>
              <w:t>Strategic Measures</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6AAA37"/>
              </w:rPr>
              <w:t>25%</w:t>
            </w:r>
          </w:p>
        </w:tc>
        <w:tc>
          <w:tcPr>
            <w:tcW w:w="4580" w:type="dxa"/>
            <w:vAlign w:val="bottom"/>
            <w:gridSpan w:val="8"/>
          </w:tcPr>
          <w:p>
            <w:pPr>
              <w:ind w:left="1240"/>
              <w:spacing w:after="0"/>
              <w:rPr>
                <w:sz w:val="20"/>
                <w:szCs w:val="20"/>
                <w:color w:val="auto"/>
              </w:rPr>
            </w:pPr>
            <w:r>
              <w:rPr>
                <w:rFonts w:ascii="Arial" w:cs="Arial" w:eastAsia="Arial" w:hAnsi="Arial"/>
                <w:sz w:val="14"/>
                <w:szCs w:val="14"/>
                <w:color w:val="auto"/>
              </w:rPr>
              <w:t>Varies by measure - details below</w:t>
            </w:r>
          </w:p>
        </w:tc>
        <w:tc>
          <w:tcPr>
            <w:tcW w:w="1080" w:type="dxa"/>
            <w:vAlign w:val="bottom"/>
            <w:shd w:val="clear" w:color="auto" w:fill="6AAA37"/>
          </w:tcPr>
          <w:p>
            <w:pPr>
              <w:jc w:val="center"/>
              <w:spacing w:after="0"/>
              <w:rPr>
                <w:sz w:val="20"/>
                <w:szCs w:val="20"/>
                <w:color w:val="auto"/>
              </w:rPr>
            </w:pPr>
            <w:r>
              <w:rPr>
                <w:rFonts w:ascii="Arial" w:cs="Arial" w:eastAsia="Arial" w:hAnsi="Arial"/>
                <w:sz w:val="14"/>
                <w:szCs w:val="14"/>
                <w:color w:val="FFFFFF"/>
              </w:rPr>
              <w:t>106.5%</w:t>
            </w:r>
          </w:p>
        </w:tc>
        <w:tc>
          <w:tcPr>
            <w:tcW w:w="0" w:type="dxa"/>
            <w:vAlign w:val="bottom"/>
          </w:tcPr>
          <w:p>
            <w:pPr>
              <w:spacing w:after="0"/>
              <w:rPr>
                <w:sz w:val="1"/>
                <w:szCs w:val="1"/>
                <w:color w:val="auto"/>
              </w:rPr>
            </w:pPr>
          </w:p>
        </w:tc>
      </w:tr>
      <w:tr>
        <w:trPr>
          <w:trHeight w:val="461"/>
        </w:trPr>
        <w:tc>
          <w:tcPr>
            <w:tcW w:w="20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shd w:val="clear" w:color="auto" w:fill="6AAA37"/>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2000" w:type="dxa"/>
            <w:vAlign w:val="bottom"/>
            <w:shd w:val="clear" w:color="auto" w:fill="F2F3F2"/>
          </w:tcPr>
          <w:p>
            <w:pPr>
              <w:ind w:left="140"/>
              <w:spacing w:after="0"/>
              <w:rPr>
                <w:sz w:val="20"/>
                <w:szCs w:val="20"/>
                <w:color w:val="auto"/>
              </w:rPr>
            </w:pPr>
            <w:r>
              <w:rPr>
                <w:rFonts w:ascii="Arial" w:cs="Arial" w:eastAsia="Arial" w:hAnsi="Arial"/>
                <w:sz w:val="14"/>
                <w:szCs w:val="14"/>
                <w:b w:val="1"/>
                <w:bCs w:val="1"/>
                <w:color w:val="auto"/>
              </w:rPr>
              <w:t>Total</w:t>
            </w:r>
          </w:p>
        </w:tc>
        <w:tc>
          <w:tcPr>
            <w:tcW w:w="1400" w:type="dxa"/>
            <w:vAlign w:val="bottom"/>
            <w:shd w:val="clear" w:color="auto" w:fill="F2F3F2"/>
          </w:tcPr>
          <w:p>
            <w:pPr>
              <w:jc w:val="center"/>
              <w:spacing w:after="0"/>
              <w:rPr>
                <w:sz w:val="20"/>
                <w:szCs w:val="20"/>
                <w:color w:val="auto"/>
              </w:rPr>
            </w:pPr>
            <w:r>
              <w:rPr>
                <w:rFonts w:ascii="Arial" w:cs="Arial" w:eastAsia="Arial" w:hAnsi="Arial"/>
                <w:sz w:val="14"/>
                <w:szCs w:val="14"/>
                <w:b w:val="1"/>
                <w:bCs w:val="1"/>
                <w:color w:val="6AAA37"/>
              </w:rPr>
              <w:t>100%</w:t>
            </w:r>
          </w:p>
        </w:tc>
        <w:tc>
          <w:tcPr>
            <w:tcW w:w="1300" w:type="dxa"/>
            <w:vAlign w:val="bottom"/>
            <w:tcBorders>
              <w:left w:val="single" w:sz="8" w:color="F2F3F2"/>
              <w:right w:val="single" w:sz="8" w:color="F2F3F2"/>
            </w:tcBorders>
            <w:shd w:val="clear" w:color="auto" w:fill="F2F3F2"/>
          </w:tcPr>
          <w:p>
            <w:pPr>
              <w:spacing w:after="0"/>
              <w:rPr>
                <w:sz w:val="24"/>
                <w:szCs w:val="24"/>
                <w:color w:val="auto"/>
              </w:rPr>
            </w:pPr>
          </w:p>
        </w:tc>
        <w:tc>
          <w:tcPr>
            <w:tcW w:w="440" w:type="dxa"/>
            <w:vAlign w:val="bottom"/>
            <w:shd w:val="clear" w:color="auto" w:fill="F2F3F2"/>
          </w:tcPr>
          <w:p>
            <w:pPr>
              <w:spacing w:after="0"/>
              <w:rPr>
                <w:sz w:val="24"/>
                <w:szCs w:val="24"/>
                <w:color w:val="auto"/>
              </w:rPr>
            </w:pPr>
          </w:p>
        </w:tc>
        <w:tc>
          <w:tcPr>
            <w:tcW w:w="580" w:type="dxa"/>
            <w:vAlign w:val="bottom"/>
            <w:tcBorders>
              <w:right w:val="single" w:sz="8" w:color="F2F3F2"/>
            </w:tcBorders>
            <w:shd w:val="clear" w:color="auto" w:fill="F2F3F2"/>
          </w:tcPr>
          <w:p>
            <w:pPr>
              <w:spacing w:after="0"/>
              <w:rPr>
                <w:sz w:val="24"/>
                <w:szCs w:val="24"/>
                <w:color w:val="auto"/>
              </w:rPr>
            </w:pPr>
          </w:p>
        </w:tc>
        <w:tc>
          <w:tcPr>
            <w:tcW w:w="460" w:type="dxa"/>
            <w:vAlign w:val="bottom"/>
            <w:shd w:val="clear" w:color="auto" w:fill="F2F3F2"/>
          </w:tcPr>
          <w:p>
            <w:pPr>
              <w:spacing w:after="0"/>
              <w:rPr>
                <w:sz w:val="24"/>
                <w:szCs w:val="24"/>
                <w:color w:val="auto"/>
              </w:rPr>
            </w:pPr>
          </w:p>
        </w:tc>
        <w:tc>
          <w:tcPr>
            <w:tcW w:w="500" w:type="dxa"/>
            <w:vAlign w:val="bottom"/>
            <w:tcBorders>
              <w:right w:val="single" w:sz="8" w:color="F2F3F2"/>
            </w:tcBorders>
            <w:shd w:val="clear" w:color="auto" w:fill="F2F3F2"/>
          </w:tcPr>
          <w:p>
            <w:pPr>
              <w:spacing w:after="0"/>
              <w:rPr>
                <w:sz w:val="24"/>
                <w:szCs w:val="24"/>
                <w:color w:val="auto"/>
              </w:rPr>
            </w:pPr>
          </w:p>
        </w:tc>
        <w:tc>
          <w:tcPr>
            <w:tcW w:w="620" w:type="dxa"/>
            <w:vAlign w:val="bottom"/>
            <w:shd w:val="clear" w:color="auto" w:fill="F2F3F2"/>
          </w:tcPr>
          <w:p>
            <w:pPr>
              <w:spacing w:after="0"/>
              <w:rPr>
                <w:sz w:val="24"/>
                <w:szCs w:val="24"/>
                <w:color w:val="auto"/>
              </w:rPr>
            </w:pPr>
          </w:p>
        </w:tc>
        <w:tc>
          <w:tcPr>
            <w:tcW w:w="640" w:type="dxa"/>
            <w:vAlign w:val="bottom"/>
            <w:shd w:val="clear" w:color="auto" w:fill="F2F3F2"/>
          </w:tcPr>
          <w:p>
            <w:pPr>
              <w:spacing w:after="0"/>
              <w:rPr>
                <w:sz w:val="24"/>
                <w:szCs w:val="24"/>
                <w:color w:val="auto"/>
              </w:rPr>
            </w:pPr>
          </w:p>
        </w:tc>
        <w:tc>
          <w:tcPr>
            <w:tcW w:w="40" w:type="dxa"/>
            <w:vAlign w:val="bottom"/>
            <w:shd w:val="clear" w:color="auto" w:fill="F2F3F2"/>
          </w:tcPr>
          <w:p>
            <w:pPr>
              <w:spacing w:after="0"/>
              <w:rPr>
                <w:sz w:val="24"/>
                <w:szCs w:val="24"/>
                <w:color w:val="auto"/>
              </w:rPr>
            </w:pPr>
          </w:p>
        </w:tc>
        <w:tc>
          <w:tcPr>
            <w:tcW w:w="1080" w:type="dxa"/>
            <w:vAlign w:val="bottom"/>
            <w:shd w:val="clear" w:color="auto" w:fill="6AAA37"/>
          </w:tcPr>
          <w:p>
            <w:pPr>
              <w:jc w:val="center"/>
              <w:spacing w:after="0"/>
              <w:rPr>
                <w:sz w:val="20"/>
                <w:szCs w:val="20"/>
                <w:color w:val="auto"/>
              </w:rPr>
            </w:pPr>
            <w:r>
              <w:rPr>
                <w:rFonts w:ascii="Arial" w:cs="Arial" w:eastAsia="Arial" w:hAnsi="Arial"/>
                <w:sz w:val="14"/>
                <w:szCs w:val="14"/>
                <w:b w:val="1"/>
                <w:bCs w:val="1"/>
                <w:color w:val="FFFFFF"/>
              </w:rPr>
              <w:t>115.7%</w:t>
            </w:r>
          </w:p>
        </w:tc>
        <w:tc>
          <w:tcPr>
            <w:tcW w:w="0" w:type="dxa"/>
            <w:vAlign w:val="bottom"/>
          </w:tcPr>
          <w:p>
            <w:pPr>
              <w:spacing w:after="0"/>
              <w:rPr>
                <w:sz w:val="1"/>
                <w:szCs w:val="1"/>
                <w:color w:val="auto"/>
              </w:rPr>
            </w:pPr>
          </w:p>
        </w:tc>
      </w:tr>
      <w:tr>
        <w:trPr>
          <w:trHeight w:val="461"/>
        </w:trPr>
        <w:tc>
          <w:tcPr>
            <w:tcW w:w="2000" w:type="dxa"/>
            <w:vAlign w:val="bottom"/>
            <w:shd w:val="clear" w:color="auto" w:fill="F2F3F2"/>
          </w:tcPr>
          <w:p>
            <w:pPr>
              <w:spacing w:after="0"/>
              <w:rPr>
                <w:sz w:val="24"/>
                <w:szCs w:val="24"/>
                <w:color w:val="auto"/>
              </w:rPr>
            </w:pPr>
          </w:p>
        </w:tc>
        <w:tc>
          <w:tcPr>
            <w:tcW w:w="1400" w:type="dxa"/>
            <w:vAlign w:val="bottom"/>
            <w:shd w:val="clear" w:color="auto" w:fill="F2F3F2"/>
          </w:tcPr>
          <w:p>
            <w:pPr>
              <w:spacing w:after="0"/>
              <w:rPr>
                <w:sz w:val="24"/>
                <w:szCs w:val="24"/>
                <w:color w:val="auto"/>
              </w:rPr>
            </w:pPr>
          </w:p>
        </w:tc>
        <w:tc>
          <w:tcPr>
            <w:tcW w:w="1300" w:type="dxa"/>
            <w:vAlign w:val="bottom"/>
            <w:tcBorders>
              <w:left w:val="single" w:sz="8" w:color="F2F3F2"/>
              <w:right w:val="single" w:sz="8" w:color="F2F3F2"/>
            </w:tcBorders>
            <w:shd w:val="clear" w:color="auto" w:fill="F2F3F2"/>
          </w:tcPr>
          <w:p>
            <w:pPr>
              <w:spacing w:after="0"/>
              <w:rPr>
                <w:sz w:val="24"/>
                <w:szCs w:val="24"/>
                <w:color w:val="auto"/>
              </w:rPr>
            </w:pPr>
          </w:p>
        </w:tc>
        <w:tc>
          <w:tcPr>
            <w:tcW w:w="440" w:type="dxa"/>
            <w:vAlign w:val="bottom"/>
            <w:shd w:val="clear" w:color="auto" w:fill="F2F3F2"/>
          </w:tcPr>
          <w:p>
            <w:pPr>
              <w:spacing w:after="0"/>
              <w:rPr>
                <w:sz w:val="24"/>
                <w:szCs w:val="24"/>
                <w:color w:val="auto"/>
              </w:rPr>
            </w:pPr>
          </w:p>
        </w:tc>
        <w:tc>
          <w:tcPr>
            <w:tcW w:w="580" w:type="dxa"/>
            <w:vAlign w:val="bottom"/>
            <w:tcBorders>
              <w:right w:val="single" w:sz="8" w:color="F2F3F2"/>
            </w:tcBorders>
            <w:shd w:val="clear" w:color="auto" w:fill="F2F3F2"/>
          </w:tcPr>
          <w:p>
            <w:pPr>
              <w:spacing w:after="0"/>
              <w:rPr>
                <w:sz w:val="24"/>
                <w:szCs w:val="24"/>
                <w:color w:val="auto"/>
              </w:rPr>
            </w:pPr>
          </w:p>
        </w:tc>
        <w:tc>
          <w:tcPr>
            <w:tcW w:w="460" w:type="dxa"/>
            <w:vAlign w:val="bottom"/>
            <w:shd w:val="clear" w:color="auto" w:fill="F2F3F2"/>
          </w:tcPr>
          <w:p>
            <w:pPr>
              <w:spacing w:after="0"/>
              <w:rPr>
                <w:sz w:val="24"/>
                <w:szCs w:val="24"/>
                <w:color w:val="auto"/>
              </w:rPr>
            </w:pPr>
          </w:p>
        </w:tc>
        <w:tc>
          <w:tcPr>
            <w:tcW w:w="500" w:type="dxa"/>
            <w:vAlign w:val="bottom"/>
            <w:tcBorders>
              <w:right w:val="single" w:sz="8" w:color="F2F3F2"/>
            </w:tcBorders>
            <w:shd w:val="clear" w:color="auto" w:fill="F2F3F2"/>
          </w:tcPr>
          <w:p>
            <w:pPr>
              <w:spacing w:after="0"/>
              <w:rPr>
                <w:sz w:val="24"/>
                <w:szCs w:val="24"/>
                <w:color w:val="auto"/>
              </w:rPr>
            </w:pPr>
          </w:p>
        </w:tc>
        <w:tc>
          <w:tcPr>
            <w:tcW w:w="620" w:type="dxa"/>
            <w:vAlign w:val="bottom"/>
            <w:shd w:val="clear" w:color="auto" w:fill="F2F3F2"/>
          </w:tcPr>
          <w:p>
            <w:pPr>
              <w:spacing w:after="0"/>
              <w:rPr>
                <w:sz w:val="24"/>
                <w:szCs w:val="24"/>
                <w:color w:val="auto"/>
              </w:rPr>
            </w:pPr>
          </w:p>
        </w:tc>
        <w:tc>
          <w:tcPr>
            <w:tcW w:w="640" w:type="dxa"/>
            <w:vAlign w:val="bottom"/>
            <w:shd w:val="clear" w:color="auto" w:fill="F2F3F2"/>
          </w:tcPr>
          <w:p>
            <w:pPr>
              <w:spacing w:after="0"/>
              <w:rPr>
                <w:sz w:val="24"/>
                <w:szCs w:val="24"/>
                <w:color w:val="auto"/>
              </w:rPr>
            </w:pPr>
          </w:p>
        </w:tc>
        <w:tc>
          <w:tcPr>
            <w:tcW w:w="40" w:type="dxa"/>
            <w:vAlign w:val="bottom"/>
            <w:shd w:val="clear" w:color="auto" w:fill="F2F3F2"/>
          </w:tcPr>
          <w:p>
            <w:pPr>
              <w:spacing w:after="0"/>
              <w:rPr>
                <w:sz w:val="24"/>
                <w:szCs w:val="24"/>
                <w:color w:val="auto"/>
              </w:rPr>
            </w:pPr>
          </w:p>
        </w:tc>
        <w:tc>
          <w:tcPr>
            <w:tcW w:w="1080" w:type="dxa"/>
            <w:vAlign w:val="bottom"/>
            <w:shd w:val="clear" w:color="auto" w:fill="6AAA37"/>
          </w:tcPr>
          <w:p>
            <w:pPr>
              <w:spacing w:after="0"/>
              <w:rPr>
                <w:sz w:val="24"/>
                <w:szCs w:val="24"/>
                <w:color w:val="auto"/>
              </w:rPr>
            </w:pPr>
          </w:p>
        </w:tc>
        <w:tc>
          <w:tcPr>
            <w:tcW w:w="0" w:type="dxa"/>
            <w:vAlign w:val="bottom"/>
          </w:tcPr>
          <w:p>
            <w:pPr>
              <w:spacing w:after="0"/>
              <w:rPr>
                <w:sz w:val="1"/>
                <w:szCs w:val="1"/>
                <w:color w:val="auto"/>
              </w:rPr>
            </w:pPr>
          </w:p>
        </w:tc>
      </w:tr>
      <w:tr>
        <w:trPr>
          <w:trHeight w:val="905"/>
        </w:trPr>
        <w:tc>
          <w:tcPr>
            <w:tcW w:w="2000" w:type="dxa"/>
            <w:vAlign w:val="bottom"/>
            <w:tcBorders>
              <w:bottom w:val="single" w:sz="8" w:color="B2B3B6"/>
            </w:tcBorders>
          </w:tcPr>
          <w:p>
            <w:pPr>
              <w:spacing w:after="0"/>
              <w:rPr>
                <w:sz w:val="24"/>
                <w:szCs w:val="24"/>
                <w:color w:val="auto"/>
              </w:rPr>
            </w:pPr>
          </w:p>
        </w:tc>
        <w:tc>
          <w:tcPr>
            <w:tcW w:w="1400" w:type="dxa"/>
            <w:vAlign w:val="bottom"/>
            <w:tcBorders>
              <w:bottom w:val="single" w:sz="8" w:color="B2B3B6"/>
            </w:tcBorders>
          </w:tcPr>
          <w:p>
            <w:pPr>
              <w:spacing w:after="0"/>
              <w:rPr>
                <w:sz w:val="24"/>
                <w:szCs w:val="24"/>
                <w:color w:val="auto"/>
              </w:rPr>
            </w:pPr>
          </w:p>
        </w:tc>
        <w:tc>
          <w:tcPr>
            <w:tcW w:w="1300" w:type="dxa"/>
            <w:vAlign w:val="bottom"/>
            <w:tcBorders>
              <w:bottom w:val="single" w:sz="8" w:color="B2B3B6"/>
            </w:tcBorders>
          </w:tcPr>
          <w:p>
            <w:pPr>
              <w:spacing w:after="0"/>
              <w:rPr>
                <w:sz w:val="24"/>
                <w:szCs w:val="24"/>
                <w:color w:val="auto"/>
              </w:rPr>
            </w:pPr>
          </w:p>
        </w:tc>
        <w:tc>
          <w:tcPr>
            <w:tcW w:w="440" w:type="dxa"/>
            <w:vAlign w:val="bottom"/>
            <w:tcBorders>
              <w:bottom w:val="single" w:sz="8" w:color="B2B3B6"/>
            </w:tcBorders>
          </w:tcPr>
          <w:p>
            <w:pPr>
              <w:spacing w:after="0"/>
              <w:rPr>
                <w:sz w:val="24"/>
                <w:szCs w:val="24"/>
                <w:color w:val="auto"/>
              </w:rPr>
            </w:pPr>
          </w:p>
        </w:tc>
        <w:tc>
          <w:tcPr>
            <w:tcW w:w="580" w:type="dxa"/>
            <w:vAlign w:val="bottom"/>
            <w:tcBorders>
              <w:bottom w:val="single" w:sz="8" w:color="B2B3B6"/>
            </w:tcBorders>
          </w:tcPr>
          <w:p>
            <w:pPr>
              <w:spacing w:after="0"/>
              <w:rPr>
                <w:sz w:val="24"/>
                <w:szCs w:val="24"/>
                <w:color w:val="auto"/>
              </w:rPr>
            </w:pPr>
          </w:p>
        </w:tc>
        <w:tc>
          <w:tcPr>
            <w:tcW w:w="460" w:type="dxa"/>
            <w:vAlign w:val="bottom"/>
            <w:tcBorders>
              <w:bottom w:val="single" w:sz="8" w:color="B2B3B6"/>
            </w:tcBorders>
          </w:tcPr>
          <w:p>
            <w:pPr>
              <w:spacing w:after="0"/>
              <w:rPr>
                <w:sz w:val="24"/>
                <w:szCs w:val="24"/>
                <w:color w:val="auto"/>
              </w:rPr>
            </w:pPr>
          </w:p>
        </w:tc>
        <w:tc>
          <w:tcPr>
            <w:tcW w:w="500" w:type="dxa"/>
            <w:vAlign w:val="bottom"/>
            <w:tcBorders>
              <w:bottom w:val="single" w:sz="8" w:color="B2B3B6"/>
            </w:tcBorders>
          </w:tcPr>
          <w:p>
            <w:pPr>
              <w:spacing w:after="0"/>
              <w:rPr>
                <w:sz w:val="24"/>
                <w:szCs w:val="24"/>
                <w:color w:val="auto"/>
              </w:rPr>
            </w:pPr>
          </w:p>
        </w:tc>
        <w:tc>
          <w:tcPr>
            <w:tcW w:w="620" w:type="dxa"/>
            <w:vAlign w:val="bottom"/>
            <w:tcBorders>
              <w:bottom w:val="single" w:sz="8" w:color="B2B3B6"/>
            </w:tcBorders>
          </w:tcPr>
          <w:p>
            <w:pPr>
              <w:spacing w:after="0"/>
              <w:rPr>
                <w:sz w:val="24"/>
                <w:szCs w:val="24"/>
                <w:color w:val="auto"/>
              </w:rPr>
            </w:pPr>
          </w:p>
        </w:tc>
        <w:tc>
          <w:tcPr>
            <w:tcW w:w="640" w:type="dxa"/>
            <w:vAlign w:val="bottom"/>
            <w:tcBorders>
              <w:bottom w:val="single" w:sz="8" w:color="B2B3B6"/>
            </w:tcBorders>
          </w:tcPr>
          <w:p>
            <w:pPr>
              <w:spacing w:after="0"/>
              <w:rPr>
                <w:sz w:val="24"/>
                <w:szCs w:val="24"/>
                <w:color w:val="auto"/>
              </w:rPr>
            </w:pPr>
          </w:p>
        </w:tc>
        <w:tc>
          <w:tcPr>
            <w:tcW w:w="40" w:type="dxa"/>
            <w:vAlign w:val="bottom"/>
            <w:tcBorders>
              <w:bottom w:val="single" w:sz="8" w:color="B2B3B6"/>
            </w:tcBorders>
          </w:tcPr>
          <w:p>
            <w:pPr>
              <w:spacing w:after="0"/>
              <w:rPr>
                <w:sz w:val="24"/>
                <w:szCs w:val="24"/>
                <w:color w:val="auto"/>
              </w:rPr>
            </w:pPr>
          </w:p>
        </w:tc>
        <w:tc>
          <w:tcPr>
            <w:tcW w:w="1080" w:type="dxa"/>
            <w:vAlign w:val="bottom"/>
            <w:tcBorders>
              <w:bottom w:val="single" w:sz="8" w:color="B2B3B6"/>
            </w:tcBorders>
            <w:shd w:val="clear" w:color="auto" w:fill="6AAA37"/>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20"/>
        <w:spacing w:after="0" w:line="232" w:lineRule="auto"/>
        <w:rPr>
          <w:sz w:val="20"/>
          <w:szCs w:val="20"/>
          <w:color w:val="auto"/>
        </w:rPr>
      </w:pPr>
      <w:r>
        <w:rPr>
          <w:rFonts w:ascii="Arial" w:cs="Arial" w:eastAsia="Arial" w:hAnsi="Arial"/>
          <w:sz w:val="16"/>
          <w:szCs w:val="16"/>
          <w:i w:val="1"/>
          <w:iCs w:val="1"/>
          <w:color w:val="auto"/>
          <w:vertAlign w:val="superscript"/>
        </w:rPr>
        <w:t>6</w:t>
      </w:r>
      <w:r>
        <w:rPr>
          <w:rFonts w:ascii="Arial" w:cs="Arial" w:eastAsia="Arial" w:hAnsi="Arial"/>
          <w:sz w:val="13"/>
          <w:szCs w:val="13"/>
          <w:i w:val="1"/>
          <w:iCs w:val="1"/>
          <w:color w:val="auto"/>
        </w:rPr>
        <w:t>See Appendix C for the definitions of organic revenue, adjusted EBITDA margin, and other non-GAAP financial measures included in this Proxy Statement, as well as their reconciliation to the most directly comparable GAAP financial measure.</w:t>
      </w:r>
    </w:p>
    <w:p>
      <w:pPr>
        <w:spacing w:after="0" w:line="320" w:lineRule="exact"/>
        <w:rPr>
          <w:sz w:val="20"/>
          <w:szCs w:val="20"/>
          <w:color w:val="auto"/>
        </w:rPr>
      </w:pPr>
    </w:p>
    <w:p>
      <w:pPr>
        <w:ind w:left="60"/>
        <w:spacing w:after="0"/>
        <w:tabs>
          <w:tab w:leader="none" w:pos="444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13"/>
          <w:szCs w:val="13"/>
          <w:b w:val="1"/>
          <w:bCs w:val="1"/>
          <w:color w:val="00558C"/>
        </w:rPr>
        <w:t>44</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420370</wp:posOffset>
            </wp:positionV>
            <wp:extent cx="6810375" cy="5596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10375" cy="5596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540" w:val="left"/>
          <w:tab w:leader="none" w:pos="7360" w:val="left"/>
          <w:tab w:leader="none" w:pos="8400" w:val="left"/>
        </w:tabs>
        <w:rPr>
          <w:sz w:val="20"/>
          <w:szCs w:val="20"/>
          <w:color w:val="auto"/>
        </w:rPr>
      </w:pPr>
      <w:r>
        <w:rPr>
          <w:rFonts w:ascii="Arial" w:cs="Arial" w:eastAsia="Arial" w:hAnsi="Arial"/>
          <w:sz w:val="13"/>
          <w:szCs w:val="13"/>
          <w:b w:val="1"/>
          <w:bCs w:val="1"/>
          <w:color w:val="B2B3B6"/>
        </w:rPr>
        <w:t>General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Corporate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6AAA37"/>
        </w:rPr>
        <w:t>Executive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Stockholder</w:t>
      </w:r>
      <w:r>
        <w:rPr>
          <w:sz w:val="20"/>
          <w:szCs w:val="20"/>
          <w:color w:val="auto"/>
        </w:rPr>
        <w:tab/>
      </w:r>
      <w:r>
        <w:rPr>
          <w:rFonts w:ascii="Arial" w:cs="Arial" w:eastAsia="Arial" w:hAnsi="Arial"/>
          <w:sz w:val="12"/>
          <w:szCs w:val="12"/>
          <w:b w:val="1"/>
          <w:bCs w:val="1"/>
          <w:color w:val="B2B3B6"/>
        </w:rPr>
        <w:t>Other</w:t>
      </w:r>
    </w:p>
    <w:p>
      <w:pPr>
        <w:spacing w:after="0" w:line="11"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540" w:val="left"/>
          <w:tab w:leader="none" w:pos="7360" w:val="left"/>
          <w:tab w:leader="none" w:pos="8400" w:val="left"/>
        </w:tabs>
        <w:rPr>
          <w:sz w:val="20"/>
          <w:szCs w:val="20"/>
          <w:color w:val="auto"/>
        </w:rPr>
      </w:pPr>
      <w:r>
        <w:rPr>
          <w:rFonts w:ascii="Arial" w:cs="Arial" w:eastAsia="Arial" w:hAnsi="Arial"/>
          <w:sz w:val="13"/>
          <w:szCs w:val="13"/>
          <w:b w:val="1"/>
          <w:bCs w:val="1"/>
          <w:color w:val="B2B3B6"/>
        </w:rPr>
        <w:t>Information</w:t>
      </w:r>
      <w:r>
        <w:rPr>
          <w:sz w:val="20"/>
          <w:szCs w:val="20"/>
          <w:color w:val="auto"/>
        </w:rPr>
        <w:tab/>
      </w:r>
      <w:r>
        <w:rPr>
          <w:rFonts w:ascii="Arial" w:cs="Arial" w:eastAsia="Arial" w:hAnsi="Arial"/>
          <w:sz w:val="13"/>
          <w:szCs w:val="13"/>
          <w:b w:val="1"/>
          <w:bCs w:val="1"/>
          <w:color w:val="B2B3B6"/>
        </w:rPr>
        <w:t>One</w:t>
      </w:r>
      <w:r>
        <w:rPr>
          <w:sz w:val="20"/>
          <w:szCs w:val="20"/>
          <w:color w:val="auto"/>
        </w:rPr>
        <w:tab/>
      </w:r>
      <w:r>
        <w:rPr>
          <w:rFonts w:ascii="Arial" w:cs="Arial" w:eastAsia="Arial" w:hAnsi="Arial"/>
          <w:sz w:val="13"/>
          <w:szCs w:val="13"/>
          <w:b w:val="1"/>
          <w:bCs w:val="1"/>
          <w:color w:val="B2B3B6"/>
        </w:rPr>
        <w:t>Governance</w:t>
      </w:r>
      <w:r>
        <w:rPr>
          <w:sz w:val="20"/>
          <w:szCs w:val="20"/>
          <w:color w:val="auto"/>
        </w:rPr>
        <w:tab/>
      </w:r>
      <w:r>
        <w:rPr>
          <w:rFonts w:ascii="Arial" w:cs="Arial" w:eastAsia="Arial" w:hAnsi="Arial"/>
          <w:sz w:val="13"/>
          <w:szCs w:val="13"/>
          <w:b w:val="1"/>
          <w:bCs w:val="1"/>
          <w:color w:val="B2B3B6"/>
        </w:rPr>
        <w:t>Two</w:t>
      </w:r>
      <w:r>
        <w:rPr>
          <w:sz w:val="20"/>
          <w:szCs w:val="20"/>
          <w:color w:val="auto"/>
        </w:rPr>
        <w:tab/>
      </w:r>
      <w:r>
        <w:rPr>
          <w:rFonts w:ascii="Arial" w:cs="Arial" w:eastAsia="Arial" w:hAnsi="Arial"/>
          <w:sz w:val="13"/>
          <w:szCs w:val="13"/>
          <w:b w:val="1"/>
          <w:bCs w:val="1"/>
          <w:color w:val="6AAA37"/>
        </w:rPr>
        <w:t>Compensation</w:t>
      </w:r>
      <w:r>
        <w:rPr>
          <w:sz w:val="20"/>
          <w:szCs w:val="20"/>
          <w:color w:val="auto"/>
        </w:rPr>
        <w:tab/>
      </w:r>
      <w:r>
        <w:rPr>
          <w:rFonts w:ascii="Arial" w:cs="Arial" w:eastAsia="Arial" w:hAnsi="Arial"/>
          <w:sz w:val="13"/>
          <w:szCs w:val="13"/>
          <w:b w:val="1"/>
          <w:bCs w:val="1"/>
          <w:color w:val="B2B3B6"/>
        </w:rPr>
        <w:t>Three</w:t>
      </w:r>
      <w:r>
        <w:rPr>
          <w:sz w:val="20"/>
          <w:szCs w:val="20"/>
          <w:color w:val="auto"/>
        </w:rPr>
        <w:tab/>
      </w:r>
      <w:r>
        <w:rPr>
          <w:rFonts w:ascii="Arial" w:cs="Arial" w:eastAsia="Arial" w:hAnsi="Arial"/>
          <w:sz w:val="13"/>
          <w:szCs w:val="13"/>
          <w:b w:val="1"/>
          <w:bCs w:val="1"/>
          <w:color w:val="B2B3B6"/>
        </w:rPr>
        <w:t>Four</w:t>
      </w:r>
      <w:r>
        <w:rPr>
          <w:sz w:val="20"/>
          <w:szCs w:val="20"/>
          <w:color w:val="auto"/>
        </w:rPr>
        <w:tab/>
      </w:r>
      <w:r>
        <w:rPr>
          <w:rFonts w:ascii="Arial" w:cs="Arial" w:eastAsia="Arial" w:hAnsi="Arial"/>
          <w:sz w:val="13"/>
          <w:szCs w:val="13"/>
          <w:b w:val="1"/>
          <w:bCs w:val="1"/>
          <w:color w:val="B2B3B6"/>
        </w:rPr>
        <w:t>Five</w:t>
      </w:r>
      <w:r>
        <w:rPr>
          <w:sz w:val="20"/>
          <w:szCs w:val="20"/>
          <w:color w:val="auto"/>
        </w:rPr>
        <w:tab/>
      </w:r>
      <w:r>
        <w:rPr>
          <w:rFonts w:ascii="Arial" w:cs="Arial" w:eastAsia="Arial" w:hAnsi="Arial"/>
          <w:sz w:val="13"/>
          <w:szCs w:val="13"/>
          <w:b w:val="1"/>
          <w:bCs w:val="1"/>
          <w:color w:val="B2B3B6"/>
        </w:rPr>
        <w:t>Proposals</w:t>
      </w:r>
      <w:r>
        <w:rPr>
          <w:sz w:val="20"/>
          <w:szCs w:val="20"/>
          <w:color w:val="auto"/>
        </w:rPr>
        <w:tab/>
      </w:r>
      <w:r>
        <w:rPr>
          <w:rFonts w:ascii="Arial" w:cs="Arial" w:eastAsia="Arial" w:hAnsi="Arial"/>
          <w:sz w:val="12"/>
          <w:szCs w:val="12"/>
          <w:b w:val="1"/>
          <w:bCs w:val="1"/>
          <w:color w:val="B2B3B6"/>
        </w:rPr>
        <w:t>Matters</w:t>
      </w:r>
    </w:p>
    <w:p>
      <w:pPr>
        <w:spacing w:after="0" w:line="3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2024 Strategic Measures</w:t>
      </w:r>
    </w:p>
    <w:p>
      <w:pPr>
        <w:spacing w:after="0" w:line="4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portfolio of strategic measures applied to the 2024 annual incentive program directly aligned to the growth strategy of the organization through the following four principles: Grow Revenue, Grow Margins, Grow People and Financial Strength. Each of these goal's performance was assessed against pre-approved, defined measures of success, of which a majority were objective, quantifiable goals. In total, 65% of the strategic measures within the 2024 annual incentive program were assessed against objective, quantifiable goals. The following chart outlines the 2024 goals as well as their weighting, alignment to strategy and actual levels of achievement.</w:t>
      </w:r>
      <w:r>
        <w:rPr>
          <w:rFonts w:ascii="Arial" w:cs="Arial" w:eastAsia="Arial" w:hAnsi="Arial"/>
          <w:sz w:val="21"/>
          <w:szCs w:val="21"/>
          <w:color w:val="FFFFFF"/>
          <w:vertAlign w:val="superscript"/>
        </w:rPr>
        <w:t>7</w:t>
      </w:r>
    </w:p>
    <w:p>
      <w:pPr>
        <w:sectPr>
          <w:pgSz w:w="11900" w:h="16932" w:orient="portrait"/>
          <w:cols w:equalWidth="0" w:num="1">
            <w:col w:w="9080"/>
          </w:cols>
          <w:pgMar w:left="1400" w:top="136" w:right="14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40"/>
        <w:spacing w:after="0"/>
        <w:tabs>
          <w:tab w:leader="none" w:pos="940" w:val="left"/>
        </w:tabs>
        <w:rPr>
          <w:sz w:val="20"/>
          <w:szCs w:val="20"/>
          <w:color w:val="auto"/>
        </w:rPr>
      </w:pPr>
      <w:r>
        <w:rPr>
          <w:rFonts w:ascii="Arial" w:cs="Arial" w:eastAsia="Arial" w:hAnsi="Arial"/>
          <w:sz w:val="14"/>
          <w:szCs w:val="14"/>
          <w:b w:val="1"/>
          <w:bCs w:val="1"/>
          <w:color w:val="FFFFFF"/>
        </w:rPr>
        <w:t>Goals</w:t>
      </w:r>
      <w:r>
        <w:rPr>
          <w:sz w:val="20"/>
          <w:szCs w:val="20"/>
          <w:color w:val="auto"/>
        </w:rPr>
        <w:tab/>
      </w:r>
      <w:r>
        <w:rPr>
          <w:rFonts w:ascii="Arial" w:cs="Arial" w:eastAsia="Arial" w:hAnsi="Arial"/>
          <w:sz w:val="14"/>
          <w:szCs w:val="14"/>
          <w:b w:val="1"/>
          <w:bCs w:val="1"/>
          <w:color w:val="FFFFFF"/>
        </w:rPr>
        <w:t>Weighting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140" w:right="100"/>
        <w:spacing w:after="0" w:line="194" w:lineRule="auto"/>
        <w:rPr>
          <w:sz w:val="20"/>
          <w:szCs w:val="20"/>
          <w:color w:val="auto"/>
        </w:rPr>
      </w:pPr>
      <w:r>
        <w:rPr>
          <w:rFonts w:ascii="Arial" w:cs="Arial" w:eastAsia="Arial" w:hAnsi="Arial"/>
          <w:sz w:val="28"/>
          <w:szCs w:val="28"/>
          <w:b w:val="1"/>
          <w:bCs w:val="1"/>
          <w:color w:val="000000"/>
          <w:vertAlign w:val="superscript"/>
        </w:rPr>
        <w:t>Grow</w:t>
      </w:r>
      <w:r>
        <w:rPr>
          <w:rFonts w:ascii="Arial" w:cs="Arial" w:eastAsia="Arial" w:hAnsi="Arial"/>
          <w:sz w:val="14"/>
          <w:szCs w:val="14"/>
          <w:b w:val="1"/>
          <w:bCs w:val="1"/>
          <w:color w:val="6AAA37"/>
        </w:rPr>
        <w:t xml:space="preserve"> 40.0% </w:t>
      </w:r>
      <w:r>
        <w:rPr>
          <w:rFonts w:ascii="Arial" w:cs="Arial" w:eastAsia="Arial" w:hAnsi="Arial"/>
          <w:sz w:val="14"/>
          <w:szCs w:val="14"/>
          <w:b w:val="1"/>
          <w:bCs w:val="1"/>
          <w:color w:val="000000"/>
        </w:rPr>
        <w:t>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40" w:right="80"/>
        <w:spacing w:after="0" w:line="194" w:lineRule="auto"/>
        <w:rPr>
          <w:sz w:val="20"/>
          <w:szCs w:val="20"/>
          <w:color w:val="auto"/>
        </w:rPr>
      </w:pPr>
      <w:r>
        <w:rPr>
          <w:rFonts w:ascii="Arial" w:cs="Arial" w:eastAsia="Arial" w:hAnsi="Arial"/>
          <w:sz w:val="28"/>
          <w:szCs w:val="28"/>
          <w:b w:val="1"/>
          <w:bCs w:val="1"/>
          <w:color w:val="000000"/>
          <w:vertAlign w:val="superscript"/>
        </w:rPr>
        <w:t>Grow</w:t>
      </w:r>
      <w:r>
        <w:rPr>
          <w:rFonts w:ascii="Arial" w:cs="Arial" w:eastAsia="Arial" w:hAnsi="Arial"/>
          <w:sz w:val="14"/>
          <w:szCs w:val="14"/>
          <w:b w:val="1"/>
          <w:bCs w:val="1"/>
          <w:color w:val="6AAA37"/>
        </w:rPr>
        <w:t xml:space="preserve"> 25.0% </w:t>
      </w:r>
      <w:r>
        <w:rPr>
          <w:rFonts w:ascii="Arial" w:cs="Arial" w:eastAsia="Arial" w:hAnsi="Arial"/>
          <w:sz w:val="14"/>
          <w:szCs w:val="14"/>
          <w:b w:val="1"/>
          <w:bCs w:val="1"/>
          <w:color w:val="000000"/>
        </w:rPr>
        <w:t>Margins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82" w:right="560"/>
        <w:spacing w:after="0" w:line="314" w:lineRule="auto"/>
        <w:rPr>
          <w:sz w:val="20"/>
          <w:szCs w:val="20"/>
          <w:color w:val="auto"/>
        </w:rPr>
      </w:pPr>
      <w:r>
        <w:rPr>
          <w:rFonts w:ascii="Arial" w:cs="Arial" w:eastAsia="Arial" w:hAnsi="Arial"/>
          <w:sz w:val="14"/>
          <w:szCs w:val="14"/>
          <w:b w:val="1"/>
          <w:bCs w:val="1"/>
          <w:color w:val="FFFFFF"/>
        </w:rPr>
        <w:t>Alignment of Strategic Priorities with Company Strategy</w:t>
      </w:r>
    </w:p>
    <w:p>
      <w:pPr>
        <w:spacing w:after="0" w:line="200" w:lineRule="exact"/>
        <w:rPr>
          <w:sz w:val="20"/>
          <w:szCs w:val="20"/>
          <w:color w:val="auto"/>
        </w:rPr>
      </w:pPr>
    </w:p>
    <w:p>
      <w:pPr>
        <w:spacing w:after="0" w:line="256" w:lineRule="exact"/>
        <w:rPr>
          <w:sz w:val="20"/>
          <w:szCs w:val="20"/>
          <w:color w:val="auto"/>
        </w:rPr>
      </w:pPr>
    </w:p>
    <w:p>
      <w:pPr>
        <w:ind w:left="162" w:right="40" w:hanging="162"/>
        <w:spacing w:after="0" w:line="265" w:lineRule="auto"/>
        <w:tabs>
          <w:tab w:leader="none" w:pos="162" w:val="left"/>
        </w:tabs>
        <w:numPr>
          <w:ilvl w:val="0"/>
          <w:numId w:val="75"/>
        </w:numPr>
        <w:rPr>
          <w:rFonts w:ascii="Arial" w:cs="Arial" w:eastAsia="Arial" w:hAnsi="Arial"/>
          <w:sz w:val="14"/>
          <w:szCs w:val="14"/>
          <w:b w:val="1"/>
          <w:bCs w:val="1"/>
          <w:color w:val="6AAA37"/>
        </w:rPr>
      </w:pPr>
      <w:r>
        <w:rPr>
          <w:rFonts w:ascii="Arial" w:cs="Arial" w:eastAsia="Arial" w:hAnsi="Arial"/>
          <w:sz w:val="14"/>
          <w:szCs w:val="14"/>
          <w:color w:val="auto"/>
        </w:rPr>
        <w:t>Focused on executing against our growth strategy, including accelerating growth in the healthcare and education industries, executing our commercial industry strategy, advancing our integrated digital platform, and executing programmatic M&amp;A.</w:t>
      </w:r>
    </w:p>
    <w:p>
      <w:pPr>
        <w:spacing w:after="0" w:line="200" w:lineRule="exact"/>
        <w:rPr>
          <w:rFonts w:ascii="Arial" w:cs="Arial" w:eastAsia="Arial" w:hAnsi="Arial"/>
          <w:sz w:val="14"/>
          <w:szCs w:val="14"/>
          <w:b w:val="1"/>
          <w:bCs w:val="1"/>
          <w:color w:val="6AAA37"/>
        </w:rPr>
      </w:pPr>
    </w:p>
    <w:p>
      <w:pPr>
        <w:spacing w:after="0" w:line="200" w:lineRule="exact"/>
        <w:rPr>
          <w:rFonts w:ascii="Arial" w:cs="Arial" w:eastAsia="Arial" w:hAnsi="Arial"/>
          <w:sz w:val="14"/>
          <w:szCs w:val="14"/>
          <w:b w:val="1"/>
          <w:bCs w:val="1"/>
          <w:color w:val="6AAA37"/>
        </w:rPr>
      </w:pPr>
    </w:p>
    <w:p>
      <w:pPr>
        <w:spacing w:after="0" w:line="299" w:lineRule="exact"/>
        <w:rPr>
          <w:rFonts w:ascii="Arial" w:cs="Arial" w:eastAsia="Arial" w:hAnsi="Arial"/>
          <w:sz w:val="14"/>
          <w:szCs w:val="14"/>
          <w:b w:val="1"/>
          <w:bCs w:val="1"/>
          <w:color w:val="6AAA37"/>
        </w:rPr>
      </w:pPr>
    </w:p>
    <w:p>
      <w:pPr>
        <w:ind w:left="162" w:hanging="162"/>
        <w:spacing w:after="0" w:line="266" w:lineRule="auto"/>
        <w:tabs>
          <w:tab w:leader="none" w:pos="162" w:val="left"/>
        </w:tabs>
        <w:numPr>
          <w:ilvl w:val="0"/>
          <w:numId w:val="75"/>
        </w:numPr>
        <w:rPr>
          <w:rFonts w:ascii="Arial" w:cs="Arial" w:eastAsia="Arial" w:hAnsi="Arial"/>
          <w:sz w:val="14"/>
          <w:szCs w:val="14"/>
          <w:b w:val="1"/>
          <w:bCs w:val="1"/>
          <w:color w:val="6AAA37"/>
        </w:rPr>
      </w:pPr>
      <w:r>
        <w:rPr>
          <w:rFonts w:ascii="Arial" w:cs="Arial" w:eastAsia="Arial" w:hAnsi="Arial"/>
          <w:sz w:val="14"/>
          <w:szCs w:val="14"/>
          <w:color w:val="auto"/>
        </w:rPr>
        <w:t>Focused on executing our margin expansion strategy to improve profitability and increase our investment capacity through our various operating levers (e.g., utilization, global delivery, scaling our SG&amp;A, etc.).</w:t>
      </w:r>
    </w:p>
    <w:p>
      <w:pPr>
        <w:spacing w:after="0" w:line="200" w:lineRule="exact"/>
        <w:rPr>
          <w:rFonts w:ascii="Arial" w:cs="Arial" w:eastAsia="Arial" w:hAnsi="Arial"/>
          <w:sz w:val="14"/>
          <w:szCs w:val="14"/>
          <w:b w:val="1"/>
          <w:bCs w:val="1"/>
          <w:color w:val="6AAA37"/>
        </w:rPr>
      </w:pPr>
    </w:p>
    <w:p>
      <w:pPr>
        <w:spacing w:after="0" w:line="200" w:lineRule="exact"/>
        <w:rPr>
          <w:rFonts w:ascii="Arial" w:cs="Arial" w:eastAsia="Arial" w:hAnsi="Arial"/>
          <w:sz w:val="14"/>
          <w:szCs w:val="14"/>
          <w:b w:val="1"/>
          <w:bCs w:val="1"/>
          <w:color w:val="6AAA37"/>
        </w:rPr>
      </w:pPr>
    </w:p>
    <w:p>
      <w:pPr>
        <w:spacing w:after="0" w:line="200" w:lineRule="exact"/>
        <w:rPr>
          <w:rFonts w:ascii="Arial" w:cs="Arial" w:eastAsia="Arial" w:hAnsi="Arial"/>
          <w:sz w:val="14"/>
          <w:szCs w:val="14"/>
          <w:b w:val="1"/>
          <w:bCs w:val="1"/>
          <w:color w:val="6AAA37"/>
        </w:rPr>
      </w:pPr>
    </w:p>
    <w:p>
      <w:pPr>
        <w:spacing w:after="0" w:line="313" w:lineRule="exact"/>
        <w:rPr>
          <w:rFonts w:ascii="Arial" w:cs="Arial" w:eastAsia="Arial" w:hAnsi="Arial"/>
          <w:sz w:val="14"/>
          <w:szCs w:val="14"/>
          <w:b w:val="1"/>
          <w:bCs w:val="1"/>
          <w:color w:val="6AAA37"/>
        </w:rPr>
      </w:pPr>
    </w:p>
    <w:p>
      <w:pPr>
        <w:ind w:left="162" w:hanging="162"/>
        <w:spacing w:after="0" w:line="273" w:lineRule="auto"/>
        <w:tabs>
          <w:tab w:leader="none" w:pos="162" w:val="left"/>
        </w:tabs>
        <w:numPr>
          <w:ilvl w:val="0"/>
          <w:numId w:val="75"/>
        </w:numPr>
        <w:rPr>
          <w:rFonts w:ascii="Arial" w:cs="Arial" w:eastAsia="Arial" w:hAnsi="Arial"/>
          <w:sz w:val="14"/>
          <w:szCs w:val="14"/>
          <w:b w:val="1"/>
          <w:bCs w:val="1"/>
          <w:color w:val="6AAA37"/>
        </w:rPr>
      </w:pPr>
      <w:r>
        <w:rPr>
          <w:rFonts w:ascii="Arial" w:cs="Arial" w:eastAsia="Arial" w:hAnsi="Arial"/>
          <w:sz w:val="14"/>
          <w:szCs w:val="14"/>
          <w:color w:val="auto"/>
        </w:rPr>
        <w:t>Focused on advancing our commitment to our people and fostering a collaborative, inclusive culture while attracting,</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FFFFFF"/>
        </w:rPr>
        <w:t>Level of</w:t>
      </w:r>
    </w:p>
    <w:p>
      <w:pPr>
        <w:spacing w:after="0" w:line="2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FFFFFF"/>
        </w:rPr>
        <w:t>Achievement</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FFFFFF"/>
        </w:rPr>
        <w:t>Target</w:t>
      </w:r>
    </w:p>
    <w:p>
      <w:pPr>
        <w:spacing w:after="0" w:line="333" w:lineRule="exact"/>
        <w:rPr>
          <w:sz w:val="20"/>
          <w:szCs w:val="20"/>
          <w:color w:val="auto"/>
        </w:rPr>
      </w:pPr>
    </w:p>
    <w:p>
      <w:pPr>
        <w:jc w:val="center"/>
        <w:spacing w:after="0"/>
        <w:tabs>
          <w:tab w:leader="none" w:pos="160" w:val="left"/>
        </w:tabs>
        <w:rPr>
          <w:sz w:val="20"/>
          <w:szCs w:val="20"/>
          <w:color w:val="auto"/>
        </w:rPr>
      </w:pPr>
      <w:r>
        <w:rPr>
          <w:rFonts w:ascii="Arial" w:cs="Arial" w:eastAsia="Arial" w:hAnsi="Arial"/>
          <w:sz w:val="11"/>
          <w:szCs w:val="11"/>
          <w:b w:val="1"/>
          <w:bCs w:val="1"/>
          <w:color w:val="FFFFFF"/>
        </w:rPr>
        <w:t>Threshold</w:t>
        <w:tab/>
        <w:t>Maximum</w:t>
      </w:r>
    </w:p>
    <w:p>
      <w:pPr>
        <w:spacing w:after="0" w:line="200" w:lineRule="exact"/>
        <w:rPr>
          <w:sz w:val="20"/>
          <w:szCs w:val="20"/>
          <w:color w:val="auto"/>
        </w:rPr>
      </w:pPr>
    </w:p>
    <w:p>
      <w:pPr>
        <w:spacing w:after="0" w:line="272"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61%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146%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74"/>
        <w:spacing w:after="0"/>
        <w:rPr>
          <w:sz w:val="20"/>
          <w:szCs w:val="20"/>
          <w:color w:val="auto"/>
        </w:rPr>
      </w:pPr>
      <w:r>
        <w:rPr>
          <w:rFonts w:ascii="Arial" w:cs="Arial" w:eastAsia="Arial" w:hAnsi="Arial"/>
          <w:sz w:val="14"/>
          <w:szCs w:val="14"/>
          <w:b w:val="1"/>
          <w:bCs w:val="1"/>
          <w:color w:val="FFFFFF"/>
        </w:rPr>
        <w:t>Achievement Details</w:t>
      </w:r>
    </w:p>
    <w:p>
      <w:pPr>
        <w:spacing w:after="0" w:line="204" w:lineRule="exact"/>
        <w:rPr>
          <w:sz w:val="20"/>
          <w:szCs w:val="20"/>
          <w:color w:val="auto"/>
        </w:rPr>
      </w:pPr>
    </w:p>
    <w:p>
      <w:pPr>
        <w:ind w:left="154" w:right="140" w:hanging="154"/>
        <w:spacing w:after="0" w:line="262" w:lineRule="auto"/>
        <w:tabs>
          <w:tab w:leader="none" w:pos="154" w:val="left"/>
        </w:tabs>
        <w:numPr>
          <w:ilvl w:val="0"/>
          <w:numId w:val="76"/>
        </w:numPr>
        <w:rPr>
          <w:rFonts w:ascii="Arial" w:cs="Arial" w:eastAsia="Arial" w:hAnsi="Arial"/>
          <w:sz w:val="14"/>
          <w:szCs w:val="14"/>
          <w:b w:val="1"/>
          <w:bCs w:val="1"/>
          <w:color w:val="6AAA37"/>
        </w:rPr>
      </w:pPr>
      <w:r>
        <w:rPr>
          <w:rFonts w:ascii="Arial" w:cs="Arial" w:eastAsia="Arial" w:hAnsi="Arial"/>
          <w:sz w:val="14"/>
          <w:szCs w:val="14"/>
          <w:color w:val="auto"/>
        </w:rPr>
        <w:t>Achieved our growth goals related to advancing our five enterprise strategic imperatives, accelerating growth in healthcare and education industries, executing our commercial strategy, and advancing our integrated digital platform through the hiring of key roles.</w:t>
      </w:r>
    </w:p>
    <w:p>
      <w:pPr>
        <w:spacing w:after="0" w:line="160" w:lineRule="exact"/>
        <w:rPr>
          <w:rFonts w:ascii="Arial" w:cs="Arial" w:eastAsia="Arial" w:hAnsi="Arial"/>
          <w:sz w:val="14"/>
          <w:szCs w:val="14"/>
          <w:b w:val="1"/>
          <w:bCs w:val="1"/>
          <w:color w:val="6AAA37"/>
        </w:rPr>
      </w:pPr>
    </w:p>
    <w:p>
      <w:pPr>
        <w:ind w:left="154" w:right="460" w:hanging="154"/>
        <w:spacing w:after="0" w:line="272" w:lineRule="auto"/>
        <w:tabs>
          <w:tab w:leader="none" w:pos="154" w:val="left"/>
        </w:tabs>
        <w:numPr>
          <w:ilvl w:val="0"/>
          <w:numId w:val="76"/>
        </w:numPr>
        <w:rPr>
          <w:rFonts w:ascii="Arial" w:cs="Arial" w:eastAsia="Arial" w:hAnsi="Arial"/>
          <w:sz w:val="14"/>
          <w:szCs w:val="14"/>
          <w:b w:val="1"/>
          <w:bCs w:val="1"/>
          <w:color w:val="6AAA37"/>
        </w:rPr>
      </w:pPr>
      <w:r>
        <w:rPr>
          <w:rFonts w:ascii="Arial" w:cs="Arial" w:eastAsia="Arial" w:hAnsi="Arial"/>
          <w:sz w:val="14"/>
          <w:szCs w:val="14"/>
          <w:color w:val="auto"/>
        </w:rPr>
        <w:t>Did not achieve our commercial industry, digital capability or M&amp;A revenue growth goals.</w:t>
      </w:r>
    </w:p>
    <w:p>
      <w:pPr>
        <w:spacing w:after="0" w:line="151" w:lineRule="exact"/>
        <w:rPr>
          <w:rFonts w:ascii="Arial" w:cs="Arial" w:eastAsia="Arial" w:hAnsi="Arial"/>
          <w:sz w:val="14"/>
          <w:szCs w:val="14"/>
          <w:b w:val="1"/>
          <w:bCs w:val="1"/>
          <w:color w:val="6AAA37"/>
        </w:rPr>
      </w:pPr>
    </w:p>
    <w:p>
      <w:pPr>
        <w:ind w:left="154" w:right="140" w:hanging="154"/>
        <w:spacing w:after="0" w:line="255" w:lineRule="auto"/>
        <w:tabs>
          <w:tab w:leader="none" w:pos="154" w:val="left"/>
        </w:tabs>
        <w:numPr>
          <w:ilvl w:val="0"/>
          <w:numId w:val="76"/>
        </w:numPr>
        <w:rPr>
          <w:rFonts w:ascii="Arial" w:cs="Arial" w:eastAsia="Arial" w:hAnsi="Arial"/>
          <w:sz w:val="14"/>
          <w:szCs w:val="14"/>
          <w:b w:val="1"/>
          <w:bCs w:val="1"/>
          <w:color w:val="6AAA37"/>
        </w:rPr>
      </w:pPr>
      <w:r>
        <w:rPr>
          <w:rFonts w:ascii="Arial" w:cs="Arial" w:eastAsia="Arial" w:hAnsi="Arial"/>
          <w:sz w:val="14"/>
          <w:szCs w:val="14"/>
          <w:color w:val="auto"/>
        </w:rPr>
        <w:t>Improved adjusted EBITDA margin</w:t>
      </w:r>
      <w:r>
        <w:rPr>
          <w:rFonts w:ascii="Arial" w:cs="Arial" w:eastAsia="Arial" w:hAnsi="Arial"/>
          <w:sz w:val="18"/>
          <w:szCs w:val="18"/>
          <w:color w:val="auto"/>
          <w:vertAlign w:val="superscript"/>
        </w:rPr>
        <w:t>7</w:t>
      </w:r>
      <w:r>
        <w:rPr>
          <w:rFonts w:ascii="Arial" w:cs="Arial" w:eastAsia="Arial" w:hAnsi="Arial"/>
          <w:sz w:val="14"/>
          <w:szCs w:val="14"/>
          <w:color w:val="auto"/>
        </w:rPr>
        <w:t xml:space="preserve"> by 120 basis points over 2023 through initiatives focused on utilization, pricing, global delivery and SG&amp;A leverage. Also, strengthened our global operations and resource management capabilities to further enable our ability to grow and scale.</w:t>
      </w:r>
    </w:p>
    <w:p>
      <w:pPr>
        <w:spacing w:after="0" w:line="151" w:lineRule="exact"/>
        <w:rPr>
          <w:rFonts w:ascii="Arial" w:cs="Arial" w:eastAsia="Arial" w:hAnsi="Arial"/>
          <w:sz w:val="14"/>
          <w:szCs w:val="14"/>
          <w:b w:val="1"/>
          <w:bCs w:val="1"/>
          <w:color w:val="6AAA37"/>
        </w:rPr>
      </w:pPr>
    </w:p>
    <w:p>
      <w:pPr>
        <w:ind w:left="154" w:right="140" w:hanging="154"/>
        <w:spacing w:after="0" w:line="266" w:lineRule="auto"/>
        <w:tabs>
          <w:tab w:leader="none" w:pos="154" w:val="left"/>
        </w:tabs>
        <w:numPr>
          <w:ilvl w:val="0"/>
          <w:numId w:val="76"/>
        </w:numPr>
        <w:rPr>
          <w:rFonts w:ascii="Arial" w:cs="Arial" w:eastAsia="Arial" w:hAnsi="Arial"/>
          <w:sz w:val="14"/>
          <w:szCs w:val="14"/>
          <w:b w:val="1"/>
          <w:bCs w:val="1"/>
          <w:color w:val="6AAA37"/>
        </w:rPr>
      </w:pPr>
      <w:r>
        <w:rPr>
          <w:rFonts w:ascii="Arial" w:cs="Arial" w:eastAsia="Arial" w:hAnsi="Arial"/>
          <w:sz w:val="14"/>
          <w:szCs w:val="14"/>
          <w:color w:val="auto"/>
        </w:rPr>
        <w:t>Achieved our priorities to advance our commitment to our employees in 2024, realizing low turnover, achieving strong employee engagement results, and executing on our succession plans to ensure a strong pipeline into</w:t>
      </w:r>
    </w:p>
    <w:p>
      <w:pPr>
        <w:sectPr>
          <w:pgSz w:w="11900" w:h="16932" w:orient="portrait"/>
          <w:cols w:equalWidth="0" w:num="4">
            <w:col w:w="1660" w:space="258"/>
            <w:col w:w="2842" w:space="200"/>
            <w:col w:w="1200" w:space="186"/>
            <w:col w:w="2734"/>
          </w:cols>
          <w:pgMar w:left="1400" w:top="136" w:right="1419" w:bottom="0" w:gutter="0" w:footer="0" w:header="0"/>
          <w:type w:val="continuous"/>
        </w:sectPr>
      </w:pPr>
    </w:p>
    <w:bookmarkStart w:id="49" w:name="page50"/>
    <w:bookmarkEnd w:id="49"/>
    <w:p>
      <w:pPr>
        <w:spacing w:after="0" w:line="1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32594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10375" cy="32594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860" w:type="dxa"/>
            <w:vAlign w:val="bottom"/>
            <w:shd w:val="clear" w:color="auto" w:fill="00558C"/>
          </w:tcPr>
          <w:p>
            <w:pPr>
              <w:ind w:left="140"/>
              <w:spacing w:after="0"/>
              <w:rPr>
                <w:sz w:val="20"/>
                <w:szCs w:val="20"/>
                <w:color w:val="auto"/>
              </w:rPr>
            </w:pPr>
            <w:r>
              <w:rPr>
                <w:rFonts w:ascii="Arial" w:cs="Arial" w:eastAsia="Arial" w:hAnsi="Arial"/>
                <w:sz w:val="14"/>
                <w:szCs w:val="14"/>
                <w:b w:val="1"/>
                <w:bCs w:val="1"/>
                <w:color w:val="auto"/>
              </w:rPr>
              <w:t>Grow</w:t>
            </w:r>
          </w:p>
        </w:tc>
        <w:tc>
          <w:tcPr>
            <w:tcW w:w="1160" w:type="dxa"/>
            <w:vAlign w:val="bottom"/>
            <w:vMerge w:val="restart"/>
            <w:shd w:val="clear" w:color="auto" w:fill="00558C"/>
          </w:tcPr>
          <w:p>
            <w:pPr>
              <w:jc w:val="right"/>
              <w:ind w:right="368"/>
              <w:spacing w:after="0"/>
              <w:rPr>
                <w:sz w:val="20"/>
                <w:szCs w:val="20"/>
                <w:color w:val="auto"/>
              </w:rPr>
            </w:pPr>
            <w:r>
              <w:rPr>
                <w:rFonts w:ascii="Arial" w:cs="Arial" w:eastAsia="Arial" w:hAnsi="Arial"/>
                <w:sz w:val="14"/>
                <w:szCs w:val="14"/>
                <w:b w:val="1"/>
                <w:bCs w:val="1"/>
                <w:color w:val="6AAA37"/>
              </w:rPr>
              <w:t>25.0%</w:t>
            </w:r>
          </w:p>
        </w:tc>
        <w:tc>
          <w:tcPr>
            <w:tcW w:w="2860" w:type="dxa"/>
            <w:vAlign w:val="bottom"/>
            <w:tcBorders>
              <w:right w:val="single" w:sz="8" w:color="00558C"/>
            </w:tcBorders>
            <w:shd w:val="clear" w:color="auto" w:fill="00558C"/>
          </w:tcPr>
          <w:p>
            <w:pPr>
              <w:ind w:left="60"/>
              <w:spacing w:after="0"/>
              <w:rPr>
                <w:sz w:val="20"/>
                <w:szCs w:val="20"/>
                <w:color w:val="auto"/>
              </w:rPr>
            </w:pPr>
            <w:r>
              <w:rPr>
                <w:rFonts w:ascii="Arial" w:cs="Arial" w:eastAsia="Arial" w:hAnsi="Arial"/>
                <w:sz w:val="14"/>
                <w:szCs w:val="14"/>
                <w:color w:val="auto"/>
              </w:rPr>
              <w:t>engaging, growing and retaining top talent</w:t>
            </w:r>
          </w:p>
        </w:tc>
        <w:tc>
          <w:tcPr>
            <w:tcW w:w="1420" w:type="dxa"/>
            <w:vAlign w:val="bottom"/>
            <w:shd w:val="clear" w:color="auto" w:fill="00558C"/>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860" w:type="dxa"/>
            <w:vAlign w:val="bottom"/>
            <w:vMerge w:val="restart"/>
            <w:shd w:val="clear" w:color="auto" w:fill="00558C"/>
          </w:tcPr>
          <w:p>
            <w:pPr>
              <w:ind w:left="140"/>
              <w:spacing w:after="0"/>
              <w:rPr>
                <w:sz w:val="20"/>
                <w:szCs w:val="20"/>
                <w:color w:val="auto"/>
              </w:rPr>
            </w:pPr>
            <w:r>
              <w:rPr>
                <w:rFonts w:ascii="Arial" w:cs="Arial" w:eastAsia="Arial" w:hAnsi="Arial"/>
                <w:sz w:val="14"/>
                <w:szCs w:val="14"/>
                <w:b w:val="1"/>
                <w:bCs w:val="1"/>
                <w:color w:val="auto"/>
              </w:rPr>
              <w:t>People</w:t>
            </w:r>
          </w:p>
        </w:tc>
        <w:tc>
          <w:tcPr>
            <w:tcW w:w="1160" w:type="dxa"/>
            <w:vAlign w:val="bottom"/>
            <w:vMerge w:val="continue"/>
            <w:shd w:val="clear" w:color="auto" w:fill="00558C"/>
          </w:tcPr>
          <w:p>
            <w:pPr>
              <w:spacing w:after="0"/>
              <w:rPr>
                <w:sz w:val="8"/>
                <w:szCs w:val="8"/>
                <w:color w:val="auto"/>
              </w:rPr>
            </w:pPr>
          </w:p>
        </w:tc>
        <w:tc>
          <w:tcPr>
            <w:tcW w:w="2860" w:type="dxa"/>
            <w:vAlign w:val="bottom"/>
            <w:tcBorders>
              <w:right w:val="single" w:sz="8" w:color="00558C"/>
            </w:tcBorders>
            <w:vMerge w:val="restart"/>
            <w:shd w:val="clear" w:color="auto" w:fill="00558C"/>
          </w:tcPr>
          <w:p>
            <w:pPr>
              <w:ind w:left="60"/>
              <w:spacing w:after="0"/>
              <w:rPr>
                <w:sz w:val="20"/>
                <w:szCs w:val="20"/>
                <w:color w:val="auto"/>
              </w:rPr>
            </w:pPr>
            <w:r>
              <w:rPr>
                <w:rFonts w:ascii="Arial" w:cs="Arial" w:eastAsia="Arial" w:hAnsi="Arial"/>
                <w:sz w:val="14"/>
                <w:szCs w:val="14"/>
                <w:color w:val="auto"/>
              </w:rPr>
              <w:t>to support our strategic objectives and</w:t>
            </w:r>
          </w:p>
        </w:tc>
        <w:tc>
          <w:tcPr>
            <w:tcW w:w="1420" w:type="dxa"/>
            <w:vAlign w:val="bottom"/>
            <w:shd w:val="clear" w:color="auto" w:fill="00558C"/>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860" w:type="dxa"/>
            <w:vAlign w:val="bottom"/>
            <w:vMerge w:val="continue"/>
            <w:shd w:val="clear" w:color="auto" w:fill="00558C"/>
          </w:tcPr>
          <w:p>
            <w:pPr>
              <w:spacing w:after="0"/>
              <w:rPr>
                <w:sz w:val="6"/>
                <w:szCs w:val="6"/>
                <w:color w:val="auto"/>
              </w:rPr>
            </w:pPr>
          </w:p>
        </w:tc>
        <w:tc>
          <w:tcPr>
            <w:tcW w:w="1160" w:type="dxa"/>
            <w:vAlign w:val="bottom"/>
            <w:shd w:val="clear" w:color="auto" w:fill="00558C"/>
          </w:tcPr>
          <w:p>
            <w:pPr>
              <w:spacing w:after="0"/>
              <w:rPr>
                <w:sz w:val="6"/>
                <w:szCs w:val="6"/>
                <w:color w:val="auto"/>
              </w:rPr>
            </w:pPr>
          </w:p>
        </w:tc>
        <w:tc>
          <w:tcPr>
            <w:tcW w:w="2860" w:type="dxa"/>
            <w:vAlign w:val="bottom"/>
            <w:tcBorders>
              <w:right w:val="single" w:sz="8" w:color="00558C"/>
            </w:tcBorders>
            <w:vMerge w:val="continue"/>
            <w:shd w:val="clear" w:color="auto" w:fill="00558C"/>
          </w:tcPr>
          <w:p>
            <w:pPr>
              <w:spacing w:after="0"/>
              <w:rPr>
                <w:sz w:val="6"/>
                <w:szCs w:val="6"/>
                <w:color w:val="auto"/>
              </w:rPr>
            </w:pPr>
          </w:p>
        </w:tc>
        <w:tc>
          <w:tcPr>
            <w:tcW w:w="1420" w:type="dxa"/>
            <w:vAlign w:val="bottom"/>
            <w:shd w:val="clear" w:color="auto" w:fill="00558C"/>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860" w:type="dxa"/>
            <w:vAlign w:val="bottom"/>
            <w:shd w:val="clear" w:color="auto" w:fill="00558C"/>
          </w:tcPr>
          <w:p>
            <w:pPr>
              <w:spacing w:after="0"/>
              <w:rPr>
                <w:sz w:val="15"/>
                <w:szCs w:val="15"/>
                <w:color w:val="auto"/>
              </w:rPr>
            </w:pPr>
          </w:p>
        </w:tc>
        <w:tc>
          <w:tcPr>
            <w:tcW w:w="1160" w:type="dxa"/>
            <w:vAlign w:val="bottom"/>
            <w:shd w:val="clear" w:color="auto" w:fill="00558C"/>
          </w:tcPr>
          <w:p>
            <w:pPr>
              <w:spacing w:after="0"/>
              <w:rPr>
                <w:sz w:val="15"/>
                <w:szCs w:val="15"/>
                <w:color w:val="auto"/>
              </w:rPr>
            </w:pPr>
          </w:p>
        </w:tc>
        <w:tc>
          <w:tcPr>
            <w:tcW w:w="2860" w:type="dxa"/>
            <w:vAlign w:val="bottom"/>
            <w:tcBorders>
              <w:right w:val="single" w:sz="8" w:color="00558C"/>
            </w:tcBorders>
            <w:shd w:val="clear" w:color="auto" w:fill="00558C"/>
          </w:tcPr>
          <w:p>
            <w:pPr>
              <w:ind w:left="60"/>
              <w:spacing w:after="0"/>
              <w:rPr>
                <w:sz w:val="20"/>
                <w:szCs w:val="20"/>
                <w:color w:val="auto"/>
              </w:rPr>
            </w:pPr>
            <w:r>
              <w:rPr>
                <w:rFonts w:ascii="Arial" w:cs="Arial" w:eastAsia="Arial" w:hAnsi="Arial"/>
                <w:sz w:val="14"/>
                <w:szCs w:val="14"/>
                <w:color w:val="auto"/>
              </w:rPr>
              <w:t>growth goals, including focuses on</w:t>
            </w:r>
          </w:p>
        </w:tc>
        <w:tc>
          <w:tcPr>
            <w:tcW w:w="1420" w:type="dxa"/>
            <w:vAlign w:val="bottom"/>
            <w:shd w:val="clear" w:color="auto" w:fill="00558C"/>
          </w:tcPr>
          <w:p>
            <w:pPr>
              <w:spacing w:after="0"/>
              <w:rPr>
                <w:sz w:val="15"/>
                <w:szCs w:val="15"/>
                <w:color w:val="auto"/>
              </w:rPr>
            </w:pPr>
          </w:p>
        </w:tc>
        <w:tc>
          <w:tcPr>
            <w:tcW w:w="0" w:type="dxa"/>
            <w:vAlign w:val="bottom"/>
          </w:tcPr>
          <w:p>
            <w:pPr>
              <w:spacing w:after="0"/>
              <w:rPr>
                <w:sz w:val="1"/>
                <w:szCs w:val="1"/>
                <w:color w:val="auto"/>
              </w:rPr>
            </w:pPr>
          </w:p>
        </w:tc>
      </w:tr>
      <w:tr>
        <w:trPr>
          <w:trHeight w:val="90"/>
        </w:trPr>
        <w:tc>
          <w:tcPr>
            <w:tcW w:w="860" w:type="dxa"/>
            <w:vAlign w:val="bottom"/>
            <w:shd w:val="clear" w:color="auto" w:fill="00558C"/>
          </w:tcPr>
          <w:p>
            <w:pPr>
              <w:spacing w:after="0"/>
              <w:rPr>
                <w:sz w:val="7"/>
                <w:szCs w:val="7"/>
                <w:color w:val="auto"/>
              </w:rPr>
            </w:pPr>
          </w:p>
        </w:tc>
        <w:tc>
          <w:tcPr>
            <w:tcW w:w="1160" w:type="dxa"/>
            <w:vAlign w:val="bottom"/>
            <w:shd w:val="clear" w:color="auto" w:fill="00558C"/>
          </w:tcPr>
          <w:p>
            <w:pPr>
              <w:spacing w:after="0"/>
              <w:rPr>
                <w:sz w:val="7"/>
                <w:szCs w:val="7"/>
                <w:color w:val="auto"/>
              </w:rPr>
            </w:pPr>
          </w:p>
        </w:tc>
        <w:tc>
          <w:tcPr>
            <w:tcW w:w="2860" w:type="dxa"/>
            <w:vAlign w:val="bottom"/>
            <w:tcBorders>
              <w:right w:val="single" w:sz="8" w:color="00558C"/>
            </w:tcBorders>
            <w:vMerge w:val="restart"/>
            <w:shd w:val="clear" w:color="auto" w:fill="00558C"/>
          </w:tcPr>
          <w:p>
            <w:pPr>
              <w:ind w:left="60"/>
              <w:spacing w:after="0"/>
              <w:rPr>
                <w:sz w:val="20"/>
                <w:szCs w:val="20"/>
                <w:color w:val="auto"/>
              </w:rPr>
            </w:pPr>
            <w:r>
              <w:rPr>
                <w:rFonts w:ascii="Arial" w:cs="Arial" w:eastAsia="Arial" w:hAnsi="Arial"/>
                <w:sz w:val="14"/>
                <w:szCs w:val="14"/>
                <w:color w:val="auto"/>
              </w:rPr>
              <w:t>attrition, engagement, succession and</w:t>
            </w:r>
          </w:p>
        </w:tc>
        <w:tc>
          <w:tcPr>
            <w:tcW w:w="1420" w:type="dxa"/>
            <w:vAlign w:val="bottom"/>
            <w:shd w:val="clear" w:color="auto" w:fill="00558C"/>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860" w:type="dxa"/>
            <w:vAlign w:val="bottom"/>
            <w:shd w:val="clear" w:color="auto" w:fill="00558C"/>
          </w:tcPr>
          <w:p>
            <w:pPr>
              <w:spacing w:after="0"/>
              <w:rPr>
                <w:sz w:val="6"/>
                <w:szCs w:val="6"/>
                <w:color w:val="auto"/>
              </w:rPr>
            </w:pPr>
          </w:p>
        </w:tc>
        <w:tc>
          <w:tcPr>
            <w:tcW w:w="1160" w:type="dxa"/>
            <w:vAlign w:val="bottom"/>
            <w:shd w:val="clear" w:color="auto" w:fill="00558C"/>
          </w:tcPr>
          <w:p>
            <w:pPr>
              <w:spacing w:after="0"/>
              <w:rPr>
                <w:sz w:val="6"/>
                <w:szCs w:val="6"/>
                <w:color w:val="auto"/>
              </w:rPr>
            </w:pPr>
          </w:p>
        </w:tc>
        <w:tc>
          <w:tcPr>
            <w:tcW w:w="2860" w:type="dxa"/>
            <w:vAlign w:val="bottom"/>
            <w:tcBorders>
              <w:right w:val="single" w:sz="8" w:color="00558C"/>
            </w:tcBorders>
            <w:vMerge w:val="continue"/>
            <w:shd w:val="clear" w:color="auto" w:fill="00558C"/>
          </w:tcPr>
          <w:p>
            <w:pPr>
              <w:spacing w:after="0"/>
              <w:rPr>
                <w:sz w:val="6"/>
                <w:szCs w:val="6"/>
                <w:color w:val="auto"/>
              </w:rPr>
            </w:pPr>
          </w:p>
        </w:tc>
        <w:tc>
          <w:tcPr>
            <w:tcW w:w="1420" w:type="dxa"/>
            <w:vAlign w:val="bottom"/>
            <w:shd w:val="clear" w:color="auto" w:fill="00588C"/>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860" w:type="dxa"/>
            <w:vAlign w:val="bottom"/>
            <w:shd w:val="clear" w:color="auto" w:fill="00558C"/>
          </w:tcPr>
          <w:p>
            <w:pPr>
              <w:spacing w:after="0"/>
              <w:rPr>
                <w:sz w:val="16"/>
                <w:szCs w:val="16"/>
                <w:color w:val="auto"/>
              </w:rPr>
            </w:pPr>
          </w:p>
        </w:tc>
        <w:tc>
          <w:tcPr>
            <w:tcW w:w="1160" w:type="dxa"/>
            <w:vAlign w:val="bottom"/>
            <w:shd w:val="clear" w:color="auto" w:fill="00558C"/>
          </w:tcPr>
          <w:p>
            <w:pPr>
              <w:spacing w:after="0"/>
              <w:rPr>
                <w:sz w:val="16"/>
                <w:szCs w:val="16"/>
                <w:color w:val="auto"/>
              </w:rPr>
            </w:pPr>
          </w:p>
        </w:tc>
        <w:tc>
          <w:tcPr>
            <w:tcW w:w="2860" w:type="dxa"/>
            <w:vAlign w:val="bottom"/>
            <w:tcBorders>
              <w:right w:val="single" w:sz="8" w:color="00558C"/>
            </w:tcBorders>
            <w:shd w:val="clear" w:color="auto" w:fill="00558C"/>
          </w:tcPr>
          <w:p>
            <w:pPr>
              <w:ind w:left="60"/>
              <w:spacing w:after="0"/>
              <w:rPr>
                <w:sz w:val="20"/>
                <w:szCs w:val="20"/>
                <w:color w:val="auto"/>
              </w:rPr>
            </w:pPr>
            <w:r>
              <w:rPr>
                <w:rFonts w:ascii="Arial" w:cs="Arial" w:eastAsia="Arial" w:hAnsi="Arial"/>
                <w:sz w:val="14"/>
                <w:szCs w:val="14"/>
                <w:color w:val="auto"/>
              </w:rPr>
              <w:t>executing our people and talent strategy.</w:t>
            </w:r>
          </w:p>
        </w:tc>
        <w:tc>
          <w:tcPr>
            <w:tcW w:w="1420" w:type="dxa"/>
            <w:vAlign w:val="bottom"/>
            <w:shd w:val="clear" w:color="auto" w:fill="00588C"/>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860" w:type="dxa"/>
            <w:vAlign w:val="bottom"/>
            <w:shd w:val="clear" w:color="auto" w:fill="00558C"/>
          </w:tcPr>
          <w:p>
            <w:pPr>
              <w:spacing w:after="0"/>
              <w:rPr>
                <w:sz w:val="22"/>
                <w:szCs w:val="22"/>
                <w:color w:val="auto"/>
              </w:rPr>
            </w:pPr>
          </w:p>
        </w:tc>
        <w:tc>
          <w:tcPr>
            <w:tcW w:w="1160" w:type="dxa"/>
            <w:vAlign w:val="bottom"/>
            <w:shd w:val="clear" w:color="auto" w:fill="00558C"/>
          </w:tcPr>
          <w:p>
            <w:pPr>
              <w:spacing w:after="0"/>
              <w:rPr>
                <w:sz w:val="22"/>
                <w:szCs w:val="22"/>
                <w:color w:val="auto"/>
              </w:rPr>
            </w:pPr>
          </w:p>
        </w:tc>
        <w:tc>
          <w:tcPr>
            <w:tcW w:w="2860" w:type="dxa"/>
            <w:vAlign w:val="bottom"/>
            <w:tcBorders>
              <w:right w:val="single" w:sz="8" w:color="00558C"/>
            </w:tcBorders>
            <w:shd w:val="clear" w:color="auto" w:fill="00558C"/>
          </w:tcPr>
          <w:p>
            <w:pPr>
              <w:spacing w:after="0"/>
              <w:rPr>
                <w:sz w:val="22"/>
                <w:szCs w:val="22"/>
                <w:color w:val="auto"/>
              </w:rPr>
            </w:pPr>
          </w:p>
        </w:tc>
        <w:tc>
          <w:tcPr>
            <w:tcW w:w="1420" w:type="dxa"/>
            <w:vAlign w:val="bottom"/>
            <w:shd w:val="clear" w:color="auto" w:fill="00558C"/>
          </w:tcPr>
          <w:p>
            <w:pPr>
              <w:spacing w:after="0"/>
              <w:rPr>
                <w:sz w:val="22"/>
                <w:szCs w:val="22"/>
                <w:color w:val="auto"/>
              </w:rPr>
            </w:pPr>
          </w:p>
        </w:tc>
        <w:tc>
          <w:tcPr>
            <w:tcW w:w="0" w:type="dxa"/>
            <w:vAlign w:val="bottom"/>
          </w:tcPr>
          <w:p>
            <w:pPr>
              <w:spacing w:after="0"/>
              <w:rPr>
                <w:sz w:val="1"/>
                <w:szCs w:val="1"/>
                <w:color w:val="auto"/>
              </w:rPr>
            </w:pPr>
          </w:p>
        </w:tc>
      </w:tr>
      <w:tr>
        <w:trPr>
          <w:trHeight w:val="787"/>
        </w:trPr>
        <w:tc>
          <w:tcPr>
            <w:tcW w:w="860" w:type="dxa"/>
            <w:vAlign w:val="bottom"/>
            <w:shd w:val="clear" w:color="auto" w:fill="F2F3F2"/>
          </w:tcPr>
          <w:p>
            <w:pPr>
              <w:spacing w:after="0"/>
              <w:rPr>
                <w:sz w:val="24"/>
                <w:szCs w:val="24"/>
                <w:color w:val="auto"/>
              </w:rPr>
            </w:pPr>
          </w:p>
        </w:tc>
        <w:tc>
          <w:tcPr>
            <w:tcW w:w="1160" w:type="dxa"/>
            <w:vAlign w:val="bottom"/>
            <w:shd w:val="clear" w:color="auto" w:fill="F2F3F2"/>
          </w:tcPr>
          <w:p>
            <w:pPr>
              <w:jc w:val="right"/>
              <w:spacing w:after="0"/>
              <w:rPr>
                <w:sz w:val="20"/>
                <w:szCs w:val="20"/>
                <w:color w:val="auto"/>
              </w:rPr>
            </w:pPr>
            <w:r>
              <w:rPr>
                <w:rFonts w:ascii="Arial" w:cs="Arial" w:eastAsia="Arial" w:hAnsi="Arial"/>
                <w:sz w:val="14"/>
                <w:szCs w:val="14"/>
                <w:b w:val="1"/>
                <w:bCs w:val="1"/>
                <w:color w:val="6AAA37"/>
              </w:rPr>
              <w:t>•</w:t>
            </w:r>
          </w:p>
        </w:tc>
        <w:tc>
          <w:tcPr>
            <w:tcW w:w="2860" w:type="dxa"/>
            <w:vAlign w:val="bottom"/>
            <w:tcBorders>
              <w:right w:val="single" w:sz="8" w:color="F2F3F2"/>
            </w:tcBorders>
            <w:shd w:val="clear" w:color="auto" w:fill="F2F3F2"/>
          </w:tcPr>
          <w:p>
            <w:pPr>
              <w:ind w:left="60"/>
              <w:spacing w:after="0"/>
              <w:rPr>
                <w:sz w:val="20"/>
                <w:szCs w:val="20"/>
                <w:color w:val="auto"/>
              </w:rPr>
            </w:pPr>
            <w:r>
              <w:rPr>
                <w:rFonts w:ascii="Arial" w:cs="Arial" w:eastAsia="Arial" w:hAnsi="Arial"/>
                <w:sz w:val="14"/>
                <w:szCs w:val="14"/>
                <w:color w:val="auto"/>
              </w:rPr>
              <w:t>Focused on maintaining a strong, flexible</w:t>
            </w:r>
          </w:p>
        </w:tc>
        <w:tc>
          <w:tcPr>
            <w:tcW w:w="1420" w:type="dxa"/>
            <w:vAlign w:val="bottom"/>
            <w:shd w:val="clear" w:color="auto" w:fill="F2F3F2"/>
          </w:tcPr>
          <w:p>
            <w:pPr>
              <w:jc w:val="right"/>
              <w:ind w:right="428"/>
              <w:spacing w:after="0"/>
              <w:rPr>
                <w:sz w:val="20"/>
                <w:szCs w:val="20"/>
                <w:color w:val="auto"/>
              </w:rPr>
            </w:pPr>
            <w:r>
              <w:rPr>
                <w:rFonts w:ascii="Arial" w:cs="Arial" w:eastAsia="Arial" w:hAnsi="Arial"/>
                <w:sz w:val="14"/>
                <w:szCs w:val="14"/>
                <w:b w:val="1"/>
                <w:bCs w:val="1"/>
                <w:color w:val="auto"/>
              </w:rPr>
              <w:t>200%</w:t>
            </w:r>
          </w:p>
        </w:tc>
        <w:tc>
          <w:tcPr>
            <w:tcW w:w="0" w:type="dxa"/>
            <w:vAlign w:val="bottom"/>
          </w:tcPr>
          <w:p>
            <w:pPr>
              <w:spacing w:after="0"/>
              <w:rPr>
                <w:sz w:val="1"/>
                <w:szCs w:val="1"/>
                <w:color w:val="auto"/>
              </w:rPr>
            </w:pPr>
          </w:p>
        </w:tc>
      </w:tr>
      <w:tr>
        <w:trPr>
          <w:trHeight w:val="175"/>
        </w:trPr>
        <w:tc>
          <w:tcPr>
            <w:tcW w:w="860" w:type="dxa"/>
            <w:vAlign w:val="bottom"/>
            <w:vMerge w:val="restart"/>
            <w:shd w:val="clear" w:color="auto" w:fill="F2F3F2"/>
          </w:tcPr>
          <w:p>
            <w:pPr>
              <w:ind w:left="140"/>
              <w:spacing w:after="0"/>
              <w:rPr>
                <w:sz w:val="20"/>
                <w:szCs w:val="20"/>
                <w:color w:val="auto"/>
              </w:rPr>
            </w:pPr>
            <w:r>
              <w:rPr>
                <w:rFonts w:ascii="Arial" w:cs="Arial" w:eastAsia="Arial" w:hAnsi="Arial"/>
                <w:sz w:val="14"/>
                <w:szCs w:val="14"/>
                <w:b w:val="1"/>
                <w:bCs w:val="1"/>
                <w:color w:val="auto"/>
              </w:rPr>
              <w:t>Financial</w:t>
            </w:r>
          </w:p>
        </w:tc>
        <w:tc>
          <w:tcPr>
            <w:tcW w:w="1160" w:type="dxa"/>
            <w:vAlign w:val="bottom"/>
            <w:vMerge w:val="restart"/>
            <w:shd w:val="clear" w:color="auto" w:fill="F2F3F2"/>
          </w:tcPr>
          <w:p>
            <w:pPr>
              <w:jc w:val="right"/>
              <w:ind w:right="368"/>
              <w:spacing w:after="0"/>
              <w:rPr>
                <w:sz w:val="20"/>
                <w:szCs w:val="20"/>
                <w:color w:val="auto"/>
              </w:rPr>
            </w:pPr>
            <w:r>
              <w:rPr>
                <w:rFonts w:ascii="Arial" w:cs="Arial" w:eastAsia="Arial" w:hAnsi="Arial"/>
                <w:sz w:val="14"/>
                <w:szCs w:val="14"/>
                <w:b w:val="1"/>
                <w:bCs w:val="1"/>
                <w:color w:val="6AAA37"/>
              </w:rPr>
              <w:t>10.0%</w:t>
            </w:r>
          </w:p>
        </w:tc>
        <w:tc>
          <w:tcPr>
            <w:tcW w:w="2860" w:type="dxa"/>
            <w:vAlign w:val="bottom"/>
            <w:tcBorders>
              <w:right w:val="single" w:sz="8" w:color="F2F3F2"/>
            </w:tcBorders>
            <w:shd w:val="clear" w:color="auto" w:fill="F2F3F2"/>
          </w:tcPr>
          <w:p>
            <w:pPr>
              <w:ind w:left="60"/>
              <w:spacing w:after="0"/>
              <w:rPr>
                <w:sz w:val="20"/>
                <w:szCs w:val="20"/>
                <w:color w:val="auto"/>
              </w:rPr>
            </w:pPr>
            <w:r>
              <w:rPr>
                <w:rFonts w:ascii="Arial" w:cs="Arial" w:eastAsia="Arial" w:hAnsi="Arial"/>
                <w:sz w:val="14"/>
                <w:szCs w:val="14"/>
                <w:color w:val="auto"/>
              </w:rPr>
              <w:t>balance sheet to support the achievement</w:t>
            </w:r>
          </w:p>
        </w:tc>
        <w:tc>
          <w:tcPr>
            <w:tcW w:w="1420" w:type="dxa"/>
            <w:vAlign w:val="bottom"/>
            <w:shd w:val="clear" w:color="auto" w:fill="F2F3F2"/>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860" w:type="dxa"/>
            <w:vAlign w:val="bottom"/>
            <w:vMerge w:val="continue"/>
            <w:shd w:val="clear" w:color="auto" w:fill="F2F3F2"/>
          </w:tcPr>
          <w:p>
            <w:pPr>
              <w:spacing w:after="0"/>
              <w:rPr>
                <w:sz w:val="7"/>
                <w:szCs w:val="7"/>
                <w:color w:val="auto"/>
              </w:rPr>
            </w:pPr>
          </w:p>
        </w:tc>
        <w:tc>
          <w:tcPr>
            <w:tcW w:w="1160" w:type="dxa"/>
            <w:vAlign w:val="bottom"/>
            <w:vMerge w:val="continue"/>
            <w:shd w:val="clear" w:color="auto" w:fill="F2F3F2"/>
          </w:tcPr>
          <w:p>
            <w:pPr>
              <w:spacing w:after="0"/>
              <w:rPr>
                <w:sz w:val="7"/>
                <w:szCs w:val="7"/>
                <w:color w:val="auto"/>
              </w:rPr>
            </w:pPr>
          </w:p>
        </w:tc>
        <w:tc>
          <w:tcPr>
            <w:tcW w:w="2860" w:type="dxa"/>
            <w:vAlign w:val="bottom"/>
            <w:tcBorders>
              <w:right w:val="single" w:sz="8" w:color="F2F3F2"/>
            </w:tcBorders>
            <w:vMerge w:val="restart"/>
            <w:shd w:val="clear" w:color="auto" w:fill="F2F3F2"/>
          </w:tcPr>
          <w:p>
            <w:pPr>
              <w:ind w:left="60"/>
              <w:spacing w:after="0"/>
              <w:rPr>
                <w:sz w:val="20"/>
                <w:szCs w:val="20"/>
                <w:color w:val="auto"/>
              </w:rPr>
            </w:pPr>
            <w:r>
              <w:rPr>
                <w:rFonts w:ascii="Arial" w:cs="Arial" w:eastAsia="Arial" w:hAnsi="Arial"/>
                <w:sz w:val="14"/>
                <w:szCs w:val="14"/>
                <w:color w:val="auto"/>
              </w:rPr>
              <w:t>of Huron’s strategy while returning capital</w:t>
            </w:r>
          </w:p>
        </w:tc>
        <w:tc>
          <w:tcPr>
            <w:tcW w:w="1420" w:type="dxa"/>
            <w:vAlign w:val="bottom"/>
            <w:shd w:val="clear" w:color="auto" w:fill="F2F3F2"/>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860" w:type="dxa"/>
            <w:vAlign w:val="bottom"/>
            <w:vMerge w:val="restart"/>
            <w:shd w:val="clear" w:color="auto" w:fill="F2F3F2"/>
          </w:tcPr>
          <w:p>
            <w:pPr>
              <w:ind w:left="140"/>
              <w:spacing w:after="0"/>
              <w:rPr>
                <w:sz w:val="20"/>
                <w:szCs w:val="20"/>
                <w:color w:val="auto"/>
              </w:rPr>
            </w:pPr>
            <w:r>
              <w:rPr>
                <w:rFonts w:ascii="Arial" w:cs="Arial" w:eastAsia="Arial" w:hAnsi="Arial"/>
                <w:sz w:val="14"/>
                <w:szCs w:val="14"/>
                <w:b w:val="1"/>
                <w:bCs w:val="1"/>
                <w:color w:val="auto"/>
              </w:rPr>
              <w:t>Strength</w:t>
            </w:r>
          </w:p>
        </w:tc>
        <w:tc>
          <w:tcPr>
            <w:tcW w:w="1160" w:type="dxa"/>
            <w:vAlign w:val="bottom"/>
            <w:vMerge w:val="continue"/>
            <w:shd w:val="clear" w:color="auto" w:fill="F2F3F2"/>
          </w:tcPr>
          <w:p>
            <w:pPr>
              <w:spacing w:after="0"/>
              <w:rPr>
                <w:sz w:val="7"/>
                <w:szCs w:val="7"/>
                <w:color w:val="auto"/>
              </w:rPr>
            </w:pPr>
          </w:p>
        </w:tc>
        <w:tc>
          <w:tcPr>
            <w:tcW w:w="2860" w:type="dxa"/>
            <w:vAlign w:val="bottom"/>
            <w:tcBorders>
              <w:right w:val="single" w:sz="8" w:color="F2F3F2"/>
            </w:tcBorders>
            <w:vMerge w:val="continue"/>
            <w:shd w:val="clear" w:color="auto" w:fill="F2F3F2"/>
          </w:tcPr>
          <w:p>
            <w:pPr>
              <w:spacing w:after="0"/>
              <w:rPr>
                <w:sz w:val="7"/>
                <w:szCs w:val="7"/>
                <w:color w:val="auto"/>
              </w:rPr>
            </w:pPr>
          </w:p>
        </w:tc>
        <w:tc>
          <w:tcPr>
            <w:tcW w:w="1420" w:type="dxa"/>
            <w:vAlign w:val="bottom"/>
            <w:shd w:val="clear" w:color="auto" w:fill="F2F3F2"/>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860" w:type="dxa"/>
            <w:vAlign w:val="bottom"/>
            <w:vMerge w:val="continue"/>
            <w:shd w:val="clear" w:color="auto" w:fill="F2F3F2"/>
          </w:tcPr>
          <w:p>
            <w:pPr>
              <w:spacing w:after="0"/>
              <w:rPr>
                <w:sz w:val="10"/>
                <w:szCs w:val="10"/>
                <w:color w:val="auto"/>
              </w:rPr>
            </w:pPr>
          </w:p>
        </w:tc>
        <w:tc>
          <w:tcPr>
            <w:tcW w:w="1160" w:type="dxa"/>
            <w:vAlign w:val="bottom"/>
            <w:shd w:val="clear" w:color="auto" w:fill="F2F3F2"/>
          </w:tcPr>
          <w:p>
            <w:pPr>
              <w:spacing w:after="0"/>
              <w:rPr>
                <w:sz w:val="10"/>
                <w:szCs w:val="10"/>
                <w:color w:val="auto"/>
              </w:rPr>
            </w:pPr>
          </w:p>
        </w:tc>
        <w:tc>
          <w:tcPr>
            <w:tcW w:w="2860" w:type="dxa"/>
            <w:vAlign w:val="bottom"/>
            <w:tcBorders>
              <w:right w:val="single" w:sz="8" w:color="F2F3F2"/>
            </w:tcBorders>
            <w:vMerge w:val="restart"/>
            <w:shd w:val="clear" w:color="auto" w:fill="F2F3F2"/>
          </w:tcPr>
          <w:p>
            <w:pPr>
              <w:ind w:left="60"/>
              <w:spacing w:after="0"/>
              <w:rPr>
                <w:sz w:val="20"/>
                <w:szCs w:val="20"/>
                <w:color w:val="auto"/>
              </w:rPr>
            </w:pPr>
            <w:r>
              <w:rPr>
                <w:rFonts w:ascii="Arial" w:cs="Arial" w:eastAsia="Arial" w:hAnsi="Arial"/>
                <w:sz w:val="14"/>
                <w:szCs w:val="14"/>
                <w:color w:val="auto"/>
              </w:rPr>
              <w:t>to stockholders and allowing for capacity</w:t>
            </w:r>
          </w:p>
        </w:tc>
        <w:tc>
          <w:tcPr>
            <w:tcW w:w="1420" w:type="dxa"/>
            <w:vAlign w:val="bottom"/>
            <w:shd w:val="clear" w:color="auto" w:fill="F2F3F2"/>
          </w:tcPr>
          <w:p>
            <w:pPr>
              <w:spacing w:after="0"/>
              <w:rPr>
                <w:sz w:val="10"/>
                <w:szCs w:val="10"/>
                <w:color w:val="auto"/>
              </w:rPr>
            </w:pPr>
          </w:p>
        </w:tc>
        <w:tc>
          <w:tcPr>
            <w:tcW w:w="0" w:type="dxa"/>
            <w:vAlign w:val="bottom"/>
          </w:tcPr>
          <w:p>
            <w:pPr>
              <w:spacing w:after="0"/>
              <w:rPr>
                <w:sz w:val="1"/>
                <w:szCs w:val="1"/>
                <w:color w:val="auto"/>
              </w:rPr>
            </w:pPr>
          </w:p>
        </w:tc>
      </w:tr>
      <w:tr>
        <w:trPr>
          <w:trHeight w:val="60"/>
        </w:trPr>
        <w:tc>
          <w:tcPr>
            <w:tcW w:w="860" w:type="dxa"/>
            <w:vAlign w:val="bottom"/>
            <w:shd w:val="clear" w:color="auto" w:fill="F2F3F2"/>
          </w:tcPr>
          <w:p>
            <w:pPr>
              <w:spacing w:after="0"/>
              <w:rPr>
                <w:sz w:val="5"/>
                <w:szCs w:val="5"/>
                <w:color w:val="auto"/>
              </w:rPr>
            </w:pPr>
          </w:p>
        </w:tc>
        <w:tc>
          <w:tcPr>
            <w:tcW w:w="1160" w:type="dxa"/>
            <w:vAlign w:val="bottom"/>
            <w:shd w:val="clear" w:color="auto" w:fill="F2F3F2"/>
          </w:tcPr>
          <w:p>
            <w:pPr>
              <w:spacing w:after="0"/>
              <w:rPr>
                <w:sz w:val="5"/>
                <w:szCs w:val="5"/>
                <w:color w:val="auto"/>
              </w:rPr>
            </w:pPr>
          </w:p>
        </w:tc>
        <w:tc>
          <w:tcPr>
            <w:tcW w:w="2860" w:type="dxa"/>
            <w:vAlign w:val="bottom"/>
            <w:tcBorders>
              <w:right w:val="single" w:sz="8" w:color="F2F3F2"/>
            </w:tcBorders>
            <w:vMerge w:val="continue"/>
            <w:shd w:val="clear" w:color="auto" w:fill="F2F3F2"/>
          </w:tcPr>
          <w:p>
            <w:pPr>
              <w:spacing w:after="0"/>
              <w:rPr>
                <w:sz w:val="5"/>
                <w:szCs w:val="5"/>
                <w:color w:val="auto"/>
              </w:rPr>
            </w:pPr>
          </w:p>
        </w:tc>
        <w:tc>
          <w:tcPr>
            <w:tcW w:w="1420" w:type="dxa"/>
            <w:vAlign w:val="bottom"/>
            <w:shd w:val="clear" w:color="auto" w:fill="F2F3F2"/>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860" w:type="dxa"/>
            <w:vAlign w:val="bottom"/>
            <w:shd w:val="clear" w:color="auto" w:fill="F2F3F2"/>
          </w:tcPr>
          <w:p>
            <w:pPr>
              <w:spacing w:after="0"/>
              <w:rPr>
                <w:sz w:val="16"/>
                <w:szCs w:val="16"/>
                <w:color w:val="auto"/>
              </w:rPr>
            </w:pPr>
          </w:p>
        </w:tc>
        <w:tc>
          <w:tcPr>
            <w:tcW w:w="1160" w:type="dxa"/>
            <w:vAlign w:val="bottom"/>
            <w:shd w:val="clear" w:color="auto" w:fill="F2F3F2"/>
          </w:tcPr>
          <w:p>
            <w:pPr>
              <w:spacing w:after="0"/>
              <w:rPr>
                <w:sz w:val="16"/>
                <w:szCs w:val="16"/>
                <w:color w:val="auto"/>
              </w:rPr>
            </w:pPr>
          </w:p>
        </w:tc>
        <w:tc>
          <w:tcPr>
            <w:tcW w:w="2860" w:type="dxa"/>
            <w:vAlign w:val="bottom"/>
            <w:tcBorders>
              <w:right w:val="single" w:sz="8" w:color="F2F3F2"/>
            </w:tcBorders>
            <w:shd w:val="clear" w:color="auto" w:fill="F2F3F2"/>
          </w:tcPr>
          <w:p>
            <w:pPr>
              <w:ind w:left="60"/>
              <w:spacing w:after="0"/>
              <w:rPr>
                <w:sz w:val="20"/>
                <w:szCs w:val="20"/>
                <w:color w:val="auto"/>
              </w:rPr>
            </w:pPr>
            <w:r>
              <w:rPr>
                <w:rFonts w:ascii="Arial" w:cs="Arial" w:eastAsia="Arial" w:hAnsi="Arial"/>
                <w:sz w:val="14"/>
                <w:szCs w:val="14"/>
                <w:color w:val="auto"/>
              </w:rPr>
              <w:t>for strategic tuck-in M&amp;A.</w:t>
            </w:r>
          </w:p>
        </w:tc>
        <w:tc>
          <w:tcPr>
            <w:tcW w:w="1420" w:type="dxa"/>
            <w:vAlign w:val="bottom"/>
            <w:shd w:val="clear" w:color="auto" w:fill="F2F3F2"/>
          </w:tcPr>
          <w:p>
            <w:pPr>
              <w:spacing w:after="0"/>
              <w:rPr>
                <w:sz w:val="16"/>
                <w:szCs w:val="16"/>
                <w:color w:val="auto"/>
              </w:rPr>
            </w:pPr>
          </w:p>
        </w:tc>
        <w:tc>
          <w:tcPr>
            <w:tcW w:w="0" w:type="dxa"/>
            <w:vAlign w:val="bottom"/>
          </w:tcPr>
          <w:p>
            <w:pPr>
              <w:spacing w:after="0"/>
              <w:rPr>
                <w:sz w:val="1"/>
                <w:szCs w:val="1"/>
                <w:color w:val="auto"/>
              </w:rPr>
            </w:pPr>
          </w:p>
        </w:tc>
      </w:tr>
      <w:tr>
        <w:trPr>
          <w:trHeight w:val="492"/>
        </w:trPr>
        <w:tc>
          <w:tcPr>
            <w:tcW w:w="860" w:type="dxa"/>
            <w:vAlign w:val="bottom"/>
            <w:shd w:val="clear" w:color="auto" w:fill="F2F3F2"/>
          </w:tcPr>
          <w:p>
            <w:pPr>
              <w:ind w:left="140"/>
              <w:spacing w:after="0"/>
              <w:rPr>
                <w:sz w:val="20"/>
                <w:szCs w:val="20"/>
                <w:color w:val="auto"/>
              </w:rPr>
            </w:pPr>
            <w:r>
              <w:rPr>
                <w:rFonts w:ascii="Arial" w:cs="Arial" w:eastAsia="Arial" w:hAnsi="Arial"/>
                <w:sz w:val="14"/>
                <w:szCs w:val="14"/>
                <w:b w:val="1"/>
                <w:bCs w:val="1"/>
                <w:color w:val="auto"/>
              </w:rPr>
              <w:t>Total</w:t>
            </w:r>
          </w:p>
        </w:tc>
        <w:tc>
          <w:tcPr>
            <w:tcW w:w="1160" w:type="dxa"/>
            <w:vAlign w:val="bottom"/>
            <w:shd w:val="clear" w:color="auto" w:fill="F2F3F2"/>
          </w:tcPr>
          <w:p>
            <w:pPr>
              <w:jc w:val="right"/>
              <w:ind w:right="388"/>
              <w:spacing w:after="0"/>
              <w:rPr>
                <w:sz w:val="20"/>
                <w:szCs w:val="20"/>
                <w:color w:val="auto"/>
              </w:rPr>
            </w:pPr>
            <w:r>
              <w:rPr>
                <w:rFonts w:ascii="Arial" w:cs="Arial" w:eastAsia="Arial" w:hAnsi="Arial"/>
                <w:sz w:val="14"/>
                <w:szCs w:val="14"/>
                <w:b w:val="1"/>
                <w:bCs w:val="1"/>
                <w:color w:val="6AAA37"/>
              </w:rPr>
              <w:t>100%</w:t>
            </w:r>
          </w:p>
        </w:tc>
        <w:tc>
          <w:tcPr>
            <w:tcW w:w="2860" w:type="dxa"/>
            <w:vAlign w:val="bottom"/>
            <w:tcBorders>
              <w:right w:val="single" w:sz="8" w:color="F2F3F2"/>
            </w:tcBorders>
            <w:shd w:val="clear" w:color="auto" w:fill="F2F3F2"/>
          </w:tcPr>
          <w:p>
            <w:pPr>
              <w:spacing w:after="0"/>
              <w:rPr>
                <w:sz w:val="24"/>
                <w:szCs w:val="24"/>
                <w:color w:val="auto"/>
              </w:rPr>
            </w:pPr>
          </w:p>
        </w:tc>
        <w:tc>
          <w:tcPr>
            <w:tcW w:w="1420" w:type="dxa"/>
            <w:vAlign w:val="bottom"/>
            <w:shd w:val="clear" w:color="auto" w:fill="F2F3F2"/>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860" w:type="dxa"/>
            <w:vAlign w:val="bottom"/>
            <w:shd w:val="clear" w:color="auto" w:fill="F2F3F2"/>
          </w:tcPr>
          <w:p>
            <w:pPr>
              <w:spacing w:after="0"/>
              <w:rPr>
                <w:sz w:val="8"/>
                <w:szCs w:val="8"/>
                <w:color w:val="auto"/>
              </w:rPr>
            </w:pPr>
          </w:p>
        </w:tc>
        <w:tc>
          <w:tcPr>
            <w:tcW w:w="1160" w:type="dxa"/>
            <w:vAlign w:val="bottom"/>
            <w:shd w:val="clear" w:color="auto" w:fill="F2F3F2"/>
          </w:tcPr>
          <w:p>
            <w:pPr>
              <w:spacing w:after="0"/>
              <w:rPr>
                <w:sz w:val="8"/>
                <w:szCs w:val="8"/>
                <w:color w:val="auto"/>
              </w:rPr>
            </w:pPr>
          </w:p>
        </w:tc>
        <w:tc>
          <w:tcPr>
            <w:tcW w:w="2860" w:type="dxa"/>
            <w:vAlign w:val="bottom"/>
            <w:tcBorders>
              <w:right w:val="single" w:sz="8" w:color="F2F3F2"/>
            </w:tcBorders>
            <w:shd w:val="clear" w:color="auto" w:fill="F2F3F2"/>
          </w:tcPr>
          <w:p>
            <w:pPr>
              <w:spacing w:after="0"/>
              <w:rPr>
                <w:sz w:val="8"/>
                <w:szCs w:val="8"/>
                <w:color w:val="auto"/>
              </w:rPr>
            </w:pPr>
          </w:p>
        </w:tc>
        <w:tc>
          <w:tcPr>
            <w:tcW w:w="1420" w:type="dxa"/>
            <w:vAlign w:val="bottom"/>
            <w:shd w:val="clear" w:color="auto" w:fill="F2F3F2"/>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ind w:left="154" w:right="240"/>
        <w:spacing w:after="0" w:line="201" w:lineRule="auto"/>
        <w:rPr>
          <w:sz w:val="20"/>
          <w:szCs w:val="20"/>
          <w:color w:val="auto"/>
        </w:rPr>
      </w:pPr>
      <w:r>
        <w:rPr>
          <w:rFonts w:ascii="Arial" w:cs="Arial" w:eastAsia="Arial" w:hAnsi="Arial"/>
          <w:sz w:val="14"/>
          <w:szCs w:val="14"/>
          <w:color w:val="auto"/>
        </w:rPr>
        <w:t>senior leadership. Also, continued to foster a culture of belonging and</w:t>
      </w:r>
    </w:p>
    <w:p>
      <w:pPr>
        <w:ind w:left="154" w:right="200"/>
        <w:spacing w:after="0" w:line="257" w:lineRule="auto"/>
        <w:rPr>
          <w:sz w:val="20"/>
          <w:szCs w:val="20"/>
          <w:color w:val="auto"/>
        </w:rPr>
      </w:pPr>
      <w:r>
        <w:rPr>
          <w:rFonts w:ascii="Arial" w:cs="Arial" w:eastAsia="Arial" w:hAnsi="Arial"/>
          <w:sz w:val="14"/>
          <w:szCs w:val="14"/>
          <w:color w:val="auto"/>
        </w:rPr>
        <w:t>inclusivity, expanded our community outreach, and advanced our Team Huron strategy through a people and talent lens, including (but not limited to) advancing career journeys and</w:t>
      </w:r>
    </w:p>
    <w:p>
      <w:pPr>
        <w:spacing w:after="0" w:line="2" w:lineRule="exact"/>
        <w:rPr>
          <w:sz w:val="20"/>
          <w:szCs w:val="20"/>
          <w:color w:val="auto"/>
        </w:rPr>
      </w:pPr>
    </w:p>
    <w:p>
      <w:pPr>
        <w:jc w:val="both"/>
        <w:ind w:left="154" w:right="920"/>
        <w:spacing w:after="0" w:line="284" w:lineRule="auto"/>
        <w:rPr>
          <w:sz w:val="20"/>
          <w:szCs w:val="20"/>
          <w:color w:val="auto"/>
        </w:rPr>
      </w:pPr>
      <w:r>
        <w:rPr>
          <w:rFonts w:ascii="Arial" w:cs="Arial" w:eastAsia="Arial" w:hAnsi="Arial"/>
          <w:sz w:val="14"/>
          <w:szCs w:val="14"/>
          <w:color w:val="auto"/>
        </w:rPr>
        <w:t>evolving our performance management processes.</w:t>
      </w:r>
    </w:p>
    <w:p>
      <w:pPr>
        <w:spacing w:after="0" w:line="200" w:lineRule="exact"/>
        <w:rPr>
          <w:sz w:val="20"/>
          <w:szCs w:val="20"/>
          <w:color w:val="auto"/>
        </w:rPr>
      </w:pPr>
    </w:p>
    <w:p>
      <w:pPr>
        <w:spacing w:after="0" w:line="280" w:lineRule="exact"/>
        <w:rPr>
          <w:sz w:val="20"/>
          <w:szCs w:val="20"/>
          <w:color w:val="auto"/>
        </w:rPr>
      </w:pPr>
    </w:p>
    <w:p>
      <w:pPr>
        <w:ind w:left="154" w:right="380" w:hanging="154"/>
        <w:spacing w:after="0"/>
        <w:tabs>
          <w:tab w:leader="none" w:pos="154" w:val="left"/>
        </w:tabs>
        <w:numPr>
          <w:ilvl w:val="0"/>
          <w:numId w:val="77"/>
        </w:numPr>
        <w:rPr>
          <w:rFonts w:ascii="Arial" w:cs="Arial" w:eastAsia="Arial" w:hAnsi="Arial"/>
          <w:sz w:val="14"/>
          <w:szCs w:val="14"/>
          <w:b w:val="1"/>
          <w:bCs w:val="1"/>
          <w:color w:val="6AAA37"/>
        </w:rPr>
      </w:pPr>
      <w:r>
        <w:rPr>
          <w:rFonts w:ascii="Arial" w:cs="Arial" w:eastAsia="Arial" w:hAnsi="Arial"/>
          <w:sz w:val="14"/>
          <w:szCs w:val="14"/>
          <w:color w:val="auto"/>
        </w:rPr>
        <w:t>Achieved our 2024 free cash flow</w:t>
      </w:r>
      <w:r>
        <w:rPr>
          <w:rFonts w:ascii="Arial" w:cs="Arial" w:eastAsia="Arial" w:hAnsi="Arial"/>
          <w:sz w:val="18"/>
          <w:szCs w:val="18"/>
          <w:color w:val="auto"/>
          <w:vertAlign w:val="superscript"/>
        </w:rPr>
        <w:t>7</w:t>
      </w:r>
      <w:r>
        <w:rPr>
          <w:rFonts w:ascii="Arial" w:cs="Arial" w:eastAsia="Arial" w:hAnsi="Arial"/>
          <w:sz w:val="14"/>
          <w:szCs w:val="14"/>
          <w:color w:val="auto"/>
        </w:rPr>
        <w:t xml:space="preserve"> and leverage goals.</w:t>
      </w:r>
    </w:p>
    <w:p>
      <w:pPr>
        <w:spacing w:after="0" w:line="200" w:lineRule="exact"/>
        <w:rPr>
          <w:sz w:val="20"/>
          <w:szCs w:val="20"/>
          <w:color w:val="auto"/>
        </w:rPr>
      </w:pPr>
    </w:p>
    <w:p>
      <w:pPr>
        <w:spacing w:after="0" w:line="352" w:lineRule="exact"/>
        <w:rPr>
          <w:sz w:val="20"/>
          <w:szCs w:val="20"/>
          <w:color w:val="auto"/>
        </w:rPr>
      </w:pPr>
    </w:p>
    <w:p>
      <w:pPr>
        <w:ind w:left="374"/>
        <w:spacing w:after="0"/>
        <w:rPr>
          <w:sz w:val="20"/>
          <w:szCs w:val="20"/>
          <w:color w:val="auto"/>
        </w:rPr>
      </w:pPr>
      <w:r>
        <w:rPr>
          <w:rFonts w:ascii="Arial" w:cs="Arial" w:eastAsia="Arial" w:hAnsi="Arial"/>
          <w:sz w:val="14"/>
          <w:szCs w:val="14"/>
          <w:b w:val="1"/>
          <w:bCs w:val="1"/>
          <w:color w:val="auto"/>
        </w:rPr>
        <w:t>106.5%</w:t>
      </w:r>
    </w:p>
    <w:p>
      <w:pPr>
        <w:spacing w:after="0" w:line="331" w:lineRule="exact"/>
        <w:rPr>
          <w:sz w:val="20"/>
          <w:szCs w:val="20"/>
          <w:color w:val="auto"/>
        </w:rPr>
      </w:pPr>
    </w:p>
    <w:p>
      <w:pPr>
        <w:sectPr>
          <w:pgSz w:w="11900" w:h="16945" w:orient="portrait"/>
          <w:cols w:equalWidth="0" w:num="2">
            <w:col w:w="6300" w:space="46"/>
            <w:col w:w="2714"/>
          </w:cols>
          <w:pgMar w:left="1400" w:top="118" w:right="1439" w:bottom="0" w:gutter="0" w:footer="0" w:header="0"/>
        </w:sectPr>
      </w:pPr>
    </w:p>
    <w:p>
      <w:pPr>
        <w:spacing w:after="0" w:line="392" w:lineRule="exact"/>
        <w:rPr>
          <w:sz w:val="20"/>
          <w:szCs w:val="20"/>
          <w:color w:val="auto"/>
        </w:rPr>
      </w:pPr>
    </w:p>
    <w:p>
      <w:pPr>
        <w:ind w:right="80" w:firstLine="8"/>
        <w:spacing w:after="0" w:line="271" w:lineRule="auto"/>
        <w:tabs>
          <w:tab w:leader="none" w:pos="90" w:val="left"/>
        </w:tabs>
        <w:numPr>
          <w:ilvl w:val="0"/>
          <w:numId w:val="78"/>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See Appendix C for the definitions of adjusted EBITDA margin free cash flow, and other non-GAAP financial measures included in this Proxy Statement, as well as their reconciliation to the most directly comparable GAAP financial measure.</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680" w:type="dxa"/>
            <w:vAlign w:val="bottom"/>
          </w:tcPr>
          <w:p>
            <w:pPr>
              <w:ind w:left="60"/>
              <w:spacing w:after="0"/>
              <w:rPr>
                <w:sz w:val="20"/>
                <w:szCs w:val="20"/>
                <w:color w:val="auto"/>
              </w:rPr>
            </w:pPr>
            <w:r>
              <w:rPr>
                <w:rFonts w:ascii="Arial" w:cs="Arial" w:eastAsia="Arial" w:hAnsi="Arial"/>
                <w:sz w:val="13"/>
                <w:szCs w:val="13"/>
                <w:color w:val="auto"/>
              </w:rPr>
              <w:t>Huron Consulting Group Inc.</w:t>
            </w:r>
          </w:p>
        </w:tc>
        <w:tc>
          <w:tcPr>
            <w:tcW w:w="1180" w:type="dxa"/>
            <w:vAlign w:val="bottom"/>
          </w:tcPr>
          <w:p>
            <w:pPr>
              <w:jc w:val="right"/>
              <w:ind w:right="197"/>
              <w:spacing w:after="0"/>
              <w:rPr>
                <w:sz w:val="20"/>
                <w:szCs w:val="20"/>
                <w:color w:val="auto"/>
              </w:rPr>
            </w:pPr>
            <w:r>
              <w:rPr>
                <w:rFonts w:ascii="Arial" w:cs="Arial" w:eastAsia="Arial" w:hAnsi="Arial"/>
                <w:sz w:val="13"/>
                <w:szCs w:val="13"/>
                <w:b w:val="1"/>
                <w:bCs w:val="1"/>
                <w:color w:val="00558C"/>
              </w:rPr>
              <w:t>45</w:t>
            </w:r>
          </w:p>
        </w:tc>
        <w:tc>
          <w:tcPr>
            <w:tcW w:w="4180" w:type="dxa"/>
            <w:vAlign w:val="bottom"/>
            <w:gridSpan w:val="2"/>
          </w:tcPr>
          <w:p>
            <w:pPr>
              <w:ind w:left="2920"/>
              <w:spacing w:after="0"/>
              <w:rPr>
                <w:sz w:val="20"/>
                <w:szCs w:val="20"/>
                <w:color w:val="auto"/>
              </w:rPr>
            </w:pPr>
            <w:r>
              <w:rPr>
                <w:rFonts w:ascii="Arial" w:cs="Arial" w:eastAsia="Arial" w:hAnsi="Arial"/>
                <w:sz w:val="13"/>
                <w:szCs w:val="13"/>
                <w:color w:val="auto"/>
                <w:w w:val="96"/>
              </w:rPr>
              <w:t>2025 Proxy Statement</w:t>
            </w:r>
          </w:p>
        </w:tc>
      </w:tr>
      <w:tr>
        <w:trPr>
          <w:trHeight w:val="170"/>
        </w:trPr>
        <w:tc>
          <w:tcPr>
            <w:tcW w:w="36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310"/>
        </w:trPr>
        <w:tc>
          <w:tcPr>
            <w:tcW w:w="3680" w:type="dxa"/>
            <w:vAlign w:val="bottom"/>
            <w:shd w:val="clear" w:color="auto" w:fill="F2F3F2"/>
          </w:tcPr>
          <w:p>
            <w:pPr>
              <w:spacing w:after="0"/>
              <w:rPr>
                <w:sz w:val="24"/>
                <w:szCs w:val="24"/>
                <w:color w:val="auto"/>
              </w:rPr>
            </w:pPr>
          </w:p>
        </w:tc>
        <w:tc>
          <w:tcPr>
            <w:tcW w:w="1180" w:type="dxa"/>
            <w:vAlign w:val="bottom"/>
            <w:shd w:val="clear" w:color="auto" w:fill="F2F3F2"/>
          </w:tcPr>
          <w:p>
            <w:pPr>
              <w:spacing w:after="0"/>
              <w:rPr>
                <w:sz w:val="24"/>
                <w:szCs w:val="24"/>
                <w:color w:val="auto"/>
              </w:rPr>
            </w:pPr>
          </w:p>
        </w:tc>
        <w:tc>
          <w:tcPr>
            <w:tcW w:w="4140" w:type="dxa"/>
            <w:vAlign w:val="bottom"/>
            <w:shd w:val="clear" w:color="auto" w:fill="F2F3F2"/>
          </w:tcPr>
          <w:p>
            <w:pPr>
              <w:spacing w:after="0"/>
              <w:rPr>
                <w:sz w:val="24"/>
                <w:szCs w:val="24"/>
                <w:color w:val="auto"/>
              </w:rPr>
            </w:pPr>
          </w:p>
        </w:tc>
        <w:tc>
          <w:tcPr>
            <w:tcW w:w="40" w:type="dxa"/>
            <w:vAlign w:val="bottom"/>
          </w:tcPr>
          <w:p>
            <w:pPr>
              <w:spacing w:after="0"/>
              <w:rPr>
                <w:sz w:val="24"/>
                <w:szCs w:val="24"/>
                <w:color w:val="auto"/>
              </w:rPr>
            </w:pPr>
          </w:p>
        </w:tc>
      </w:tr>
      <w:tr>
        <w:trPr>
          <w:trHeight w:val="520"/>
        </w:trPr>
        <w:tc>
          <w:tcPr>
            <w:tcW w:w="3680" w:type="dxa"/>
            <w:vAlign w:val="bottom"/>
          </w:tcPr>
          <w:p>
            <w:pPr>
              <w:spacing w:after="0"/>
              <w:rPr>
                <w:sz w:val="24"/>
                <w:szCs w:val="24"/>
                <w:color w:val="auto"/>
              </w:rPr>
            </w:pPr>
          </w:p>
        </w:tc>
        <w:tc>
          <w:tcPr>
            <w:tcW w:w="1180" w:type="dxa"/>
            <w:vAlign w:val="bottom"/>
            <w:tcBorders>
              <w:bottom w:val="single" w:sz="8" w:color="6AAA37"/>
            </w:tcBorders>
          </w:tcPr>
          <w:p>
            <w:pPr>
              <w:spacing w:after="0"/>
              <w:rPr>
                <w:sz w:val="24"/>
                <w:szCs w:val="24"/>
                <w:color w:val="auto"/>
              </w:rPr>
            </w:pPr>
          </w:p>
        </w:tc>
        <w:tc>
          <w:tcPr>
            <w:tcW w:w="414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-250190</wp:posOffset>
            </wp:positionV>
            <wp:extent cx="6810375" cy="71742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10375" cy="7174230"/>
                    </a:xfrm>
                    <a:prstGeom prst="rect">
                      <a:avLst/>
                    </a:prstGeom>
                    <a:noFill/>
                  </pic:spPr>
                </pic:pic>
              </a:graphicData>
            </a:graphic>
          </wp:anchor>
        </w:drawing>
      </w:r>
    </w:p>
    <w:p>
      <w:pPr>
        <w:spacing w:after="0" w:line="70"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540" w:val="left"/>
          <w:tab w:leader="none" w:pos="7360" w:val="left"/>
          <w:tab w:leader="none" w:pos="8400" w:val="left"/>
        </w:tabs>
        <w:rPr>
          <w:sz w:val="20"/>
          <w:szCs w:val="20"/>
          <w:color w:val="auto"/>
        </w:rPr>
      </w:pPr>
      <w:r>
        <w:rPr>
          <w:rFonts w:ascii="Arial" w:cs="Arial" w:eastAsia="Arial" w:hAnsi="Arial"/>
          <w:sz w:val="13"/>
          <w:szCs w:val="13"/>
          <w:b w:val="1"/>
          <w:bCs w:val="1"/>
          <w:color w:val="B2B3B6"/>
        </w:rPr>
        <w:t>General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Corporate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6AAA37"/>
        </w:rPr>
        <w:t>Executive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Stockholder</w:t>
      </w:r>
      <w:r>
        <w:rPr>
          <w:sz w:val="20"/>
          <w:szCs w:val="20"/>
          <w:color w:val="auto"/>
        </w:rPr>
        <w:tab/>
      </w:r>
      <w:r>
        <w:rPr>
          <w:rFonts w:ascii="Arial" w:cs="Arial" w:eastAsia="Arial" w:hAnsi="Arial"/>
          <w:sz w:val="12"/>
          <w:szCs w:val="12"/>
          <w:b w:val="1"/>
          <w:bCs w:val="1"/>
          <w:color w:val="B2B3B6"/>
        </w:rPr>
        <w:t>Other</w:t>
      </w:r>
    </w:p>
    <w:p>
      <w:pPr>
        <w:spacing w:after="0" w:line="11"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540" w:val="left"/>
          <w:tab w:leader="none" w:pos="7360" w:val="left"/>
          <w:tab w:leader="none" w:pos="8400" w:val="left"/>
        </w:tabs>
        <w:rPr>
          <w:sz w:val="20"/>
          <w:szCs w:val="20"/>
          <w:color w:val="auto"/>
        </w:rPr>
      </w:pPr>
      <w:r>
        <w:rPr>
          <w:rFonts w:ascii="Arial" w:cs="Arial" w:eastAsia="Arial" w:hAnsi="Arial"/>
          <w:sz w:val="13"/>
          <w:szCs w:val="13"/>
          <w:b w:val="1"/>
          <w:bCs w:val="1"/>
          <w:color w:val="B2B3B6"/>
        </w:rPr>
        <w:t>Information</w:t>
      </w:r>
      <w:r>
        <w:rPr>
          <w:sz w:val="20"/>
          <w:szCs w:val="20"/>
          <w:color w:val="auto"/>
        </w:rPr>
        <w:tab/>
      </w:r>
      <w:r>
        <w:rPr>
          <w:rFonts w:ascii="Arial" w:cs="Arial" w:eastAsia="Arial" w:hAnsi="Arial"/>
          <w:sz w:val="13"/>
          <w:szCs w:val="13"/>
          <w:b w:val="1"/>
          <w:bCs w:val="1"/>
          <w:color w:val="B2B3B6"/>
        </w:rPr>
        <w:t>One</w:t>
      </w:r>
      <w:r>
        <w:rPr>
          <w:sz w:val="20"/>
          <w:szCs w:val="20"/>
          <w:color w:val="auto"/>
        </w:rPr>
        <w:tab/>
      </w:r>
      <w:r>
        <w:rPr>
          <w:rFonts w:ascii="Arial" w:cs="Arial" w:eastAsia="Arial" w:hAnsi="Arial"/>
          <w:sz w:val="13"/>
          <w:szCs w:val="13"/>
          <w:b w:val="1"/>
          <w:bCs w:val="1"/>
          <w:color w:val="B2B3B6"/>
        </w:rPr>
        <w:t>Governance</w:t>
      </w:r>
      <w:r>
        <w:rPr>
          <w:sz w:val="20"/>
          <w:szCs w:val="20"/>
          <w:color w:val="auto"/>
        </w:rPr>
        <w:tab/>
      </w:r>
      <w:r>
        <w:rPr>
          <w:rFonts w:ascii="Arial" w:cs="Arial" w:eastAsia="Arial" w:hAnsi="Arial"/>
          <w:sz w:val="13"/>
          <w:szCs w:val="13"/>
          <w:b w:val="1"/>
          <w:bCs w:val="1"/>
          <w:color w:val="B2B3B6"/>
        </w:rPr>
        <w:t>Two</w:t>
      </w:r>
      <w:r>
        <w:rPr>
          <w:sz w:val="20"/>
          <w:szCs w:val="20"/>
          <w:color w:val="auto"/>
        </w:rPr>
        <w:tab/>
      </w:r>
      <w:r>
        <w:rPr>
          <w:rFonts w:ascii="Arial" w:cs="Arial" w:eastAsia="Arial" w:hAnsi="Arial"/>
          <w:sz w:val="13"/>
          <w:szCs w:val="13"/>
          <w:b w:val="1"/>
          <w:bCs w:val="1"/>
          <w:color w:val="6AAA37"/>
        </w:rPr>
        <w:t>Compensation</w:t>
      </w:r>
      <w:r>
        <w:rPr>
          <w:sz w:val="20"/>
          <w:szCs w:val="20"/>
          <w:color w:val="auto"/>
        </w:rPr>
        <w:tab/>
      </w:r>
      <w:r>
        <w:rPr>
          <w:rFonts w:ascii="Arial" w:cs="Arial" w:eastAsia="Arial" w:hAnsi="Arial"/>
          <w:sz w:val="13"/>
          <w:szCs w:val="13"/>
          <w:b w:val="1"/>
          <w:bCs w:val="1"/>
          <w:color w:val="B2B3B6"/>
        </w:rPr>
        <w:t>Three</w:t>
      </w:r>
      <w:r>
        <w:rPr>
          <w:sz w:val="20"/>
          <w:szCs w:val="20"/>
          <w:color w:val="auto"/>
        </w:rPr>
        <w:tab/>
      </w:r>
      <w:r>
        <w:rPr>
          <w:rFonts w:ascii="Arial" w:cs="Arial" w:eastAsia="Arial" w:hAnsi="Arial"/>
          <w:sz w:val="13"/>
          <w:szCs w:val="13"/>
          <w:b w:val="1"/>
          <w:bCs w:val="1"/>
          <w:color w:val="B2B3B6"/>
        </w:rPr>
        <w:t>Four</w:t>
      </w:r>
      <w:r>
        <w:rPr>
          <w:sz w:val="20"/>
          <w:szCs w:val="20"/>
          <w:color w:val="auto"/>
        </w:rPr>
        <w:tab/>
      </w:r>
      <w:r>
        <w:rPr>
          <w:rFonts w:ascii="Arial" w:cs="Arial" w:eastAsia="Arial" w:hAnsi="Arial"/>
          <w:sz w:val="13"/>
          <w:szCs w:val="13"/>
          <w:b w:val="1"/>
          <w:bCs w:val="1"/>
          <w:color w:val="B2B3B6"/>
        </w:rPr>
        <w:t>Five</w:t>
      </w:r>
      <w:r>
        <w:rPr>
          <w:sz w:val="20"/>
          <w:szCs w:val="20"/>
          <w:color w:val="auto"/>
        </w:rPr>
        <w:tab/>
      </w:r>
      <w:r>
        <w:rPr>
          <w:rFonts w:ascii="Arial" w:cs="Arial" w:eastAsia="Arial" w:hAnsi="Arial"/>
          <w:sz w:val="13"/>
          <w:szCs w:val="13"/>
          <w:b w:val="1"/>
          <w:bCs w:val="1"/>
          <w:color w:val="B2B3B6"/>
        </w:rPr>
        <w:t>Proposals</w:t>
      </w:r>
      <w:r>
        <w:rPr>
          <w:sz w:val="20"/>
          <w:szCs w:val="20"/>
          <w:color w:val="auto"/>
        </w:rPr>
        <w:tab/>
      </w:r>
      <w:r>
        <w:rPr>
          <w:rFonts w:ascii="Arial" w:cs="Arial" w:eastAsia="Arial" w:hAnsi="Arial"/>
          <w:sz w:val="12"/>
          <w:szCs w:val="12"/>
          <w:b w:val="1"/>
          <w:bCs w:val="1"/>
          <w:color w:val="B2B3B6"/>
        </w:rPr>
        <w:t>Matters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2024 Long-Term Incentive Program</w:t>
      </w:r>
    </w:p>
    <w:p>
      <w:pPr>
        <w:spacing w:after="0" w:line="68"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Under the 2024 long-term incentive program, 70% of the target long-term incentive program value was granted in the form of performance share units (PSUs) and 30% was granted in the form of restricted stock units (RSUs), both with a three-year vesting period. The final payout of the PSUs granted in 2024 will be determined at the end of the full three-year performance period based on performance against predetermined, cumulative three-year goals for revenues before reimbursable expenses and adjusted Diluted EPS, with 50-50 weighting. Please note that in 2024, the Company revised the line item description of revenues to rename revenues as revenues before reimbursable expenses. This change had no impact on the performance metric nor the performance goals under the current or prior year long-term incentive programs. The line item description has been revised below for consistent presentation.</w:t>
      </w:r>
    </w:p>
    <w:p>
      <w:pPr>
        <w:spacing w:after="0" w:line="11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RSUs granted in 2024 will vest annually over the three-year vesting period. The minimum amount of PSUs that could be earned is 25% of target, calculated as threshold payout of 50% on only one of the financial measures. No PSUs will be earned if a threshold level of performance is not achieved for all financial measures. The PSUs can be earned up to 200% of target for maximum performance on all financial measures. As in prior years, we cannot disclose the details of the three-year goals at this time due to their material, non-public nature.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Previously Awarded Performance-Based Long-Term Incentive Programs</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2022-2024 Performance Cycle</w:t>
      </w:r>
    </w:p>
    <w:p>
      <w:pPr>
        <w:spacing w:after="0" w:line="127" w:lineRule="exact"/>
        <w:rPr>
          <w:sz w:val="20"/>
          <w:szCs w:val="20"/>
          <w:color w:val="auto"/>
        </w:rPr>
      </w:pPr>
    </w:p>
    <w:p>
      <w:pPr>
        <w:ind w:right="120"/>
        <w:spacing w:after="0" w:line="272" w:lineRule="auto"/>
        <w:rPr>
          <w:sz w:val="20"/>
          <w:szCs w:val="20"/>
          <w:color w:val="auto"/>
        </w:rPr>
      </w:pPr>
      <w:r>
        <w:rPr>
          <w:rFonts w:ascii="Arial" w:cs="Arial" w:eastAsia="Arial" w:hAnsi="Arial"/>
          <w:sz w:val="16"/>
          <w:szCs w:val="16"/>
          <w:color w:val="auto"/>
        </w:rPr>
        <w:t>In 2022, 70% of the target long-term incentive program value was granted in the form of PSUs with a three-year performance period that ended on December 31, 2024, and 30% was granted in the form of RSUs with a three-year vesting period. The final payout of the PSUs was calculated based on the actual results of revenues before reimbursable expenses and adjusted diluted EPS</w:t>
      </w:r>
      <w:r>
        <w:rPr>
          <w:rFonts w:ascii="Arial" w:cs="Arial" w:eastAsia="Arial" w:hAnsi="Arial"/>
          <w:sz w:val="21"/>
          <w:szCs w:val="21"/>
          <w:color w:val="auto"/>
          <w:vertAlign w:val="superscript"/>
        </w:rPr>
        <w:t>8</w:t>
      </w:r>
      <w:r>
        <w:rPr>
          <w:rFonts w:ascii="Arial" w:cs="Arial" w:eastAsia="Arial" w:hAnsi="Arial"/>
          <w:sz w:val="16"/>
          <w:szCs w:val="16"/>
          <w:color w:val="auto"/>
        </w:rPr>
        <w:t xml:space="preserve"> over the three-year period against the predetermined, cumulative three-year performance goals. Based on the actual results during the performance cycle, the overall payout was 200% of target as illustrated in the table below.</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2000" w:type="dxa"/>
            <w:vAlign w:val="bottom"/>
            <w:shd w:val="clear" w:color="auto" w:fill="00558C"/>
          </w:tcPr>
          <w:p>
            <w:pPr>
              <w:spacing w:after="0"/>
              <w:rPr>
                <w:sz w:val="22"/>
                <w:szCs w:val="22"/>
                <w:color w:val="auto"/>
              </w:rPr>
            </w:pPr>
          </w:p>
        </w:tc>
        <w:tc>
          <w:tcPr>
            <w:tcW w:w="1400" w:type="dxa"/>
            <w:vAlign w:val="bottom"/>
            <w:shd w:val="clear" w:color="auto" w:fill="00558C"/>
          </w:tcPr>
          <w:p>
            <w:pPr>
              <w:spacing w:after="0"/>
              <w:rPr>
                <w:sz w:val="22"/>
                <w:szCs w:val="22"/>
                <w:color w:val="auto"/>
              </w:rPr>
            </w:pPr>
          </w:p>
        </w:tc>
        <w:tc>
          <w:tcPr>
            <w:tcW w:w="1300" w:type="dxa"/>
            <w:vAlign w:val="bottom"/>
            <w:tcBorders>
              <w:left w:val="single" w:sz="8" w:color="00558C"/>
              <w:right w:val="single" w:sz="8" w:color="00558C"/>
            </w:tcBorders>
            <w:shd w:val="clear" w:color="auto" w:fill="00558C"/>
          </w:tcPr>
          <w:p>
            <w:pPr>
              <w:spacing w:after="0"/>
              <w:rPr>
                <w:sz w:val="22"/>
                <w:szCs w:val="22"/>
                <w:color w:val="auto"/>
              </w:rPr>
            </w:pPr>
          </w:p>
        </w:tc>
        <w:tc>
          <w:tcPr>
            <w:tcW w:w="320" w:type="dxa"/>
            <w:vAlign w:val="bottom"/>
            <w:shd w:val="clear" w:color="auto" w:fill="00558C"/>
          </w:tcPr>
          <w:p>
            <w:pPr>
              <w:spacing w:after="0"/>
              <w:rPr>
                <w:sz w:val="22"/>
                <w:szCs w:val="22"/>
                <w:color w:val="auto"/>
              </w:rPr>
            </w:pPr>
          </w:p>
        </w:tc>
        <w:tc>
          <w:tcPr>
            <w:tcW w:w="1160" w:type="dxa"/>
            <w:vAlign w:val="bottom"/>
            <w:gridSpan w:val="2"/>
            <w:shd w:val="clear" w:color="auto" w:fill="00558C"/>
          </w:tcPr>
          <w:p>
            <w:pPr>
              <w:ind w:left="180"/>
              <w:spacing w:after="0"/>
              <w:rPr>
                <w:sz w:val="20"/>
                <w:szCs w:val="20"/>
                <w:color w:val="auto"/>
              </w:rPr>
            </w:pPr>
            <w:r>
              <w:rPr>
                <w:rFonts w:ascii="Arial" w:cs="Arial" w:eastAsia="Arial" w:hAnsi="Arial"/>
                <w:sz w:val="14"/>
                <w:szCs w:val="14"/>
                <w:b w:val="1"/>
                <w:bCs w:val="1"/>
                <w:color w:val="FFFFFF"/>
              </w:rPr>
              <w:t>Achievement</w:t>
            </w:r>
          </w:p>
        </w:tc>
        <w:tc>
          <w:tcPr>
            <w:tcW w:w="500" w:type="dxa"/>
            <w:vAlign w:val="bottom"/>
            <w:tcBorders>
              <w:right w:val="single" w:sz="8" w:color="00558C"/>
            </w:tcBorders>
            <w:shd w:val="clear" w:color="auto" w:fill="00558C"/>
          </w:tcPr>
          <w:p>
            <w:pPr>
              <w:spacing w:after="0"/>
              <w:rPr>
                <w:sz w:val="22"/>
                <w:szCs w:val="22"/>
                <w:color w:val="auto"/>
              </w:rPr>
            </w:pPr>
          </w:p>
        </w:tc>
        <w:tc>
          <w:tcPr>
            <w:tcW w:w="1260" w:type="dxa"/>
            <w:vAlign w:val="bottom"/>
            <w:shd w:val="clear" w:color="auto" w:fill="00558C"/>
          </w:tcPr>
          <w:p>
            <w:pPr>
              <w:spacing w:after="0"/>
              <w:rPr>
                <w:sz w:val="22"/>
                <w:szCs w:val="22"/>
                <w:color w:val="auto"/>
              </w:rPr>
            </w:pPr>
          </w:p>
        </w:tc>
        <w:tc>
          <w:tcPr>
            <w:tcW w:w="40" w:type="dxa"/>
            <w:vAlign w:val="bottom"/>
            <w:tcBorders>
              <w:left w:val="single" w:sz="8" w:color="00558C"/>
            </w:tcBorders>
            <w:shd w:val="clear" w:color="auto" w:fill="00558C"/>
          </w:tcPr>
          <w:p>
            <w:pPr>
              <w:spacing w:after="0"/>
              <w:rPr>
                <w:sz w:val="22"/>
                <w:szCs w:val="22"/>
                <w:color w:val="auto"/>
              </w:rPr>
            </w:pPr>
          </w:p>
        </w:tc>
        <w:tc>
          <w:tcPr>
            <w:tcW w:w="1080" w:type="dxa"/>
            <w:vAlign w:val="bottom"/>
            <w:vMerge w:val="restart"/>
            <w:shd w:val="clear" w:color="auto" w:fill="00558C"/>
          </w:tcPr>
          <w:p>
            <w:pPr>
              <w:jc w:val="right"/>
              <w:ind w:right="108"/>
              <w:spacing w:after="0"/>
              <w:rPr>
                <w:sz w:val="20"/>
                <w:szCs w:val="20"/>
                <w:color w:val="auto"/>
              </w:rPr>
            </w:pPr>
            <w:r>
              <w:rPr>
                <w:rFonts w:ascii="Arial" w:cs="Arial" w:eastAsia="Arial" w:hAnsi="Arial"/>
                <w:sz w:val="14"/>
                <w:szCs w:val="14"/>
                <w:b w:val="1"/>
                <w:bCs w:val="1"/>
                <w:color w:val="FFFFFF"/>
              </w:rPr>
              <w:t>Payout % of</w:t>
            </w:r>
          </w:p>
        </w:tc>
        <w:tc>
          <w:tcPr>
            <w:tcW w:w="0" w:type="dxa"/>
            <w:vAlign w:val="bottom"/>
          </w:tcPr>
          <w:p>
            <w:pPr>
              <w:spacing w:after="0"/>
              <w:rPr>
                <w:sz w:val="1"/>
                <w:szCs w:val="1"/>
                <w:color w:val="auto"/>
              </w:rPr>
            </w:pPr>
          </w:p>
        </w:tc>
      </w:tr>
      <w:tr>
        <w:trPr>
          <w:trHeight w:val="47"/>
        </w:trPr>
        <w:tc>
          <w:tcPr>
            <w:tcW w:w="2000" w:type="dxa"/>
            <w:vAlign w:val="bottom"/>
            <w:shd w:val="clear" w:color="auto" w:fill="00558C"/>
          </w:tcPr>
          <w:p>
            <w:pPr>
              <w:spacing w:after="0"/>
              <w:rPr>
                <w:sz w:val="4"/>
                <w:szCs w:val="4"/>
                <w:color w:val="auto"/>
              </w:rPr>
            </w:pPr>
          </w:p>
        </w:tc>
        <w:tc>
          <w:tcPr>
            <w:tcW w:w="1400" w:type="dxa"/>
            <w:vAlign w:val="bottom"/>
            <w:shd w:val="clear" w:color="auto" w:fill="00558C"/>
          </w:tcPr>
          <w:p>
            <w:pPr>
              <w:spacing w:after="0"/>
              <w:rPr>
                <w:sz w:val="4"/>
                <w:szCs w:val="4"/>
                <w:color w:val="auto"/>
              </w:rPr>
            </w:pPr>
          </w:p>
        </w:tc>
        <w:tc>
          <w:tcPr>
            <w:tcW w:w="1300" w:type="dxa"/>
            <w:vAlign w:val="bottom"/>
            <w:tcBorders>
              <w:left w:val="single" w:sz="8" w:color="00558C"/>
              <w:right w:val="single" w:sz="8" w:color="00558C"/>
            </w:tcBorders>
            <w:shd w:val="clear" w:color="auto" w:fill="00558C"/>
          </w:tcPr>
          <w:p>
            <w:pPr>
              <w:spacing w:after="0"/>
              <w:rPr>
                <w:sz w:val="4"/>
                <w:szCs w:val="4"/>
                <w:color w:val="auto"/>
              </w:rPr>
            </w:pPr>
          </w:p>
        </w:tc>
        <w:tc>
          <w:tcPr>
            <w:tcW w:w="320" w:type="dxa"/>
            <w:vAlign w:val="bottom"/>
            <w:shd w:val="clear" w:color="auto" w:fill="00558C"/>
          </w:tcPr>
          <w:p>
            <w:pPr>
              <w:spacing w:after="0"/>
              <w:rPr>
                <w:sz w:val="4"/>
                <w:szCs w:val="4"/>
                <w:color w:val="auto"/>
              </w:rPr>
            </w:pPr>
          </w:p>
        </w:tc>
        <w:tc>
          <w:tcPr>
            <w:tcW w:w="700" w:type="dxa"/>
            <w:vAlign w:val="bottom"/>
            <w:tcBorders>
              <w:right w:val="single" w:sz="8" w:color="00558C"/>
            </w:tcBorders>
            <w:shd w:val="clear" w:color="auto" w:fill="00558C"/>
          </w:tcPr>
          <w:p>
            <w:pPr>
              <w:spacing w:after="0"/>
              <w:rPr>
                <w:sz w:val="4"/>
                <w:szCs w:val="4"/>
                <w:color w:val="auto"/>
              </w:rPr>
            </w:pPr>
          </w:p>
        </w:tc>
        <w:tc>
          <w:tcPr>
            <w:tcW w:w="460" w:type="dxa"/>
            <w:vAlign w:val="bottom"/>
            <w:shd w:val="clear" w:color="auto" w:fill="00558C"/>
          </w:tcPr>
          <w:p>
            <w:pPr>
              <w:spacing w:after="0"/>
              <w:rPr>
                <w:sz w:val="4"/>
                <w:szCs w:val="4"/>
                <w:color w:val="auto"/>
              </w:rPr>
            </w:pPr>
          </w:p>
        </w:tc>
        <w:tc>
          <w:tcPr>
            <w:tcW w:w="500" w:type="dxa"/>
            <w:vAlign w:val="bottom"/>
            <w:tcBorders>
              <w:right w:val="single" w:sz="8" w:color="00558C"/>
            </w:tcBorders>
            <w:shd w:val="clear" w:color="auto" w:fill="00558C"/>
          </w:tcPr>
          <w:p>
            <w:pPr>
              <w:spacing w:after="0"/>
              <w:rPr>
                <w:sz w:val="4"/>
                <w:szCs w:val="4"/>
                <w:color w:val="auto"/>
              </w:rPr>
            </w:pPr>
          </w:p>
        </w:tc>
        <w:tc>
          <w:tcPr>
            <w:tcW w:w="1260" w:type="dxa"/>
            <w:vAlign w:val="bottom"/>
            <w:shd w:val="clear" w:color="auto" w:fill="00558C"/>
          </w:tcPr>
          <w:p>
            <w:pPr>
              <w:spacing w:after="0"/>
              <w:rPr>
                <w:sz w:val="4"/>
                <w:szCs w:val="4"/>
                <w:color w:val="auto"/>
              </w:rPr>
            </w:pPr>
          </w:p>
        </w:tc>
        <w:tc>
          <w:tcPr>
            <w:tcW w:w="40" w:type="dxa"/>
            <w:vAlign w:val="bottom"/>
            <w:tcBorders>
              <w:left w:val="single" w:sz="8" w:color="00558C"/>
            </w:tcBorders>
            <w:shd w:val="clear" w:color="auto" w:fill="00558C"/>
          </w:tcPr>
          <w:p>
            <w:pPr>
              <w:spacing w:after="0"/>
              <w:rPr>
                <w:sz w:val="4"/>
                <w:szCs w:val="4"/>
                <w:color w:val="auto"/>
              </w:rPr>
            </w:pPr>
          </w:p>
        </w:tc>
        <w:tc>
          <w:tcPr>
            <w:tcW w:w="1080" w:type="dxa"/>
            <w:vAlign w:val="bottom"/>
            <w:vMerge w:val="continue"/>
            <w:shd w:val="clear" w:color="auto" w:fill="00558C"/>
          </w:tcPr>
          <w:p>
            <w:pPr>
              <w:spacing w:after="0"/>
              <w:rPr>
                <w:sz w:val="4"/>
                <w:szCs w:val="4"/>
                <w:color w:val="auto"/>
              </w:rPr>
            </w:pPr>
          </w:p>
        </w:tc>
        <w:tc>
          <w:tcPr>
            <w:tcW w:w="0" w:type="dxa"/>
            <w:vAlign w:val="bottom"/>
          </w:tcPr>
          <w:p>
            <w:pPr>
              <w:spacing w:after="0"/>
              <w:rPr>
                <w:sz w:val="1"/>
                <w:szCs w:val="1"/>
                <w:color w:val="auto"/>
              </w:rPr>
            </w:pPr>
          </w:p>
        </w:tc>
      </w:tr>
      <w:tr>
        <w:trPr>
          <w:trHeight w:val="232"/>
        </w:trPr>
        <w:tc>
          <w:tcPr>
            <w:tcW w:w="2000" w:type="dxa"/>
            <w:vAlign w:val="bottom"/>
            <w:tcBorders>
              <w:bottom w:val="single" w:sz="8" w:color="00558C"/>
            </w:tcBorders>
            <w:shd w:val="clear" w:color="auto" w:fill="00558C"/>
          </w:tcPr>
          <w:p>
            <w:pPr>
              <w:ind w:left="140"/>
              <w:spacing w:after="0"/>
              <w:rPr>
                <w:sz w:val="20"/>
                <w:szCs w:val="20"/>
                <w:color w:val="auto"/>
              </w:rPr>
            </w:pPr>
            <w:r>
              <w:rPr>
                <w:rFonts w:ascii="Arial" w:cs="Arial" w:eastAsia="Arial" w:hAnsi="Arial"/>
                <w:sz w:val="14"/>
                <w:szCs w:val="14"/>
                <w:b w:val="1"/>
                <w:bCs w:val="1"/>
                <w:color w:val="FFFFFF"/>
              </w:rPr>
              <w:t>Performance Measure</w:t>
            </w:r>
          </w:p>
        </w:tc>
        <w:tc>
          <w:tcPr>
            <w:tcW w:w="1400" w:type="dxa"/>
            <w:vAlign w:val="bottom"/>
            <w:tcBorders>
              <w:bottom w:val="single" w:sz="8" w:color="00558C"/>
            </w:tcBorders>
            <w:shd w:val="clear" w:color="auto" w:fill="00558C"/>
          </w:tcPr>
          <w:p>
            <w:pPr>
              <w:ind w:left="320"/>
              <w:spacing w:after="0"/>
              <w:rPr>
                <w:sz w:val="20"/>
                <w:szCs w:val="20"/>
                <w:color w:val="auto"/>
              </w:rPr>
            </w:pPr>
            <w:r>
              <w:rPr>
                <w:rFonts w:ascii="Arial" w:cs="Arial" w:eastAsia="Arial" w:hAnsi="Arial"/>
                <w:sz w:val="14"/>
                <w:szCs w:val="14"/>
                <w:b w:val="1"/>
                <w:bCs w:val="1"/>
                <w:color w:val="FFFFFF"/>
              </w:rPr>
              <w:t>Weighting</w:t>
            </w:r>
          </w:p>
        </w:tc>
        <w:tc>
          <w:tcPr>
            <w:tcW w:w="1620" w:type="dxa"/>
            <w:vAlign w:val="bottom"/>
            <w:tcBorders>
              <w:left w:val="single" w:sz="8" w:color="00558C"/>
              <w:bottom w:val="single" w:sz="8" w:color="00558C"/>
            </w:tcBorders>
            <w:gridSpan w:val="2"/>
            <w:shd w:val="clear" w:color="auto" w:fill="00558C"/>
          </w:tcPr>
          <w:p>
            <w:pPr>
              <w:ind w:left="420"/>
              <w:spacing w:after="0"/>
              <w:rPr>
                <w:sz w:val="20"/>
                <w:szCs w:val="20"/>
                <w:color w:val="auto"/>
              </w:rPr>
            </w:pPr>
            <w:r>
              <w:rPr>
                <w:rFonts w:ascii="Arial" w:cs="Arial" w:eastAsia="Arial" w:hAnsi="Arial"/>
                <w:sz w:val="14"/>
                <w:szCs w:val="14"/>
                <w:b w:val="1"/>
                <w:bCs w:val="1"/>
                <w:color w:val="FFFFFF"/>
              </w:rPr>
              <w:t>Threshold</w:t>
            </w:r>
          </w:p>
        </w:tc>
        <w:tc>
          <w:tcPr>
            <w:tcW w:w="1160" w:type="dxa"/>
            <w:vAlign w:val="bottom"/>
            <w:tcBorders>
              <w:bottom w:val="single" w:sz="8" w:color="00558C"/>
            </w:tcBorders>
            <w:gridSpan w:val="2"/>
            <w:shd w:val="clear" w:color="auto" w:fill="00558C"/>
          </w:tcPr>
          <w:p>
            <w:pPr>
              <w:jc w:val="center"/>
              <w:ind w:left="73"/>
              <w:spacing w:after="0"/>
              <w:rPr>
                <w:sz w:val="20"/>
                <w:szCs w:val="20"/>
                <w:color w:val="auto"/>
              </w:rPr>
            </w:pPr>
            <w:r>
              <w:rPr>
                <w:rFonts w:ascii="Arial" w:cs="Arial" w:eastAsia="Arial" w:hAnsi="Arial"/>
                <w:sz w:val="14"/>
                <w:szCs w:val="14"/>
                <w:b w:val="1"/>
                <w:bCs w:val="1"/>
                <w:color w:val="FFFFFF"/>
                <w:w w:val="98"/>
              </w:rPr>
              <w:t>Target</w:t>
            </w:r>
          </w:p>
        </w:tc>
        <w:tc>
          <w:tcPr>
            <w:tcW w:w="500" w:type="dxa"/>
            <w:vAlign w:val="bottom"/>
            <w:tcBorders>
              <w:bottom w:val="single" w:sz="8" w:color="00558C"/>
              <w:right w:val="single" w:sz="8" w:color="00558C"/>
            </w:tcBorders>
            <w:shd w:val="clear" w:color="auto" w:fill="00558C"/>
          </w:tcPr>
          <w:p>
            <w:pPr>
              <w:spacing w:after="0"/>
              <w:rPr>
                <w:sz w:val="20"/>
                <w:szCs w:val="20"/>
                <w:color w:val="auto"/>
              </w:rPr>
            </w:pPr>
          </w:p>
        </w:tc>
        <w:tc>
          <w:tcPr>
            <w:tcW w:w="1300" w:type="dxa"/>
            <w:vAlign w:val="bottom"/>
            <w:tcBorders>
              <w:bottom w:val="single" w:sz="8" w:color="00558C"/>
            </w:tcBorders>
            <w:gridSpan w:val="2"/>
            <w:shd w:val="clear" w:color="auto" w:fill="00558C"/>
          </w:tcPr>
          <w:p>
            <w:pPr>
              <w:jc w:val="center"/>
              <w:ind w:right="320"/>
              <w:spacing w:after="0"/>
              <w:rPr>
                <w:sz w:val="20"/>
                <w:szCs w:val="20"/>
                <w:color w:val="auto"/>
              </w:rPr>
            </w:pPr>
            <w:r>
              <w:rPr>
                <w:rFonts w:ascii="Arial" w:cs="Arial" w:eastAsia="Arial" w:hAnsi="Arial"/>
                <w:sz w:val="14"/>
                <w:szCs w:val="14"/>
                <w:b w:val="1"/>
                <w:bCs w:val="1"/>
                <w:color w:val="FFFFFF"/>
              </w:rPr>
              <w:t>Maximum</w:t>
            </w:r>
          </w:p>
        </w:tc>
        <w:tc>
          <w:tcPr>
            <w:tcW w:w="1080" w:type="dxa"/>
            <w:vAlign w:val="bottom"/>
            <w:tcBorders>
              <w:bottom w:val="single" w:sz="8" w:color="00558C"/>
            </w:tcBorders>
            <w:shd w:val="clear" w:color="auto" w:fill="00558C"/>
          </w:tcPr>
          <w:p>
            <w:pPr>
              <w:jc w:val="right"/>
              <w:ind w:right="288"/>
              <w:spacing w:after="0"/>
              <w:rPr>
                <w:sz w:val="20"/>
                <w:szCs w:val="20"/>
                <w:color w:val="auto"/>
              </w:rPr>
            </w:pPr>
            <w:r>
              <w:rPr>
                <w:rFonts w:ascii="Arial" w:cs="Arial" w:eastAsia="Arial" w:hAnsi="Arial"/>
                <w:sz w:val="14"/>
                <w:szCs w:val="14"/>
                <w:b w:val="1"/>
                <w:bCs w:val="1"/>
                <w:color w:val="FFFFFF"/>
              </w:rPr>
              <w:t>Target</w:t>
            </w:r>
          </w:p>
        </w:tc>
        <w:tc>
          <w:tcPr>
            <w:tcW w:w="0" w:type="dxa"/>
            <w:vAlign w:val="bottom"/>
          </w:tcPr>
          <w:p>
            <w:pPr>
              <w:spacing w:after="0"/>
              <w:rPr>
                <w:sz w:val="1"/>
                <w:szCs w:val="1"/>
                <w:color w:val="auto"/>
              </w:rPr>
            </w:pPr>
          </w:p>
        </w:tc>
      </w:tr>
      <w:tr>
        <w:trPr>
          <w:trHeight w:val="94"/>
        </w:trPr>
        <w:tc>
          <w:tcPr>
            <w:tcW w:w="2000" w:type="dxa"/>
            <w:vAlign w:val="bottom"/>
            <w:shd w:val="clear" w:color="auto" w:fill="F2F3F2"/>
          </w:tcPr>
          <w:p>
            <w:pPr>
              <w:spacing w:after="0"/>
              <w:rPr>
                <w:sz w:val="8"/>
                <w:szCs w:val="8"/>
                <w:color w:val="auto"/>
              </w:rPr>
            </w:pPr>
          </w:p>
        </w:tc>
        <w:tc>
          <w:tcPr>
            <w:tcW w:w="1400" w:type="dxa"/>
            <w:vAlign w:val="bottom"/>
            <w:shd w:val="clear" w:color="auto" w:fill="F2F3F2"/>
          </w:tcPr>
          <w:p>
            <w:pPr>
              <w:spacing w:after="0"/>
              <w:rPr>
                <w:sz w:val="8"/>
                <w:szCs w:val="8"/>
                <w:color w:val="auto"/>
              </w:rPr>
            </w:pPr>
          </w:p>
        </w:tc>
        <w:tc>
          <w:tcPr>
            <w:tcW w:w="1300" w:type="dxa"/>
            <w:vAlign w:val="bottom"/>
            <w:tcBorders>
              <w:left w:val="single" w:sz="8" w:color="F2F3F2"/>
              <w:right w:val="single" w:sz="8" w:color="F2F3F2"/>
            </w:tcBorders>
            <w:shd w:val="clear" w:color="auto" w:fill="F2F3F2"/>
          </w:tcPr>
          <w:p>
            <w:pPr>
              <w:spacing w:after="0"/>
              <w:rPr>
                <w:sz w:val="8"/>
                <w:szCs w:val="8"/>
                <w:color w:val="auto"/>
              </w:rPr>
            </w:pPr>
          </w:p>
        </w:tc>
        <w:tc>
          <w:tcPr>
            <w:tcW w:w="320" w:type="dxa"/>
            <w:vAlign w:val="bottom"/>
            <w:shd w:val="clear" w:color="auto" w:fill="F2F3F2"/>
          </w:tcPr>
          <w:p>
            <w:pPr>
              <w:spacing w:after="0"/>
              <w:rPr>
                <w:sz w:val="8"/>
                <w:szCs w:val="8"/>
                <w:color w:val="auto"/>
              </w:rPr>
            </w:pPr>
          </w:p>
        </w:tc>
        <w:tc>
          <w:tcPr>
            <w:tcW w:w="700" w:type="dxa"/>
            <w:vAlign w:val="bottom"/>
            <w:tcBorders>
              <w:right w:val="single" w:sz="8" w:color="F2F3F2"/>
            </w:tcBorders>
            <w:shd w:val="clear" w:color="auto" w:fill="F2F3F2"/>
          </w:tcPr>
          <w:p>
            <w:pPr>
              <w:spacing w:after="0"/>
              <w:rPr>
                <w:sz w:val="8"/>
                <w:szCs w:val="8"/>
                <w:color w:val="auto"/>
              </w:rPr>
            </w:pPr>
          </w:p>
        </w:tc>
        <w:tc>
          <w:tcPr>
            <w:tcW w:w="460" w:type="dxa"/>
            <w:vAlign w:val="bottom"/>
            <w:shd w:val="clear" w:color="auto" w:fill="F2F3F2"/>
          </w:tcPr>
          <w:p>
            <w:pPr>
              <w:spacing w:after="0"/>
              <w:rPr>
                <w:sz w:val="8"/>
                <w:szCs w:val="8"/>
                <w:color w:val="auto"/>
              </w:rPr>
            </w:pPr>
          </w:p>
        </w:tc>
        <w:tc>
          <w:tcPr>
            <w:tcW w:w="500" w:type="dxa"/>
            <w:vAlign w:val="bottom"/>
            <w:tcBorders>
              <w:right w:val="single" w:sz="8" w:color="F2F3F2"/>
            </w:tcBorders>
            <w:shd w:val="clear" w:color="auto" w:fill="F2F3F2"/>
          </w:tcPr>
          <w:p>
            <w:pPr>
              <w:spacing w:after="0"/>
              <w:rPr>
                <w:sz w:val="8"/>
                <w:szCs w:val="8"/>
                <w:color w:val="auto"/>
              </w:rPr>
            </w:pPr>
          </w:p>
        </w:tc>
        <w:tc>
          <w:tcPr>
            <w:tcW w:w="1260" w:type="dxa"/>
            <w:vAlign w:val="bottom"/>
            <w:shd w:val="clear" w:color="auto" w:fill="F2F3F2"/>
          </w:tcPr>
          <w:p>
            <w:pPr>
              <w:spacing w:after="0"/>
              <w:rPr>
                <w:sz w:val="8"/>
                <w:szCs w:val="8"/>
                <w:color w:val="auto"/>
              </w:rPr>
            </w:pPr>
          </w:p>
        </w:tc>
        <w:tc>
          <w:tcPr>
            <w:tcW w:w="40" w:type="dxa"/>
            <w:vAlign w:val="bottom"/>
            <w:tcBorders>
              <w:left w:val="single" w:sz="8" w:color="F2F3F2"/>
            </w:tcBorders>
            <w:shd w:val="clear" w:color="auto" w:fill="F2F3F2"/>
          </w:tcPr>
          <w:p>
            <w:pPr>
              <w:spacing w:after="0"/>
              <w:rPr>
                <w:sz w:val="8"/>
                <w:szCs w:val="8"/>
                <w:color w:val="auto"/>
              </w:rPr>
            </w:pPr>
          </w:p>
        </w:tc>
        <w:tc>
          <w:tcPr>
            <w:tcW w:w="1080" w:type="dxa"/>
            <w:vAlign w:val="bottom"/>
            <w:shd w:val="clear" w:color="auto" w:fill="6AAA37"/>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00" w:type="dxa"/>
            <w:vAlign w:val="bottom"/>
            <w:shd w:val="clear" w:color="auto" w:fill="F2F3F2"/>
          </w:tcPr>
          <w:p>
            <w:pPr>
              <w:spacing w:after="0"/>
              <w:rPr>
                <w:sz w:val="15"/>
                <w:szCs w:val="15"/>
                <w:color w:val="auto"/>
              </w:rPr>
            </w:pPr>
          </w:p>
        </w:tc>
        <w:tc>
          <w:tcPr>
            <w:tcW w:w="1400" w:type="dxa"/>
            <w:vAlign w:val="bottom"/>
            <w:shd w:val="clear" w:color="auto" w:fill="F2F3F2"/>
          </w:tcPr>
          <w:p>
            <w:pPr>
              <w:spacing w:after="0"/>
              <w:rPr>
                <w:sz w:val="15"/>
                <w:szCs w:val="15"/>
                <w:color w:val="auto"/>
              </w:rPr>
            </w:pPr>
          </w:p>
        </w:tc>
        <w:tc>
          <w:tcPr>
            <w:tcW w:w="1300" w:type="dxa"/>
            <w:vAlign w:val="bottom"/>
            <w:tcBorders>
              <w:left w:val="single" w:sz="8" w:color="F2F3F2"/>
              <w:right w:val="single" w:sz="8" w:color="F2F3F2"/>
            </w:tcBorders>
            <w:shd w:val="clear" w:color="auto" w:fill="F2F3F2"/>
          </w:tcPr>
          <w:p>
            <w:pPr>
              <w:spacing w:after="0"/>
              <w:rPr>
                <w:sz w:val="15"/>
                <w:szCs w:val="15"/>
                <w:color w:val="auto"/>
              </w:rPr>
            </w:pPr>
          </w:p>
        </w:tc>
        <w:tc>
          <w:tcPr>
            <w:tcW w:w="320" w:type="dxa"/>
            <w:vAlign w:val="bottom"/>
            <w:shd w:val="clear" w:color="auto" w:fill="F2F3F2"/>
          </w:tcPr>
          <w:p>
            <w:pPr>
              <w:spacing w:after="0"/>
              <w:rPr>
                <w:sz w:val="15"/>
                <w:szCs w:val="15"/>
                <w:color w:val="auto"/>
              </w:rPr>
            </w:pPr>
          </w:p>
        </w:tc>
        <w:tc>
          <w:tcPr>
            <w:tcW w:w="700" w:type="dxa"/>
            <w:vAlign w:val="bottom"/>
            <w:tcBorders>
              <w:right w:val="single" w:sz="8" w:color="F2F3F2"/>
            </w:tcBorders>
            <w:shd w:val="clear" w:color="auto" w:fill="F2F3F2"/>
          </w:tcPr>
          <w:p>
            <w:pPr>
              <w:spacing w:after="0"/>
              <w:rPr>
                <w:sz w:val="15"/>
                <w:szCs w:val="15"/>
                <w:color w:val="auto"/>
              </w:rPr>
            </w:pPr>
          </w:p>
        </w:tc>
        <w:tc>
          <w:tcPr>
            <w:tcW w:w="460" w:type="dxa"/>
            <w:vAlign w:val="bottom"/>
            <w:shd w:val="clear" w:color="auto" w:fill="F2F3F2"/>
          </w:tcPr>
          <w:p>
            <w:pPr>
              <w:spacing w:after="0"/>
              <w:rPr>
                <w:sz w:val="15"/>
                <w:szCs w:val="15"/>
                <w:color w:val="auto"/>
              </w:rPr>
            </w:pPr>
          </w:p>
        </w:tc>
        <w:tc>
          <w:tcPr>
            <w:tcW w:w="1760" w:type="dxa"/>
            <w:vAlign w:val="bottom"/>
            <w:gridSpan w:val="2"/>
            <w:shd w:val="clear" w:color="auto" w:fill="6AAA37"/>
          </w:tcPr>
          <w:p>
            <w:pPr>
              <w:jc w:val="center"/>
              <w:spacing w:after="0"/>
              <w:rPr>
                <w:sz w:val="20"/>
                <w:szCs w:val="20"/>
                <w:color w:val="auto"/>
              </w:rPr>
            </w:pPr>
            <w:r>
              <w:rPr>
                <w:rFonts w:ascii="Arial" w:cs="Arial" w:eastAsia="Arial" w:hAnsi="Arial"/>
                <w:sz w:val="11"/>
                <w:szCs w:val="11"/>
                <w:color w:val="FFFFFF"/>
                <w:w w:val="97"/>
              </w:rPr>
              <w:t xml:space="preserve">Actual Performance </w:t>
            </w:r>
            <w:r>
              <w:rPr>
                <w:rFonts w:ascii="Arial" w:cs="Arial" w:eastAsia="Arial" w:hAnsi="Arial"/>
                <w:sz w:val="11"/>
                <w:szCs w:val="11"/>
                <w:b w:val="1"/>
                <w:bCs w:val="1"/>
                <w:color w:val="FFFFFF"/>
                <w:w w:val="97"/>
              </w:rPr>
              <w:t>$3.980B</w:t>
            </w:r>
          </w:p>
        </w:tc>
        <w:tc>
          <w:tcPr>
            <w:tcW w:w="40" w:type="dxa"/>
            <w:vAlign w:val="bottom"/>
            <w:tcBorders>
              <w:left w:val="single" w:sz="8" w:color="F2F3F2"/>
            </w:tcBorders>
            <w:shd w:val="clear" w:color="auto" w:fill="F2F3F2"/>
          </w:tcPr>
          <w:p>
            <w:pPr>
              <w:spacing w:after="0"/>
              <w:rPr>
                <w:sz w:val="15"/>
                <w:szCs w:val="15"/>
                <w:color w:val="auto"/>
              </w:rPr>
            </w:pPr>
          </w:p>
        </w:tc>
        <w:tc>
          <w:tcPr>
            <w:tcW w:w="1080" w:type="dxa"/>
            <w:vAlign w:val="bottom"/>
            <w:shd w:val="clear" w:color="auto" w:fill="6AAA37"/>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2000" w:type="dxa"/>
            <w:vAlign w:val="bottom"/>
            <w:vMerge w:val="restart"/>
            <w:shd w:val="clear" w:color="auto" w:fill="F2F3F2"/>
          </w:tcPr>
          <w:p>
            <w:pPr>
              <w:ind w:left="140"/>
              <w:spacing w:after="0"/>
              <w:rPr>
                <w:sz w:val="20"/>
                <w:szCs w:val="20"/>
                <w:color w:val="auto"/>
              </w:rPr>
            </w:pPr>
            <w:r>
              <w:rPr>
                <w:rFonts w:ascii="Arial" w:cs="Arial" w:eastAsia="Arial" w:hAnsi="Arial"/>
                <w:sz w:val="14"/>
                <w:szCs w:val="14"/>
                <w:b w:val="1"/>
                <w:bCs w:val="1"/>
                <w:color w:val="auto"/>
              </w:rPr>
              <w:t>Revenues before</w:t>
            </w:r>
          </w:p>
        </w:tc>
        <w:tc>
          <w:tcPr>
            <w:tcW w:w="1400" w:type="dxa"/>
            <w:vAlign w:val="bottom"/>
            <w:vMerge w:val="restart"/>
            <w:shd w:val="clear" w:color="auto" w:fill="F2F3F2"/>
          </w:tcPr>
          <w:p>
            <w:pPr>
              <w:jc w:val="center"/>
              <w:spacing w:after="0"/>
              <w:rPr>
                <w:sz w:val="20"/>
                <w:szCs w:val="20"/>
                <w:color w:val="auto"/>
              </w:rPr>
            </w:pPr>
            <w:r>
              <w:rPr>
                <w:rFonts w:ascii="Arial" w:cs="Arial" w:eastAsia="Arial" w:hAnsi="Arial"/>
                <w:sz w:val="14"/>
                <w:szCs w:val="14"/>
                <w:b w:val="1"/>
                <w:bCs w:val="1"/>
                <w:color w:val="6AAA37"/>
                <w:w w:val="99"/>
              </w:rPr>
              <w:t>50%</w:t>
            </w:r>
          </w:p>
        </w:tc>
        <w:tc>
          <w:tcPr>
            <w:tcW w:w="1300" w:type="dxa"/>
            <w:vAlign w:val="bottom"/>
            <w:tcBorders>
              <w:left w:val="single" w:sz="8" w:color="F2F3F2"/>
              <w:right w:val="single" w:sz="8" w:color="F2F3F2"/>
            </w:tcBorders>
            <w:shd w:val="clear" w:color="auto" w:fill="F2F3F2"/>
          </w:tcPr>
          <w:p>
            <w:pPr>
              <w:spacing w:after="0"/>
              <w:rPr>
                <w:sz w:val="9"/>
                <w:szCs w:val="9"/>
                <w:color w:val="auto"/>
              </w:rPr>
            </w:pPr>
          </w:p>
        </w:tc>
        <w:tc>
          <w:tcPr>
            <w:tcW w:w="320" w:type="dxa"/>
            <w:vAlign w:val="bottom"/>
            <w:shd w:val="clear" w:color="auto" w:fill="F2F3F2"/>
          </w:tcPr>
          <w:p>
            <w:pPr>
              <w:spacing w:after="0"/>
              <w:rPr>
                <w:sz w:val="9"/>
                <w:szCs w:val="9"/>
                <w:color w:val="auto"/>
              </w:rPr>
            </w:pPr>
          </w:p>
        </w:tc>
        <w:tc>
          <w:tcPr>
            <w:tcW w:w="700" w:type="dxa"/>
            <w:vAlign w:val="bottom"/>
            <w:tcBorders>
              <w:right w:val="single" w:sz="8" w:color="F2F3F2"/>
            </w:tcBorders>
            <w:shd w:val="clear" w:color="auto" w:fill="F2F3F2"/>
          </w:tcPr>
          <w:p>
            <w:pPr>
              <w:spacing w:after="0"/>
              <w:rPr>
                <w:sz w:val="9"/>
                <w:szCs w:val="9"/>
                <w:color w:val="auto"/>
              </w:rPr>
            </w:pPr>
          </w:p>
        </w:tc>
        <w:tc>
          <w:tcPr>
            <w:tcW w:w="460" w:type="dxa"/>
            <w:vAlign w:val="bottom"/>
            <w:shd w:val="clear" w:color="auto" w:fill="F2F3F2"/>
          </w:tcPr>
          <w:p>
            <w:pPr>
              <w:spacing w:after="0"/>
              <w:rPr>
                <w:sz w:val="9"/>
                <w:szCs w:val="9"/>
                <w:color w:val="auto"/>
              </w:rPr>
            </w:pPr>
          </w:p>
        </w:tc>
        <w:tc>
          <w:tcPr>
            <w:tcW w:w="500" w:type="dxa"/>
            <w:vAlign w:val="bottom"/>
            <w:tcBorders>
              <w:right w:val="single" w:sz="8" w:color="F2F3F2"/>
            </w:tcBorders>
            <w:shd w:val="clear" w:color="auto" w:fill="F2F3F2"/>
          </w:tcPr>
          <w:p>
            <w:pPr>
              <w:spacing w:after="0"/>
              <w:rPr>
                <w:sz w:val="9"/>
                <w:szCs w:val="9"/>
                <w:color w:val="auto"/>
              </w:rPr>
            </w:pPr>
          </w:p>
        </w:tc>
        <w:tc>
          <w:tcPr>
            <w:tcW w:w="1260" w:type="dxa"/>
            <w:vAlign w:val="bottom"/>
            <w:shd w:val="clear" w:color="auto" w:fill="F2F3F2"/>
          </w:tcPr>
          <w:p>
            <w:pPr>
              <w:ind w:left="240"/>
              <w:spacing w:after="0" w:line="108" w:lineRule="exact"/>
              <w:rPr>
                <w:sz w:val="20"/>
                <w:szCs w:val="20"/>
                <w:color w:val="auto"/>
              </w:rPr>
            </w:pPr>
            <w:r>
              <w:rPr>
                <w:rFonts w:ascii="Arial" w:cs="Arial" w:eastAsia="Arial" w:hAnsi="Arial"/>
                <w:sz w:val="11"/>
                <w:szCs w:val="11"/>
                <w:color w:val="6AAA37"/>
              </w:rPr>
              <w:t>q</w:t>
            </w:r>
          </w:p>
        </w:tc>
        <w:tc>
          <w:tcPr>
            <w:tcW w:w="40" w:type="dxa"/>
            <w:vAlign w:val="bottom"/>
            <w:tcBorders>
              <w:left w:val="single" w:sz="8" w:color="F2F3F2"/>
            </w:tcBorders>
            <w:shd w:val="clear" w:color="auto" w:fill="F2F3F2"/>
          </w:tcPr>
          <w:p>
            <w:pPr>
              <w:spacing w:after="0"/>
              <w:rPr>
                <w:sz w:val="9"/>
                <w:szCs w:val="9"/>
                <w:color w:val="auto"/>
              </w:rPr>
            </w:pPr>
          </w:p>
        </w:tc>
        <w:tc>
          <w:tcPr>
            <w:tcW w:w="1080" w:type="dxa"/>
            <w:vAlign w:val="bottom"/>
            <w:vMerge w:val="restart"/>
            <w:shd w:val="clear" w:color="auto" w:fill="6AAA37"/>
          </w:tcPr>
          <w:p>
            <w:pPr>
              <w:jc w:val="right"/>
              <w:ind w:right="268"/>
              <w:spacing w:after="0"/>
              <w:rPr>
                <w:sz w:val="20"/>
                <w:szCs w:val="20"/>
                <w:color w:val="auto"/>
              </w:rPr>
            </w:pPr>
            <w:r>
              <w:rPr>
                <w:rFonts w:ascii="Arial" w:cs="Arial" w:eastAsia="Arial" w:hAnsi="Arial"/>
                <w:sz w:val="14"/>
                <w:szCs w:val="14"/>
                <w:color w:val="FFFFFF"/>
              </w:rPr>
              <w:t>200%</w:t>
            </w:r>
          </w:p>
        </w:tc>
        <w:tc>
          <w:tcPr>
            <w:tcW w:w="0" w:type="dxa"/>
            <w:vAlign w:val="bottom"/>
          </w:tcPr>
          <w:p>
            <w:pPr>
              <w:spacing w:after="0"/>
              <w:rPr>
                <w:sz w:val="1"/>
                <w:szCs w:val="1"/>
                <w:color w:val="auto"/>
              </w:rPr>
            </w:pPr>
          </w:p>
        </w:tc>
      </w:tr>
      <w:tr>
        <w:trPr>
          <w:trHeight w:val="85"/>
        </w:trPr>
        <w:tc>
          <w:tcPr>
            <w:tcW w:w="2000" w:type="dxa"/>
            <w:vAlign w:val="bottom"/>
            <w:vMerge w:val="continue"/>
            <w:shd w:val="clear" w:color="auto" w:fill="F2F3F2"/>
          </w:tcPr>
          <w:p>
            <w:pPr>
              <w:spacing w:after="0"/>
              <w:rPr>
                <w:sz w:val="7"/>
                <w:szCs w:val="7"/>
                <w:color w:val="auto"/>
              </w:rPr>
            </w:pPr>
          </w:p>
        </w:tc>
        <w:tc>
          <w:tcPr>
            <w:tcW w:w="1400" w:type="dxa"/>
            <w:vAlign w:val="bottom"/>
            <w:vMerge w:val="continue"/>
            <w:shd w:val="clear" w:color="auto" w:fill="F2F3F2"/>
          </w:tcPr>
          <w:p>
            <w:pPr>
              <w:spacing w:after="0"/>
              <w:rPr>
                <w:sz w:val="7"/>
                <w:szCs w:val="7"/>
                <w:color w:val="auto"/>
              </w:rPr>
            </w:pPr>
          </w:p>
        </w:tc>
        <w:tc>
          <w:tcPr>
            <w:tcW w:w="1300" w:type="dxa"/>
            <w:vAlign w:val="bottom"/>
            <w:tcBorders>
              <w:left w:val="single" w:sz="8" w:color="00558C"/>
              <w:right w:val="single" w:sz="8" w:color="B2B3B6"/>
            </w:tcBorders>
            <w:vMerge w:val="restart"/>
            <w:shd w:val="clear" w:color="auto" w:fill="00558C"/>
          </w:tcPr>
          <w:p>
            <w:pPr>
              <w:ind w:left="100"/>
              <w:spacing w:after="0"/>
              <w:rPr>
                <w:sz w:val="20"/>
                <w:szCs w:val="20"/>
                <w:color w:val="auto"/>
              </w:rPr>
            </w:pPr>
            <w:r>
              <w:rPr>
                <w:rFonts w:ascii="Arial" w:cs="Arial" w:eastAsia="Arial" w:hAnsi="Arial"/>
                <w:sz w:val="13"/>
                <w:szCs w:val="13"/>
                <w:b w:val="1"/>
                <w:bCs w:val="1"/>
                <w:color w:val="FFFFFF"/>
              </w:rPr>
              <w:t>No Payout Earned</w:t>
            </w:r>
          </w:p>
        </w:tc>
        <w:tc>
          <w:tcPr>
            <w:tcW w:w="320" w:type="dxa"/>
            <w:vAlign w:val="bottom"/>
            <w:shd w:val="clear" w:color="auto" w:fill="00558C"/>
          </w:tcPr>
          <w:p>
            <w:pPr>
              <w:spacing w:after="0"/>
              <w:rPr>
                <w:sz w:val="7"/>
                <w:szCs w:val="7"/>
                <w:color w:val="auto"/>
              </w:rPr>
            </w:pPr>
          </w:p>
        </w:tc>
        <w:tc>
          <w:tcPr>
            <w:tcW w:w="700" w:type="dxa"/>
            <w:vAlign w:val="bottom"/>
            <w:tcBorders>
              <w:right w:val="single" w:sz="8" w:color="B2B3B6"/>
            </w:tcBorders>
            <w:shd w:val="clear" w:color="auto" w:fill="00558C"/>
          </w:tcPr>
          <w:p>
            <w:pPr>
              <w:spacing w:after="0"/>
              <w:rPr>
                <w:sz w:val="7"/>
                <w:szCs w:val="7"/>
                <w:color w:val="auto"/>
              </w:rPr>
            </w:pPr>
          </w:p>
        </w:tc>
        <w:tc>
          <w:tcPr>
            <w:tcW w:w="460" w:type="dxa"/>
            <w:vAlign w:val="bottom"/>
            <w:shd w:val="clear" w:color="auto" w:fill="00558C"/>
          </w:tcPr>
          <w:p>
            <w:pPr>
              <w:spacing w:after="0"/>
              <w:rPr>
                <w:sz w:val="7"/>
                <w:szCs w:val="7"/>
                <w:color w:val="auto"/>
              </w:rPr>
            </w:pPr>
          </w:p>
        </w:tc>
        <w:tc>
          <w:tcPr>
            <w:tcW w:w="500" w:type="dxa"/>
            <w:vAlign w:val="bottom"/>
            <w:tcBorders>
              <w:right w:val="single" w:sz="8" w:color="B2B3B6"/>
            </w:tcBorders>
            <w:shd w:val="clear" w:color="auto" w:fill="00558C"/>
          </w:tcPr>
          <w:p>
            <w:pPr>
              <w:spacing w:after="0"/>
              <w:rPr>
                <w:sz w:val="7"/>
                <w:szCs w:val="7"/>
                <w:color w:val="auto"/>
              </w:rPr>
            </w:pPr>
          </w:p>
        </w:tc>
        <w:tc>
          <w:tcPr>
            <w:tcW w:w="1260" w:type="dxa"/>
            <w:vAlign w:val="bottom"/>
            <w:vMerge w:val="restart"/>
            <w:shd w:val="clear" w:color="auto" w:fill="00558C"/>
          </w:tcPr>
          <w:p>
            <w:pPr>
              <w:ind w:left="40"/>
              <w:spacing w:after="0"/>
              <w:rPr>
                <w:sz w:val="20"/>
                <w:szCs w:val="20"/>
                <w:color w:val="auto"/>
              </w:rPr>
            </w:pPr>
            <w:r>
              <w:rPr>
                <w:rFonts w:ascii="Arial" w:cs="Arial" w:eastAsia="Arial" w:hAnsi="Arial"/>
                <w:sz w:val="13"/>
                <w:szCs w:val="13"/>
                <w:b w:val="1"/>
                <w:bCs w:val="1"/>
                <w:color w:val="FFFFFF"/>
                <w:w w:val="98"/>
              </w:rPr>
              <w:t>Max Payout Earned</w:t>
            </w:r>
          </w:p>
        </w:tc>
        <w:tc>
          <w:tcPr>
            <w:tcW w:w="40" w:type="dxa"/>
            <w:vAlign w:val="bottom"/>
            <w:tcBorders>
              <w:left w:val="single" w:sz="8" w:color="B2B3B6"/>
            </w:tcBorders>
            <w:shd w:val="clear" w:color="auto" w:fill="F2F3F2"/>
          </w:tcPr>
          <w:p>
            <w:pPr>
              <w:spacing w:after="0"/>
              <w:rPr>
                <w:sz w:val="7"/>
                <w:szCs w:val="7"/>
                <w:color w:val="auto"/>
              </w:rPr>
            </w:pPr>
          </w:p>
        </w:tc>
        <w:tc>
          <w:tcPr>
            <w:tcW w:w="1080" w:type="dxa"/>
            <w:vAlign w:val="bottom"/>
            <w:vMerge w:val="continue"/>
            <w:shd w:val="clear" w:color="auto" w:fill="6AAA37"/>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2000" w:type="dxa"/>
            <w:vAlign w:val="bottom"/>
            <w:vMerge w:val="restart"/>
            <w:shd w:val="clear" w:color="auto" w:fill="F2F3F2"/>
          </w:tcPr>
          <w:p>
            <w:pPr>
              <w:ind w:left="140"/>
              <w:spacing w:after="0"/>
              <w:rPr>
                <w:sz w:val="20"/>
                <w:szCs w:val="20"/>
                <w:color w:val="auto"/>
              </w:rPr>
            </w:pPr>
            <w:r>
              <w:rPr>
                <w:rFonts w:ascii="Arial" w:cs="Arial" w:eastAsia="Arial" w:hAnsi="Arial"/>
                <w:sz w:val="14"/>
                <w:szCs w:val="14"/>
                <w:b w:val="1"/>
                <w:bCs w:val="1"/>
                <w:color w:val="auto"/>
              </w:rPr>
              <w:t>Reimbursable Expenses</w:t>
            </w:r>
          </w:p>
        </w:tc>
        <w:tc>
          <w:tcPr>
            <w:tcW w:w="1400" w:type="dxa"/>
            <w:vAlign w:val="bottom"/>
            <w:vMerge w:val="continue"/>
            <w:shd w:val="clear" w:color="auto" w:fill="F2F3F2"/>
          </w:tcPr>
          <w:p>
            <w:pPr>
              <w:spacing w:after="0"/>
              <w:rPr>
                <w:sz w:val="9"/>
                <w:szCs w:val="9"/>
                <w:color w:val="auto"/>
              </w:rPr>
            </w:pPr>
          </w:p>
        </w:tc>
        <w:tc>
          <w:tcPr>
            <w:tcW w:w="1300" w:type="dxa"/>
            <w:vAlign w:val="bottom"/>
            <w:tcBorders>
              <w:left w:val="single" w:sz="8" w:color="00558C"/>
              <w:right w:val="single" w:sz="8" w:color="B2B3B6"/>
            </w:tcBorders>
            <w:vMerge w:val="continue"/>
            <w:shd w:val="clear" w:color="auto" w:fill="00558C"/>
          </w:tcPr>
          <w:p>
            <w:pPr>
              <w:spacing w:after="0"/>
              <w:rPr>
                <w:sz w:val="9"/>
                <w:szCs w:val="9"/>
                <w:color w:val="auto"/>
              </w:rPr>
            </w:pPr>
          </w:p>
        </w:tc>
        <w:tc>
          <w:tcPr>
            <w:tcW w:w="320" w:type="dxa"/>
            <w:vAlign w:val="bottom"/>
            <w:shd w:val="clear" w:color="auto" w:fill="00558C"/>
          </w:tcPr>
          <w:p>
            <w:pPr>
              <w:spacing w:after="0"/>
              <w:rPr>
                <w:sz w:val="9"/>
                <w:szCs w:val="9"/>
                <w:color w:val="auto"/>
              </w:rPr>
            </w:pPr>
          </w:p>
        </w:tc>
        <w:tc>
          <w:tcPr>
            <w:tcW w:w="700" w:type="dxa"/>
            <w:vAlign w:val="bottom"/>
            <w:tcBorders>
              <w:right w:val="single" w:sz="8" w:color="B2B3B6"/>
            </w:tcBorders>
            <w:shd w:val="clear" w:color="auto" w:fill="00558C"/>
          </w:tcPr>
          <w:p>
            <w:pPr>
              <w:spacing w:after="0"/>
              <w:rPr>
                <w:sz w:val="9"/>
                <w:szCs w:val="9"/>
                <w:color w:val="auto"/>
              </w:rPr>
            </w:pPr>
          </w:p>
        </w:tc>
        <w:tc>
          <w:tcPr>
            <w:tcW w:w="460" w:type="dxa"/>
            <w:vAlign w:val="bottom"/>
            <w:shd w:val="clear" w:color="auto" w:fill="00558C"/>
          </w:tcPr>
          <w:p>
            <w:pPr>
              <w:spacing w:after="0"/>
              <w:rPr>
                <w:sz w:val="9"/>
                <w:szCs w:val="9"/>
                <w:color w:val="auto"/>
              </w:rPr>
            </w:pPr>
          </w:p>
        </w:tc>
        <w:tc>
          <w:tcPr>
            <w:tcW w:w="500" w:type="dxa"/>
            <w:vAlign w:val="bottom"/>
            <w:tcBorders>
              <w:right w:val="single" w:sz="8" w:color="B2B3B6"/>
            </w:tcBorders>
            <w:shd w:val="clear" w:color="auto" w:fill="00558C"/>
          </w:tcPr>
          <w:p>
            <w:pPr>
              <w:spacing w:after="0"/>
              <w:rPr>
                <w:sz w:val="9"/>
                <w:szCs w:val="9"/>
                <w:color w:val="auto"/>
              </w:rPr>
            </w:pPr>
          </w:p>
        </w:tc>
        <w:tc>
          <w:tcPr>
            <w:tcW w:w="1260" w:type="dxa"/>
            <w:vAlign w:val="bottom"/>
            <w:vMerge w:val="continue"/>
            <w:shd w:val="clear" w:color="auto" w:fill="00558C"/>
          </w:tcPr>
          <w:p>
            <w:pPr>
              <w:spacing w:after="0"/>
              <w:rPr>
                <w:sz w:val="9"/>
                <w:szCs w:val="9"/>
                <w:color w:val="auto"/>
              </w:rPr>
            </w:pPr>
          </w:p>
        </w:tc>
        <w:tc>
          <w:tcPr>
            <w:tcW w:w="40" w:type="dxa"/>
            <w:vAlign w:val="bottom"/>
            <w:tcBorders>
              <w:left w:val="single" w:sz="8" w:color="B2B3B6"/>
            </w:tcBorders>
            <w:shd w:val="clear" w:color="auto" w:fill="F2F3F2"/>
          </w:tcPr>
          <w:p>
            <w:pPr>
              <w:spacing w:after="0"/>
              <w:rPr>
                <w:sz w:val="9"/>
                <w:szCs w:val="9"/>
                <w:color w:val="auto"/>
              </w:rPr>
            </w:pPr>
          </w:p>
        </w:tc>
        <w:tc>
          <w:tcPr>
            <w:tcW w:w="1080" w:type="dxa"/>
            <w:vAlign w:val="bottom"/>
            <w:vMerge w:val="continue"/>
            <w:shd w:val="clear" w:color="auto" w:fill="6AAA37"/>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2000" w:type="dxa"/>
            <w:vAlign w:val="bottom"/>
            <w:vMerge w:val="continue"/>
            <w:shd w:val="clear" w:color="auto" w:fill="F2F3F2"/>
          </w:tcPr>
          <w:p>
            <w:pPr>
              <w:spacing w:after="0"/>
              <w:rPr>
                <w:sz w:val="5"/>
                <w:szCs w:val="5"/>
                <w:color w:val="auto"/>
              </w:rPr>
            </w:pPr>
          </w:p>
        </w:tc>
        <w:tc>
          <w:tcPr>
            <w:tcW w:w="1400" w:type="dxa"/>
            <w:vAlign w:val="bottom"/>
            <w:shd w:val="clear" w:color="auto" w:fill="F2F3F2"/>
          </w:tcPr>
          <w:p>
            <w:pPr>
              <w:spacing w:after="0"/>
              <w:rPr>
                <w:sz w:val="5"/>
                <w:szCs w:val="5"/>
                <w:color w:val="auto"/>
              </w:rPr>
            </w:pPr>
          </w:p>
        </w:tc>
        <w:tc>
          <w:tcPr>
            <w:tcW w:w="1300" w:type="dxa"/>
            <w:vAlign w:val="bottom"/>
            <w:tcBorders>
              <w:left w:val="single" w:sz="8" w:color="F2F3F2"/>
              <w:right w:val="single" w:sz="8" w:color="B2B3B6"/>
            </w:tcBorders>
            <w:shd w:val="clear" w:color="auto" w:fill="F2F3F2"/>
          </w:tcPr>
          <w:p>
            <w:pPr>
              <w:spacing w:after="0"/>
              <w:rPr>
                <w:sz w:val="5"/>
                <w:szCs w:val="5"/>
                <w:color w:val="auto"/>
              </w:rPr>
            </w:pPr>
          </w:p>
        </w:tc>
        <w:tc>
          <w:tcPr>
            <w:tcW w:w="320" w:type="dxa"/>
            <w:vAlign w:val="bottom"/>
            <w:shd w:val="clear" w:color="auto" w:fill="F2F3F2"/>
          </w:tcPr>
          <w:p>
            <w:pPr>
              <w:spacing w:after="0"/>
              <w:rPr>
                <w:sz w:val="5"/>
                <w:szCs w:val="5"/>
                <w:color w:val="auto"/>
              </w:rPr>
            </w:pPr>
          </w:p>
        </w:tc>
        <w:tc>
          <w:tcPr>
            <w:tcW w:w="700" w:type="dxa"/>
            <w:vAlign w:val="bottom"/>
            <w:tcBorders>
              <w:right w:val="single" w:sz="8" w:color="B2B3B6"/>
            </w:tcBorders>
            <w:shd w:val="clear" w:color="auto" w:fill="F2F3F2"/>
          </w:tcPr>
          <w:p>
            <w:pPr>
              <w:spacing w:after="0"/>
              <w:rPr>
                <w:sz w:val="5"/>
                <w:szCs w:val="5"/>
                <w:color w:val="auto"/>
              </w:rPr>
            </w:pPr>
          </w:p>
        </w:tc>
        <w:tc>
          <w:tcPr>
            <w:tcW w:w="460" w:type="dxa"/>
            <w:vAlign w:val="bottom"/>
            <w:shd w:val="clear" w:color="auto" w:fill="F2F3F2"/>
          </w:tcPr>
          <w:p>
            <w:pPr>
              <w:spacing w:after="0"/>
              <w:rPr>
                <w:sz w:val="5"/>
                <w:szCs w:val="5"/>
                <w:color w:val="auto"/>
              </w:rPr>
            </w:pPr>
          </w:p>
        </w:tc>
        <w:tc>
          <w:tcPr>
            <w:tcW w:w="500" w:type="dxa"/>
            <w:vAlign w:val="bottom"/>
            <w:tcBorders>
              <w:right w:val="single" w:sz="8" w:color="B2B3B6"/>
            </w:tcBorders>
            <w:shd w:val="clear" w:color="auto" w:fill="F2F3F2"/>
          </w:tcPr>
          <w:p>
            <w:pPr>
              <w:spacing w:after="0"/>
              <w:rPr>
                <w:sz w:val="5"/>
                <w:szCs w:val="5"/>
                <w:color w:val="auto"/>
              </w:rPr>
            </w:pPr>
          </w:p>
        </w:tc>
        <w:tc>
          <w:tcPr>
            <w:tcW w:w="1260" w:type="dxa"/>
            <w:vAlign w:val="bottom"/>
            <w:shd w:val="clear" w:color="auto" w:fill="F2F3F2"/>
          </w:tcPr>
          <w:p>
            <w:pPr>
              <w:spacing w:after="0"/>
              <w:rPr>
                <w:sz w:val="5"/>
                <w:szCs w:val="5"/>
                <w:color w:val="auto"/>
              </w:rPr>
            </w:pPr>
          </w:p>
        </w:tc>
        <w:tc>
          <w:tcPr>
            <w:tcW w:w="40" w:type="dxa"/>
            <w:vAlign w:val="bottom"/>
            <w:tcBorders>
              <w:left w:val="single" w:sz="8" w:color="F2F3F2"/>
            </w:tcBorders>
            <w:shd w:val="clear" w:color="auto" w:fill="F2F3F2"/>
          </w:tcPr>
          <w:p>
            <w:pPr>
              <w:spacing w:after="0"/>
              <w:rPr>
                <w:sz w:val="5"/>
                <w:szCs w:val="5"/>
                <w:color w:val="auto"/>
              </w:rPr>
            </w:pPr>
          </w:p>
        </w:tc>
        <w:tc>
          <w:tcPr>
            <w:tcW w:w="1080" w:type="dxa"/>
            <w:vAlign w:val="bottom"/>
            <w:shd w:val="clear" w:color="auto" w:fill="6AAA37"/>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00" w:type="dxa"/>
            <w:vAlign w:val="bottom"/>
            <w:shd w:val="clear" w:color="auto" w:fill="F2F3F2"/>
          </w:tcPr>
          <w:p>
            <w:pPr>
              <w:spacing w:after="0"/>
              <w:rPr>
                <w:sz w:val="16"/>
                <w:szCs w:val="16"/>
                <w:color w:val="auto"/>
              </w:rPr>
            </w:pPr>
          </w:p>
        </w:tc>
        <w:tc>
          <w:tcPr>
            <w:tcW w:w="1400" w:type="dxa"/>
            <w:vAlign w:val="bottom"/>
            <w:shd w:val="clear" w:color="auto" w:fill="F2F3F2"/>
          </w:tcPr>
          <w:p>
            <w:pPr>
              <w:spacing w:after="0"/>
              <w:rPr>
                <w:sz w:val="16"/>
                <w:szCs w:val="16"/>
                <w:color w:val="auto"/>
              </w:rPr>
            </w:pPr>
          </w:p>
        </w:tc>
        <w:tc>
          <w:tcPr>
            <w:tcW w:w="1620" w:type="dxa"/>
            <w:vAlign w:val="bottom"/>
            <w:tcBorders>
              <w:left w:val="single" w:sz="8" w:color="F2F3F2"/>
            </w:tcBorders>
            <w:gridSpan w:val="2"/>
            <w:shd w:val="clear" w:color="auto" w:fill="F2F3F2"/>
          </w:tcPr>
          <w:p>
            <w:pPr>
              <w:jc w:val="center"/>
              <w:ind w:left="735"/>
              <w:spacing w:after="0"/>
              <w:rPr>
                <w:sz w:val="20"/>
                <w:szCs w:val="20"/>
                <w:color w:val="auto"/>
              </w:rPr>
            </w:pPr>
            <w:r>
              <w:rPr>
                <w:rFonts w:ascii="Arial" w:cs="Arial" w:eastAsia="Arial" w:hAnsi="Arial"/>
                <w:sz w:val="13"/>
                <w:szCs w:val="13"/>
                <w:color w:val="auto"/>
                <w:w w:val="94"/>
              </w:rPr>
              <w:t>$2.870B</w:t>
            </w:r>
          </w:p>
        </w:tc>
        <w:tc>
          <w:tcPr>
            <w:tcW w:w="1160" w:type="dxa"/>
            <w:vAlign w:val="bottom"/>
            <w:gridSpan w:val="2"/>
            <w:shd w:val="clear" w:color="auto" w:fill="F2F3F2"/>
          </w:tcPr>
          <w:p>
            <w:pPr>
              <w:jc w:val="center"/>
              <w:ind w:left="73"/>
              <w:spacing w:after="0"/>
              <w:rPr>
                <w:sz w:val="20"/>
                <w:szCs w:val="20"/>
                <w:color w:val="auto"/>
              </w:rPr>
            </w:pPr>
            <w:r>
              <w:rPr>
                <w:rFonts w:ascii="Arial" w:cs="Arial" w:eastAsia="Arial" w:hAnsi="Arial"/>
                <w:sz w:val="13"/>
                <w:szCs w:val="13"/>
                <w:color w:val="auto"/>
                <w:w w:val="94"/>
              </w:rPr>
              <w:t>$3.375B</w:t>
            </w:r>
          </w:p>
        </w:tc>
        <w:tc>
          <w:tcPr>
            <w:tcW w:w="1800" w:type="dxa"/>
            <w:vAlign w:val="bottom"/>
            <w:gridSpan w:val="3"/>
            <w:shd w:val="clear" w:color="auto" w:fill="F2F3F2"/>
          </w:tcPr>
          <w:p>
            <w:pPr>
              <w:jc w:val="center"/>
              <w:ind w:right="680"/>
              <w:spacing w:after="0"/>
              <w:rPr>
                <w:sz w:val="20"/>
                <w:szCs w:val="20"/>
                <w:color w:val="auto"/>
              </w:rPr>
            </w:pPr>
            <w:r>
              <w:rPr>
                <w:rFonts w:ascii="Arial" w:cs="Arial" w:eastAsia="Arial" w:hAnsi="Arial"/>
                <w:sz w:val="13"/>
                <w:szCs w:val="13"/>
                <w:color w:val="auto"/>
                <w:w w:val="99"/>
              </w:rPr>
              <w:t>$3.880B</w:t>
            </w:r>
          </w:p>
        </w:tc>
        <w:tc>
          <w:tcPr>
            <w:tcW w:w="1080" w:type="dxa"/>
            <w:vAlign w:val="bottom"/>
            <w:shd w:val="clear" w:color="auto" w:fill="6AAA37"/>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00" w:type="dxa"/>
            <w:vAlign w:val="bottom"/>
            <w:shd w:val="clear" w:color="auto" w:fill="F2F3F2"/>
          </w:tcPr>
          <w:p>
            <w:pPr>
              <w:spacing w:after="0"/>
              <w:rPr>
                <w:sz w:val="7"/>
                <w:szCs w:val="7"/>
                <w:color w:val="auto"/>
              </w:rPr>
            </w:pPr>
          </w:p>
        </w:tc>
        <w:tc>
          <w:tcPr>
            <w:tcW w:w="1400" w:type="dxa"/>
            <w:vAlign w:val="bottom"/>
            <w:shd w:val="clear" w:color="auto" w:fill="F2F3F2"/>
          </w:tcPr>
          <w:p>
            <w:pPr>
              <w:spacing w:after="0"/>
              <w:rPr>
                <w:sz w:val="7"/>
                <w:szCs w:val="7"/>
                <w:color w:val="auto"/>
              </w:rPr>
            </w:pPr>
          </w:p>
        </w:tc>
        <w:tc>
          <w:tcPr>
            <w:tcW w:w="1300" w:type="dxa"/>
            <w:vAlign w:val="bottom"/>
            <w:tcBorders>
              <w:left w:val="single" w:sz="8" w:color="F2F3F2"/>
              <w:right w:val="single" w:sz="8" w:color="F2F3F2"/>
            </w:tcBorders>
            <w:shd w:val="clear" w:color="auto" w:fill="F2F3F2"/>
          </w:tcPr>
          <w:p>
            <w:pPr>
              <w:spacing w:after="0"/>
              <w:rPr>
                <w:sz w:val="7"/>
                <w:szCs w:val="7"/>
                <w:color w:val="auto"/>
              </w:rPr>
            </w:pPr>
          </w:p>
        </w:tc>
        <w:tc>
          <w:tcPr>
            <w:tcW w:w="320" w:type="dxa"/>
            <w:vAlign w:val="bottom"/>
            <w:shd w:val="clear" w:color="auto" w:fill="F2F3F2"/>
          </w:tcPr>
          <w:p>
            <w:pPr>
              <w:spacing w:after="0"/>
              <w:rPr>
                <w:sz w:val="7"/>
                <w:szCs w:val="7"/>
                <w:color w:val="auto"/>
              </w:rPr>
            </w:pPr>
          </w:p>
        </w:tc>
        <w:tc>
          <w:tcPr>
            <w:tcW w:w="700" w:type="dxa"/>
            <w:vAlign w:val="bottom"/>
            <w:tcBorders>
              <w:right w:val="single" w:sz="8" w:color="F2F3F2"/>
            </w:tcBorders>
            <w:shd w:val="clear" w:color="auto" w:fill="F2F3F2"/>
          </w:tcPr>
          <w:p>
            <w:pPr>
              <w:spacing w:after="0"/>
              <w:rPr>
                <w:sz w:val="7"/>
                <w:szCs w:val="7"/>
                <w:color w:val="auto"/>
              </w:rPr>
            </w:pPr>
          </w:p>
        </w:tc>
        <w:tc>
          <w:tcPr>
            <w:tcW w:w="460" w:type="dxa"/>
            <w:vAlign w:val="bottom"/>
            <w:shd w:val="clear" w:color="auto" w:fill="F2F3F2"/>
          </w:tcPr>
          <w:p>
            <w:pPr>
              <w:spacing w:after="0"/>
              <w:rPr>
                <w:sz w:val="7"/>
                <w:szCs w:val="7"/>
                <w:color w:val="auto"/>
              </w:rPr>
            </w:pPr>
          </w:p>
        </w:tc>
        <w:tc>
          <w:tcPr>
            <w:tcW w:w="500" w:type="dxa"/>
            <w:vAlign w:val="bottom"/>
            <w:tcBorders>
              <w:right w:val="single" w:sz="8" w:color="F2F3F2"/>
            </w:tcBorders>
            <w:shd w:val="clear" w:color="auto" w:fill="F2F3F2"/>
          </w:tcPr>
          <w:p>
            <w:pPr>
              <w:spacing w:after="0"/>
              <w:rPr>
                <w:sz w:val="7"/>
                <w:szCs w:val="7"/>
                <w:color w:val="auto"/>
              </w:rPr>
            </w:pPr>
          </w:p>
        </w:tc>
        <w:tc>
          <w:tcPr>
            <w:tcW w:w="1260" w:type="dxa"/>
            <w:vAlign w:val="bottom"/>
            <w:shd w:val="clear" w:color="auto" w:fill="F2F3F2"/>
          </w:tcPr>
          <w:p>
            <w:pPr>
              <w:spacing w:after="0"/>
              <w:rPr>
                <w:sz w:val="7"/>
                <w:szCs w:val="7"/>
                <w:color w:val="auto"/>
              </w:rPr>
            </w:pPr>
          </w:p>
        </w:tc>
        <w:tc>
          <w:tcPr>
            <w:tcW w:w="40" w:type="dxa"/>
            <w:vAlign w:val="bottom"/>
            <w:tcBorders>
              <w:left w:val="single" w:sz="8" w:color="F2F3F2"/>
            </w:tcBorders>
            <w:shd w:val="clear" w:color="auto" w:fill="F2F3F2"/>
          </w:tcPr>
          <w:p>
            <w:pPr>
              <w:spacing w:after="0"/>
              <w:rPr>
                <w:sz w:val="7"/>
                <w:szCs w:val="7"/>
                <w:color w:val="auto"/>
              </w:rPr>
            </w:pPr>
          </w:p>
        </w:tc>
        <w:tc>
          <w:tcPr>
            <w:tcW w:w="1080" w:type="dxa"/>
            <w:vAlign w:val="bottom"/>
            <w:shd w:val="clear" w:color="auto" w:fill="6AAA37"/>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0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0" w:type="dxa"/>
            <w:vAlign w:val="bottom"/>
            <w:gridSpan w:val="3"/>
          </w:tcPr>
          <w:p>
            <w:pPr>
              <w:spacing w:after="0"/>
              <w:rPr>
                <w:sz w:val="9"/>
                <w:szCs w:val="9"/>
                <w:color w:val="auto"/>
              </w:rPr>
            </w:pPr>
          </w:p>
        </w:tc>
        <w:tc>
          <w:tcPr>
            <w:tcW w:w="1080" w:type="dxa"/>
            <w:vAlign w:val="bottom"/>
            <w:shd w:val="clear" w:color="auto" w:fill="6AAA37"/>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760" w:type="dxa"/>
            <w:vAlign w:val="bottom"/>
            <w:gridSpan w:val="2"/>
            <w:shd w:val="clear" w:color="auto" w:fill="6AAA37"/>
          </w:tcPr>
          <w:p>
            <w:pPr>
              <w:jc w:val="center"/>
              <w:spacing w:after="0"/>
              <w:rPr>
                <w:sz w:val="20"/>
                <w:szCs w:val="20"/>
                <w:color w:val="auto"/>
              </w:rPr>
            </w:pPr>
            <w:r>
              <w:rPr>
                <w:rFonts w:ascii="Arial" w:cs="Arial" w:eastAsia="Arial" w:hAnsi="Arial"/>
                <w:sz w:val="11"/>
                <w:szCs w:val="11"/>
                <w:color w:val="FFFFFF"/>
                <w:w w:val="97"/>
              </w:rPr>
              <w:t xml:space="preserve">Actual Performance </w:t>
            </w:r>
            <w:r>
              <w:rPr>
                <w:rFonts w:ascii="Arial" w:cs="Arial" w:eastAsia="Arial" w:hAnsi="Arial"/>
                <w:sz w:val="11"/>
                <w:szCs w:val="11"/>
                <w:b w:val="1"/>
                <w:bCs w:val="1"/>
                <w:color w:val="FFFFFF"/>
                <w:w w:val="97"/>
              </w:rPr>
              <w:t>$14.81</w:t>
            </w:r>
          </w:p>
        </w:tc>
        <w:tc>
          <w:tcPr>
            <w:tcW w:w="40" w:type="dxa"/>
            <w:vAlign w:val="bottom"/>
          </w:tcPr>
          <w:p>
            <w:pPr>
              <w:spacing w:after="0"/>
              <w:rPr>
                <w:sz w:val="15"/>
                <w:szCs w:val="15"/>
                <w:color w:val="auto"/>
              </w:rPr>
            </w:pPr>
          </w:p>
        </w:tc>
        <w:tc>
          <w:tcPr>
            <w:tcW w:w="1080" w:type="dxa"/>
            <w:vAlign w:val="bottom"/>
            <w:shd w:val="clear" w:color="auto" w:fill="6AAA37"/>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200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Adjusted Diluted EPS</w:t>
            </w:r>
            <w:r>
              <w:rPr>
                <w:rFonts w:ascii="Arial" w:cs="Arial" w:eastAsia="Arial" w:hAnsi="Arial"/>
                <w:sz w:val="18"/>
                <w:szCs w:val="18"/>
                <w:b w:val="1"/>
                <w:bCs w:val="1"/>
                <w:color w:val="auto"/>
                <w:vertAlign w:val="superscript"/>
              </w:rPr>
              <w:t>8</w:t>
            </w:r>
          </w:p>
        </w:tc>
        <w:tc>
          <w:tcPr>
            <w:tcW w:w="1400" w:type="dxa"/>
            <w:vAlign w:val="bottom"/>
            <w:vMerge w:val="restart"/>
          </w:tcPr>
          <w:p>
            <w:pPr>
              <w:jc w:val="center"/>
              <w:spacing w:after="0"/>
              <w:rPr>
                <w:sz w:val="20"/>
                <w:szCs w:val="20"/>
                <w:color w:val="auto"/>
              </w:rPr>
            </w:pPr>
            <w:r>
              <w:rPr>
                <w:rFonts w:ascii="Arial" w:cs="Arial" w:eastAsia="Arial" w:hAnsi="Arial"/>
                <w:sz w:val="14"/>
                <w:szCs w:val="14"/>
                <w:b w:val="1"/>
                <w:bCs w:val="1"/>
                <w:color w:val="6AAA37"/>
                <w:w w:val="99"/>
              </w:rPr>
              <w:t>50%</w:t>
            </w:r>
          </w:p>
        </w:tc>
        <w:tc>
          <w:tcPr>
            <w:tcW w:w="1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60" w:type="dxa"/>
            <w:vAlign w:val="bottom"/>
          </w:tcPr>
          <w:p>
            <w:pPr>
              <w:jc w:val="center"/>
              <w:ind w:right="219"/>
              <w:spacing w:after="0" w:line="108" w:lineRule="exact"/>
              <w:rPr>
                <w:sz w:val="20"/>
                <w:szCs w:val="20"/>
                <w:color w:val="auto"/>
              </w:rPr>
            </w:pPr>
            <w:r>
              <w:rPr>
                <w:rFonts w:ascii="Arial" w:cs="Arial" w:eastAsia="Arial" w:hAnsi="Arial"/>
                <w:sz w:val="11"/>
                <w:szCs w:val="11"/>
                <w:color w:val="6AAA37"/>
                <w:w w:val="97"/>
              </w:rPr>
              <w:t>q</w:t>
            </w:r>
          </w:p>
        </w:tc>
        <w:tc>
          <w:tcPr>
            <w:tcW w:w="40" w:type="dxa"/>
            <w:vAlign w:val="bottom"/>
          </w:tcPr>
          <w:p>
            <w:pPr>
              <w:spacing w:after="0"/>
              <w:rPr>
                <w:sz w:val="9"/>
                <w:szCs w:val="9"/>
                <w:color w:val="auto"/>
              </w:rPr>
            </w:pPr>
          </w:p>
        </w:tc>
        <w:tc>
          <w:tcPr>
            <w:tcW w:w="1080" w:type="dxa"/>
            <w:vAlign w:val="bottom"/>
            <w:vMerge w:val="restart"/>
            <w:shd w:val="clear" w:color="auto" w:fill="6AAA37"/>
          </w:tcPr>
          <w:p>
            <w:pPr>
              <w:jc w:val="right"/>
              <w:ind w:right="268"/>
              <w:spacing w:after="0"/>
              <w:rPr>
                <w:sz w:val="20"/>
                <w:szCs w:val="20"/>
                <w:color w:val="auto"/>
              </w:rPr>
            </w:pPr>
            <w:r>
              <w:rPr>
                <w:rFonts w:ascii="Arial" w:cs="Arial" w:eastAsia="Arial" w:hAnsi="Arial"/>
                <w:sz w:val="14"/>
                <w:szCs w:val="14"/>
                <w:color w:val="FFFFFF"/>
              </w:rPr>
              <w:t>200%</w:t>
            </w:r>
          </w:p>
        </w:tc>
        <w:tc>
          <w:tcPr>
            <w:tcW w:w="0" w:type="dxa"/>
            <w:vAlign w:val="bottom"/>
          </w:tcPr>
          <w:p>
            <w:pPr>
              <w:spacing w:after="0"/>
              <w:rPr>
                <w:sz w:val="1"/>
                <w:szCs w:val="1"/>
                <w:color w:val="auto"/>
              </w:rPr>
            </w:pPr>
          </w:p>
        </w:tc>
      </w:tr>
      <w:tr>
        <w:trPr>
          <w:trHeight w:val="189"/>
        </w:trPr>
        <w:tc>
          <w:tcPr>
            <w:tcW w:w="2000" w:type="dxa"/>
            <w:vAlign w:val="bottom"/>
            <w:vMerge w:val="continue"/>
          </w:tcPr>
          <w:p>
            <w:pPr>
              <w:spacing w:after="0"/>
              <w:rPr>
                <w:sz w:val="16"/>
                <w:szCs w:val="16"/>
                <w:color w:val="auto"/>
              </w:rPr>
            </w:pPr>
          </w:p>
        </w:tc>
        <w:tc>
          <w:tcPr>
            <w:tcW w:w="1400" w:type="dxa"/>
            <w:vAlign w:val="bottom"/>
            <w:vMerge w:val="continue"/>
          </w:tcPr>
          <w:p>
            <w:pPr>
              <w:spacing w:after="0"/>
              <w:rPr>
                <w:sz w:val="16"/>
                <w:szCs w:val="16"/>
                <w:color w:val="auto"/>
              </w:rPr>
            </w:pPr>
          </w:p>
        </w:tc>
        <w:tc>
          <w:tcPr>
            <w:tcW w:w="1300" w:type="dxa"/>
            <w:vAlign w:val="bottom"/>
            <w:tcBorders>
              <w:left w:val="single" w:sz="8" w:color="00558C"/>
              <w:right w:val="single" w:sz="8" w:color="B2B3B6"/>
            </w:tcBorders>
            <w:shd w:val="clear" w:color="auto" w:fill="00558C"/>
          </w:tcPr>
          <w:p>
            <w:pPr>
              <w:ind w:left="100"/>
              <w:spacing w:after="0"/>
              <w:rPr>
                <w:sz w:val="20"/>
                <w:szCs w:val="20"/>
                <w:color w:val="auto"/>
              </w:rPr>
            </w:pPr>
            <w:r>
              <w:rPr>
                <w:rFonts w:ascii="Arial" w:cs="Arial" w:eastAsia="Arial" w:hAnsi="Arial"/>
                <w:sz w:val="13"/>
                <w:szCs w:val="13"/>
                <w:b w:val="1"/>
                <w:bCs w:val="1"/>
                <w:color w:val="FFFFFF"/>
              </w:rPr>
              <w:t>No Payout Earned</w:t>
            </w:r>
          </w:p>
        </w:tc>
        <w:tc>
          <w:tcPr>
            <w:tcW w:w="320" w:type="dxa"/>
            <w:vAlign w:val="bottom"/>
            <w:shd w:val="clear" w:color="auto" w:fill="00558C"/>
          </w:tcPr>
          <w:p>
            <w:pPr>
              <w:spacing w:after="0"/>
              <w:rPr>
                <w:sz w:val="16"/>
                <w:szCs w:val="16"/>
                <w:color w:val="auto"/>
              </w:rPr>
            </w:pPr>
          </w:p>
        </w:tc>
        <w:tc>
          <w:tcPr>
            <w:tcW w:w="700" w:type="dxa"/>
            <w:vAlign w:val="bottom"/>
            <w:tcBorders>
              <w:right w:val="single" w:sz="8" w:color="B2B3B6"/>
            </w:tcBorders>
            <w:shd w:val="clear" w:color="auto" w:fill="00558C"/>
          </w:tcPr>
          <w:p>
            <w:pPr>
              <w:spacing w:after="0"/>
              <w:rPr>
                <w:sz w:val="16"/>
                <w:szCs w:val="16"/>
                <w:color w:val="auto"/>
              </w:rPr>
            </w:pPr>
          </w:p>
        </w:tc>
        <w:tc>
          <w:tcPr>
            <w:tcW w:w="460" w:type="dxa"/>
            <w:vAlign w:val="bottom"/>
            <w:shd w:val="clear" w:color="auto" w:fill="00558C"/>
          </w:tcPr>
          <w:p>
            <w:pPr>
              <w:spacing w:after="0"/>
              <w:rPr>
                <w:sz w:val="16"/>
                <w:szCs w:val="16"/>
                <w:color w:val="auto"/>
              </w:rPr>
            </w:pPr>
          </w:p>
        </w:tc>
        <w:tc>
          <w:tcPr>
            <w:tcW w:w="500" w:type="dxa"/>
            <w:vAlign w:val="bottom"/>
            <w:tcBorders>
              <w:right w:val="single" w:sz="8" w:color="B2B3B6"/>
            </w:tcBorders>
            <w:shd w:val="clear" w:color="auto" w:fill="00558C"/>
          </w:tcPr>
          <w:p>
            <w:pPr>
              <w:spacing w:after="0"/>
              <w:rPr>
                <w:sz w:val="16"/>
                <w:szCs w:val="16"/>
                <w:color w:val="auto"/>
              </w:rPr>
            </w:pPr>
          </w:p>
        </w:tc>
        <w:tc>
          <w:tcPr>
            <w:tcW w:w="1260" w:type="dxa"/>
            <w:vAlign w:val="bottom"/>
            <w:shd w:val="clear" w:color="auto" w:fill="00558C"/>
          </w:tcPr>
          <w:p>
            <w:pPr>
              <w:ind w:left="40"/>
              <w:spacing w:after="0"/>
              <w:rPr>
                <w:sz w:val="20"/>
                <w:szCs w:val="20"/>
                <w:color w:val="auto"/>
              </w:rPr>
            </w:pPr>
            <w:r>
              <w:rPr>
                <w:rFonts w:ascii="Arial" w:cs="Arial" w:eastAsia="Arial" w:hAnsi="Arial"/>
                <w:sz w:val="13"/>
                <w:szCs w:val="13"/>
                <w:b w:val="1"/>
                <w:bCs w:val="1"/>
                <w:color w:val="FFFFFF"/>
                <w:w w:val="98"/>
              </w:rPr>
              <w:t>Max Payout Earned</w:t>
            </w:r>
          </w:p>
        </w:tc>
        <w:tc>
          <w:tcPr>
            <w:tcW w:w="40" w:type="dxa"/>
            <w:vAlign w:val="bottom"/>
            <w:tcBorders>
              <w:left w:val="single" w:sz="8" w:color="B2B3B6"/>
            </w:tcBorders>
          </w:tcPr>
          <w:p>
            <w:pPr>
              <w:spacing w:after="0"/>
              <w:rPr>
                <w:sz w:val="16"/>
                <w:szCs w:val="16"/>
                <w:color w:val="auto"/>
              </w:rPr>
            </w:pPr>
          </w:p>
        </w:tc>
        <w:tc>
          <w:tcPr>
            <w:tcW w:w="1080" w:type="dxa"/>
            <w:vAlign w:val="bottom"/>
            <w:vMerge w:val="continue"/>
            <w:shd w:val="clear" w:color="auto" w:fill="6AAA37"/>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0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300" w:type="dxa"/>
            <w:vAlign w:val="bottom"/>
            <w:tcBorders>
              <w:right w:val="single" w:sz="8" w:color="B2B3B6"/>
            </w:tcBorders>
          </w:tcPr>
          <w:p>
            <w:pPr>
              <w:spacing w:after="0"/>
              <w:rPr>
                <w:sz w:val="5"/>
                <w:szCs w:val="5"/>
                <w:color w:val="auto"/>
              </w:rPr>
            </w:pPr>
          </w:p>
        </w:tc>
        <w:tc>
          <w:tcPr>
            <w:tcW w:w="320" w:type="dxa"/>
            <w:vAlign w:val="bottom"/>
          </w:tcPr>
          <w:p>
            <w:pPr>
              <w:spacing w:after="0"/>
              <w:rPr>
                <w:sz w:val="5"/>
                <w:szCs w:val="5"/>
                <w:color w:val="auto"/>
              </w:rPr>
            </w:pPr>
          </w:p>
        </w:tc>
        <w:tc>
          <w:tcPr>
            <w:tcW w:w="700" w:type="dxa"/>
            <w:vAlign w:val="bottom"/>
            <w:tcBorders>
              <w:right w:val="single" w:sz="8" w:color="B2B3B6"/>
            </w:tcBorders>
          </w:tcPr>
          <w:p>
            <w:pPr>
              <w:spacing w:after="0"/>
              <w:rPr>
                <w:sz w:val="5"/>
                <w:szCs w:val="5"/>
                <w:color w:val="auto"/>
              </w:rPr>
            </w:pPr>
          </w:p>
        </w:tc>
        <w:tc>
          <w:tcPr>
            <w:tcW w:w="460" w:type="dxa"/>
            <w:vAlign w:val="bottom"/>
          </w:tcPr>
          <w:p>
            <w:pPr>
              <w:spacing w:after="0"/>
              <w:rPr>
                <w:sz w:val="5"/>
                <w:szCs w:val="5"/>
                <w:color w:val="auto"/>
              </w:rPr>
            </w:pPr>
          </w:p>
        </w:tc>
        <w:tc>
          <w:tcPr>
            <w:tcW w:w="500" w:type="dxa"/>
            <w:vAlign w:val="bottom"/>
            <w:tcBorders>
              <w:right w:val="single" w:sz="8" w:color="B2B3B6"/>
            </w:tcBorders>
          </w:tcPr>
          <w:p>
            <w:pPr>
              <w:spacing w:after="0"/>
              <w:rPr>
                <w:sz w:val="5"/>
                <w:szCs w:val="5"/>
                <w:color w:val="auto"/>
              </w:rPr>
            </w:pPr>
          </w:p>
        </w:tc>
        <w:tc>
          <w:tcPr>
            <w:tcW w:w="12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80" w:type="dxa"/>
            <w:vAlign w:val="bottom"/>
            <w:shd w:val="clear" w:color="auto" w:fill="6AAA37"/>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3"/>
                <w:szCs w:val="13"/>
                <w:color w:val="auto"/>
              </w:rPr>
              <w:t>$9.15</w:t>
            </w:r>
          </w:p>
        </w:tc>
        <w:tc>
          <w:tcPr>
            <w:tcW w:w="1160" w:type="dxa"/>
            <w:vAlign w:val="bottom"/>
            <w:gridSpan w:val="2"/>
          </w:tcPr>
          <w:p>
            <w:pPr>
              <w:jc w:val="center"/>
              <w:ind w:left="113"/>
              <w:spacing w:after="0"/>
              <w:rPr>
                <w:sz w:val="20"/>
                <w:szCs w:val="20"/>
                <w:color w:val="auto"/>
              </w:rPr>
            </w:pPr>
            <w:r>
              <w:rPr>
                <w:rFonts w:ascii="Arial" w:cs="Arial" w:eastAsia="Arial" w:hAnsi="Arial"/>
                <w:sz w:val="13"/>
                <w:szCs w:val="13"/>
                <w:color w:val="auto"/>
                <w:w w:val="95"/>
              </w:rPr>
              <w:t>$10.75</w:t>
            </w:r>
          </w:p>
        </w:tc>
        <w:tc>
          <w:tcPr>
            <w:tcW w:w="1760" w:type="dxa"/>
            <w:vAlign w:val="bottom"/>
            <w:gridSpan w:val="2"/>
          </w:tcPr>
          <w:p>
            <w:pPr>
              <w:jc w:val="right"/>
              <w:ind w:right="939"/>
              <w:spacing w:after="0"/>
              <w:rPr>
                <w:sz w:val="20"/>
                <w:szCs w:val="20"/>
                <w:color w:val="auto"/>
              </w:rPr>
            </w:pPr>
            <w:r>
              <w:rPr>
                <w:rFonts w:ascii="Arial" w:cs="Arial" w:eastAsia="Arial" w:hAnsi="Arial"/>
                <w:sz w:val="13"/>
                <w:szCs w:val="13"/>
                <w:color w:val="auto"/>
              </w:rPr>
              <w:t>$12.35</w:t>
            </w:r>
          </w:p>
        </w:tc>
        <w:tc>
          <w:tcPr>
            <w:tcW w:w="40" w:type="dxa"/>
            <w:vAlign w:val="bottom"/>
          </w:tcPr>
          <w:p>
            <w:pPr>
              <w:spacing w:after="0"/>
              <w:rPr>
                <w:sz w:val="16"/>
                <w:szCs w:val="16"/>
                <w:color w:val="auto"/>
              </w:rPr>
            </w:pPr>
          </w:p>
        </w:tc>
        <w:tc>
          <w:tcPr>
            <w:tcW w:w="1080" w:type="dxa"/>
            <w:vAlign w:val="bottom"/>
            <w:shd w:val="clear" w:color="auto" w:fill="6AAA37"/>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0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3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80" w:type="dxa"/>
            <w:vAlign w:val="bottom"/>
            <w:shd w:val="clear" w:color="auto" w:fill="6AAA37"/>
          </w:tcPr>
          <w:p>
            <w:pPr>
              <w:spacing w:after="0"/>
              <w:rPr>
                <w:sz w:val="5"/>
                <w:szCs w:val="5"/>
                <w:color w:val="auto"/>
              </w:rPr>
            </w:pPr>
          </w:p>
        </w:tc>
        <w:tc>
          <w:tcPr>
            <w:tcW w:w="0" w:type="dxa"/>
            <w:vAlign w:val="bottom"/>
          </w:tcPr>
          <w:p>
            <w:pPr>
              <w:spacing w:after="0"/>
              <w:rPr>
                <w:sz w:val="1"/>
                <w:szCs w:val="1"/>
                <w:color w:val="auto"/>
              </w:rPr>
            </w:pPr>
          </w:p>
        </w:tc>
      </w:tr>
      <w:tr>
        <w:trPr>
          <w:trHeight w:val="578"/>
        </w:trPr>
        <w:tc>
          <w:tcPr>
            <w:tcW w:w="2000" w:type="dxa"/>
            <w:vAlign w:val="bottom"/>
            <w:shd w:val="clear" w:color="auto" w:fill="F2F3F2"/>
          </w:tcPr>
          <w:p>
            <w:pPr>
              <w:ind w:left="140"/>
              <w:spacing w:after="0"/>
              <w:rPr>
                <w:sz w:val="20"/>
                <w:szCs w:val="20"/>
                <w:color w:val="auto"/>
              </w:rPr>
            </w:pPr>
            <w:r>
              <w:rPr>
                <w:rFonts w:ascii="Arial" w:cs="Arial" w:eastAsia="Arial" w:hAnsi="Arial"/>
                <w:sz w:val="14"/>
                <w:szCs w:val="14"/>
                <w:b w:val="1"/>
                <w:bCs w:val="1"/>
                <w:color w:val="auto"/>
              </w:rPr>
              <w:t>Total</w:t>
            </w:r>
          </w:p>
        </w:tc>
        <w:tc>
          <w:tcPr>
            <w:tcW w:w="1400" w:type="dxa"/>
            <w:vAlign w:val="bottom"/>
            <w:shd w:val="clear" w:color="auto" w:fill="F2F3F2"/>
          </w:tcPr>
          <w:p>
            <w:pPr>
              <w:jc w:val="center"/>
              <w:spacing w:after="0"/>
              <w:rPr>
                <w:sz w:val="20"/>
                <w:szCs w:val="20"/>
                <w:color w:val="auto"/>
              </w:rPr>
            </w:pPr>
            <w:r>
              <w:rPr>
                <w:rFonts w:ascii="Arial" w:cs="Arial" w:eastAsia="Arial" w:hAnsi="Arial"/>
                <w:sz w:val="14"/>
                <w:szCs w:val="14"/>
                <w:b w:val="1"/>
                <w:bCs w:val="1"/>
                <w:color w:val="6AAA37"/>
              </w:rPr>
              <w:t>100%</w:t>
            </w:r>
          </w:p>
        </w:tc>
        <w:tc>
          <w:tcPr>
            <w:tcW w:w="1300" w:type="dxa"/>
            <w:vAlign w:val="bottom"/>
            <w:tcBorders>
              <w:left w:val="single" w:sz="8" w:color="F2F3F2"/>
              <w:right w:val="single" w:sz="8" w:color="F2F3F2"/>
            </w:tcBorders>
            <w:shd w:val="clear" w:color="auto" w:fill="F2F3F2"/>
          </w:tcPr>
          <w:p>
            <w:pPr>
              <w:spacing w:after="0"/>
              <w:rPr>
                <w:sz w:val="24"/>
                <w:szCs w:val="24"/>
                <w:color w:val="auto"/>
              </w:rPr>
            </w:pPr>
          </w:p>
        </w:tc>
        <w:tc>
          <w:tcPr>
            <w:tcW w:w="320" w:type="dxa"/>
            <w:vAlign w:val="bottom"/>
            <w:shd w:val="clear" w:color="auto" w:fill="F2F3F2"/>
          </w:tcPr>
          <w:p>
            <w:pPr>
              <w:spacing w:after="0"/>
              <w:rPr>
                <w:sz w:val="24"/>
                <w:szCs w:val="24"/>
                <w:color w:val="auto"/>
              </w:rPr>
            </w:pPr>
          </w:p>
        </w:tc>
        <w:tc>
          <w:tcPr>
            <w:tcW w:w="700" w:type="dxa"/>
            <w:vAlign w:val="bottom"/>
            <w:tcBorders>
              <w:right w:val="single" w:sz="8" w:color="F2F3F2"/>
            </w:tcBorders>
            <w:shd w:val="clear" w:color="auto" w:fill="F2F3F2"/>
          </w:tcPr>
          <w:p>
            <w:pPr>
              <w:spacing w:after="0"/>
              <w:rPr>
                <w:sz w:val="24"/>
                <w:szCs w:val="24"/>
                <w:color w:val="auto"/>
              </w:rPr>
            </w:pPr>
          </w:p>
        </w:tc>
        <w:tc>
          <w:tcPr>
            <w:tcW w:w="460" w:type="dxa"/>
            <w:vAlign w:val="bottom"/>
            <w:shd w:val="clear" w:color="auto" w:fill="F2F3F2"/>
          </w:tcPr>
          <w:p>
            <w:pPr>
              <w:spacing w:after="0"/>
              <w:rPr>
                <w:sz w:val="24"/>
                <w:szCs w:val="24"/>
                <w:color w:val="auto"/>
              </w:rPr>
            </w:pPr>
          </w:p>
        </w:tc>
        <w:tc>
          <w:tcPr>
            <w:tcW w:w="500" w:type="dxa"/>
            <w:vAlign w:val="bottom"/>
            <w:tcBorders>
              <w:right w:val="single" w:sz="8" w:color="F2F3F2"/>
            </w:tcBorders>
            <w:shd w:val="clear" w:color="auto" w:fill="F2F3F2"/>
          </w:tcPr>
          <w:p>
            <w:pPr>
              <w:spacing w:after="0"/>
              <w:rPr>
                <w:sz w:val="24"/>
                <w:szCs w:val="24"/>
                <w:color w:val="auto"/>
              </w:rPr>
            </w:pPr>
          </w:p>
        </w:tc>
        <w:tc>
          <w:tcPr>
            <w:tcW w:w="1260" w:type="dxa"/>
            <w:vAlign w:val="bottom"/>
            <w:shd w:val="clear" w:color="auto" w:fill="F2F3F2"/>
          </w:tcPr>
          <w:p>
            <w:pPr>
              <w:spacing w:after="0"/>
              <w:rPr>
                <w:sz w:val="24"/>
                <w:szCs w:val="24"/>
                <w:color w:val="auto"/>
              </w:rPr>
            </w:pPr>
          </w:p>
        </w:tc>
        <w:tc>
          <w:tcPr>
            <w:tcW w:w="40" w:type="dxa"/>
            <w:vAlign w:val="bottom"/>
            <w:tcBorders>
              <w:left w:val="single" w:sz="8" w:color="F2F3F2"/>
            </w:tcBorders>
            <w:shd w:val="clear" w:color="auto" w:fill="F2F3F2"/>
          </w:tcPr>
          <w:p>
            <w:pPr>
              <w:spacing w:after="0"/>
              <w:rPr>
                <w:sz w:val="24"/>
                <w:szCs w:val="24"/>
                <w:color w:val="auto"/>
              </w:rPr>
            </w:pPr>
          </w:p>
        </w:tc>
        <w:tc>
          <w:tcPr>
            <w:tcW w:w="1080" w:type="dxa"/>
            <w:vAlign w:val="bottom"/>
            <w:shd w:val="clear" w:color="auto" w:fill="6AAA37"/>
          </w:tcPr>
          <w:p>
            <w:pPr>
              <w:jc w:val="right"/>
              <w:ind w:right="268"/>
              <w:spacing w:after="0"/>
              <w:rPr>
                <w:sz w:val="20"/>
                <w:szCs w:val="20"/>
                <w:color w:val="auto"/>
              </w:rPr>
            </w:pPr>
            <w:r>
              <w:rPr>
                <w:rFonts w:ascii="Arial" w:cs="Arial" w:eastAsia="Arial" w:hAnsi="Arial"/>
                <w:sz w:val="14"/>
                <w:szCs w:val="14"/>
                <w:b w:val="1"/>
                <w:bCs w:val="1"/>
                <w:color w:val="FFFFFF"/>
              </w:rPr>
              <w:t>200%</w:t>
            </w:r>
          </w:p>
        </w:tc>
        <w:tc>
          <w:tcPr>
            <w:tcW w:w="0" w:type="dxa"/>
            <w:vAlign w:val="bottom"/>
          </w:tcPr>
          <w:p>
            <w:pPr>
              <w:spacing w:after="0"/>
              <w:rPr>
                <w:sz w:val="1"/>
                <w:szCs w:val="1"/>
                <w:color w:val="auto"/>
              </w:rPr>
            </w:pPr>
          </w:p>
        </w:tc>
      </w:tr>
      <w:tr>
        <w:trPr>
          <w:trHeight w:val="326"/>
        </w:trPr>
        <w:tc>
          <w:tcPr>
            <w:tcW w:w="2000" w:type="dxa"/>
            <w:vAlign w:val="bottom"/>
            <w:tcBorders>
              <w:bottom w:val="single" w:sz="8" w:color="B2B3B6"/>
            </w:tcBorders>
            <w:shd w:val="clear" w:color="auto" w:fill="F2F3F2"/>
          </w:tcPr>
          <w:p>
            <w:pPr>
              <w:spacing w:after="0"/>
              <w:rPr>
                <w:sz w:val="24"/>
                <w:szCs w:val="24"/>
                <w:color w:val="auto"/>
              </w:rPr>
            </w:pPr>
          </w:p>
        </w:tc>
        <w:tc>
          <w:tcPr>
            <w:tcW w:w="1400" w:type="dxa"/>
            <w:vAlign w:val="bottom"/>
            <w:tcBorders>
              <w:bottom w:val="single" w:sz="8" w:color="B2B3B6"/>
            </w:tcBorders>
            <w:shd w:val="clear" w:color="auto" w:fill="F2F3F2"/>
          </w:tcPr>
          <w:p>
            <w:pPr>
              <w:spacing w:after="0"/>
              <w:rPr>
                <w:sz w:val="24"/>
                <w:szCs w:val="24"/>
                <w:color w:val="auto"/>
              </w:rPr>
            </w:pPr>
          </w:p>
        </w:tc>
        <w:tc>
          <w:tcPr>
            <w:tcW w:w="1300" w:type="dxa"/>
            <w:vAlign w:val="bottom"/>
            <w:tcBorders>
              <w:left w:val="single" w:sz="8" w:color="F2F3F2"/>
              <w:bottom w:val="single" w:sz="8" w:color="B2B3B6"/>
              <w:right w:val="single" w:sz="8" w:color="F2F3F2"/>
            </w:tcBorders>
            <w:shd w:val="clear" w:color="auto" w:fill="F2F3F2"/>
          </w:tcPr>
          <w:p>
            <w:pPr>
              <w:spacing w:after="0"/>
              <w:rPr>
                <w:sz w:val="24"/>
                <w:szCs w:val="24"/>
                <w:color w:val="auto"/>
              </w:rPr>
            </w:pPr>
          </w:p>
        </w:tc>
        <w:tc>
          <w:tcPr>
            <w:tcW w:w="320" w:type="dxa"/>
            <w:vAlign w:val="bottom"/>
            <w:tcBorders>
              <w:bottom w:val="single" w:sz="8" w:color="B2B3B6"/>
            </w:tcBorders>
            <w:shd w:val="clear" w:color="auto" w:fill="F2F3F2"/>
          </w:tcPr>
          <w:p>
            <w:pPr>
              <w:spacing w:after="0"/>
              <w:rPr>
                <w:sz w:val="24"/>
                <w:szCs w:val="24"/>
                <w:color w:val="auto"/>
              </w:rPr>
            </w:pPr>
          </w:p>
        </w:tc>
        <w:tc>
          <w:tcPr>
            <w:tcW w:w="700" w:type="dxa"/>
            <w:vAlign w:val="bottom"/>
            <w:tcBorders>
              <w:bottom w:val="single" w:sz="8" w:color="B2B3B6"/>
              <w:right w:val="single" w:sz="8" w:color="F2F3F2"/>
            </w:tcBorders>
            <w:shd w:val="clear" w:color="auto" w:fill="F2F3F2"/>
          </w:tcPr>
          <w:p>
            <w:pPr>
              <w:spacing w:after="0"/>
              <w:rPr>
                <w:sz w:val="24"/>
                <w:szCs w:val="24"/>
                <w:color w:val="auto"/>
              </w:rPr>
            </w:pPr>
          </w:p>
        </w:tc>
        <w:tc>
          <w:tcPr>
            <w:tcW w:w="460" w:type="dxa"/>
            <w:vAlign w:val="bottom"/>
            <w:tcBorders>
              <w:bottom w:val="single" w:sz="8" w:color="B2B3B6"/>
            </w:tcBorders>
            <w:shd w:val="clear" w:color="auto" w:fill="F2F3F2"/>
          </w:tcPr>
          <w:p>
            <w:pPr>
              <w:spacing w:after="0"/>
              <w:rPr>
                <w:sz w:val="24"/>
                <w:szCs w:val="24"/>
                <w:color w:val="auto"/>
              </w:rPr>
            </w:pPr>
          </w:p>
        </w:tc>
        <w:tc>
          <w:tcPr>
            <w:tcW w:w="500" w:type="dxa"/>
            <w:vAlign w:val="bottom"/>
            <w:tcBorders>
              <w:bottom w:val="single" w:sz="8" w:color="B2B3B6"/>
              <w:right w:val="single" w:sz="8" w:color="F2F3F2"/>
            </w:tcBorders>
            <w:shd w:val="clear" w:color="auto" w:fill="F2F3F2"/>
          </w:tcPr>
          <w:p>
            <w:pPr>
              <w:spacing w:after="0"/>
              <w:rPr>
                <w:sz w:val="24"/>
                <w:szCs w:val="24"/>
                <w:color w:val="auto"/>
              </w:rPr>
            </w:pPr>
          </w:p>
        </w:tc>
        <w:tc>
          <w:tcPr>
            <w:tcW w:w="1260" w:type="dxa"/>
            <w:vAlign w:val="bottom"/>
            <w:tcBorders>
              <w:bottom w:val="single" w:sz="8" w:color="B2B3B6"/>
            </w:tcBorders>
            <w:shd w:val="clear" w:color="auto" w:fill="F2F3F2"/>
          </w:tcPr>
          <w:p>
            <w:pPr>
              <w:spacing w:after="0"/>
              <w:rPr>
                <w:sz w:val="24"/>
                <w:szCs w:val="24"/>
                <w:color w:val="auto"/>
              </w:rPr>
            </w:pPr>
          </w:p>
        </w:tc>
        <w:tc>
          <w:tcPr>
            <w:tcW w:w="40" w:type="dxa"/>
            <w:vAlign w:val="bottom"/>
            <w:tcBorders>
              <w:left w:val="single" w:sz="8" w:color="F2F3F2"/>
              <w:bottom w:val="single" w:sz="8" w:color="B2B3B6"/>
            </w:tcBorders>
            <w:shd w:val="clear" w:color="auto" w:fill="F2F3F2"/>
          </w:tcPr>
          <w:p>
            <w:pPr>
              <w:spacing w:after="0"/>
              <w:rPr>
                <w:sz w:val="24"/>
                <w:szCs w:val="24"/>
                <w:color w:val="auto"/>
              </w:rPr>
            </w:pPr>
          </w:p>
        </w:tc>
        <w:tc>
          <w:tcPr>
            <w:tcW w:w="1080" w:type="dxa"/>
            <w:vAlign w:val="bottom"/>
            <w:tcBorders>
              <w:bottom w:val="single" w:sz="8" w:color="B2B3B6"/>
            </w:tcBorders>
            <w:shd w:val="clear" w:color="auto" w:fill="6AAA37"/>
          </w:tcPr>
          <w:p>
            <w:pPr>
              <w:spacing w:after="0"/>
              <w:rPr>
                <w:sz w:val="24"/>
                <w:szCs w:val="24"/>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2023-2025 Performance Cycle</w:t>
      </w:r>
    </w:p>
    <w:p>
      <w:pPr>
        <w:spacing w:after="0" w:line="113"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Under the 2023 long-term incentive program, 70% of the target long-term incentive program value was granted in the form of PSUs with a three-year performance period that ends on December 31, 2025, and 30% was granted in the form of RSUs with a three-year vesting period. The final payout of the PSUs granted in 2023 will be determined at the end of the full three-year performance period based on performance against the predetermined, cumulative three-year goals for revenues before reimbursable expenses and adjusted diluted EPS, with 50-50 weighting. As in prior years, we cannot disclose the details of the</w:t>
      </w:r>
    </w:p>
    <w:p>
      <w:pPr>
        <w:sectPr>
          <w:pgSz w:w="11900" w:h="16945" w:orient="portrait"/>
          <w:cols w:equalWidth="0" w:num="1">
            <w:col w:w="9060"/>
          </w:cols>
          <w:pgMar w:left="1400" w:top="118" w:right="1439" w:bottom="0" w:gutter="0" w:footer="0" w:header="0"/>
          <w:type w:val="continuous"/>
        </w:sectPr>
      </w:pPr>
    </w:p>
    <w:bookmarkStart w:id="50" w:name="page51"/>
    <w:bookmarkEnd w:id="50"/>
    <w:p>
      <w:pPr>
        <w:spacing w:after="0"/>
        <w:rPr>
          <w:sz w:val="20"/>
          <w:szCs w:val="20"/>
          <w:color w:val="auto"/>
        </w:rPr>
      </w:pPr>
      <w:r>
        <w:rPr>
          <w:rFonts w:ascii="Arial" w:cs="Arial" w:eastAsia="Arial" w:hAnsi="Arial"/>
          <w:sz w:val="16"/>
          <w:szCs w:val="16"/>
          <w:color w:val="auto"/>
        </w:rPr>
        <w:t>three-year goals at this time due to their material, non-public 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-107315</wp:posOffset>
            </wp:positionV>
            <wp:extent cx="6810375" cy="16821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10375" cy="1682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680" w:firstLine="8"/>
        <w:spacing w:after="0" w:line="271" w:lineRule="auto"/>
        <w:tabs>
          <w:tab w:leader="none" w:pos="90" w:val="left"/>
        </w:tabs>
        <w:numPr>
          <w:ilvl w:val="0"/>
          <w:numId w:val="79"/>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See Appendix C for the definitions of adjusted diluted EPS, and other non-GAAP financial measures included in this Proxy Statement, as well as their reconciliation to the most directly comparable GAAP financial measure.</w:t>
      </w:r>
    </w:p>
    <w:p>
      <w:pPr>
        <w:spacing w:after="0" w:line="296" w:lineRule="exact"/>
        <w:rPr>
          <w:sz w:val="20"/>
          <w:szCs w:val="20"/>
          <w:color w:val="auto"/>
        </w:rPr>
      </w:pPr>
    </w:p>
    <w:p>
      <w:pPr>
        <w:ind w:left="60"/>
        <w:spacing w:after="0"/>
        <w:tabs>
          <w:tab w:leader="none" w:pos="444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13"/>
          <w:szCs w:val="13"/>
          <w:b w:val="1"/>
          <w:bCs w:val="1"/>
          <w:color w:val="00558C"/>
        </w:rPr>
        <w:t>46</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420370</wp:posOffset>
            </wp:positionV>
            <wp:extent cx="6810375" cy="875157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10375" cy="8751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540" w:val="left"/>
          <w:tab w:leader="none" w:pos="7360" w:val="left"/>
          <w:tab w:leader="none" w:pos="8400" w:val="left"/>
        </w:tabs>
        <w:rPr>
          <w:sz w:val="20"/>
          <w:szCs w:val="20"/>
          <w:color w:val="auto"/>
        </w:rPr>
      </w:pPr>
      <w:r>
        <w:rPr>
          <w:rFonts w:ascii="Arial" w:cs="Arial" w:eastAsia="Arial" w:hAnsi="Arial"/>
          <w:sz w:val="13"/>
          <w:szCs w:val="13"/>
          <w:b w:val="1"/>
          <w:bCs w:val="1"/>
          <w:color w:val="B2B3B6"/>
        </w:rPr>
        <w:t>General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Corporate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6AAA37"/>
        </w:rPr>
        <w:t>Executive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Stockholder</w:t>
      </w:r>
      <w:r>
        <w:rPr>
          <w:sz w:val="20"/>
          <w:szCs w:val="20"/>
          <w:color w:val="auto"/>
        </w:rPr>
        <w:tab/>
      </w:r>
      <w:r>
        <w:rPr>
          <w:rFonts w:ascii="Arial" w:cs="Arial" w:eastAsia="Arial" w:hAnsi="Arial"/>
          <w:sz w:val="12"/>
          <w:szCs w:val="12"/>
          <w:b w:val="1"/>
          <w:bCs w:val="1"/>
          <w:color w:val="B2B3B6"/>
        </w:rPr>
        <w:t>Other</w:t>
      </w:r>
    </w:p>
    <w:p>
      <w:pPr>
        <w:spacing w:after="0" w:line="11"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540" w:val="left"/>
          <w:tab w:leader="none" w:pos="7360" w:val="left"/>
          <w:tab w:leader="none" w:pos="8400" w:val="left"/>
        </w:tabs>
        <w:rPr>
          <w:sz w:val="20"/>
          <w:szCs w:val="20"/>
          <w:color w:val="auto"/>
        </w:rPr>
      </w:pPr>
      <w:r>
        <w:rPr>
          <w:rFonts w:ascii="Arial" w:cs="Arial" w:eastAsia="Arial" w:hAnsi="Arial"/>
          <w:sz w:val="13"/>
          <w:szCs w:val="13"/>
          <w:b w:val="1"/>
          <w:bCs w:val="1"/>
          <w:color w:val="B2B3B6"/>
        </w:rPr>
        <w:t>Information</w:t>
      </w:r>
      <w:r>
        <w:rPr>
          <w:sz w:val="20"/>
          <w:szCs w:val="20"/>
          <w:color w:val="auto"/>
        </w:rPr>
        <w:tab/>
      </w:r>
      <w:r>
        <w:rPr>
          <w:rFonts w:ascii="Arial" w:cs="Arial" w:eastAsia="Arial" w:hAnsi="Arial"/>
          <w:sz w:val="13"/>
          <w:szCs w:val="13"/>
          <w:b w:val="1"/>
          <w:bCs w:val="1"/>
          <w:color w:val="B2B3B6"/>
        </w:rPr>
        <w:t>One</w:t>
      </w:r>
      <w:r>
        <w:rPr>
          <w:sz w:val="20"/>
          <w:szCs w:val="20"/>
          <w:color w:val="auto"/>
        </w:rPr>
        <w:tab/>
      </w:r>
      <w:r>
        <w:rPr>
          <w:rFonts w:ascii="Arial" w:cs="Arial" w:eastAsia="Arial" w:hAnsi="Arial"/>
          <w:sz w:val="13"/>
          <w:szCs w:val="13"/>
          <w:b w:val="1"/>
          <w:bCs w:val="1"/>
          <w:color w:val="B2B3B6"/>
        </w:rPr>
        <w:t>Governance</w:t>
      </w:r>
      <w:r>
        <w:rPr>
          <w:sz w:val="20"/>
          <w:szCs w:val="20"/>
          <w:color w:val="auto"/>
        </w:rPr>
        <w:tab/>
      </w:r>
      <w:r>
        <w:rPr>
          <w:rFonts w:ascii="Arial" w:cs="Arial" w:eastAsia="Arial" w:hAnsi="Arial"/>
          <w:sz w:val="13"/>
          <w:szCs w:val="13"/>
          <w:b w:val="1"/>
          <w:bCs w:val="1"/>
          <w:color w:val="B2B3B6"/>
        </w:rPr>
        <w:t>Two</w:t>
      </w:r>
      <w:r>
        <w:rPr>
          <w:sz w:val="20"/>
          <w:szCs w:val="20"/>
          <w:color w:val="auto"/>
        </w:rPr>
        <w:tab/>
      </w:r>
      <w:r>
        <w:rPr>
          <w:rFonts w:ascii="Arial" w:cs="Arial" w:eastAsia="Arial" w:hAnsi="Arial"/>
          <w:sz w:val="13"/>
          <w:szCs w:val="13"/>
          <w:b w:val="1"/>
          <w:bCs w:val="1"/>
          <w:color w:val="6AAA37"/>
        </w:rPr>
        <w:t>Compensation</w:t>
      </w:r>
      <w:r>
        <w:rPr>
          <w:sz w:val="20"/>
          <w:szCs w:val="20"/>
          <w:color w:val="auto"/>
        </w:rPr>
        <w:tab/>
      </w:r>
      <w:r>
        <w:rPr>
          <w:rFonts w:ascii="Arial" w:cs="Arial" w:eastAsia="Arial" w:hAnsi="Arial"/>
          <w:sz w:val="13"/>
          <w:szCs w:val="13"/>
          <w:b w:val="1"/>
          <w:bCs w:val="1"/>
          <w:color w:val="B2B3B6"/>
        </w:rPr>
        <w:t>Three</w:t>
      </w:r>
      <w:r>
        <w:rPr>
          <w:sz w:val="20"/>
          <w:szCs w:val="20"/>
          <w:color w:val="auto"/>
        </w:rPr>
        <w:tab/>
      </w:r>
      <w:r>
        <w:rPr>
          <w:rFonts w:ascii="Arial" w:cs="Arial" w:eastAsia="Arial" w:hAnsi="Arial"/>
          <w:sz w:val="13"/>
          <w:szCs w:val="13"/>
          <w:b w:val="1"/>
          <w:bCs w:val="1"/>
          <w:color w:val="B2B3B6"/>
        </w:rPr>
        <w:t>Four</w:t>
      </w:r>
      <w:r>
        <w:rPr>
          <w:sz w:val="20"/>
          <w:szCs w:val="20"/>
          <w:color w:val="auto"/>
        </w:rPr>
        <w:tab/>
      </w:r>
      <w:r>
        <w:rPr>
          <w:rFonts w:ascii="Arial" w:cs="Arial" w:eastAsia="Arial" w:hAnsi="Arial"/>
          <w:sz w:val="13"/>
          <w:szCs w:val="13"/>
          <w:b w:val="1"/>
          <w:bCs w:val="1"/>
          <w:color w:val="B2B3B6"/>
        </w:rPr>
        <w:t>Five</w:t>
      </w:r>
      <w:r>
        <w:rPr>
          <w:sz w:val="20"/>
          <w:szCs w:val="20"/>
          <w:color w:val="auto"/>
        </w:rPr>
        <w:tab/>
      </w:r>
      <w:r>
        <w:rPr>
          <w:rFonts w:ascii="Arial" w:cs="Arial" w:eastAsia="Arial" w:hAnsi="Arial"/>
          <w:sz w:val="13"/>
          <w:szCs w:val="13"/>
          <w:b w:val="1"/>
          <w:bCs w:val="1"/>
          <w:color w:val="B2B3B6"/>
        </w:rPr>
        <w:t>Proposals</w:t>
      </w:r>
      <w:r>
        <w:rPr>
          <w:sz w:val="20"/>
          <w:szCs w:val="20"/>
          <w:color w:val="auto"/>
        </w:rPr>
        <w:tab/>
      </w:r>
      <w:r>
        <w:rPr>
          <w:rFonts w:ascii="Arial" w:cs="Arial" w:eastAsia="Arial" w:hAnsi="Arial"/>
          <w:sz w:val="12"/>
          <w:szCs w:val="12"/>
          <w:b w:val="1"/>
          <w:bCs w:val="1"/>
          <w:color w:val="B2B3B6"/>
        </w:rPr>
        <w:t>Matters</w:t>
      </w:r>
    </w:p>
    <w:p>
      <w:pPr>
        <w:spacing w:after="0" w:line="315"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2024-2026 Performance Cycle</w:t>
      </w:r>
    </w:p>
    <w:p>
      <w:pPr>
        <w:spacing w:after="0" w:line="113"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Under the 2024 long-term incentive program, 70% of the target long-term incentive program value was granted in the form of PSUs with a three-year performance period that ends on December 31, 2026, and 30% was granted in the form of RSUs with a three-year vesting period. The final payout of the PSUs granted in 2024 will be determined at the end of the full three-year performance period based on performance against the predetermined, cumulative three-year goals for revenues before reimbursable expenses and adjusted diluted EPS, with 50-50 weighting. As in prior years, we cannot disclose the details of the three-year goals at this time due to their material, non-public nature.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Award Grant Practices</w:t>
      </w:r>
    </w:p>
    <w:p>
      <w:pPr>
        <w:spacing w:after="0" w:line="8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Annual awards under our long-term incentive (LTI) program for named executive officers are typically approved by the Compensation Committee during its February meeting, with a grant date of March 1, in accordance with our pre-established equity award grant schedule. The target LTI value is converted into grants based on the stock price on the date of grant. We do not grant equity awards in anticipation of the release of material, nonpublic information, nor do we time such releases of material, nonpublic information based on equity award grant dates, vesting events or sale events. In 2024, we have not timed the disclosure of material, nonpublic information for the purpose of affecting the value of executive compensation for our named executive officers. Additionally, no stock options were granted to our named executive officers in 2024.</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00558C"/>
        </w:rPr>
        <w:t>Additional Executive Compensation Details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8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Huron has entered into agreements with each of the named executive officers that provide for benefits upon termination of employment under certain circumstances, including in connection with a change of control of the Company. Huron provides these benefits as a means of remaining competitive, retaining executive officers, focusing executive officers on stockholder interests when considering strategic alternatives and providing income protection in the event of involuntary loss of employment. In general, these arrangements provide for severance benefits upon Huron’s termination of the executive’s employment without cause or resignation by the executive for good reason (constructive termination). In the event of a change of control of Huron and if the executive’s employment is terminated without cause or he or she resigns for good reason, the executive will receive enhanced severance benefits. Huron provides these enhanced severance benefits only with a "double trigger" because the Company believes that the executive officers would be materially harmed in a change of control only if it results in reduced responsibilities or compensation or loss of employment for the executive. Huron employment agreements do not provide for any gross-ups.</w:t>
      </w:r>
    </w:p>
    <w:p>
      <w:pPr>
        <w:spacing w:after="0" w:line="114"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Mr. Torain departed from the Company effective March 15, 2024. In connection with his departure, on March 10, 2024, Huron and Mr. Torain entered into a mutual separation agreement pursuant to which Mr. Torain became eligible for severance payments and benefits consistent with the terms of his senior management agreement for a termination without Cause.</w:t>
      </w:r>
    </w:p>
    <w:p>
      <w:pPr>
        <w:spacing w:after="0" w:line="104"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More information on our use of employment agreements, including the estimated payments and benefits payable to the named executive officers and the actual severance payable to Mr. Torain under his separation agreement, is provided under the "Potential Payments Upon Termination or Change of Control" section of this Proxy Statement.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 and Welfare Benefits</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color w:val="auto"/>
        </w:rPr>
        <w:t>The named executive officers are eligible for the same health and welfare benefits generally available to Huron employees.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401(k) Plan</w:t>
      </w:r>
    </w:p>
    <w:p>
      <w:pPr>
        <w:spacing w:after="0" w:line="68" w:lineRule="exact"/>
        <w:rPr>
          <w:sz w:val="20"/>
          <w:szCs w:val="20"/>
          <w:color w:val="auto"/>
        </w:rPr>
      </w:pPr>
    </w:p>
    <w:p>
      <w:pPr>
        <w:ind w:right="100"/>
        <w:spacing w:after="0" w:line="300" w:lineRule="auto"/>
        <w:rPr>
          <w:sz w:val="20"/>
          <w:szCs w:val="20"/>
          <w:color w:val="auto"/>
        </w:rPr>
      </w:pPr>
      <w:r>
        <w:rPr>
          <w:rFonts w:ascii="Arial" w:cs="Arial" w:eastAsia="Arial" w:hAnsi="Arial"/>
          <w:sz w:val="16"/>
          <w:szCs w:val="16"/>
          <w:color w:val="auto"/>
        </w:rPr>
        <w:t>Huron offers a tax-qualified retirement plan under Section 401(k) of the Internal Revenue Code of 1986, as amended (the “Code”), to all U.S. employees, including the NEOs, who meet specific eligibility criteria, such as age and length of service requirements. In 2024, we matched 100% of an employee’s 401(k) salary deferrals, up to a maximum of 6% of an employee’s eligible earnings and IRS limits.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Compensation Plan</w:t>
      </w:r>
    </w:p>
    <w:p>
      <w:pPr>
        <w:spacing w:after="0" w:line="81"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Huron offers a nonqualified deferred compensation plan (the "DCP") to all principals, managing directors, corporate vice presidents, named executive officers and non-employee directors. The DCP allows participants to elect to defer up to 75% of their base salary and 100% of their annual cash incentive into a deferred compensation account and to choose from a number of investment alternatives. Non-employee directors may elect to defer up to 100% of their cash compensation into the DCP.</w:t>
      </w:r>
    </w:p>
    <w:p>
      <w:pPr>
        <w:sectPr>
          <w:pgSz w:w="11900" w:h="16838" w:orient="portrait"/>
          <w:cols w:equalWidth="0" w:num="1">
            <w:col w:w="9080"/>
          </w:cols>
          <w:pgMar w:left="1400" w:top="125" w:right="1419" w:bottom="0" w:gutter="0" w:footer="0" w:header="0"/>
        </w:sectPr>
      </w:pPr>
    </w:p>
    <w:p>
      <w:pPr>
        <w:spacing w:after="0" w:line="347" w:lineRule="exact"/>
        <w:rPr>
          <w:sz w:val="20"/>
          <w:szCs w:val="20"/>
          <w:color w:val="auto"/>
        </w:rPr>
      </w:pPr>
    </w:p>
    <w:p>
      <w:pPr>
        <w:ind w:left="60"/>
        <w:spacing w:after="0"/>
        <w:tabs>
          <w:tab w:leader="none" w:pos="444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13"/>
          <w:szCs w:val="13"/>
          <w:b w:val="1"/>
          <w:bCs w:val="1"/>
          <w:color w:val="00558C"/>
        </w:rPr>
        <w:t>47</w:t>
      </w:r>
      <w:r>
        <w:rPr>
          <w:sz w:val="20"/>
          <w:szCs w:val="20"/>
          <w:color w:val="auto"/>
        </w:rPr>
        <w:tab/>
      </w:r>
      <w:r>
        <w:rPr>
          <w:rFonts w:ascii="Arial" w:cs="Arial" w:eastAsia="Arial" w:hAnsi="Arial"/>
          <w:sz w:val="12"/>
          <w:szCs w:val="12"/>
          <w:color w:val="auto"/>
        </w:rPr>
        <w:t>2025 Proxy Statement</w:t>
      </w:r>
    </w:p>
    <w:p>
      <w:pPr>
        <w:sectPr>
          <w:pgSz w:w="11900" w:h="16838" w:orient="portrait"/>
          <w:cols w:equalWidth="0" w:num="1">
            <w:col w:w="9080"/>
          </w:cols>
          <w:pgMar w:left="1400" w:top="125" w:right="1419" w:bottom="0" w:gutter="0" w:footer="0" w:header="0"/>
          <w:type w:val="continuous"/>
        </w:sectPr>
      </w:pPr>
    </w:p>
    <w:bookmarkStart w:id="51" w:name="page52"/>
    <w:bookmarkEnd w:id="51"/>
    <w:p>
      <w:pPr>
        <w:ind w:left="60"/>
        <w:spacing w:after="0"/>
        <w:tabs>
          <w:tab w:leader="none" w:pos="1040" w:val="left"/>
          <w:tab w:leader="none" w:pos="1880" w:val="left"/>
          <w:tab w:leader="none" w:pos="2880" w:val="left"/>
          <w:tab w:leader="none" w:pos="3700" w:val="left"/>
          <w:tab w:leader="none" w:pos="4900" w:val="left"/>
          <w:tab w:leader="none" w:pos="5720" w:val="left"/>
          <w:tab w:leader="none" w:pos="6540" w:val="left"/>
          <w:tab w:leader="none" w:pos="7360" w:val="left"/>
          <w:tab w:leader="none" w:pos="8400" w:val="left"/>
        </w:tabs>
        <w:rPr>
          <w:sz w:val="20"/>
          <w:szCs w:val="20"/>
          <w:color w:val="auto"/>
        </w:rPr>
      </w:pPr>
      <w:r>
        <w:rPr>
          <w:rFonts w:ascii="Arial" w:cs="Arial" w:eastAsia="Arial" w:hAnsi="Arial"/>
          <w:sz w:val="13"/>
          <w:szCs w:val="13"/>
          <w:b w:val="1"/>
          <w:bCs w:val="1"/>
          <w:color w:val="B2B3B6"/>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90544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10375" cy="9054465"/>
                    </a:xfrm>
                    <a:prstGeom prst="rect">
                      <a:avLst/>
                    </a:prstGeom>
                    <a:noFill/>
                  </pic:spPr>
                </pic:pic>
              </a:graphicData>
            </a:graphic>
          </wp:anchor>
        </w:drawing>
        <w:t>General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Corporate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6AAA37"/>
        </w:rPr>
        <w:t>Executive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Stockholder</w:t>
      </w:r>
      <w:r>
        <w:rPr>
          <w:sz w:val="20"/>
          <w:szCs w:val="20"/>
          <w:color w:val="auto"/>
        </w:rPr>
        <w:tab/>
      </w:r>
      <w:r>
        <w:rPr>
          <w:rFonts w:ascii="Arial" w:cs="Arial" w:eastAsia="Arial" w:hAnsi="Arial"/>
          <w:sz w:val="12"/>
          <w:szCs w:val="12"/>
          <w:b w:val="1"/>
          <w:bCs w:val="1"/>
          <w:color w:val="B2B3B6"/>
        </w:rPr>
        <w:t>Other</w:t>
      </w:r>
    </w:p>
    <w:p>
      <w:pPr>
        <w:spacing w:after="0" w:line="11"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540" w:val="left"/>
          <w:tab w:leader="none" w:pos="7360" w:val="left"/>
          <w:tab w:leader="none" w:pos="8400" w:val="left"/>
        </w:tabs>
        <w:rPr>
          <w:sz w:val="20"/>
          <w:szCs w:val="20"/>
          <w:color w:val="auto"/>
        </w:rPr>
      </w:pPr>
      <w:r>
        <w:rPr>
          <w:rFonts w:ascii="Arial" w:cs="Arial" w:eastAsia="Arial" w:hAnsi="Arial"/>
          <w:sz w:val="13"/>
          <w:szCs w:val="13"/>
          <w:b w:val="1"/>
          <w:bCs w:val="1"/>
          <w:color w:val="B2B3B6"/>
        </w:rPr>
        <w:t>Information</w:t>
      </w:r>
      <w:r>
        <w:rPr>
          <w:sz w:val="20"/>
          <w:szCs w:val="20"/>
          <w:color w:val="auto"/>
        </w:rPr>
        <w:tab/>
      </w:r>
      <w:r>
        <w:rPr>
          <w:rFonts w:ascii="Arial" w:cs="Arial" w:eastAsia="Arial" w:hAnsi="Arial"/>
          <w:sz w:val="13"/>
          <w:szCs w:val="13"/>
          <w:b w:val="1"/>
          <w:bCs w:val="1"/>
          <w:color w:val="B2B3B6"/>
        </w:rPr>
        <w:t>One</w:t>
      </w:r>
      <w:r>
        <w:rPr>
          <w:sz w:val="20"/>
          <w:szCs w:val="20"/>
          <w:color w:val="auto"/>
        </w:rPr>
        <w:tab/>
      </w:r>
      <w:r>
        <w:rPr>
          <w:rFonts w:ascii="Arial" w:cs="Arial" w:eastAsia="Arial" w:hAnsi="Arial"/>
          <w:sz w:val="13"/>
          <w:szCs w:val="13"/>
          <w:b w:val="1"/>
          <w:bCs w:val="1"/>
          <w:color w:val="B2B3B6"/>
        </w:rPr>
        <w:t>Governance</w:t>
      </w:r>
      <w:r>
        <w:rPr>
          <w:sz w:val="20"/>
          <w:szCs w:val="20"/>
          <w:color w:val="auto"/>
        </w:rPr>
        <w:tab/>
      </w:r>
      <w:r>
        <w:rPr>
          <w:rFonts w:ascii="Arial" w:cs="Arial" w:eastAsia="Arial" w:hAnsi="Arial"/>
          <w:sz w:val="13"/>
          <w:szCs w:val="13"/>
          <w:b w:val="1"/>
          <w:bCs w:val="1"/>
          <w:color w:val="B2B3B6"/>
        </w:rPr>
        <w:t>Two</w:t>
      </w:r>
      <w:r>
        <w:rPr>
          <w:sz w:val="20"/>
          <w:szCs w:val="20"/>
          <w:color w:val="auto"/>
        </w:rPr>
        <w:tab/>
      </w:r>
      <w:r>
        <w:rPr>
          <w:rFonts w:ascii="Arial" w:cs="Arial" w:eastAsia="Arial" w:hAnsi="Arial"/>
          <w:sz w:val="13"/>
          <w:szCs w:val="13"/>
          <w:b w:val="1"/>
          <w:bCs w:val="1"/>
          <w:color w:val="6AAA37"/>
        </w:rPr>
        <w:t>Compensation</w:t>
      </w:r>
      <w:r>
        <w:rPr>
          <w:sz w:val="20"/>
          <w:szCs w:val="20"/>
          <w:color w:val="auto"/>
        </w:rPr>
        <w:tab/>
      </w:r>
      <w:r>
        <w:rPr>
          <w:rFonts w:ascii="Arial" w:cs="Arial" w:eastAsia="Arial" w:hAnsi="Arial"/>
          <w:sz w:val="13"/>
          <w:szCs w:val="13"/>
          <w:b w:val="1"/>
          <w:bCs w:val="1"/>
          <w:color w:val="B2B3B6"/>
        </w:rPr>
        <w:t>Three</w:t>
      </w:r>
      <w:r>
        <w:rPr>
          <w:sz w:val="20"/>
          <w:szCs w:val="20"/>
          <w:color w:val="auto"/>
        </w:rPr>
        <w:tab/>
      </w:r>
      <w:r>
        <w:rPr>
          <w:rFonts w:ascii="Arial" w:cs="Arial" w:eastAsia="Arial" w:hAnsi="Arial"/>
          <w:sz w:val="13"/>
          <w:szCs w:val="13"/>
          <w:b w:val="1"/>
          <w:bCs w:val="1"/>
          <w:color w:val="B2B3B6"/>
        </w:rPr>
        <w:t>Four</w:t>
      </w:r>
      <w:r>
        <w:rPr>
          <w:sz w:val="20"/>
          <w:szCs w:val="20"/>
          <w:color w:val="auto"/>
        </w:rPr>
        <w:tab/>
      </w:r>
      <w:r>
        <w:rPr>
          <w:rFonts w:ascii="Arial" w:cs="Arial" w:eastAsia="Arial" w:hAnsi="Arial"/>
          <w:sz w:val="13"/>
          <w:szCs w:val="13"/>
          <w:b w:val="1"/>
          <w:bCs w:val="1"/>
          <w:color w:val="B2B3B6"/>
        </w:rPr>
        <w:t>Five</w:t>
      </w:r>
      <w:r>
        <w:rPr>
          <w:sz w:val="20"/>
          <w:szCs w:val="20"/>
          <w:color w:val="auto"/>
        </w:rPr>
        <w:tab/>
      </w:r>
      <w:r>
        <w:rPr>
          <w:rFonts w:ascii="Arial" w:cs="Arial" w:eastAsia="Arial" w:hAnsi="Arial"/>
          <w:sz w:val="13"/>
          <w:szCs w:val="13"/>
          <w:b w:val="1"/>
          <w:bCs w:val="1"/>
          <w:color w:val="B2B3B6"/>
        </w:rPr>
        <w:t>Proposals</w:t>
      </w:r>
      <w:r>
        <w:rPr>
          <w:sz w:val="20"/>
          <w:szCs w:val="20"/>
          <w:color w:val="auto"/>
        </w:rPr>
        <w:tab/>
      </w:r>
      <w:r>
        <w:rPr>
          <w:rFonts w:ascii="Arial" w:cs="Arial" w:eastAsia="Arial" w:hAnsi="Arial"/>
          <w:sz w:val="12"/>
          <w:szCs w:val="12"/>
          <w:b w:val="1"/>
          <w:bCs w:val="1"/>
          <w:color w:val="B2B3B6"/>
        </w:rPr>
        <w:t>Matters</w:t>
      </w:r>
    </w:p>
    <w:p>
      <w:pPr>
        <w:spacing w:after="0" w:line="301"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Earnings are credited based on the returns of the investment options selected by the participant. Any amounts contributed may be deferred until a later date or may become payable in connection with a participant's retirement, death, disability or other separation from service.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Perquisites</w:t>
      </w:r>
    </w:p>
    <w:p>
      <w:pPr>
        <w:spacing w:after="0" w:line="8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Huron did not provide material perquisites over and above those commonly available to the broader Huron employee population or similarly situated key management employees to any named executive officer in 2024. The Company provides enhanced disability and life insurance benefits to all of its managing directors, corporate vice presidents and executive officers. Named executive officers and industry and capability leaders are also offered reimbursement of the cost of an annual executive physical examination.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Clawback Provisions</w:t>
      </w:r>
    </w:p>
    <w:p>
      <w:pPr>
        <w:spacing w:after="0" w:line="81"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color w:val="auto"/>
        </w:rPr>
        <w:t>The Company's incentive compensation recoupment policy (commonly referred to as a "clawback policy") was amended and restated effective October 27, 2023 in accordance with Rule 10D-1 of the Securities Exchange Act of 1934 and Nasdaq listing standards. Furthermore, on February 14, 2025, the clawback policy was further amended to provide the ability to recover compensation in connection with certain acts of misconduct by a covered executive.</w:t>
      </w:r>
    </w:p>
    <w:p>
      <w:pPr>
        <w:spacing w:after="0" w:line="108"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clawback policy, as amended, requires the recoupment of incentive-based compensation paid to executive officers and such other individuals designated by the policy in the event of a restatement of our quarterly or annual financial results. In such an event, our non-employee directors will review all incentive-based compensation awarded to those individuals covered by the policy based upon the achievement of financial results that were the subject of the restatement and will recoup the incentive-based compensation to the extent the amount of such compensation would have been lower than the amount actually awarded, granted, paid, earned, deferred or vested based on the achievement of financial results that were subsequently reduced due to such restatement.</w:t>
      </w:r>
    </w:p>
    <w:p>
      <w:pPr>
        <w:spacing w:after="0" w:line="96"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Additionally, if the Board determines that a covered executive has engaged in misconduct, the Board may seek the recovery and/or forfeiture of all or a portion of any equity-based awards granted to the executive during the fiscal year in which the misconduct occurred, including those that have vested, been settled, or are scheduled to vest. Under the clawback policy, as amended, "misconduct" includes acts constituting: (i) a felony; (ii) fraud, including any act involving moral turpitude or dishonesty related to the Company that causes material and adverse reputational or financial harm to the Company; or (iii) any act that involves a felony, fraud, moral turpitude, dishonesty, or a breach of fiduciary duty that contributes to the necessity of a financial restatement. The determination of whether misconduct has occurred, and the decision to seek recovery or forfeiture, is in the Board’s sole discretion.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 Guidelines and Holding Requirements</w:t>
      </w:r>
    </w:p>
    <w:p>
      <w:pPr>
        <w:spacing w:after="0" w:line="68"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We maintain stock ownership guidelines for Huron's named executive officers and non-employee directors, which are consistent with the practices of our peer group and are designed to align the interests of our stockholders, directors and executive officers. Until the relevant stock ownership target is achieved, executive officers and non-employee directors are required to retain a number of shares equal to at least 60% of the net after tax proceeds from the exercise of stock options or vesting of restricted stock units and performance share units. Only shares owned outright count towards ownership requirements. Unexercised stock options and unvested performance share units or unvested restricted stock units do not count. Each of our NEOs and non-employee directors are in compliance with the terms of our share ownership guidelines.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309"/>
        </w:trPr>
        <w:tc>
          <w:tcPr>
            <w:tcW w:w="4540" w:type="dxa"/>
            <w:vAlign w:val="bottom"/>
            <w:shd w:val="clear" w:color="auto" w:fill="00558C"/>
          </w:tcPr>
          <w:p>
            <w:pPr>
              <w:ind w:left="140"/>
              <w:spacing w:after="0"/>
              <w:rPr>
                <w:sz w:val="20"/>
                <w:szCs w:val="20"/>
                <w:color w:val="auto"/>
              </w:rPr>
            </w:pPr>
            <w:r>
              <w:rPr>
                <w:rFonts w:ascii="Arial" w:cs="Arial" w:eastAsia="Arial" w:hAnsi="Arial"/>
                <w:sz w:val="14"/>
                <w:szCs w:val="14"/>
                <w:b w:val="1"/>
                <w:bCs w:val="1"/>
                <w:color w:val="FFFFFF"/>
              </w:rPr>
              <w:t>Position</w:t>
            </w:r>
          </w:p>
        </w:tc>
        <w:tc>
          <w:tcPr>
            <w:tcW w:w="4540" w:type="dxa"/>
            <w:vAlign w:val="bottom"/>
            <w:shd w:val="clear" w:color="auto" w:fill="00558C"/>
          </w:tcPr>
          <w:p>
            <w:pPr>
              <w:ind w:left="140"/>
              <w:spacing w:after="0"/>
              <w:rPr>
                <w:sz w:val="20"/>
                <w:szCs w:val="20"/>
                <w:color w:val="auto"/>
              </w:rPr>
            </w:pPr>
            <w:r>
              <w:rPr>
                <w:rFonts w:ascii="Arial" w:cs="Arial" w:eastAsia="Arial" w:hAnsi="Arial"/>
                <w:sz w:val="14"/>
                <w:szCs w:val="14"/>
                <w:b w:val="1"/>
                <w:bCs w:val="1"/>
                <w:color w:val="FFFFFF"/>
              </w:rPr>
              <w:t>Stock Ownership Guideline</w:t>
            </w:r>
          </w:p>
        </w:tc>
      </w:tr>
      <w:tr>
        <w:trPr>
          <w:trHeight w:val="110"/>
        </w:trPr>
        <w:tc>
          <w:tcPr>
            <w:tcW w:w="4540" w:type="dxa"/>
            <w:vAlign w:val="bottom"/>
            <w:shd w:val="clear" w:color="auto" w:fill="00558C"/>
          </w:tcPr>
          <w:p>
            <w:pPr>
              <w:spacing w:after="0"/>
              <w:rPr>
                <w:sz w:val="9"/>
                <w:szCs w:val="9"/>
                <w:color w:val="auto"/>
              </w:rPr>
            </w:pPr>
          </w:p>
        </w:tc>
        <w:tc>
          <w:tcPr>
            <w:tcW w:w="4540" w:type="dxa"/>
            <w:vAlign w:val="bottom"/>
            <w:shd w:val="clear" w:color="auto" w:fill="00558C"/>
          </w:tcPr>
          <w:p>
            <w:pPr>
              <w:spacing w:after="0"/>
              <w:rPr>
                <w:sz w:val="9"/>
                <w:szCs w:val="9"/>
                <w:color w:val="auto"/>
              </w:rPr>
            </w:pPr>
          </w:p>
        </w:tc>
      </w:tr>
      <w:tr>
        <w:trPr>
          <w:trHeight w:val="295"/>
        </w:trPr>
        <w:tc>
          <w:tcPr>
            <w:tcW w:w="4540" w:type="dxa"/>
            <w:vAlign w:val="bottom"/>
            <w:shd w:val="clear" w:color="auto" w:fill="F2F3F2"/>
          </w:tcPr>
          <w:p>
            <w:pPr>
              <w:ind w:left="140"/>
              <w:spacing w:after="0"/>
              <w:rPr>
                <w:sz w:val="20"/>
                <w:szCs w:val="20"/>
                <w:color w:val="auto"/>
              </w:rPr>
            </w:pPr>
            <w:r>
              <w:rPr>
                <w:rFonts w:ascii="Arial" w:cs="Arial" w:eastAsia="Arial" w:hAnsi="Arial"/>
                <w:sz w:val="14"/>
                <w:szCs w:val="14"/>
                <w:b w:val="1"/>
                <w:bCs w:val="1"/>
                <w:color w:val="auto"/>
              </w:rPr>
              <w:t>CEO</w:t>
            </w:r>
          </w:p>
        </w:tc>
        <w:tc>
          <w:tcPr>
            <w:tcW w:w="4540" w:type="dxa"/>
            <w:vAlign w:val="bottom"/>
            <w:shd w:val="clear" w:color="auto" w:fill="F2F3F2"/>
          </w:tcPr>
          <w:p>
            <w:pPr>
              <w:ind w:left="140"/>
              <w:spacing w:after="0"/>
              <w:rPr>
                <w:sz w:val="20"/>
                <w:szCs w:val="20"/>
                <w:color w:val="auto"/>
              </w:rPr>
            </w:pPr>
            <w:r>
              <w:rPr>
                <w:rFonts w:ascii="Arial" w:cs="Arial" w:eastAsia="Arial" w:hAnsi="Arial"/>
                <w:sz w:val="14"/>
                <w:szCs w:val="14"/>
                <w:color w:val="auto"/>
              </w:rPr>
              <w:t>5x salary</w:t>
            </w:r>
          </w:p>
        </w:tc>
      </w:tr>
      <w:tr>
        <w:trPr>
          <w:trHeight w:val="69"/>
        </w:trPr>
        <w:tc>
          <w:tcPr>
            <w:tcW w:w="4540" w:type="dxa"/>
            <w:vAlign w:val="bottom"/>
            <w:shd w:val="clear" w:color="auto" w:fill="F2F3F2"/>
          </w:tcPr>
          <w:p>
            <w:pPr>
              <w:spacing w:after="0"/>
              <w:rPr>
                <w:sz w:val="6"/>
                <w:szCs w:val="6"/>
                <w:color w:val="auto"/>
              </w:rPr>
            </w:pPr>
          </w:p>
        </w:tc>
        <w:tc>
          <w:tcPr>
            <w:tcW w:w="4540" w:type="dxa"/>
            <w:vAlign w:val="bottom"/>
            <w:shd w:val="clear" w:color="auto" w:fill="F2F3F2"/>
          </w:tcPr>
          <w:p>
            <w:pPr>
              <w:spacing w:after="0"/>
              <w:rPr>
                <w:sz w:val="6"/>
                <w:szCs w:val="6"/>
                <w:color w:val="auto"/>
              </w:rPr>
            </w:pPr>
          </w:p>
        </w:tc>
      </w:tr>
      <w:tr>
        <w:trPr>
          <w:trHeight w:val="295"/>
        </w:trPr>
        <w:tc>
          <w:tcPr>
            <w:tcW w:w="4540" w:type="dxa"/>
            <w:vAlign w:val="bottom"/>
          </w:tcPr>
          <w:p>
            <w:pPr>
              <w:ind w:left="140"/>
              <w:spacing w:after="0"/>
              <w:rPr>
                <w:sz w:val="20"/>
                <w:szCs w:val="20"/>
                <w:color w:val="auto"/>
              </w:rPr>
            </w:pPr>
            <w:r>
              <w:rPr>
                <w:rFonts w:ascii="Arial" w:cs="Arial" w:eastAsia="Arial" w:hAnsi="Arial"/>
                <w:sz w:val="14"/>
                <w:szCs w:val="14"/>
                <w:b w:val="1"/>
                <w:bCs w:val="1"/>
                <w:color w:val="auto"/>
              </w:rPr>
              <w:t>CFO and COO</w:t>
            </w:r>
          </w:p>
        </w:tc>
        <w:tc>
          <w:tcPr>
            <w:tcW w:w="4540" w:type="dxa"/>
            <w:vAlign w:val="bottom"/>
          </w:tcPr>
          <w:p>
            <w:pPr>
              <w:ind w:left="140"/>
              <w:spacing w:after="0"/>
              <w:rPr>
                <w:sz w:val="20"/>
                <w:szCs w:val="20"/>
                <w:color w:val="auto"/>
              </w:rPr>
            </w:pPr>
            <w:r>
              <w:rPr>
                <w:rFonts w:ascii="Arial" w:cs="Arial" w:eastAsia="Arial" w:hAnsi="Arial"/>
                <w:sz w:val="14"/>
                <w:szCs w:val="14"/>
                <w:color w:val="auto"/>
              </w:rPr>
              <w:t>2x salary</w:t>
            </w:r>
          </w:p>
        </w:tc>
      </w:tr>
      <w:tr>
        <w:trPr>
          <w:trHeight w:val="69"/>
        </w:trPr>
        <w:tc>
          <w:tcPr>
            <w:tcW w:w="4540" w:type="dxa"/>
            <w:vAlign w:val="bottom"/>
          </w:tcPr>
          <w:p>
            <w:pPr>
              <w:spacing w:after="0"/>
              <w:rPr>
                <w:sz w:val="6"/>
                <w:szCs w:val="6"/>
                <w:color w:val="auto"/>
              </w:rPr>
            </w:pPr>
          </w:p>
        </w:tc>
        <w:tc>
          <w:tcPr>
            <w:tcW w:w="4540" w:type="dxa"/>
            <w:vAlign w:val="bottom"/>
          </w:tcPr>
          <w:p>
            <w:pPr>
              <w:spacing w:after="0"/>
              <w:rPr>
                <w:sz w:val="6"/>
                <w:szCs w:val="6"/>
                <w:color w:val="auto"/>
              </w:rPr>
            </w:pPr>
          </w:p>
        </w:tc>
      </w:tr>
      <w:tr>
        <w:trPr>
          <w:trHeight w:val="295"/>
        </w:trPr>
        <w:tc>
          <w:tcPr>
            <w:tcW w:w="4540" w:type="dxa"/>
            <w:vAlign w:val="bottom"/>
            <w:shd w:val="clear" w:color="auto" w:fill="F2F3F2"/>
          </w:tcPr>
          <w:p>
            <w:pPr>
              <w:ind w:left="140"/>
              <w:spacing w:after="0"/>
              <w:rPr>
                <w:sz w:val="20"/>
                <w:szCs w:val="20"/>
                <w:color w:val="auto"/>
              </w:rPr>
            </w:pPr>
            <w:r>
              <w:rPr>
                <w:rFonts w:ascii="Arial" w:cs="Arial" w:eastAsia="Arial" w:hAnsi="Arial"/>
                <w:sz w:val="14"/>
                <w:szCs w:val="14"/>
                <w:b w:val="1"/>
                <w:bCs w:val="1"/>
                <w:color w:val="auto"/>
              </w:rPr>
              <w:t>Other Executive Officers</w:t>
            </w:r>
          </w:p>
        </w:tc>
        <w:tc>
          <w:tcPr>
            <w:tcW w:w="4540" w:type="dxa"/>
            <w:vAlign w:val="bottom"/>
            <w:shd w:val="clear" w:color="auto" w:fill="F2F3F2"/>
          </w:tcPr>
          <w:p>
            <w:pPr>
              <w:ind w:left="140"/>
              <w:spacing w:after="0"/>
              <w:rPr>
                <w:sz w:val="20"/>
                <w:szCs w:val="20"/>
                <w:color w:val="auto"/>
              </w:rPr>
            </w:pPr>
            <w:r>
              <w:rPr>
                <w:rFonts w:ascii="Arial" w:cs="Arial" w:eastAsia="Arial" w:hAnsi="Arial"/>
                <w:sz w:val="14"/>
                <w:szCs w:val="14"/>
                <w:color w:val="auto"/>
              </w:rPr>
              <w:t>1x salary</w:t>
            </w:r>
          </w:p>
        </w:tc>
      </w:tr>
      <w:tr>
        <w:trPr>
          <w:trHeight w:val="69"/>
        </w:trPr>
        <w:tc>
          <w:tcPr>
            <w:tcW w:w="4540" w:type="dxa"/>
            <w:vAlign w:val="bottom"/>
            <w:shd w:val="clear" w:color="auto" w:fill="F2F3F2"/>
          </w:tcPr>
          <w:p>
            <w:pPr>
              <w:spacing w:after="0"/>
              <w:rPr>
                <w:sz w:val="6"/>
                <w:szCs w:val="6"/>
                <w:color w:val="auto"/>
              </w:rPr>
            </w:pPr>
          </w:p>
        </w:tc>
        <w:tc>
          <w:tcPr>
            <w:tcW w:w="4540" w:type="dxa"/>
            <w:vAlign w:val="bottom"/>
            <w:shd w:val="clear" w:color="auto" w:fill="F2F3F2"/>
          </w:tcPr>
          <w:p>
            <w:pPr>
              <w:spacing w:after="0"/>
              <w:rPr>
                <w:sz w:val="6"/>
                <w:szCs w:val="6"/>
                <w:color w:val="auto"/>
              </w:rPr>
            </w:pPr>
          </w:p>
        </w:tc>
      </w:tr>
      <w:tr>
        <w:trPr>
          <w:trHeight w:val="295"/>
        </w:trPr>
        <w:tc>
          <w:tcPr>
            <w:tcW w:w="4540" w:type="dxa"/>
            <w:vAlign w:val="bottom"/>
          </w:tcPr>
          <w:p>
            <w:pPr>
              <w:ind w:left="140"/>
              <w:spacing w:after="0"/>
              <w:rPr>
                <w:sz w:val="20"/>
                <w:szCs w:val="20"/>
                <w:color w:val="auto"/>
              </w:rPr>
            </w:pPr>
            <w:r>
              <w:rPr>
                <w:rFonts w:ascii="Arial" w:cs="Arial" w:eastAsia="Arial" w:hAnsi="Arial"/>
                <w:sz w:val="14"/>
                <w:szCs w:val="14"/>
                <w:b w:val="1"/>
                <w:bCs w:val="1"/>
                <w:color w:val="auto"/>
              </w:rPr>
              <w:t>Non-employee Directors</w:t>
            </w:r>
          </w:p>
        </w:tc>
        <w:tc>
          <w:tcPr>
            <w:tcW w:w="4540" w:type="dxa"/>
            <w:vAlign w:val="bottom"/>
          </w:tcPr>
          <w:p>
            <w:pPr>
              <w:ind w:left="140"/>
              <w:spacing w:after="0"/>
              <w:rPr>
                <w:sz w:val="20"/>
                <w:szCs w:val="20"/>
                <w:color w:val="auto"/>
              </w:rPr>
            </w:pPr>
            <w:r>
              <w:rPr>
                <w:rFonts w:ascii="Arial" w:cs="Arial" w:eastAsia="Arial" w:hAnsi="Arial"/>
                <w:sz w:val="14"/>
                <w:szCs w:val="14"/>
                <w:color w:val="auto"/>
              </w:rPr>
              <w:t>5x annual retainer</w:t>
            </w:r>
          </w:p>
        </w:tc>
      </w:tr>
      <w:tr>
        <w:trPr>
          <w:trHeight w:val="69"/>
        </w:trPr>
        <w:tc>
          <w:tcPr>
            <w:tcW w:w="4540" w:type="dxa"/>
            <w:vAlign w:val="bottom"/>
            <w:tcBorders>
              <w:bottom w:val="single" w:sz="8" w:color="B2B3B6"/>
            </w:tcBorders>
          </w:tcPr>
          <w:p>
            <w:pPr>
              <w:spacing w:after="0"/>
              <w:rPr>
                <w:sz w:val="6"/>
                <w:szCs w:val="6"/>
                <w:color w:val="auto"/>
              </w:rPr>
            </w:pPr>
          </w:p>
        </w:tc>
        <w:tc>
          <w:tcPr>
            <w:tcW w:w="4540" w:type="dxa"/>
            <w:vAlign w:val="bottom"/>
            <w:tcBorders>
              <w:bottom w:val="single" w:sz="8" w:color="B2B3B6"/>
            </w:tcBorders>
          </w:tcPr>
          <w:p>
            <w:pPr>
              <w:spacing w:after="0"/>
              <w:rPr>
                <w:sz w:val="6"/>
                <w:szCs w:val="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0"/>
        <w:spacing w:after="0"/>
        <w:tabs>
          <w:tab w:leader="none" w:pos="444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13"/>
          <w:szCs w:val="13"/>
          <w:b w:val="1"/>
          <w:bCs w:val="1"/>
          <w:color w:val="00558C"/>
        </w:rPr>
        <w:t>48</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420370</wp:posOffset>
            </wp:positionV>
            <wp:extent cx="6810375" cy="13792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10375" cy="1379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540" w:val="left"/>
          <w:tab w:leader="none" w:pos="7360" w:val="left"/>
          <w:tab w:leader="none" w:pos="8400" w:val="left"/>
        </w:tabs>
        <w:rPr>
          <w:sz w:val="20"/>
          <w:szCs w:val="20"/>
          <w:color w:val="auto"/>
        </w:rPr>
      </w:pPr>
      <w:r>
        <w:rPr>
          <w:rFonts w:ascii="Arial" w:cs="Arial" w:eastAsia="Arial" w:hAnsi="Arial"/>
          <w:sz w:val="13"/>
          <w:szCs w:val="13"/>
          <w:b w:val="1"/>
          <w:bCs w:val="1"/>
          <w:color w:val="B2B3B6"/>
        </w:rPr>
        <w:t>General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Corporate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6AAA37"/>
        </w:rPr>
        <w:t>Executive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Stockholder</w:t>
      </w:r>
      <w:r>
        <w:rPr>
          <w:sz w:val="20"/>
          <w:szCs w:val="20"/>
          <w:color w:val="auto"/>
        </w:rPr>
        <w:tab/>
      </w:r>
      <w:r>
        <w:rPr>
          <w:rFonts w:ascii="Arial" w:cs="Arial" w:eastAsia="Arial" w:hAnsi="Arial"/>
          <w:sz w:val="12"/>
          <w:szCs w:val="12"/>
          <w:b w:val="1"/>
          <w:bCs w:val="1"/>
          <w:color w:val="B2B3B6"/>
        </w:rPr>
        <w:t>Other</w:t>
      </w:r>
    </w:p>
    <w:p>
      <w:pPr>
        <w:spacing w:after="0" w:line="11"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540" w:val="left"/>
          <w:tab w:leader="none" w:pos="7360" w:val="left"/>
          <w:tab w:leader="none" w:pos="8400" w:val="left"/>
        </w:tabs>
        <w:rPr>
          <w:sz w:val="20"/>
          <w:szCs w:val="20"/>
          <w:color w:val="auto"/>
        </w:rPr>
      </w:pPr>
      <w:r>
        <w:rPr>
          <w:rFonts w:ascii="Arial" w:cs="Arial" w:eastAsia="Arial" w:hAnsi="Arial"/>
          <w:sz w:val="13"/>
          <w:szCs w:val="13"/>
          <w:b w:val="1"/>
          <w:bCs w:val="1"/>
          <w:color w:val="B2B3B6"/>
        </w:rPr>
        <w:t>Information</w:t>
      </w:r>
      <w:r>
        <w:rPr>
          <w:sz w:val="20"/>
          <w:szCs w:val="20"/>
          <w:color w:val="auto"/>
        </w:rPr>
        <w:tab/>
      </w:r>
      <w:r>
        <w:rPr>
          <w:rFonts w:ascii="Arial" w:cs="Arial" w:eastAsia="Arial" w:hAnsi="Arial"/>
          <w:sz w:val="13"/>
          <w:szCs w:val="13"/>
          <w:b w:val="1"/>
          <w:bCs w:val="1"/>
          <w:color w:val="B2B3B6"/>
        </w:rPr>
        <w:t>One</w:t>
      </w:r>
      <w:r>
        <w:rPr>
          <w:sz w:val="20"/>
          <w:szCs w:val="20"/>
          <w:color w:val="auto"/>
        </w:rPr>
        <w:tab/>
      </w:r>
      <w:r>
        <w:rPr>
          <w:rFonts w:ascii="Arial" w:cs="Arial" w:eastAsia="Arial" w:hAnsi="Arial"/>
          <w:sz w:val="13"/>
          <w:szCs w:val="13"/>
          <w:b w:val="1"/>
          <w:bCs w:val="1"/>
          <w:color w:val="B2B3B6"/>
        </w:rPr>
        <w:t>Governance</w:t>
      </w:r>
      <w:r>
        <w:rPr>
          <w:sz w:val="20"/>
          <w:szCs w:val="20"/>
          <w:color w:val="auto"/>
        </w:rPr>
        <w:tab/>
      </w:r>
      <w:r>
        <w:rPr>
          <w:rFonts w:ascii="Arial" w:cs="Arial" w:eastAsia="Arial" w:hAnsi="Arial"/>
          <w:sz w:val="13"/>
          <w:szCs w:val="13"/>
          <w:b w:val="1"/>
          <w:bCs w:val="1"/>
          <w:color w:val="B2B3B6"/>
        </w:rPr>
        <w:t>Two</w:t>
      </w:r>
      <w:r>
        <w:rPr>
          <w:sz w:val="20"/>
          <w:szCs w:val="20"/>
          <w:color w:val="auto"/>
        </w:rPr>
        <w:tab/>
      </w:r>
      <w:r>
        <w:rPr>
          <w:rFonts w:ascii="Arial" w:cs="Arial" w:eastAsia="Arial" w:hAnsi="Arial"/>
          <w:sz w:val="13"/>
          <w:szCs w:val="13"/>
          <w:b w:val="1"/>
          <w:bCs w:val="1"/>
          <w:color w:val="6AAA37"/>
        </w:rPr>
        <w:t>Compensation</w:t>
      </w:r>
      <w:r>
        <w:rPr>
          <w:sz w:val="20"/>
          <w:szCs w:val="20"/>
          <w:color w:val="auto"/>
        </w:rPr>
        <w:tab/>
      </w:r>
      <w:r>
        <w:rPr>
          <w:rFonts w:ascii="Arial" w:cs="Arial" w:eastAsia="Arial" w:hAnsi="Arial"/>
          <w:sz w:val="13"/>
          <w:szCs w:val="13"/>
          <w:b w:val="1"/>
          <w:bCs w:val="1"/>
          <w:color w:val="B2B3B6"/>
        </w:rPr>
        <w:t>Three</w:t>
      </w:r>
      <w:r>
        <w:rPr>
          <w:sz w:val="20"/>
          <w:szCs w:val="20"/>
          <w:color w:val="auto"/>
        </w:rPr>
        <w:tab/>
      </w:r>
      <w:r>
        <w:rPr>
          <w:rFonts w:ascii="Arial" w:cs="Arial" w:eastAsia="Arial" w:hAnsi="Arial"/>
          <w:sz w:val="13"/>
          <w:szCs w:val="13"/>
          <w:b w:val="1"/>
          <w:bCs w:val="1"/>
          <w:color w:val="B2B3B6"/>
        </w:rPr>
        <w:t>Four</w:t>
      </w:r>
      <w:r>
        <w:rPr>
          <w:sz w:val="20"/>
          <w:szCs w:val="20"/>
          <w:color w:val="auto"/>
        </w:rPr>
        <w:tab/>
      </w:r>
      <w:r>
        <w:rPr>
          <w:rFonts w:ascii="Arial" w:cs="Arial" w:eastAsia="Arial" w:hAnsi="Arial"/>
          <w:sz w:val="13"/>
          <w:szCs w:val="13"/>
          <w:b w:val="1"/>
          <w:bCs w:val="1"/>
          <w:color w:val="B2B3B6"/>
        </w:rPr>
        <w:t>Five</w:t>
      </w:r>
      <w:r>
        <w:rPr>
          <w:sz w:val="20"/>
          <w:szCs w:val="20"/>
          <w:color w:val="auto"/>
        </w:rPr>
        <w:tab/>
      </w:r>
      <w:r>
        <w:rPr>
          <w:rFonts w:ascii="Arial" w:cs="Arial" w:eastAsia="Arial" w:hAnsi="Arial"/>
          <w:sz w:val="13"/>
          <w:szCs w:val="13"/>
          <w:b w:val="1"/>
          <w:bCs w:val="1"/>
          <w:color w:val="B2B3B6"/>
        </w:rPr>
        <w:t>Proposals</w:t>
      </w:r>
      <w:r>
        <w:rPr>
          <w:sz w:val="20"/>
          <w:szCs w:val="20"/>
          <w:color w:val="auto"/>
        </w:rPr>
        <w:tab/>
      </w:r>
      <w:r>
        <w:rPr>
          <w:rFonts w:ascii="Arial" w:cs="Arial" w:eastAsia="Arial" w:hAnsi="Arial"/>
          <w:sz w:val="12"/>
          <w:szCs w:val="12"/>
          <w:b w:val="1"/>
          <w:bCs w:val="1"/>
          <w:color w:val="B2B3B6"/>
        </w:rPr>
        <w:t>Matters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Insider Trading Policy</w:t>
      </w:r>
    </w:p>
    <w:p>
      <w:pPr>
        <w:sectPr>
          <w:pgSz w:w="11900" w:h="16838" w:orient="portrait"/>
          <w:cols w:equalWidth="0" w:num="1">
            <w:col w:w="9080"/>
          </w:cols>
          <w:pgMar w:left="1400" w:top="918" w:right="1419" w:bottom="0" w:gutter="0" w:footer="0" w:header="0"/>
        </w:sectPr>
      </w:pPr>
    </w:p>
    <w:p>
      <w:pPr>
        <w:spacing w:after="0" w:line="68" w:lineRule="exact"/>
        <w:rPr>
          <w:sz w:val="20"/>
          <w:szCs w:val="20"/>
          <w:color w:val="auto"/>
        </w:rPr>
      </w:pPr>
    </w:p>
    <w:p>
      <w:pPr>
        <w:ind w:right="100"/>
        <w:spacing w:after="0" w:line="310" w:lineRule="auto"/>
        <w:rPr>
          <w:sz w:val="20"/>
          <w:szCs w:val="20"/>
          <w:color w:val="auto"/>
        </w:rPr>
      </w:pPr>
      <w:r>
        <w:rPr>
          <w:rFonts w:ascii="Arial" w:cs="Arial" w:eastAsia="Arial" w:hAnsi="Arial"/>
          <w:sz w:val="16"/>
          <w:szCs w:val="16"/>
          <w:color w:val="auto"/>
        </w:rPr>
        <w:t>We have adopted an Insider Trading policy and procedures governing the purchase, sale and/or other disposition of our securities by directors, officers and employees that we believe are reasonably designed to promote compliance with insider trading laws, rules and regulations, and applicable Nasdaq listing standards. Huron’s Insider Trading Policy is incorporated by</w:t>
      </w:r>
    </w:p>
    <w:p>
      <w:pPr>
        <w:sectPr>
          <w:pgSz w:w="11900" w:h="16838" w:orient="portrait"/>
          <w:cols w:equalWidth="0" w:num="1">
            <w:col w:w="9080"/>
          </w:cols>
          <w:pgMar w:left="1400" w:top="918" w:right="1419" w:bottom="0" w:gutter="0" w:footer="0" w:header="0"/>
          <w:type w:val="continuous"/>
        </w:sectPr>
      </w:pPr>
    </w:p>
    <w:bookmarkStart w:id="52" w:name="page53"/>
    <w:bookmarkEnd w:id="52"/>
    <w:p>
      <w:pPr>
        <w:spacing w:after="0" w:line="45" w:lineRule="exact"/>
        <w:rPr>
          <w:sz w:val="20"/>
          <w:szCs w:val="20"/>
          <w:color w:val="auto"/>
        </w:rPr>
      </w:pPr>
    </w:p>
    <w:p>
      <w:pPr>
        <w:ind w:right="320"/>
        <w:spacing w:after="0" w:line="209" w:lineRule="auto"/>
        <w:rPr>
          <w:sz w:val="20"/>
          <w:szCs w:val="20"/>
          <w:color w:val="auto"/>
        </w:rPr>
      </w:pPr>
      <w:r>
        <w:rPr>
          <w:rFonts w:ascii="Arial" w:cs="Arial" w:eastAsia="Arial" w:hAnsi="Arial"/>
          <w:sz w:val="16"/>
          <w:szCs w:val="16"/>
          <w:color w:val="auto"/>
        </w:rPr>
        <w:t>reference to the Company’s Annual Report on Form 10-K for the year ended December 31, 2024 ("2024 Annual Report on Form 10-K"), filed with the Securities and Exchange Commission on February 25,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-186055</wp:posOffset>
            </wp:positionV>
            <wp:extent cx="6810375" cy="747712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10375" cy="7477125"/>
                    </a:xfrm>
                    <a:prstGeom prst="rect">
                      <a:avLst/>
                    </a:prstGeom>
                    <a:noFill/>
                  </pic:spPr>
                </pic:pic>
              </a:graphicData>
            </a:graphic>
          </wp:anchor>
        </w:drawing>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Hedging and Pledging</w:t>
      </w:r>
    </w:p>
    <w:p>
      <w:pPr>
        <w:spacing w:after="0" w:line="81"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color w:val="auto"/>
        </w:rPr>
        <w:t>Under the Company’s insider trading policy, directors, officers, employees and contractors are prohibited from entering into transactions in publicly-traded puts, calls or other derivative securities with respect to Huron’s stock and any other transaction that "hedges" the ownership in Huron’s stock or holding Company securities in a margin account or pledging Company securities as collateral for a loan is prohibited.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Considerations</w:t>
      </w:r>
    </w:p>
    <w:p>
      <w:pPr>
        <w:spacing w:after="0" w:line="81" w:lineRule="exact"/>
        <w:rPr>
          <w:sz w:val="20"/>
          <w:szCs w:val="20"/>
          <w:color w:val="auto"/>
        </w:rPr>
      </w:pPr>
    </w:p>
    <w:p>
      <w:pPr>
        <w:spacing w:after="0" w:line="293" w:lineRule="auto"/>
        <w:rPr>
          <w:sz w:val="20"/>
          <w:szCs w:val="20"/>
          <w:color w:val="auto"/>
        </w:rPr>
      </w:pPr>
      <w:r>
        <w:rPr>
          <w:rFonts w:ascii="Arial" w:cs="Arial" w:eastAsia="Arial" w:hAnsi="Arial"/>
          <w:sz w:val="16"/>
          <w:szCs w:val="16"/>
          <w:b w:val="1"/>
          <w:bCs w:val="1"/>
          <w:color w:val="auto"/>
        </w:rPr>
        <w:t xml:space="preserve">Section 162(m). </w:t>
      </w:r>
      <w:r>
        <w:rPr>
          <w:rFonts w:ascii="Arial" w:cs="Arial" w:eastAsia="Arial" w:hAnsi="Arial"/>
          <w:sz w:val="16"/>
          <w:szCs w:val="16"/>
          <w:color w:val="auto"/>
        </w:rPr>
        <w:t>Section 162(m) of the Code generally disallows a tax deduction to public companies for compensation paid in</w:t>
      </w:r>
      <w:r>
        <w:rPr>
          <w:rFonts w:ascii="Arial" w:cs="Arial" w:eastAsia="Arial" w:hAnsi="Arial"/>
          <w:sz w:val="16"/>
          <w:szCs w:val="16"/>
          <w:b w:val="1"/>
          <w:bCs w:val="1"/>
          <w:color w:val="auto"/>
        </w:rPr>
        <w:t xml:space="preserve"> </w:t>
      </w:r>
      <w:r>
        <w:rPr>
          <w:rFonts w:ascii="Arial" w:cs="Arial" w:eastAsia="Arial" w:hAnsi="Arial"/>
          <w:sz w:val="16"/>
          <w:szCs w:val="16"/>
          <w:color w:val="auto"/>
        </w:rPr>
        <w:t>excess of $1 million for any fiscal year to a company’s "covered employees." The Compensation Committee expects to authorize in the future compensation in excess of $1 million to employees that will not be deductible under Section 162(m) when it believes doing so is in the best interests of the Company and its stockholders. The Company considers it important to retain the flexibility to design a compensation program that is in the best long-term interests of the Company and its stockholders, even if certain payments under the program are not deductible under Section 162(m).</w:t>
      </w:r>
    </w:p>
    <w:p>
      <w:pPr>
        <w:spacing w:after="0" w:line="110" w:lineRule="exact"/>
        <w:rPr>
          <w:sz w:val="20"/>
          <w:szCs w:val="20"/>
          <w:color w:val="auto"/>
        </w:rPr>
      </w:pPr>
    </w:p>
    <w:p>
      <w:pPr>
        <w:ind w:right="100"/>
        <w:spacing w:after="0" w:line="295" w:lineRule="auto"/>
        <w:rPr>
          <w:sz w:val="20"/>
          <w:szCs w:val="20"/>
          <w:color w:val="auto"/>
        </w:rPr>
      </w:pPr>
      <w:r>
        <w:rPr>
          <w:rFonts w:ascii="Arial" w:cs="Arial" w:eastAsia="Arial" w:hAnsi="Arial"/>
          <w:sz w:val="16"/>
          <w:szCs w:val="16"/>
          <w:b w:val="1"/>
          <w:bCs w:val="1"/>
          <w:color w:val="auto"/>
        </w:rPr>
        <w:t xml:space="preserve">Section 280G. </w:t>
      </w:r>
      <w:r>
        <w:rPr>
          <w:rFonts w:ascii="Arial" w:cs="Arial" w:eastAsia="Arial" w:hAnsi="Arial"/>
          <w:sz w:val="16"/>
          <w:szCs w:val="16"/>
          <w:color w:val="auto"/>
        </w:rPr>
        <w:t>Section 280G of the Code disallows a company’s tax deduction for certain payments in connection with a</w:t>
      </w:r>
      <w:r>
        <w:rPr>
          <w:rFonts w:ascii="Arial" w:cs="Arial" w:eastAsia="Arial" w:hAnsi="Arial"/>
          <w:sz w:val="16"/>
          <w:szCs w:val="16"/>
          <w:b w:val="1"/>
          <w:bCs w:val="1"/>
          <w:color w:val="auto"/>
        </w:rPr>
        <w:t xml:space="preserve"> </w:t>
      </w:r>
      <w:r>
        <w:rPr>
          <w:rFonts w:ascii="Arial" w:cs="Arial" w:eastAsia="Arial" w:hAnsi="Arial"/>
          <w:sz w:val="16"/>
          <w:szCs w:val="16"/>
          <w:color w:val="auto"/>
        </w:rPr>
        <w:t>change of control defined as "excess parachute payments," and Section 4999 of the Code imposes a 20% excise tax on certain persons who receive excess parachute payments. The senior management agreements in effect ensure that any covered payments would be reduced to the extent necessary so that no portion of such payments is subject to the excise tax.</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Stock-Based Compensation</w:t>
      </w:r>
    </w:p>
    <w:p>
      <w:pPr>
        <w:spacing w:after="0" w:line="81"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The Compensation Committee considers accounting implications in designing our executive compensation program, such as ASC Topic 718, the standard which governs the accounting treatment of stock-based compensation awards. ASC Topic 718 requires us to measure the compensation expense for all share-based payment awards made to our employees and non-employee members of our Board, including options to purchase shares of our common stock and other stock awards, based on the grant date “fair value” of these awards. This calculation is performed for accounting purposes and reported in the executive compensation tables required by the federal securities laws, even though the recipient of the awards may never realize any value from their awards.</w:t>
      </w:r>
    </w:p>
    <w:p>
      <w:pPr>
        <w:spacing w:after="0" w:line="166" w:lineRule="exact"/>
        <w:rPr>
          <w:sz w:val="20"/>
          <w:szCs w:val="20"/>
          <w:color w:val="auto"/>
        </w:rPr>
      </w:pPr>
    </w:p>
    <w:p>
      <w:pPr>
        <w:spacing w:after="0"/>
        <w:tabs>
          <w:tab w:leader="none" w:pos="3480" w:val="left"/>
        </w:tabs>
        <w:rPr>
          <w:sz w:val="20"/>
          <w:szCs w:val="20"/>
          <w:color w:val="auto"/>
        </w:rPr>
      </w:pPr>
      <w:r>
        <w:rPr>
          <w:rFonts w:ascii="Arial" w:cs="Arial" w:eastAsia="Arial" w:hAnsi="Arial"/>
          <w:sz w:val="22"/>
          <w:szCs w:val="22"/>
          <w:b w:val="1"/>
          <w:bCs w:val="1"/>
          <w:color w:val="00558C"/>
        </w:rPr>
        <w:t>Compensation Committee Rep</w:t>
        <w:tab/>
        <w:t>ort</w:t>
      </w:r>
    </w:p>
    <w:p>
      <w:pPr>
        <w:spacing w:after="0" w:line="112"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The Compensation Committee has reviewed and discussed with management the information contained under the caption "Compensation Discussion and Analysis" and, based on this review and discussion, has recommended to the Board that it be included in this Proxy Statement and incorporated by reference into our 2024 Annual Report on Form 10-K.</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Hugh E. Sawyer, Chair</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Joy T. Brown</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H. Eugene Lockhart</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Debra Zumwalt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spacing w:after="0"/>
        <w:tabs>
          <w:tab w:leader="none" w:pos="444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13"/>
          <w:szCs w:val="13"/>
          <w:b w:val="1"/>
          <w:bCs w:val="1"/>
          <w:color w:val="00558C"/>
        </w:rPr>
        <w:t>49</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420370</wp:posOffset>
            </wp:positionV>
            <wp:extent cx="6810375" cy="29565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10375" cy="2956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60" w:type="dxa"/>
            <w:vAlign w:val="bottom"/>
          </w:tcPr>
          <w:p>
            <w:pPr>
              <w:ind w:left="60"/>
              <w:spacing w:after="0"/>
              <w:rPr>
                <w:sz w:val="20"/>
                <w:szCs w:val="20"/>
                <w:color w:val="auto"/>
              </w:rPr>
            </w:pPr>
            <w:r>
              <w:rPr>
                <w:rFonts w:ascii="Arial" w:cs="Arial" w:eastAsia="Arial" w:hAnsi="Arial"/>
                <w:sz w:val="13"/>
                <w:szCs w:val="13"/>
                <w:b w:val="1"/>
                <w:bCs w:val="1"/>
                <w:color w:val="B2B3B6"/>
              </w:rPr>
              <w:t>General</w:t>
            </w:r>
          </w:p>
        </w:tc>
        <w:tc>
          <w:tcPr>
            <w:tcW w:w="820" w:type="dxa"/>
            <w:vAlign w:val="bottom"/>
          </w:tcPr>
          <w:p>
            <w:pPr>
              <w:spacing w:after="0"/>
              <w:rPr>
                <w:sz w:val="20"/>
                <w:szCs w:val="20"/>
                <w:color w:val="auto"/>
              </w:rPr>
            </w:pPr>
            <w:r>
              <w:rPr>
                <w:rFonts w:ascii="Arial" w:cs="Arial" w:eastAsia="Arial" w:hAnsi="Arial"/>
                <w:sz w:val="13"/>
                <w:szCs w:val="13"/>
                <w:b w:val="1"/>
                <w:bCs w:val="1"/>
                <w:color w:val="B2B3B6"/>
              </w:rPr>
              <w:t>Proposal</w:t>
            </w:r>
          </w:p>
        </w:tc>
        <w:tc>
          <w:tcPr>
            <w:tcW w:w="880" w:type="dxa"/>
            <w:vAlign w:val="bottom"/>
          </w:tcPr>
          <w:p>
            <w:pPr>
              <w:ind w:left="20"/>
              <w:spacing w:after="0"/>
              <w:rPr>
                <w:sz w:val="20"/>
                <w:szCs w:val="20"/>
                <w:color w:val="auto"/>
              </w:rPr>
            </w:pPr>
            <w:r>
              <w:rPr>
                <w:rFonts w:ascii="Arial" w:cs="Arial" w:eastAsia="Arial" w:hAnsi="Arial"/>
                <w:sz w:val="13"/>
                <w:szCs w:val="13"/>
                <w:b w:val="1"/>
                <w:bCs w:val="1"/>
                <w:color w:val="B2B3B6"/>
              </w:rPr>
              <w:t>Corporate</w:t>
            </w:r>
          </w:p>
        </w:tc>
        <w:tc>
          <w:tcPr>
            <w:tcW w:w="800" w:type="dxa"/>
            <w:vAlign w:val="bottom"/>
          </w:tcPr>
          <w:p>
            <w:pPr>
              <w:ind w:left="140"/>
              <w:spacing w:after="0"/>
              <w:rPr>
                <w:sz w:val="20"/>
                <w:szCs w:val="20"/>
                <w:color w:val="auto"/>
              </w:rPr>
            </w:pPr>
            <w:r>
              <w:rPr>
                <w:rFonts w:ascii="Arial" w:cs="Arial" w:eastAsia="Arial" w:hAnsi="Arial"/>
                <w:sz w:val="13"/>
                <w:szCs w:val="13"/>
                <w:b w:val="1"/>
                <w:bCs w:val="1"/>
                <w:color w:val="B2B3B6"/>
              </w:rPr>
              <w:t>Proposal</w:t>
            </w:r>
          </w:p>
        </w:tc>
        <w:tc>
          <w:tcPr>
            <w:tcW w:w="840" w:type="dxa"/>
            <w:vAlign w:val="bottom"/>
          </w:tcPr>
          <w:p>
            <w:pPr>
              <w:ind w:left="160"/>
              <w:spacing w:after="0"/>
              <w:rPr>
                <w:sz w:val="20"/>
                <w:szCs w:val="20"/>
                <w:color w:val="auto"/>
              </w:rPr>
            </w:pPr>
            <w:r>
              <w:rPr>
                <w:rFonts w:ascii="Arial" w:cs="Arial" w:eastAsia="Arial" w:hAnsi="Arial"/>
                <w:sz w:val="13"/>
                <w:szCs w:val="13"/>
                <w:b w:val="1"/>
                <w:bCs w:val="1"/>
                <w:color w:val="6AAA37"/>
              </w:rPr>
              <w:t>Executive</w:t>
            </w:r>
          </w:p>
        </w:tc>
        <w:tc>
          <w:tcPr>
            <w:tcW w:w="260" w:type="dxa"/>
            <w:vAlign w:val="bottom"/>
          </w:tcPr>
          <w:p>
            <w:pPr>
              <w:spacing w:after="0"/>
              <w:rPr>
                <w:sz w:val="12"/>
                <w:szCs w:val="12"/>
                <w:color w:val="auto"/>
              </w:rPr>
            </w:pPr>
          </w:p>
        </w:tc>
        <w:tc>
          <w:tcPr>
            <w:tcW w:w="840" w:type="dxa"/>
            <w:vAlign w:val="bottom"/>
            <w:gridSpan w:val="2"/>
          </w:tcPr>
          <w:p>
            <w:pPr>
              <w:ind w:left="260"/>
              <w:spacing w:after="0"/>
              <w:rPr>
                <w:sz w:val="20"/>
                <w:szCs w:val="20"/>
                <w:color w:val="auto"/>
              </w:rPr>
            </w:pPr>
            <w:r>
              <w:rPr>
                <w:rFonts w:ascii="Arial" w:cs="Arial" w:eastAsia="Arial" w:hAnsi="Arial"/>
                <w:sz w:val="13"/>
                <w:szCs w:val="13"/>
                <w:b w:val="1"/>
                <w:bCs w:val="1"/>
                <w:color w:val="B2B3B6"/>
              </w:rPr>
              <w:t>Proposal</w:t>
            </w:r>
          </w:p>
        </w:tc>
        <w:tc>
          <w:tcPr>
            <w:tcW w:w="960" w:type="dxa"/>
            <w:vAlign w:val="bottom"/>
          </w:tcPr>
          <w:p>
            <w:pPr>
              <w:jc w:val="right"/>
              <w:ind w:right="110"/>
              <w:spacing w:after="0"/>
              <w:rPr>
                <w:sz w:val="20"/>
                <w:szCs w:val="20"/>
                <w:color w:val="auto"/>
              </w:rPr>
            </w:pPr>
            <w:r>
              <w:rPr>
                <w:rFonts w:ascii="Arial" w:cs="Arial" w:eastAsia="Arial" w:hAnsi="Arial"/>
                <w:sz w:val="13"/>
                <w:szCs w:val="13"/>
                <w:b w:val="1"/>
                <w:bCs w:val="1"/>
                <w:color w:val="B2B3B6"/>
              </w:rPr>
              <w:t>Proposal</w:t>
            </w:r>
          </w:p>
        </w:tc>
        <w:tc>
          <w:tcPr>
            <w:tcW w:w="680" w:type="dxa"/>
            <w:vAlign w:val="bottom"/>
          </w:tcPr>
          <w:p>
            <w:pPr>
              <w:ind w:left="100"/>
              <w:spacing w:after="0"/>
              <w:rPr>
                <w:sz w:val="20"/>
                <w:szCs w:val="20"/>
                <w:color w:val="auto"/>
              </w:rPr>
            </w:pPr>
            <w:r>
              <w:rPr>
                <w:rFonts w:ascii="Arial" w:cs="Arial" w:eastAsia="Arial" w:hAnsi="Arial"/>
                <w:sz w:val="13"/>
                <w:szCs w:val="13"/>
                <w:b w:val="1"/>
                <w:bCs w:val="1"/>
                <w:color w:val="B2B3B6"/>
              </w:rPr>
              <w:t>Proposal</w:t>
            </w:r>
          </w:p>
        </w:tc>
        <w:tc>
          <w:tcPr>
            <w:tcW w:w="1040" w:type="dxa"/>
            <w:vAlign w:val="bottom"/>
          </w:tcPr>
          <w:p>
            <w:pPr>
              <w:ind w:left="240"/>
              <w:spacing w:after="0"/>
              <w:rPr>
                <w:sz w:val="20"/>
                <w:szCs w:val="20"/>
                <w:color w:val="auto"/>
              </w:rPr>
            </w:pPr>
            <w:r>
              <w:rPr>
                <w:rFonts w:ascii="Arial" w:cs="Arial" w:eastAsia="Arial" w:hAnsi="Arial"/>
                <w:sz w:val="13"/>
                <w:szCs w:val="13"/>
                <w:b w:val="1"/>
                <w:bCs w:val="1"/>
                <w:color w:val="B2B3B6"/>
              </w:rPr>
              <w:t>Stockholder</w:t>
            </w:r>
          </w:p>
        </w:tc>
        <w:tc>
          <w:tcPr>
            <w:tcW w:w="720" w:type="dxa"/>
            <w:vAlign w:val="bottom"/>
          </w:tcPr>
          <w:p>
            <w:pPr>
              <w:ind w:left="240"/>
              <w:spacing w:after="0"/>
              <w:rPr>
                <w:sz w:val="20"/>
                <w:szCs w:val="20"/>
                <w:color w:val="auto"/>
              </w:rPr>
            </w:pPr>
            <w:r>
              <w:rPr>
                <w:rFonts w:ascii="Arial" w:cs="Arial" w:eastAsia="Arial" w:hAnsi="Arial"/>
                <w:sz w:val="13"/>
                <w:szCs w:val="13"/>
                <w:b w:val="1"/>
                <w:bCs w:val="1"/>
                <w:color w:val="B2B3B6"/>
              </w:rPr>
              <w:t>Other</w:t>
            </w:r>
          </w:p>
        </w:tc>
        <w:tc>
          <w:tcPr>
            <w:tcW w:w="0" w:type="dxa"/>
            <w:vAlign w:val="bottom"/>
          </w:tcPr>
          <w:p>
            <w:pPr>
              <w:spacing w:after="0"/>
              <w:rPr>
                <w:sz w:val="1"/>
                <w:szCs w:val="1"/>
                <w:color w:val="auto"/>
              </w:rPr>
            </w:pPr>
          </w:p>
        </w:tc>
      </w:tr>
      <w:tr>
        <w:trPr>
          <w:trHeight w:val="172"/>
        </w:trPr>
        <w:tc>
          <w:tcPr>
            <w:tcW w:w="1060" w:type="dxa"/>
            <w:vAlign w:val="bottom"/>
          </w:tcPr>
          <w:p>
            <w:pPr>
              <w:ind w:left="60"/>
              <w:spacing w:after="0"/>
              <w:rPr>
                <w:sz w:val="20"/>
                <w:szCs w:val="20"/>
                <w:color w:val="auto"/>
              </w:rPr>
            </w:pPr>
            <w:r>
              <w:rPr>
                <w:rFonts w:ascii="Arial" w:cs="Arial" w:eastAsia="Arial" w:hAnsi="Arial"/>
                <w:sz w:val="13"/>
                <w:szCs w:val="13"/>
                <w:b w:val="1"/>
                <w:bCs w:val="1"/>
                <w:color w:val="B2B3B6"/>
              </w:rPr>
              <w:t>Information</w:t>
            </w:r>
          </w:p>
        </w:tc>
        <w:tc>
          <w:tcPr>
            <w:tcW w:w="820" w:type="dxa"/>
            <w:vAlign w:val="bottom"/>
          </w:tcPr>
          <w:p>
            <w:pPr>
              <w:spacing w:after="0"/>
              <w:rPr>
                <w:sz w:val="20"/>
                <w:szCs w:val="20"/>
                <w:color w:val="auto"/>
              </w:rPr>
            </w:pPr>
            <w:r>
              <w:rPr>
                <w:rFonts w:ascii="Arial" w:cs="Arial" w:eastAsia="Arial" w:hAnsi="Arial"/>
                <w:sz w:val="13"/>
                <w:szCs w:val="13"/>
                <w:b w:val="1"/>
                <w:bCs w:val="1"/>
                <w:color w:val="B2B3B6"/>
              </w:rPr>
              <w:t>One</w:t>
            </w:r>
          </w:p>
        </w:tc>
        <w:tc>
          <w:tcPr>
            <w:tcW w:w="880" w:type="dxa"/>
            <w:vAlign w:val="bottom"/>
          </w:tcPr>
          <w:p>
            <w:pPr>
              <w:ind w:left="20"/>
              <w:spacing w:after="0"/>
              <w:rPr>
                <w:sz w:val="20"/>
                <w:szCs w:val="20"/>
                <w:color w:val="auto"/>
              </w:rPr>
            </w:pPr>
            <w:r>
              <w:rPr>
                <w:rFonts w:ascii="Arial" w:cs="Arial" w:eastAsia="Arial" w:hAnsi="Arial"/>
                <w:sz w:val="13"/>
                <w:szCs w:val="13"/>
                <w:b w:val="1"/>
                <w:bCs w:val="1"/>
                <w:color w:val="B2B3B6"/>
              </w:rPr>
              <w:t>Governance</w:t>
            </w:r>
          </w:p>
        </w:tc>
        <w:tc>
          <w:tcPr>
            <w:tcW w:w="800" w:type="dxa"/>
            <w:vAlign w:val="bottom"/>
          </w:tcPr>
          <w:p>
            <w:pPr>
              <w:ind w:left="140"/>
              <w:spacing w:after="0"/>
              <w:rPr>
                <w:sz w:val="20"/>
                <w:szCs w:val="20"/>
                <w:color w:val="auto"/>
              </w:rPr>
            </w:pPr>
            <w:r>
              <w:rPr>
                <w:rFonts w:ascii="Arial" w:cs="Arial" w:eastAsia="Arial" w:hAnsi="Arial"/>
                <w:sz w:val="13"/>
                <w:szCs w:val="13"/>
                <w:b w:val="1"/>
                <w:bCs w:val="1"/>
                <w:color w:val="B2B3B6"/>
              </w:rPr>
              <w:t>Two</w:t>
            </w:r>
          </w:p>
        </w:tc>
        <w:tc>
          <w:tcPr>
            <w:tcW w:w="1100" w:type="dxa"/>
            <w:vAlign w:val="bottom"/>
            <w:gridSpan w:val="2"/>
          </w:tcPr>
          <w:p>
            <w:pPr>
              <w:ind w:left="160"/>
              <w:spacing w:after="0"/>
              <w:rPr>
                <w:sz w:val="20"/>
                <w:szCs w:val="20"/>
                <w:color w:val="auto"/>
              </w:rPr>
            </w:pPr>
            <w:r>
              <w:rPr>
                <w:rFonts w:ascii="Arial" w:cs="Arial" w:eastAsia="Arial" w:hAnsi="Arial"/>
                <w:sz w:val="13"/>
                <w:szCs w:val="13"/>
                <w:b w:val="1"/>
                <w:bCs w:val="1"/>
                <w:color w:val="6AAA37"/>
              </w:rPr>
              <w:t>Compensation</w:t>
            </w:r>
          </w:p>
        </w:tc>
        <w:tc>
          <w:tcPr>
            <w:tcW w:w="600" w:type="dxa"/>
            <w:vAlign w:val="bottom"/>
          </w:tcPr>
          <w:p>
            <w:pPr>
              <w:ind w:left="260"/>
              <w:spacing w:after="0"/>
              <w:rPr>
                <w:sz w:val="20"/>
                <w:szCs w:val="20"/>
                <w:color w:val="auto"/>
              </w:rPr>
            </w:pPr>
            <w:r>
              <w:rPr>
                <w:rFonts w:ascii="Arial" w:cs="Arial" w:eastAsia="Arial" w:hAnsi="Arial"/>
                <w:sz w:val="13"/>
                <w:szCs w:val="13"/>
                <w:b w:val="1"/>
                <w:bCs w:val="1"/>
                <w:color w:val="B2B3B6"/>
                <w:w w:val="90"/>
              </w:rPr>
              <w:t>Three</w:t>
            </w:r>
          </w:p>
        </w:tc>
        <w:tc>
          <w:tcPr>
            <w:tcW w:w="240" w:type="dxa"/>
            <w:vAlign w:val="bottom"/>
          </w:tcPr>
          <w:p>
            <w:pPr>
              <w:spacing w:after="0"/>
              <w:rPr>
                <w:sz w:val="14"/>
                <w:szCs w:val="14"/>
                <w:color w:val="auto"/>
              </w:rPr>
            </w:pPr>
          </w:p>
        </w:tc>
        <w:tc>
          <w:tcPr>
            <w:tcW w:w="960" w:type="dxa"/>
            <w:vAlign w:val="bottom"/>
          </w:tcPr>
          <w:p>
            <w:pPr>
              <w:jc w:val="right"/>
              <w:ind w:right="370"/>
              <w:spacing w:after="0"/>
              <w:rPr>
                <w:sz w:val="20"/>
                <w:szCs w:val="20"/>
                <w:color w:val="auto"/>
              </w:rPr>
            </w:pPr>
            <w:r>
              <w:rPr>
                <w:rFonts w:ascii="Arial" w:cs="Arial" w:eastAsia="Arial" w:hAnsi="Arial"/>
                <w:sz w:val="13"/>
                <w:szCs w:val="13"/>
                <w:b w:val="1"/>
                <w:bCs w:val="1"/>
                <w:color w:val="B2B3B6"/>
              </w:rPr>
              <w:t>Four</w:t>
            </w:r>
          </w:p>
        </w:tc>
        <w:tc>
          <w:tcPr>
            <w:tcW w:w="680" w:type="dxa"/>
            <w:vAlign w:val="bottom"/>
          </w:tcPr>
          <w:p>
            <w:pPr>
              <w:ind w:left="100"/>
              <w:spacing w:after="0"/>
              <w:rPr>
                <w:sz w:val="20"/>
                <w:szCs w:val="20"/>
                <w:color w:val="auto"/>
              </w:rPr>
            </w:pPr>
            <w:r>
              <w:rPr>
                <w:rFonts w:ascii="Arial" w:cs="Arial" w:eastAsia="Arial" w:hAnsi="Arial"/>
                <w:sz w:val="13"/>
                <w:szCs w:val="13"/>
                <w:b w:val="1"/>
                <w:bCs w:val="1"/>
                <w:color w:val="B2B3B6"/>
              </w:rPr>
              <w:t>Five</w:t>
            </w:r>
          </w:p>
        </w:tc>
        <w:tc>
          <w:tcPr>
            <w:tcW w:w="1040" w:type="dxa"/>
            <w:vAlign w:val="bottom"/>
          </w:tcPr>
          <w:p>
            <w:pPr>
              <w:ind w:left="240"/>
              <w:spacing w:after="0"/>
              <w:rPr>
                <w:sz w:val="20"/>
                <w:szCs w:val="20"/>
                <w:color w:val="auto"/>
              </w:rPr>
            </w:pPr>
            <w:r>
              <w:rPr>
                <w:rFonts w:ascii="Arial" w:cs="Arial" w:eastAsia="Arial" w:hAnsi="Arial"/>
                <w:sz w:val="13"/>
                <w:szCs w:val="13"/>
                <w:b w:val="1"/>
                <w:bCs w:val="1"/>
                <w:color w:val="B2B3B6"/>
              </w:rPr>
              <w:t>Proposals</w:t>
            </w:r>
          </w:p>
        </w:tc>
        <w:tc>
          <w:tcPr>
            <w:tcW w:w="720" w:type="dxa"/>
            <w:vAlign w:val="bottom"/>
          </w:tcPr>
          <w:p>
            <w:pPr>
              <w:ind w:left="240"/>
              <w:spacing w:after="0"/>
              <w:rPr>
                <w:sz w:val="20"/>
                <w:szCs w:val="20"/>
                <w:color w:val="auto"/>
              </w:rPr>
            </w:pPr>
            <w:r>
              <w:rPr>
                <w:rFonts w:ascii="Arial" w:cs="Arial" w:eastAsia="Arial" w:hAnsi="Arial"/>
                <w:sz w:val="13"/>
                <w:szCs w:val="13"/>
                <w:b w:val="1"/>
                <w:bCs w:val="1"/>
                <w:color w:val="B2B3B6"/>
                <w:w w:val="99"/>
              </w:rPr>
              <w:t>Matters</w:t>
            </w:r>
          </w:p>
        </w:tc>
        <w:tc>
          <w:tcPr>
            <w:tcW w:w="0" w:type="dxa"/>
            <w:vAlign w:val="bottom"/>
          </w:tcPr>
          <w:p>
            <w:pPr>
              <w:spacing w:after="0"/>
              <w:rPr>
                <w:sz w:val="1"/>
                <w:szCs w:val="1"/>
                <w:color w:val="auto"/>
              </w:rPr>
            </w:pPr>
          </w:p>
        </w:tc>
      </w:tr>
      <w:tr>
        <w:trPr>
          <w:trHeight w:val="601"/>
        </w:trPr>
        <w:tc>
          <w:tcPr>
            <w:tcW w:w="4400" w:type="dxa"/>
            <w:vAlign w:val="bottom"/>
            <w:gridSpan w:val="5"/>
          </w:tcPr>
          <w:p>
            <w:pPr>
              <w:spacing w:after="0"/>
              <w:rPr>
                <w:sz w:val="20"/>
                <w:szCs w:val="20"/>
                <w:color w:val="auto"/>
              </w:rPr>
            </w:pPr>
            <w:r>
              <w:rPr>
                <w:rFonts w:ascii="Arial" w:cs="Arial" w:eastAsia="Arial" w:hAnsi="Arial"/>
                <w:sz w:val="22"/>
                <w:szCs w:val="22"/>
                <w:b w:val="1"/>
                <w:bCs w:val="1"/>
                <w:color w:val="00558C"/>
              </w:rPr>
              <w:t>2024 Summary Compensation Table</w:t>
            </w: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4"/>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ind w:right="90"/>
              <w:spacing w:after="0"/>
              <w:rPr>
                <w:sz w:val="20"/>
                <w:szCs w:val="20"/>
                <w:color w:val="auto"/>
              </w:rPr>
            </w:pPr>
            <w:r>
              <w:rPr>
                <w:rFonts w:ascii="Arial" w:cs="Arial" w:eastAsia="Arial" w:hAnsi="Arial"/>
                <w:sz w:val="14"/>
                <w:szCs w:val="14"/>
                <w:b w:val="1"/>
                <w:bCs w:val="1"/>
                <w:color w:val="FFFFFF"/>
              </w:rPr>
              <w:t>Non-Equity</w:t>
            </w:r>
          </w:p>
        </w:tc>
        <w:tc>
          <w:tcPr>
            <w:tcW w:w="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0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jc w:val="right"/>
              <w:ind w:right="99"/>
              <w:spacing w:after="0"/>
              <w:rPr>
                <w:sz w:val="20"/>
                <w:szCs w:val="20"/>
                <w:color w:val="auto"/>
              </w:rPr>
            </w:pPr>
            <w:r>
              <w:rPr>
                <w:rFonts w:ascii="Arial" w:cs="Arial" w:eastAsia="Arial" w:hAnsi="Arial"/>
                <w:sz w:val="14"/>
                <w:szCs w:val="14"/>
                <w:b w:val="1"/>
                <w:bCs w:val="1"/>
                <w:color w:val="FFFFFF"/>
              </w:rPr>
              <w:t>Stock</w:t>
            </w:r>
          </w:p>
        </w:tc>
        <w:tc>
          <w:tcPr>
            <w:tcW w:w="120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FFFFFF"/>
              </w:rPr>
              <w:t>Incentive Plan</w:t>
            </w:r>
          </w:p>
        </w:tc>
        <w:tc>
          <w:tcPr>
            <w:tcW w:w="1720" w:type="dxa"/>
            <w:vAlign w:val="bottom"/>
            <w:gridSpan w:val="2"/>
          </w:tcPr>
          <w:p>
            <w:pPr>
              <w:jc w:val="right"/>
              <w:ind w:right="533"/>
              <w:spacing w:after="0"/>
              <w:rPr>
                <w:sz w:val="20"/>
                <w:szCs w:val="20"/>
                <w:color w:val="auto"/>
              </w:rPr>
            </w:pPr>
            <w:r>
              <w:rPr>
                <w:rFonts w:ascii="Arial" w:cs="Arial" w:eastAsia="Arial" w:hAnsi="Arial"/>
                <w:sz w:val="14"/>
                <w:szCs w:val="14"/>
                <w:b w:val="1"/>
                <w:bCs w:val="1"/>
                <w:color w:val="FFFFFF"/>
              </w:rPr>
              <w:t>All Other</w:t>
            </w: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880" w:type="dxa"/>
            <w:vAlign w:val="bottom"/>
            <w:gridSpan w:val="2"/>
          </w:tcPr>
          <w:p>
            <w:pPr>
              <w:ind w:left="140"/>
              <w:spacing w:after="0" w:line="145" w:lineRule="exact"/>
              <w:rPr>
                <w:sz w:val="20"/>
                <w:szCs w:val="20"/>
                <w:color w:val="auto"/>
              </w:rPr>
            </w:pPr>
            <w:r>
              <w:rPr>
                <w:rFonts w:ascii="Arial" w:cs="Arial" w:eastAsia="Arial" w:hAnsi="Arial"/>
                <w:sz w:val="14"/>
                <w:szCs w:val="14"/>
                <w:b w:val="1"/>
                <w:bCs w:val="1"/>
                <w:color w:val="FFFFFF"/>
              </w:rPr>
              <w:t>Name and Principal</w:t>
            </w:r>
          </w:p>
        </w:tc>
        <w:tc>
          <w:tcPr>
            <w:tcW w:w="880" w:type="dxa"/>
            <w:vAlign w:val="bottom"/>
          </w:tcPr>
          <w:p>
            <w:pPr>
              <w:spacing w:after="0"/>
              <w:rPr>
                <w:sz w:val="12"/>
                <w:szCs w:val="12"/>
                <w:color w:val="auto"/>
              </w:rPr>
            </w:pPr>
          </w:p>
        </w:tc>
        <w:tc>
          <w:tcPr>
            <w:tcW w:w="800" w:type="dxa"/>
            <w:vAlign w:val="bottom"/>
          </w:tcPr>
          <w:p>
            <w:pPr>
              <w:ind w:left="200"/>
              <w:spacing w:after="0" w:line="145" w:lineRule="exact"/>
              <w:rPr>
                <w:sz w:val="20"/>
                <w:szCs w:val="20"/>
                <w:color w:val="auto"/>
              </w:rPr>
            </w:pPr>
            <w:r>
              <w:rPr>
                <w:rFonts w:ascii="Arial" w:cs="Arial" w:eastAsia="Arial" w:hAnsi="Arial"/>
                <w:sz w:val="14"/>
                <w:szCs w:val="14"/>
                <w:b w:val="1"/>
                <w:bCs w:val="1"/>
                <w:color w:val="FFFFFF"/>
              </w:rPr>
              <w:t>Salary</w:t>
            </w:r>
          </w:p>
        </w:tc>
        <w:tc>
          <w:tcPr>
            <w:tcW w:w="840" w:type="dxa"/>
            <w:vAlign w:val="bottom"/>
          </w:tcPr>
          <w:p>
            <w:pPr>
              <w:ind w:left="180"/>
              <w:spacing w:after="0" w:line="145" w:lineRule="exact"/>
              <w:rPr>
                <w:sz w:val="20"/>
                <w:szCs w:val="20"/>
                <w:color w:val="auto"/>
              </w:rPr>
            </w:pPr>
            <w:r>
              <w:rPr>
                <w:rFonts w:ascii="Arial" w:cs="Arial" w:eastAsia="Arial" w:hAnsi="Arial"/>
                <w:sz w:val="14"/>
                <w:szCs w:val="14"/>
                <w:b w:val="1"/>
                <w:bCs w:val="1"/>
                <w:color w:val="FFFFFF"/>
              </w:rPr>
              <w:t>Bonus</w:t>
            </w:r>
          </w:p>
        </w:tc>
        <w:tc>
          <w:tcPr>
            <w:tcW w:w="860" w:type="dxa"/>
            <w:vAlign w:val="bottom"/>
            <w:gridSpan w:val="2"/>
          </w:tcPr>
          <w:p>
            <w:pPr>
              <w:jc w:val="right"/>
              <w:ind w:right="119"/>
              <w:spacing w:after="0" w:line="145" w:lineRule="exact"/>
              <w:rPr>
                <w:sz w:val="20"/>
                <w:szCs w:val="20"/>
                <w:color w:val="auto"/>
              </w:rPr>
            </w:pPr>
            <w:r>
              <w:rPr>
                <w:rFonts w:ascii="Arial" w:cs="Arial" w:eastAsia="Arial" w:hAnsi="Arial"/>
                <w:sz w:val="14"/>
                <w:szCs w:val="14"/>
                <w:b w:val="1"/>
                <w:bCs w:val="1"/>
                <w:color w:val="FFFFFF"/>
              </w:rPr>
              <w:t>Awards</w:t>
            </w:r>
          </w:p>
        </w:tc>
        <w:tc>
          <w:tcPr>
            <w:tcW w:w="1200" w:type="dxa"/>
            <w:vAlign w:val="bottom"/>
            <w:gridSpan w:val="2"/>
          </w:tcPr>
          <w:p>
            <w:pPr>
              <w:jc w:val="right"/>
              <w:ind w:right="110"/>
              <w:spacing w:after="0" w:line="145" w:lineRule="exact"/>
              <w:rPr>
                <w:sz w:val="20"/>
                <w:szCs w:val="20"/>
                <w:color w:val="auto"/>
              </w:rPr>
            </w:pPr>
            <w:r>
              <w:rPr>
                <w:rFonts w:ascii="Arial" w:cs="Arial" w:eastAsia="Arial" w:hAnsi="Arial"/>
                <w:sz w:val="14"/>
                <w:szCs w:val="14"/>
                <w:b w:val="1"/>
                <w:bCs w:val="1"/>
                <w:color w:val="FFFFFF"/>
              </w:rPr>
              <w:t>Compensation</w:t>
            </w:r>
          </w:p>
        </w:tc>
        <w:tc>
          <w:tcPr>
            <w:tcW w:w="1720" w:type="dxa"/>
            <w:vAlign w:val="bottom"/>
            <w:gridSpan w:val="2"/>
          </w:tcPr>
          <w:p>
            <w:pPr>
              <w:jc w:val="right"/>
              <w:ind w:right="573"/>
              <w:spacing w:after="0" w:line="145" w:lineRule="exact"/>
              <w:rPr>
                <w:sz w:val="20"/>
                <w:szCs w:val="20"/>
                <w:color w:val="auto"/>
              </w:rPr>
            </w:pPr>
            <w:r>
              <w:rPr>
                <w:rFonts w:ascii="Arial" w:cs="Arial" w:eastAsia="Arial" w:hAnsi="Arial"/>
                <w:sz w:val="14"/>
                <w:szCs w:val="14"/>
                <w:b w:val="1"/>
                <w:bCs w:val="1"/>
                <w:color w:val="FFFFFF"/>
              </w:rPr>
              <w:t>Compensation</w:t>
            </w:r>
          </w:p>
        </w:tc>
        <w:tc>
          <w:tcPr>
            <w:tcW w:w="720" w:type="dxa"/>
            <w:vAlign w:val="bottom"/>
          </w:tcPr>
          <w:p>
            <w:pPr>
              <w:jc w:val="right"/>
              <w:spacing w:after="0" w:line="145" w:lineRule="exact"/>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392"/>
        </w:trPr>
        <w:tc>
          <w:tcPr>
            <w:tcW w:w="1060" w:type="dxa"/>
            <w:vAlign w:val="bottom"/>
          </w:tcPr>
          <w:p>
            <w:pPr>
              <w:ind w:left="140"/>
              <w:spacing w:after="0"/>
              <w:rPr>
                <w:sz w:val="20"/>
                <w:szCs w:val="20"/>
                <w:color w:val="auto"/>
              </w:rPr>
            </w:pPr>
            <w:r>
              <w:rPr>
                <w:rFonts w:ascii="Arial" w:cs="Arial" w:eastAsia="Arial" w:hAnsi="Arial"/>
                <w:sz w:val="14"/>
                <w:szCs w:val="14"/>
                <w:b w:val="1"/>
                <w:bCs w:val="1"/>
                <w:color w:val="FFFFFF"/>
              </w:rPr>
              <w:t>Position</w:t>
            </w:r>
          </w:p>
        </w:tc>
        <w:tc>
          <w:tcPr>
            <w:tcW w:w="820" w:type="dxa"/>
            <w:vAlign w:val="bottom"/>
          </w:tcPr>
          <w:p>
            <w:pPr>
              <w:spacing w:after="0"/>
              <w:rPr>
                <w:sz w:val="24"/>
                <w:szCs w:val="24"/>
                <w:color w:val="auto"/>
              </w:rPr>
            </w:pPr>
          </w:p>
        </w:tc>
        <w:tc>
          <w:tcPr>
            <w:tcW w:w="880" w:type="dxa"/>
            <w:vAlign w:val="bottom"/>
          </w:tcPr>
          <w:p>
            <w:pPr>
              <w:ind w:left="240"/>
              <w:spacing w:after="0"/>
              <w:rPr>
                <w:sz w:val="20"/>
                <w:szCs w:val="20"/>
                <w:color w:val="auto"/>
              </w:rPr>
            </w:pPr>
            <w:r>
              <w:rPr>
                <w:rFonts w:ascii="Arial" w:cs="Arial" w:eastAsia="Arial" w:hAnsi="Arial"/>
                <w:sz w:val="14"/>
                <w:szCs w:val="14"/>
                <w:b w:val="1"/>
                <w:bCs w:val="1"/>
                <w:color w:val="FFFFFF"/>
              </w:rPr>
              <w:t>Year</w:t>
            </w:r>
          </w:p>
        </w:tc>
        <w:tc>
          <w:tcPr>
            <w:tcW w:w="800" w:type="dxa"/>
            <w:vAlign w:val="bottom"/>
          </w:tcPr>
          <w:p>
            <w:pPr>
              <w:ind w:left="460"/>
              <w:spacing w:after="0"/>
              <w:rPr>
                <w:sz w:val="20"/>
                <w:szCs w:val="20"/>
                <w:color w:val="auto"/>
              </w:rPr>
            </w:pPr>
            <w:r>
              <w:rPr>
                <w:rFonts w:ascii="Arial" w:cs="Arial" w:eastAsia="Arial" w:hAnsi="Arial"/>
                <w:sz w:val="14"/>
                <w:szCs w:val="14"/>
                <w:b w:val="1"/>
                <w:bCs w:val="1"/>
                <w:color w:val="FFFFFF"/>
              </w:rPr>
              <w:t>($)</w:t>
            </w:r>
          </w:p>
        </w:tc>
        <w:tc>
          <w:tcPr>
            <w:tcW w:w="840" w:type="dxa"/>
            <w:vAlign w:val="bottom"/>
          </w:tcPr>
          <w:p>
            <w:pPr>
              <w:ind w:left="340"/>
              <w:spacing w:after="0"/>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9"/>
                <w:szCs w:val="9"/>
                <w:b w:val="1"/>
                <w:bCs w:val="1"/>
                <w:color w:val="FFFFFF"/>
              </w:rPr>
              <w:t xml:space="preserve"> (1)</w:t>
            </w:r>
          </w:p>
        </w:tc>
        <w:tc>
          <w:tcPr>
            <w:tcW w:w="260" w:type="dxa"/>
            <w:vAlign w:val="bottom"/>
          </w:tcPr>
          <w:p>
            <w:pPr>
              <w:spacing w:after="0"/>
              <w:rPr>
                <w:sz w:val="24"/>
                <w:szCs w:val="24"/>
                <w:color w:val="auto"/>
              </w:rPr>
            </w:pPr>
          </w:p>
        </w:tc>
        <w:tc>
          <w:tcPr>
            <w:tcW w:w="600" w:type="dxa"/>
            <w:vAlign w:val="bottom"/>
          </w:tcPr>
          <w:p>
            <w:pPr>
              <w:jc w:val="right"/>
              <w:ind w:right="79"/>
              <w:spacing w:after="0"/>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9"/>
                <w:szCs w:val="9"/>
                <w:b w:val="1"/>
                <w:bCs w:val="1"/>
                <w:color w:val="FFFFFF"/>
              </w:rPr>
              <w:t xml:space="preserve"> (2)</w:t>
            </w:r>
          </w:p>
        </w:tc>
        <w:tc>
          <w:tcPr>
            <w:tcW w:w="240" w:type="dxa"/>
            <w:vAlign w:val="bottom"/>
          </w:tcPr>
          <w:p>
            <w:pPr>
              <w:spacing w:after="0"/>
              <w:rPr>
                <w:sz w:val="24"/>
                <w:szCs w:val="24"/>
                <w:color w:val="auto"/>
              </w:rPr>
            </w:pPr>
          </w:p>
        </w:tc>
        <w:tc>
          <w:tcPr>
            <w:tcW w:w="960" w:type="dxa"/>
            <w:vAlign w:val="bottom"/>
          </w:tcPr>
          <w:p>
            <w:pPr>
              <w:jc w:val="right"/>
              <w:ind w:right="30"/>
              <w:spacing w:after="0"/>
              <w:rPr>
                <w:sz w:val="20"/>
                <w:szCs w:val="20"/>
                <w:color w:val="auto"/>
              </w:rPr>
            </w:pPr>
            <w:r>
              <w:rPr>
                <w:rFonts w:ascii="Arial" w:cs="Arial" w:eastAsia="Arial" w:hAnsi="Arial"/>
                <w:sz w:val="14"/>
                <w:szCs w:val="14"/>
                <w:b w:val="1"/>
                <w:bCs w:val="1"/>
                <w:color w:val="FFFFFF"/>
              </w:rPr>
              <w:t>($)</w:t>
            </w:r>
          </w:p>
        </w:tc>
        <w:tc>
          <w:tcPr>
            <w:tcW w:w="680" w:type="dxa"/>
            <w:vAlign w:val="bottom"/>
          </w:tcPr>
          <w:p>
            <w:pPr>
              <w:spacing w:after="0"/>
              <w:rPr>
                <w:sz w:val="24"/>
                <w:szCs w:val="24"/>
                <w:color w:val="auto"/>
              </w:rPr>
            </w:pPr>
          </w:p>
        </w:tc>
        <w:tc>
          <w:tcPr>
            <w:tcW w:w="1040" w:type="dxa"/>
            <w:vAlign w:val="bottom"/>
          </w:tcPr>
          <w:p>
            <w:pPr>
              <w:jc w:val="right"/>
              <w:ind w:right="473"/>
              <w:spacing w:after="0"/>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9"/>
                <w:szCs w:val="9"/>
                <w:b w:val="1"/>
                <w:bCs w:val="1"/>
                <w:color w:val="FFFFFF"/>
              </w:rPr>
              <w:t xml:space="preserve"> (3)</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81"/>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tcPr>
          <w:p>
            <w:pPr>
              <w:ind w:left="260"/>
              <w:spacing w:after="0"/>
              <w:rPr>
                <w:sz w:val="20"/>
                <w:szCs w:val="20"/>
                <w:color w:val="auto"/>
              </w:rPr>
            </w:pPr>
            <w:r>
              <w:rPr>
                <w:rFonts w:ascii="Arial" w:cs="Arial" w:eastAsia="Arial" w:hAnsi="Arial"/>
                <w:sz w:val="14"/>
                <w:szCs w:val="14"/>
                <w:b w:val="1"/>
                <w:bCs w:val="1"/>
                <w:color w:val="auto"/>
              </w:rPr>
              <w:t>2024</w:t>
            </w:r>
          </w:p>
        </w:tc>
        <w:tc>
          <w:tcPr>
            <w:tcW w:w="800" w:type="dxa"/>
            <w:vAlign w:val="bottom"/>
          </w:tcPr>
          <w:p>
            <w:pPr>
              <w:ind w:left="140"/>
              <w:spacing w:after="0"/>
              <w:rPr>
                <w:sz w:val="20"/>
                <w:szCs w:val="20"/>
                <w:color w:val="auto"/>
              </w:rPr>
            </w:pPr>
            <w:r>
              <w:rPr>
                <w:rFonts w:ascii="Arial" w:cs="Arial" w:eastAsia="Arial" w:hAnsi="Arial"/>
                <w:sz w:val="14"/>
                <w:szCs w:val="14"/>
                <w:b w:val="1"/>
                <w:bCs w:val="1"/>
                <w:color w:val="auto"/>
              </w:rPr>
              <w:t>948,958</w:t>
            </w:r>
          </w:p>
        </w:tc>
        <w:tc>
          <w:tcPr>
            <w:tcW w:w="840" w:type="dxa"/>
            <w:vAlign w:val="bottom"/>
          </w:tcPr>
          <w:p>
            <w:pPr>
              <w:ind w:left="140"/>
              <w:spacing w:after="0"/>
              <w:rPr>
                <w:sz w:val="20"/>
                <w:szCs w:val="20"/>
                <w:color w:val="auto"/>
              </w:rPr>
            </w:pPr>
            <w:r>
              <w:rPr>
                <w:rFonts w:ascii="Arial" w:cs="Arial" w:eastAsia="Arial" w:hAnsi="Arial"/>
                <w:sz w:val="14"/>
                <w:szCs w:val="14"/>
                <w:b w:val="1"/>
                <w:bCs w:val="1"/>
                <w:color w:val="auto"/>
              </w:rPr>
              <w:t>430,000</w:t>
            </w:r>
          </w:p>
        </w:tc>
        <w:tc>
          <w:tcPr>
            <w:tcW w:w="860" w:type="dxa"/>
            <w:vAlign w:val="bottom"/>
            <w:gridSpan w:val="2"/>
          </w:tcPr>
          <w:p>
            <w:pPr>
              <w:jc w:val="right"/>
              <w:ind w:right="59"/>
              <w:spacing w:after="0"/>
              <w:rPr>
                <w:sz w:val="20"/>
                <w:szCs w:val="20"/>
                <w:color w:val="auto"/>
              </w:rPr>
            </w:pPr>
            <w:r>
              <w:rPr>
                <w:rFonts w:ascii="Arial" w:cs="Arial" w:eastAsia="Arial" w:hAnsi="Arial"/>
                <w:sz w:val="14"/>
                <w:szCs w:val="14"/>
                <w:b w:val="1"/>
                <w:bCs w:val="1"/>
                <w:color w:val="auto"/>
              </w:rPr>
              <w:t>3,562,496</w:t>
            </w:r>
          </w:p>
        </w:tc>
        <w:tc>
          <w:tcPr>
            <w:tcW w:w="240" w:type="dxa"/>
            <w:vAlign w:val="bottom"/>
          </w:tcPr>
          <w:p>
            <w:pPr>
              <w:spacing w:after="0"/>
              <w:rPr>
                <w:sz w:val="24"/>
                <w:szCs w:val="24"/>
                <w:color w:val="auto"/>
              </w:rPr>
            </w:pPr>
          </w:p>
        </w:tc>
        <w:tc>
          <w:tcPr>
            <w:tcW w:w="960" w:type="dxa"/>
            <w:vAlign w:val="bottom"/>
          </w:tcPr>
          <w:p>
            <w:pPr>
              <w:jc w:val="right"/>
              <w:ind w:right="10"/>
              <w:spacing w:after="0"/>
              <w:rPr>
                <w:sz w:val="20"/>
                <w:szCs w:val="20"/>
                <w:color w:val="auto"/>
              </w:rPr>
            </w:pPr>
            <w:r>
              <w:rPr>
                <w:rFonts w:ascii="Arial" w:cs="Arial" w:eastAsia="Arial" w:hAnsi="Arial"/>
                <w:sz w:val="14"/>
                <w:szCs w:val="14"/>
                <w:b w:val="1"/>
                <w:bCs w:val="1"/>
                <w:color w:val="auto"/>
              </w:rPr>
              <w:t>1,539,143</w:t>
            </w:r>
          </w:p>
        </w:tc>
        <w:tc>
          <w:tcPr>
            <w:tcW w:w="680" w:type="dxa"/>
            <w:vAlign w:val="bottom"/>
          </w:tcPr>
          <w:p>
            <w:pPr>
              <w:spacing w:after="0"/>
              <w:rPr>
                <w:sz w:val="24"/>
                <w:szCs w:val="24"/>
                <w:color w:val="auto"/>
              </w:rPr>
            </w:pPr>
          </w:p>
        </w:tc>
        <w:tc>
          <w:tcPr>
            <w:tcW w:w="1040" w:type="dxa"/>
            <w:vAlign w:val="bottom"/>
          </w:tcPr>
          <w:p>
            <w:pPr>
              <w:jc w:val="right"/>
              <w:ind w:right="473"/>
              <w:spacing w:after="0"/>
              <w:rPr>
                <w:sz w:val="20"/>
                <w:szCs w:val="20"/>
                <w:color w:val="auto"/>
              </w:rPr>
            </w:pPr>
            <w:r>
              <w:rPr>
                <w:rFonts w:ascii="Arial" w:cs="Arial" w:eastAsia="Arial" w:hAnsi="Arial"/>
                <w:sz w:val="14"/>
                <w:szCs w:val="14"/>
                <w:b w:val="1"/>
                <w:bCs w:val="1"/>
                <w:color w:val="auto"/>
              </w:rPr>
              <w:t>39,381</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6,519,978</w:t>
            </w:r>
          </w:p>
        </w:tc>
        <w:tc>
          <w:tcPr>
            <w:tcW w:w="0" w:type="dxa"/>
            <w:vAlign w:val="bottom"/>
          </w:tcPr>
          <w:p>
            <w:pPr>
              <w:spacing w:after="0"/>
              <w:rPr>
                <w:sz w:val="1"/>
                <w:szCs w:val="1"/>
                <w:color w:val="auto"/>
              </w:rPr>
            </w:pPr>
          </w:p>
        </w:tc>
      </w:tr>
      <w:tr>
        <w:trPr>
          <w:trHeight w:val="249"/>
        </w:trPr>
        <w:tc>
          <w:tcPr>
            <w:tcW w:w="1880" w:type="dxa"/>
            <w:vAlign w:val="bottom"/>
            <w:gridSpan w:val="2"/>
          </w:tcPr>
          <w:p>
            <w:pPr>
              <w:ind w:left="140"/>
              <w:spacing w:after="0"/>
              <w:rPr>
                <w:sz w:val="20"/>
                <w:szCs w:val="20"/>
                <w:color w:val="auto"/>
              </w:rPr>
            </w:pPr>
            <w:r>
              <w:rPr>
                <w:rFonts w:ascii="Arial" w:cs="Arial" w:eastAsia="Arial" w:hAnsi="Arial"/>
                <w:sz w:val="14"/>
                <w:szCs w:val="14"/>
                <w:b w:val="1"/>
                <w:bCs w:val="1"/>
                <w:color w:val="00558C"/>
              </w:rPr>
              <w:t>C. Mark Hussey</w:t>
            </w:r>
            <w:r>
              <w:rPr>
                <w:rFonts w:ascii="Arial" w:cs="Arial" w:eastAsia="Arial" w:hAnsi="Arial"/>
                <w:sz w:val="18"/>
                <w:szCs w:val="18"/>
                <w:b w:val="1"/>
                <w:bCs w:val="1"/>
                <w:color w:val="00558C"/>
                <w:vertAlign w:val="superscript"/>
              </w:rPr>
              <w:t>(4)</w:t>
            </w: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1880" w:type="dxa"/>
            <w:vAlign w:val="bottom"/>
            <w:gridSpan w:val="2"/>
          </w:tcPr>
          <w:p>
            <w:pPr>
              <w:ind w:left="140"/>
              <w:spacing w:after="0"/>
              <w:rPr>
                <w:sz w:val="20"/>
                <w:szCs w:val="20"/>
                <w:color w:val="auto"/>
              </w:rPr>
            </w:pPr>
            <w:r>
              <w:rPr>
                <w:rFonts w:ascii="Arial" w:cs="Arial" w:eastAsia="Arial" w:hAnsi="Arial"/>
                <w:sz w:val="14"/>
                <w:szCs w:val="14"/>
                <w:color w:val="auto"/>
              </w:rPr>
              <w:t>Chief Executive Officer and</w:t>
            </w:r>
          </w:p>
        </w:tc>
        <w:tc>
          <w:tcPr>
            <w:tcW w:w="880" w:type="dxa"/>
            <w:vAlign w:val="bottom"/>
          </w:tcPr>
          <w:p>
            <w:pPr>
              <w:ind w:left="260"/>
              <w:spacing w:after="0"/>
              <w:rPr>
                <w:sz w:val="20"/>
                <w:szCs w:val="20"/>
                <w:color w:val="auto"/>
              </w:rPr>
            </w:pPr>
            <w:r>
              <w:rPr>
                <w:rFonts w:ascii="Arial" w:cs="Arial" w:eastAsia="Arial" w:hAnsi="Arial"/>
                <w:sz w:val="14"/>
                <w:szCs w:val="14"/>
                <w:color w:val="auto"/>
              </w:rPr>
              <w:t>2023</w:t>
            </w:r>
          </w:p>
        </w:tc>
        <w:tc>
          <w:tcPr>
            <w:tcW w:w="800" w:type="dxa"/>
            <w:vAlign w:val="bottom"/>
          </w:tcPr>
          <w:p>
            <w:pPr>
              <w:ind w:left="140"/>
              <w:spacing w:after="0"/>
              <w:rPr>
                <w:sz w:val="20"/>
                <w:szCs w:val="20"/>
                <w:color w:val="auto"/>
              </w:rPr>
            </w:pPr>
            <w:r>
              <w:rPr>
                <w:rFonts w:ascii="Arial" w:cs="Arial" w:eastAsia="Arial" w:hAnsi="Arial"/>
                <w:sz w:val="14"/>
                <w:szCs w:val="14"/>
                <w:color w:val="auto"/>
              </w:rPr>
              <w:t>919,792</w:t>
            </w:r>
          </w:p>
        </w:tc>
        <w:tc>
          <w:tcPr>
            <w:tcW w:w="840" w:type="dxa"/>
            <w:vAlign w:val="bottom"/>
          </w:tcPr>
          <w:p>
            <w:pPr>
              <w:ind w:left="140"/>
              <w:spacing w:after="0"/>
              <w:rPr>
                <w:sz w:val="20"/>
                <w:szCs w:val="20"/>
                <w:color w:val="auto"/>
              </w:rPr>
            </w:pPr>
            <w:r>
              <w:rPr>
                <w:rFonts w:ascii="Arial" w:cs="Arial" w:eastAsia="Arial" w:hAnsi="Arial"/>
                <w:sz w:val="14"/>
                <w:szCs w:val="14"/>
                <w:color w:val="auto"/>
              </w:rPr>
              <w:t>430,000</w:t>
            </w:r>
          </w:p>
        </w:tc>
        <w:tc>
          <w:tcPr>
            <w:tcW w:w="860" w:type="dxa"/>
            <w:vAlign w:val="bottom"/>
            <w:gridSpan w:val="2"/>
          </w:tcPr>
          <w:p>
            <w:pPr>
              <w:jc w:val="right"/>
              <w:ind w:right="59"/>
              <w:spacing w:after="0"/>
              <w:rPr>
                <w:sz w:val="20"/>
                <w:szCs w:val="20"/>
                <w:color w:val="auto"/>
              </w:rPr>
            </w:pPr>
            <w:r>
              <w:rPr>
                <w:rFonts w:ascii="Arial" w:cs="Arial" w:eastAsia="Arial" w:hAnsi="Arial"/>
                <w:sz w:val="14"/>
                <w:szCs w:val="14"/>
                <w:color w:val="auto"/>
              </w:rPr>
              <w:t>2,642,725</w:t>
            </w:r>
          </w:p>
        </w:tc>
        <w:tc>
          <w:tcPr>
            <w:tcW w:w="240" w:type="dxa"/>
            <w:vAlign w:val="bottom"/>
          </w:tcPr>
          <w:p>
            <w:pPr>
              <w:spacing w:after="0"/>
              <w:rPr>
                <w:sz w:val="15"/>
                <w:szCs w:val="15"/>
                <w:color w:val="auto"/>
              </w:rPr>
            </w:pPr>
          </w:p>
        </w:tc>
        <w:tc>
          <w:tcPr>
            <w:tcW w:w="960" w:type="dxa"/>
            <w:vAlign w:val="bottom"/>
          </w:tcPr>
          <w:p>
            <w:pPr>
              <w:jc w:val="right"/>
              <w:ind w:right="10"/>
              <w:spacing w:after="0"/>
              <w:rPr>
                <w:sz w:val="20"/>
                <w:szCs w:val="20"/>
                <w:color w:val="auto"/>
              </w:rPr>
            </w:pPr>
            <w:r>
              <w:rPr>
                <w:rFonts w:ascii="Arial" w:cs="Arial" w:eastAsia="Arial" w:hAnsi="Arial"/>
                <w:sz w:val="14"/>
                <w:szCs w:val="14"/>
                <w:color w:val="auto"/>
              </w:rPr>
              <w:t>1,676,563</w:t>
            </w:r>
          </w:p>
        </w:tc>
        <w:tc>
          <w:tcPr>
            <w:tcW w:w="680" w:type="dxa"/>
            <w:vAlign w:val="bottom"/>
          </w:tcPr>
          <w:p>
            <w:pPr>
              <w:spacing w:after="0"/>
              <w:rPr>
                <w:sz w:val="15"/>
                <w:szCs w:val="15"/>
                <w:color w:val="auto"/>
              </w:rPr>
            </w:pPr>
          </w:p>
        </w:tc>
        <w:tc>
          <w:tcPr>
            <w:tcW w:w="1040" w:type="dxa"/>
            <w:vAlign w:val="bottom"/>
          </w:tcPr>
          <w:p>
            <w:pPr>
              <w:jc w:val="right"/>
              <w:ind w:right="473"/>
              <w:spacing w:after="0"/>
              <w:rPr>
                <w:sz w:val="20"/>
                <w:szCs w:val="20"/>
                <w:color w:val="auto"/>
              </w:rPr>
            </w:pPr>
            <w:r>
              <w:rPr>
                <w:rFonts w:ascii="Arial" w:cs="Arial" w:eastAsia="Arial" w:hAnsi="Arial"/>
                <w:sz w:val="14"/>
                <w:szCs w:val="14"/>
                <w:color w:val="auto"/>
              </w:rPr>
              <w:t>37,323</w:t>
            </w:r>
          </w:p>
        </w:tc>
        <w:tc>
          <w:tcPr>
            <w:tcW w:w="720" w:type="dxa"/>
            <w:vAlign w:val="bottom"/>
          </w:tcPr>
          <w:p>
            <w:pPr>
              <w:jc w:val="right"/>
              <w:spacing w:after="0"/>
              <w:rPr>
                <w:sz w:val="20"/>
                <w:szCs w:val="20"/>
                <w:color w:val="auto"/>
              </w:rPr>
            </w:pPr>
            <w:r>
              <w:rPr>
                <w:rFonts w:ascii="Arial" w:cs="Arial" w:eastAsia="Arial" w:hAnsi="Arial"/>
                <w:sz w:val="14"/>
                <w:szCs w:val="14"/>
                <w:color w:val="auto"/>
              </w:rPr>
              <w:t>5,706,403</w:t>
            </w:r>
          </w:p>
        </w:tc>
        <w:tc>
          <w:tcPr>
            <w:tcW w:w="0" w:type="dxa"/>
            <w:vAlign w:val="bottom"/>
          </w:tcPr>
          <w:p>
            <w:pPr>
              <w:spacing w:after="0"/>
              <w:rPr>
                <w:sz w:val="1"/>
                <w:szCs w:val="1"/>
                <w:color w:val="auto"/>
              </w:rPr>
            </w:pPr>
          </w:p>
        </w:tc>
      </w:tr>
      <w:tr>
        <w:trPr>
          <w:trHeight w:val="190"/>
        </w:trPr>
        <w:tc>
          <w:tcPr>
            <w:tcW w:w="1060" w:type="dxa"/>
            <w:vAlign w:val="bottom"/>
          </w:tcPr>
          <w:p>
            <w:pPr>
              <w:ind w:left="140"/>
              <w:spacing w:after="0"/>
              <w:rPr>
                <w:sz w:val="20"/>
                <w:szCs w:val="20"/>
                <w:color w:val="auto"/>
              </w:rPr>
            </w:pPr>
            <w:r>
              <w:rPr>
                <w:rFonts w:ascii="Arial" w:cs="Arial" w:eastAsia="Arial" w:hAnsi="Arial"/>
                <w:sz w:val="14"/>
                <w:szCs w:val="14"/>
                <w:color w:val="auto"/>
              </w:rPr>
              <w:t>President</w:t>
            </w:r>
          </w:p>
        </w:tc>
        <w:tc>
          <w:tcPr>
            <w:tcW w:w="8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0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80" w:type="dxa"/>
            <w:vAlign w:val="bottom"/>
          </w:tcPr>
          <w:p>
            <w:pPr>
              <w:ind w:left="260"/>
              <w:spacing w:after="0"/>
              <w:rPr>
                <w:sz w:val="20"/>
                <w:szCs w:val="20"/>
                <w:color w:val="auto"/>
              </w:rPr>
            </w:pPr>
            <w:r>
              <w:rPr>
                <w:rFonts w:ascii="Arial" w:cs="Arial" w:eastAsia="Arial" w:hAnsi="Arial"/>
                <w:sz w:val="14"/>
                <w:szCs w:val="14"/>
                <w:color w:val="auto"/>
              </w:rPr>
              <w:t>2022</w:t>
            </w:r>
          </w:p>
        </w:tc>
        <w:tc>
          <w:tcPr>
            <w:tcW w:w="800" w:type="dxa"/>
            <w:vAlign w:val="bottom"/>
          </w:tcPr>
          <w:p>
            <w:pPr>
              <w:ind w:left="140"/>
              <w:spacing w:after="0"/>
              <w:rPr>
                <w:sz w:val="20"/>
                <w:szCs w:val="20"/>
                <w:color w:val="auto"/>
              </w:rPr>
            </w:pPr>
            <w:r>
              <w:rPr>
                <w:rFonts w:ascii="Arial" w:cs="Arial" w:eastAsia="Arial" w:hAnsi="Arial"/>
                <w:sz w:val="14"/>
                <w:szCs w:val="14"/>
                <w:color w:val="auto"/>
              </w:rPr>
              <w:t>800,000</w:t>
            </w:r>
          </w:p>
        </w:tc>
        <w:tc>
          <w:tcPr>
            <w:tcW w:w="840" w:type="dxa"/>
            <w:vAlign w:val="bottom"/>
          </w:tcPr>
          <w:p>
            <w:pPr>
              <w:ind w:left="140"/>
              <w:spacing w:after="0"/>
              <w:rPr>
                <w:sz w:val="20"/>
                <w:szCs w:val="20"/>
                <w:color w:val="auto"/>
              </w:rPr>
            </w:pPr>
            <w:r>
              <w:rPr>
                <w:rFonts w:ascii="Arial" w:cs="Arial" w:eastAsia="Arial" w:hAnsi="Arial"/>
                <w:sz w:val="14"/>
                <w:szCs w:val="14"/>
                <w:color w:val="auto"/>
              </w:rPr>
              <w:t>430,000</w:t>
            </w:r>
          </w:p>
        </w:tc>
        <w:tc>
          <w:tcPr>
            <w:tcW w:w="860" w:type="dxa"/>
            <w:vAlign w:val="bottom"/>
            <w:gridSpan w:val="2"/>
          </w:tcPr>
          <w:p>
            <w:pPr>
              <w:jc w:val="right"/>
              <w:ind w:right="59"/>
              <w:spacing w:after="0"/>
              <w:rPr>
                <w:sz w:val="20"/>
                <w:szCs w:val="20"/>
                <w:color w:val="auto"/>
              </w:rPr>
            </w:pPr>
            <w:r>
              <w:rPr>
                <w:rFonts w:ascii="Arial" w:cs="Arial" w:eastAsia="Arial" w:hAnsi="Arial"/>
                <w:sz w:val="14"/>
                <w:szCs w:val="14"/>
                <w:color w:val="auto"/>
              </w:rPr>
              <w:t>1,643,228</w:t>
            </w:r>
          </w:p>
        </w:tc>
        <w:tc>
          <w:tcPr>
            <w:tcW w:w="24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4"/>
                <w:szCs w:val="14"/>
                <w:color w:val="auto"/>
              </w:rPr>
              <w:t>1,104,000</w:t>
            </w:r>
          </w:p>
        </w:tc>
        <w:tc>
          <w:tcPr>
            <w:tcW w:w="680" w:type="dxa"/>
            <w:vAlign w:val="bottom"/>
          </w:tcPr>
          <w:p>
            <w:pPr>
              <w:spacing w:after="0"/>
              <w:rPr>
                <w:sz w:val="23"/>
                <w:szCs w:val="23"/>
                <w:color w:val="auto"/>
              </w:rPr>
            </w:pPr>
          </w:p>
        </w:tc>
        <w:tc>
          <w:tcPr>
            <w:tcW w:w="1040" w:type="dxa"/>
            <w:vAlign w:val="bottom"/>
          </w:tcPr>
          <w:p>
            <w:pPr>
              <w:jc w:val="right"/>
              <w:ind w:right="493"/>
              <w:spacing w:after="0"/>
              <w:rPr>
                <w:sz w:val="20"/>
                <w:szCs w:val="20"/>
                <w:color w:val="auto"/>
              </w:rPr>
            </w:pPr>
            <w:r>
              <w:rPr>
                <w:rFonts w:ascii="Arial" w:cs="Arial" w:eastAsia="Arial" w:hAnsi="Arial"/>
                <w:sz w:val="14"/>
                <w:szCs w:val="14"/>
                <w:color w:val="auto"/>
              </w:rPr>
              <w:t>38,603</w:t>
            </w:r>
          </w:p>
        </w:tc>
        <w:tc>
          <w:tcPr>
            <w:tcW w:w="720" w:type="dxa"/>
            <w:vAlign w:val="bottom"/>
          </w:tcPr>
          <w:p>
            <w:pPr>
              <w:jc w:val="right"/>
              <w:spacing w:after="0"/>
              <w:rPr>
                <w:sz w:val="20"/>
                <w:szCs w:val="20"/>
                <w:color w:val="auto"/>
              </w:rPr>
            </w:pPr>
            <w:r>
              <w:rPr>
                <w:rFonts w:ascii="Arial" w:cs="Arial" w:eastAsia="Arial" w:hAnsi="Arial"/>
                <w:sz w:val="14"/>
                <w:szCs w:val="14"/>
                <w:color w:val="auto"/>
              </w:rPr>
              <w:t>4,015,831</w:t>
            </w:r>
          </w:p>
        </w:tc>
        <w:tc>
          <w:tcPr>
            <w:tcW w:w="0" w:type="dxa"/>
            <w:vAlign w:val="bottom"/>
          </w:tcPr>
          <w:p>
            <w:pPr>
              <w:spacing w:after="0"/>
              <w:rPr>
                <w:sz w:val="1"/>
                <w:szCs w:val="1"/>
                <w:color w:val="auto"/>
              </w:rPr>
            </w:pPr>
          </w:p>
        </w:tc>
      </w:tr>
      <w:tr>
        <w:trPr>
          <w:trHeight w:val="451"/>
        </w:trPr>
        <w:tc>
          <w:tcPr>
            <w:tcW w:w="1060" w:type="dxa"/>
            <w:vAlign w:val="bottom"/>
            <w:vMerge w:val="restart"/>
          </w:tcPr>
          <w:p>
            <w:pPr>
              <w:ind w:left="140"/>
              <w:spacing w:after="0"/>
              <w:rPr>
                <w:sz w:val="20"/>
                <w:szCs w:val="20"/>
                <w:color w:val="auto"/>
              </w:rPr>
            </w:pPr>
            <w:r>
              <w:rPr>
                <w:rFonts w:ascii="Arial" w:cs="Arial" w:eastAsia="Arial" w:hAnsi="Arial"/>
                <w:sz w:val="14"/>
                <w:szCs w:val="14"/>
                <w:b w:val="1"/>
                <w:bCs w:val="1"/>
                <w:color w:val="00558C"/>
              </w:rPr>
              <w:t>John D. Kelly</w:t>
            </w:r>
          </w:p>
        </w:tc>
        <w:tc>
          <w:tcPr>
            <w:tcW w:w="820" w:type="dxa"/>
            <w:vAlign w:val="bottom"/>
          </w:tcPr>
          <w:p>
            <w:pPr>
              <w:spacing w:after="0"/>
              <w:rPr>
                <w:sz w:val="24"/>
                <w:szCs w:val="24"/>
                <w:color w:val="auto"/>
              </w:rPr>
            </w:pPr>
          </w:p>
        </w:tc>
        <w:tc>
          <w:tcPr>
            <w:tcW w:w="880" w:type="dxa"/>
            <w:vAlign w:val="bottom"/>
          </w:tcPr>
          <w:p>
            <w:pPr>
              <w:ind w:left="260"/>
              <w:spacing w:after="0"/>
              <w:rPr>
                <w:sz w:val="20"/>
                <w:szCs w:val="20"/>
                <w:color w:val="auto"/>
              </w:rPr>
            </w:pPr>
            <w:r>
              <w:rPr>
                <w:rFonts w:ascii="Arial" w:cs="Arial" w:eastAsia="Arial" w:hAnsi="Arial"/>
                <w:sz w:val="14"/>
                <w:szCs w:val="14"/>
                <w:b w:val="1"/>
                <w:bCs w:val="1"/>
                <w:color w:val="auto"/>
              </w:rPr>
              <w:t>2024</w:t>
            </w:r>
          </w:p>
        </w:tc>
        <w:tc>
          <w:tcPr>
            <w:tcW w:w="800" w:type="dxa"/>
            <w:vAlign w:val="bottom"/>
          </w:tcPr>
          <w:p>
            <w:pPr>
              <w:ind w:left="140"/>
              <w:spacing w:after="0"/>
              <w:rPr>
                <w:sz w:val="20"/>
                <w:szCs w:val="20"/>
                <w:color w:val="auto"/>
              </w:rPr>
            </w:pPr>
            <w:r>
              <w:rPr>
                <w:rFonts w:ascii="Arial" w:cs="Arial" w:eastAsia="Arial" w:hAnsi="Arial"/>
                <w:sz w:val="14"/>
                <w:szCs w:val="14"/>
                <w:b w:val="1"/>
                <w:bCs w:val="1"/>
                <w:color w:val="auto"/>
              </w:rPr>
              <w:t>598,958</w:t>
            </w:r>
          </w:p>
        </w:tc>
        <w:tc>
          <w:tcPr>
            <w:tcW w:w="840" w:type="dxa"/>
            <w:vAlign w:val="bottom"/>
          </w:tcPr>
          <w:p>
            <w:pPr>
              <w:ind w:left="140"/>
              <w:spacing w:after="0"/>
              <w:rPr>
                <w:sz w:val="20"/>
                <w:szCs w:val="20"/>
                <w:color w:val="auto"/>
              </w:rPr>
            </w:pPr>
            <w:r>
              <w:rPr>
                <w:rFonts w:ascii="Arial" w:cs="Arial" w:eastAsia="Arial" w:hAnsi="Arial"/>
                <w:sz w:val="14"/>
                <w:szCs w:val="14"/>
                <w:b w:val="1"/>
                <w:bCs w:val="1"/>
                <w:color w:val="auto"/>
              </w:rPr>
              <w:t>205,000</w:t>
            </w:r>
          </w:p>
        </w:tc>
        <w:tc>
          <w:tcPr>
            <w:tcW w:w="860" w:type="dxa"/>
            <w:vAlign w:val="bottom"/>
            <w:gridSpan w:val="2"/>
          </w:tcPr>
          <w:p>
            <w:pPr>
              <w:jc w:val="right"/>
              <w:ind w:right="59"/>
              <w:spacing w:after="0"/>
              <w:rPr>
                <w:sz w:val="20"/>
                <w:szCs w:val="20"/>
                <w:color w:val="auto"/>
              </w:rPr>
            </w:pPr>
            <w:r>
              <w:rPr>
                <w:rFonts w:ascii="Arial" w:cs="Arial" w:eastAsia="Arial" w:hAnsi="Arial"/>
                <w:sz w:val="14"/>
                <w:szCs w:val="14"/>
                <w:b w:val="1"/>
                <w:bCs w:val="1"/>
                <w:color w:val="auto"/>
              </w:rPr>
              <w:t>1,320,032</w:t>
            </w:r>
          </w:p>
        </w:tc>
        <w:tc>
          <w:tcPr>
            <w:tcW w:w="240" w:type="dxa"/>
            <w:vAlign w:val="bottom"/>
          </w:tcPr>
          <w:p>
            <w:pPr>
              <w:spacing w:after="0"/>
              <w:rPr>
                <w:sz w:val="24"/>
                <w:szCs w:val="24"/>
                <w:color w:val="auto"/>
              </w:rPr>
            </w:pPr>
          </w:p>
        </w:tc>
        <w:tc>
          <w:tcPr>
            <w:tcW w:w="960" w:type="dxa"/>
            <w:vAlign w:val="bottom"/>
          </w:tcPr>
          <w:p>
            <w:pPr>
              <w:jc w:val="right"/>
              <w:ind w:right="10"/>
              <w:spacing w:after="0"/>
              <w:rPr>
                <w:sz w:val="20"/>
                <w:szCs w:val="20"/>
                <w:color w:val="auto"/>
              </w:rPr>
            </w:pPr>
            <w:r>
              <w:rPr>
                <w:rFonts w:ascii="Arial" w:cs="Arial" w:eastAsia="Arial" w:hAnsi="Arial"/>
                <w:sz w:val="14"/>
                <w:szCs w:val="14"/>
                <w:b w:val="1"/>
                <w:bCs w:val="1"/>
                <w:color w:val="auto"/>
              </w:rPr>
              <w:t>798,503</w:t>
            </w:r>
          </w:p>
        </w:tc>
        <w:tc>
          <w:tcPr>
            <w:tcW w:w="680" w:type="dxa"/>
            <w:vAlign w:val="bottom"/>
          </w:tcPr>
          <w:p>
            <w:pPr>
              <w:spacing w:after="0"/>
              <w:rPr>
                <w:sz w:val="24"/>
                <w:szCs w:val="24"/>
                <w:color w:val="auto"/>
              </w:rPr>
            </w:pPr>
          </w:p>
        </w:tc>
        <w:tc>
          <w:tcPr>
            <w:tcW w:w="1040" w:type="dxa"/>
            <w:vAlign w:val="bottom"/>
          </w:tcPr>
          <w:p>
            <w:pPr>
              <w:jc w:val="right"/>
              <w:ind w:right="473"/>
              <w:spacing w:after="0"/>
              <w:rPr>
                <w:sz w:val="20"/>
                <w:szCs w:val="20"/>
                <w:color w:val="auto"/>
              </w:rPr>
            </w:pPr>
            <w:r>
              <w:rPr>
                <w:rFonts w:ascii="Arial" w:cs="Arial" w:eastAsia="Arial" w:hAnsi="Arial"/>
                <w:sz w:val="14"/>
                <w:szCs w:val="14"/>
                <w:b w:val="1"/>
                <w:bCs w:val="1"/>
                <w:color w:val="auto"/>
              </w:rPr>
              <w:t>31,440</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2,953,933</w:t>
            </w:r>
          </w:p>
        </w:tc>
        <w:tc>
          <w:tcPr>
            <w:tcW w:w="0" w:type="dxa"/>
            <w:vAlign w:val="bottom"/>
          </w:tcPr>
          <w:p>
            <w:pPr>
              <w:spacing w:after="0"/>
              <w:rPr>
                <w:sz w:val="1"/>
                <w:szCs w:val="1"/>
                <w:color w:val="auto"/>
              </w:rPr>
            </w:pPr>
          </w:p>
        </w:tc>
      </w:tr>
      <w:tr>
        <w:trPr>
          <w:trHeight w:val="155"/>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880" w:type="dxa"/>
            <w:vAlign w:val="bottom"/>
            <w:gridSpan w:val="2"/>
          </w:tcPr>
          <w:p>
            <w:pPr>
              <w:ind w:left="140"/>
              <w:spacing w:after="0"/>
              <w:rPr>
                <w:sz w:val="20"/>
                <w:szCs w:val="20"/>
                <w:color w:val="auto"/>
              </w:rPr>
            </w:pPr>
            <w:r>
              <w:rPr>
                <w:rFonts w:ascii="Arial" w:cs="Arial" w:eastAsia="Arial" w:hAnsi="Arial"/>
                <w:sz w:val="14"/>
                <w:szCs w:val="14"/>
                <w:color w:val="auto"/>
              </w:rPr>
              <w:t>Executive Vice President,</w:t>
            </w:r>
          </w:p>
        </w:tc>
        <w:tc>
          <w:tcPr>
            <w:tcW w:w="880" w:type="dxa"/>
            <w:vAlign w:val="bottom"/>
            <w:vMerge w:val="restart"/>
          </w:tcPr>
          <w:p>
            <w:pPr>
              <w:ind w:left="260"/>
              <w:spacing w:after="0"/>
              <w:rPr>
                <w:sz w:val="20"/>
                <w:szCs w:val="20"/>
                <w:color w:val="auto"/>
              </w:rPr>
            </w:pPr>
            <w:r>
              <w:rPr>
                <w:rFonts w:ascii="Arial" w:cs="Arial" w:eastAsia="Arial" w:hAnsi="Arial"/>
                <w:sz w:val="14"/>
                <w:szCs w:val="14"/>
                <w:color w:val="auto"/>
              </w:rPr>
              <w:t>2023</w:t>
            </w:r>
          </w:p>
        </w:tc>
        <w:tc>
          <w:tcPr>
            <w:tcW w:w="800" w:type="dxa"/>
            <w:vAlign w:val="bottom"/>
            <w:vMerge w:val="restart"/>
          </w:tcPr>
          <w:p>
            <w:pPr>
              <w:ind w:left="140"/>
              <w:spacing w:after="0"/>
              <w:rPr>
                <w:sz w:val="20"/>
                <w:szCs w:val="20"/>
                <w:color w:val="auto"/>
              </w:rPr>
            </w:pPr>
            <w:r>
              <w:rPr>
                <w:rFonts w:ascii="Arial" w:cs="Arial" w:eastAsia="Arial" w:hAnsi="Arial"/>
                <w:sz w:val="14"/>
                <w:szCs w:val="14"/>
                <w:color w:val="auto"/>
              </w:rPr>
              <w:t>572,917</w:t>
            </w:r>
          </w:p>
        </w:tc>
        <w:tc>
          <w:tcPr>
            <w:tcW w:w="840" w:type="dxa"/>
            <w:vAlign w:val="bottom"/>
            <w:vMerge w:val="restart"/>
          </w:tcPr>
          <w:p>
            <w:pPr>
              <w:ind w:left="140"/>
              <w:spacing w:after="0"/>
              <w:rPr>
                <w:sz w:val="20"/>
                <w:szCs w:val="20"/>
                <w:color w:val="auto"/>
              </w:rPr>
            </w:pPr>
            <w:r>
              <w:rPr>
                <w:rFonts w:ascii="Arial" w:cs="Arial" w:eastAsia="Arial" w:hAnsi="Arial"/>
                <w:sz w:val="14"/>
                <w:szCs w:val="14"/>
                <w:color w:val="auto"/>
              </w:rPr>
              <w:t>205,000</w:t>
            </w:r>
          </w:p>
        </w:tc>
        <w:tc>
          <w:tcPr>
            <w:tcW w:w="860" w:type="dxa"/>
            <w:vAlign w:val="bottom"/>
            <w:gridSpan w:val="2"/>
            <w:vMerge w:val="restart"/>
          </w:tcPr>
          <w:p>
            <w:pPr>
              <w:jc w:val="right"/>
              <w:ind w:right="59"/>
              <w:spacing w:after="0"/>
              <w:rPr>
                <w:sz w:val="20"/>
                <w:szCs w:val="20"/>
                <w:color w:val="auto"/>
              </w:rPr>
            </w:pPr>
            <w:r>
              <w:rPr>
                <w:rFonts w:ascii="Arial" w:cs="Arial" w:eastAsia="Arial" w:hAnsi="Arial"/>
                <w:sz w:val="14"/>
                <w:szCs w:val="14"/>
                <w:color w:val="auto"/>
              </w:rPr>
              <w:t>1,322,087</w:t>
            </w:r>
          </w:p>
        </w:tc>
        <w:tc>
          <w:tcPr>
            <w:tcW w:w="240" w:type="dxa"/>
            <w:vAlign w:val="bottom"/>
          </w:tcPr>
          <w:p>
            <w:pPr>
              <w:spacing w:after="0"/>
              <w:rPr>
                <w:sz w:val="16"/>
                <w:szCs w:val="16"/>
                <w:color w:val="auto"/>
              </w:rPr>
            </w:pPr>
          </w:p>
        </w:tc>
        <w:tc>
          <w:tcPr>
            <w:tcW w:w="960" w:type="dxa"/>
            <w:vAlign w:val="bottom"/>
            <w:vMerge w:val="restart"/>
          </w:tcPr>
          <w:p>
            <w:pPr>
              <w:jc w:val="right"/>
              <w:ind w:right="10"/>
              <w:spacing w:after="0"/>
              <w:rPr>
                <w:sz w:val="20"/>
                <w:szCs w:val="20"/>
                <w:color w:val="auto"/>
              </w:rPr>
            </w:pPr>
            <w:r>
              <w:rPr>
                <w:rFonts w:ascii="Arial" w:cs="Arial" w:eastAsia="Arial" w:hAnsi="Arial"/>
                <w:sz w:val="14"/>
                <w:szCs w:val="14"/>
                <w:color w:val="auto"/>
              </w:rPr>
              <w:t>833,750</w:t>
            </w:r>
          </w:p>
        </w:tc>
        <w:tc>
          <w:tcPr>
            <w:tcW w:w="680" w:type="dxa"/>
            <w:vAlign w:val="bottom"/>
          </w:tcPr>
          <w:p>
            <w:pPr>
              <w:spacing w:after="0"/>
              <w:rPr>
                <w:sz w:val="16"/>
                <w:szCs w:val="16"/>
                <w:color w:val="auto"/>
              </w:rPr>
            </w:pPr>
          </w:p>
        </w:tc>
        <w:tc>
          <w:tcPr>
            <w:tcW w:w="1040" w:type="dxa"/>
            <w:vAlign w:val="bottom"/>
            <w:vMerge w:val="restart"/>
          </w:tcPr>
          <w:p>
            <w:pPr>
              <w:jc w:val="right"/>
              <w:ind w:right="473"/>
              <w:spacing w:after="0"/>
              <w:rPr>
                <w:sz w:val="20"/>
                <w:szCs w:val="20"/>
                <w:color w:val="auto"/>
              </w:rPr>
            </w:pPr>
            <w:r>
              <w:rPr>
                <w:rFonts w:ascii="Arial" w:cs="Arial" w:eastAsia="Arial" w:hAnsi="Arial"/>
                <w:sz w:val="14"/>
                <w:szCs w:val="14"/>
                <w:color w:val="auto"/>
              </w:rPr>
              <w:t>29,956</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2,963,710</w:t>
            </w:r>
          </w:p>
        </w:tc>
        <w:tc>
          <w:tcPr>
            <w:tcW w:w="0" w:type="dxa"/>
            <w:vAlign w:val="bottom"/>
          </w:tcPr>
          <w:p>
            <w:pPr>
              <w:spacing w:after="0"/>
              <w:rPr>
                <w:sz w:val="1"/>
                <w:szCs w:val="1"/>
                <w:color w:val="auto"/>
              </w:rPr>
            </w:pPr>
          </w:p>
        </w:tc>
      </w:tr>
      <w:tr>
        <w:trPr>
          <w:trHeight w:val="94"/>
        </w:trPr>
        <w:tc>
          <w:tcPr>
            <w:tcW w:w="1060" w:type="dxa"/>
            <w:vAlign w:val="bottom"/>
          </w:tcPr>
          <w:p>
            <w:pPr>
              <w:spacing w:after="0"/>
              <w:rPr>
                <w:sz w:val="8"/>
                <w:szCs w:val="8"/>
                <w:color w:val="auto"/>
              </w:rPr>
            </w:pPr>
          </w:p>
        </w:tc>
        <w:tc>
          <w:tcPr>
            <w:tcW w:w="82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68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ectPr>
          <w:pgSz w:w="11900" w:h="16883" w:orient="portrait"/>
          <w:cols w:equalWidth="0" w:num="1">
            <w:col w:w="9060"/>
          </w:cols>
          <w:pgMar w:left="1400" w:top="114" w:right="1439" w:bottom="0" w:gutter="0" w:footer="0" w:header="0"/>
        </w:sectPr>
      </w:pPr>
    </w:p>
    <w:bookmarkStart w:id="53" w:name="page54"/>
    <w:bookmarkEnd w:id="53"/>
    <w:p>
      <w:pPr>
        <w:ind w:left="140"/>
        <w:spacing w:after="0"/>
        <w:rPr>
          <w:sz w:val="20"/>
          <w:szCs w:val="20"/>
          <w:color w:val="auto"/>
        </w:rPr>
      </w:pPr>
      <w:r>
        <w:rPr>
          <w:rFonts w:ascii="Arial" w:cs="Arial" w:eastAsia="Arial" w:hAnsi="Arial"/>
          <w:sz w:val="14"/>
          <w:szCs w:val="14"/>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-27940</wp:posOffset>
            </wp:positionV>
            <wp:extent cx="6810375" cy="58997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10375" cy="5899785"/>
                    </a:xfrm>
                    <a:prstGeom prst="rect">
                      <a:avLst/>
                    </a:prstGeom>
                    <a:noFill/>
                  </pic:spPr>
                </pic:pic>
              </a:graphicData>
            </a:graphic>
          </wp:anchor>
        </w:drawing>
      </w:r>
    </w:p>
    <w:p>
      <w:pPr>
        <w:ind w:left="140"/>
        <w:spacing w:after="0"/>
        <w:rPr>
          <w:sz w:val="20"/>
          <w:szCs w:val="20"/>
          <w:color w:val="auto"/>
        </w:rPr>
      </w:pPr>
      <w:r>
        <w:rPr>
          <w:rFonts w:ascii="Arial" w:cs="Arial" w:eastAsia="Arial" w:hAnsi="Arial"/>
          <w:sz w:val="14"/>
          <w:szCs w:val="14"/>
          <w:color w:val="auto"/>
        </w:rPr>
        <w:t>and Treasurer</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940" w:type="dxa"/>
            <w:vAlign w:val="bottom"/>
          </w:tcPr>
          <w:p>
            <w:pPr>
              <w:spacing w:after="0"/>
              <w:rPr>
                <w:sz w:val="16"/>
                <w:szCs w:val="16"/>
                <w:color w:val="auto"/>
              </w:rPr>
            </w:pPr>
          </w:p>
        </w:tc>
        <w:tc>
          <w:tcPr>
            <w:tcW w:w="720" w:type="dxa"/>
            <w:vAlign w:val="bottom"/>
          </w:tcPr>
          <w:p>
            <w:pPr>
              <w:jc w:val="right"/>
              <w:ind w:right="128"/>
              <w:spacing w:after="0"/>
              <w:rPr>
                <w:sz w:val="20"/>
                <w:szCs w:val="20"/>
                <w:color w:val="auto"/>
              </w:rPr>
            </w:pPr>
            <w:r>
              <w:rPr>
                <w:rFonts w:ascii="Arial" w:cs="Arial" w:eastAsia="Arial" w:hAnsi="Arial"/>
                <w:sz w:val="14"/>
                <w:szCs w:val="14"/>
                <w:color w:val="auto"/>
              </w:rPr>
              <w:t>2022</w:t>
            </w:r>
          </w:p>
        </w:tc>
        <w:tc>
          <w:tcPr>
            <w:tcW w:w="800" w:type="dxa"/>
            <w:vAlign w:val="bottom"/>
          </w:tcPr>
          <w:p>
            <w:pPr>
              <w:ind w:left="240"/>
              <w:spacing w:after="0"/>
              <w:rPr>
                <w:sz w:val="20"/>
                <w:szCs w:val="20"/>
                <w:color w:val="auto"/>
              </w:rPr>
            </w:pPr>
            <w:r>
              <w:rPr>
                <w:rFonts w:ascii="Arial" w:cs="Arial" w:eastAsia="Arial" w:hAnsi="Arial"/>
                <w:sz w:val="14"/>
                <w:szCs w:val="14"/>
                <w:color w:val="auto"/>
              </w:rPr>
              <w:t>525,000</w:t>
            </w:r>
          </w:p>
        </w:tc>
        <w:tc>
          <w:tcPr>
            <w:tcW w:w="820" w:type="dxa"/>
            <w:vAlign w:val="bottom"/>
          </w:tcPr>
          <w:p>
            <w:pPr>
              <w:jc w:val="right"/>
              <w:spacing w:after="0"/>
              <w:rPr>
                <w:sz w:val="20"/>
                <w:szCs w:val="20"/>
                <w:color w:val="auto"/>
              </w:rPr>
            </w:pPr>
            <w:r>
              <w:rPr>
                <w:rFonts w:ascii="Arial" w:cs="Arial" w:eastAsia="Arial" w:hAnsi="Arial"/>
                <w:sz w:val="14"/>
                <w:szCs w:val="14"/>
                <w:color w:val="auto"/>
              </w:rPr>
              <w:t>205,000</w:t>
            </w:r>
          </w:p>
        </w:tc>
        <w:tc>
          <w:tcPr>
            <w:tcW w:w="1220" w:type="dxa"/>
            <w:vAlign w:val="bottom"/>
          </w:tcPr>
          <w:p>
            <w:pPr>
              <w:jc w:val="right"/>
              <w:ind w:right="288"/>
              <w:spacing w:after="0"/>
              <w:rPr>
                <w:sz w:val="20"/>
                <w:szCs w:val="20"/>
                <w:color w:val="auto"/>
              </w:rPr>
            </w:pPr>
            <w:r>
              <w:rPr>
                <w:rFonts w:ascii="Arial" w:cs="Arial" w:eastAsia="Arial" w:hAnsi="Arial"/>
                <w:sz w:val="14"/>
                <w:szCs w:val="14"/>
                <w:color w:val="auto"/>
              </w:rPr>
              <w:t>1,029,306</w:t>
            </w:r>
          </w:p>
        </w:tc>
        <w:tc>
          <w:tcPr>
            <w:tcW w:w="940" w:type="dxa"/>
            <w:vAlign w:val="bottom"/>
          </w:tcPr>
          <w:p>
            <w:pPr>
              <w:jc w:val="right"/>
              <w:spacing w:after="0"/>
              <w:rPr>
                <w:sz w:val="20"/>
                <w:szCs w:val="20"/>
                <w:color w:val="auto"/>
              </w:rPr>
            </w:pPr>
            <w:r>
              <w:rPr>
                <w:rFonts w:ascii="Arial" w:cs="Arial" w:eastAsia="Arial" w:hAnsi="Arial"/>
                <w:sz w:val="14"/>
                <w:szCs w:val="14"/>
                <w:color w:val="auto"/>
              </w:rPr>
              <w:t>652,050</w:t>
            </w:r>
          </w:p>
        </w:tc>
        <w:tc>
          <w:tcPr>
            <w:tcW w:w="1240" w:type="dxa"/>
            <w:vAlign w:val="bottom"/>
          </w:tcPr>
          <w:p>
            <w:pPr>
              <w:jc w:val="right"/>
              <w:spacing w:after="0"/>
              <w:rPr>
                <w:sz w:val="20"/>
                <w:szCs w:val="20"/>
                <w:color w:val="auto"/>
              </w:rPr>
            </w:pPr>
            <w:r>
              <w:rPr>
                <w:rFonts w:ascii="Arial" w:cs="Arial" w:eastAsia="Arial" w:hAnsi="Arial"/>
                <w:sz w:val="14"/>
                <w:szCs w:val="14"/>
                <w:color w:val="auto"/>
              </w:rPr>
              <w:t>29,034</w:t>
            </w:r>
          </w:p>
        </w:tc>
        <w:tc>
          <w:tcPr>
            <w:tcW w:w="1260" w:type="dxa"/>
            <w:vAlign w:val="bottom"/>
          </w:tcPr>
          <w:p>
            <w:pPr>
              <w:jc w:val="right"/>
              <w:spacing w:after="0"/>
              <w:rPr>
                <w:sz w:val="20"/>
                <w:szCs w:val="20"/>
                <w:color w:val="auto"/>
              </w:rPr>
            </w:pPr>
            <w:r>
              <w:rPr>
                <w:rFonts w:ascii="Arial" w:cs="Arial" w:eastAsia="Arial" w:hAnsi="Arial"/>
                <w:sz w:val="14"/>
                <w:szCs w:val="14"/>
                <w:color w:val="auto"/>
              </w:rPr>
              <w:t>2,440,390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0"/>
        </w:trPr>
        <w:tc>
          <w:tcPr>
            <w:tcW w:w="1940" w:type="dxa"/>
            <w:vAlign w:val="bottom"/>
          </w:tcPr>
          <w:p>
            <w:pPr>
              <w:spacing w:after="0"/>
              <w:rPr>
                <w:sz w:val="24"/>
                <w:szCs w:val="24"/>
                <w:color w:val="auto"/>
              </w:rPr>
            </w:pPr>
          </w:p>
        </w:tc>
        <w:tc>
          <w:tcPr>
            <w:tcW w:w="720" w:type="dxa"/>
            <w:vAlign w:val="bottom"/>
          </w:tcPr>
          <w:p>
            <w:pPr>
              <w:jc w:val="right"/>
              <w:ind w:right="128"/>
              <w:spacing w:after="0"/>
              <w:rPr>
                <w:sz w:val="20"/>
                <w:szCs w:val="20"/>
                <w:color w:val="auto"/>
              </w:rPr>
            </w:pPr>
            <w:r>
              <w:rPr>
                <w:rFonts w:ascii="Arial" w:cs="Arial" w:eastAsia="Arial" w:hAnsi="Arial"/>
                <w:sz w:val="14"/>
                <w:szCs w:val="14"/>
                <w:b w:val="1"/>
                <w:bCs w:val="1"/>
                <w:color w:val="auto"/>
              </w:rPr>
              <w:t>2024</w:t>
            </w:r>
          </w:p>
        </w:tc>
        <w:tc>
          <w:tcPr>
            <w:tcW w:w="800" w:type="dxa"/>
            <w:vAlign w:val="bottom"/>
          </w:tcPr>
          <w:p>
            <w:pPr>
              <w:ind w:left="240"/>
              <w:spacing w:after="0"/>
              <w:rPr>
                <w:sz w:val="20"/>
                <w:szCs w:val="20"/>
                <w:color w:val="auto"/>
              </w:rPr>
            </w:pPr>
            <w:r>
              <w:rPr>
                <w:rFonts w:ascii="Arial" w:cs="Arial" w:eastAsia="Arial" w:hAnsi="Arial"/>
                <w:sz w:val="14"/>
                <w:szCs w:val="14"/>
                <w:b w:val="1"/>
                <w:bCs w:val="1"/>
                <w:color w:val="auto"/>
              </w:rPr>
              <w:t>673,958</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8"/>
              <w:spacing w:after="0"/>
              <w:rPr>
                <w:sz w:val="20"/>
                <w:szCs w:val="20"/>
                <w:color w:val="auto"/>
              </w:rPr>
            </w:pPr>
            <w:r>
              <w:rPr>
                <w:rFonts w:ascii="Arial" w:cs="Arial" w:eastAsia="Arial" w:hAnsi="Arial"/>
                <w:sz w:val="14"/>
                <w:szCs w:val="14"/>
                <w:b w:val="1"/>
                <w:bCs w:val="1"/>
                <w:color w:val="auto"/>
              </w:rPr>
              <w:t>944,996</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833,721</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28,320</w:t>
            </w: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2,480,995</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
        </w:trPr>
        <w:tc>
          <w:tcPr>
            <w:tcW w:w="1940" w:type="dxa"/>
            <w:vAlign w:val="bottom"/>
            <w:vMerge w:val="restart"/>
          </w:tcPr>
          <w:p>
            <w:pPr>
              <w:ind w:left="140"/>
              <w:spacing w:after="0"/>
              <w:rPr>
                <w:sz w:val="20"/>
                <w:szCs w:val="20"/>
                <w:color w:val="auto"/>
              </w:rPr>
            </w:pPr>
            <w:r>
              <w:rPr>
                <w:rFonts w:ascii="Arial" w:cs="Arial" w:eastAsia="Arial" w:hAnsi="Arial"/>
                <w:sz w:val="14"/>
                <w:szCs w:val="14"/>
                <w:b w:val="1"/>
                <w:bCs w:val="1"/>
                <w:color w:val="00558C"/>
              </w:rPr>
              <w:t>J. Ronald Dail</w:t>
            </w:r>
            <w:r>
              <w:rPr>
                <w:rFonts w:ascii="Arial" w:cs="Arial" w:eastAsia="Arial" w:hAnsi="Arial"/>
                <w:sz w:val="18"/>
                <w:szCs w:val="18"/>
                <w:b w:val="1"/>
                <w:bCs w:val="1"/>
                <w:color w:val="00558C"/>
                <w:vertAlign w:val="superscript"/>
              </w:rPr>
              <w:t>(5)(6)(7)</w:t>
            </w: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4"/>
        </w:trPr>
        <w:tc>
          <w:tcPr>
            <w:tcW w:w="1940" w:type="dxa"/>
            <w:vAlign w:val="bottom"/>
            <w:vMerge w:val="continue"/>
          </w:tcPr>
          <w:p>
            <w:pPr>
              <w:spacing w:after="0"/>
              <w:rPr>
                <w:sz w:val="8"/>
                <w:szCs w:val="8"/>
                <w:color w:val="auto"/>
              </w:rPr>
            </w:pPr>
          </w:p>
        </w:tc>
        <w:tc>
          <w:tcPr>
            <w:tcW w:w="720" w:type="dxa"/>
            <w:vAlign w:val="bottom"/>
            <w:shd w:val="clear" w:color="auto" w:fill="00558C"/>
          </w:tcPr>
          <w:p>
            <w:pPr>
              <w:spacing w:after="0"/>
              <w:rPr>
                <w:sz w:val="8"/>
                <w:szCs w:val="8"/>
                <w:color w:val="auto"/>
              </w:rPr>
            </w:pPr>
          </w:p>
        </w:tc>
        <w:tc>
          <w:tcPr>
            <w:tcW w:w="800" w:type="dxa"/>
            <w:vAlign w:val="bottom"/>
            <w:shd w:val="clear" w:color="auto" w:fill="00558C"/>
          </w:tcPr>
          <w:p>
            <w:pPr>
              <w:spacing w:after="0"/>
              <w:rPr>
                <w:sz w:val="8"/>
                <w:szCs w:val="8"/>
                <w:color w:val="auto"/>
              </w:rPr>
            </w:pPr>
          </w:p>
        </w:tc>
        <w:tc>
          <w:tcPr>
            <w:tcW w:w="820" w:type="dxa"/>
            <w:vAlign w:val="bottom"/>
            <w:shd w:val="clear" w:color="auto" w:fill="00558C"/>
          </w:tcPr>
          <w:p>
            <w:pPr>
              <w:spacing w:after="0"/>
              <w:rPr>
                <w:sz w:val="8"/>
                <w:szCs w:val="8"/>
                <w:color w:val="auto"/>
              </w:rPr>
            </w:pPr>
          </w:p>
        </w:tc>
        <w:tc>
          <w:tcPr>
            <w:tcW w:w="1220" w:type="dxa"/>
            <w:vAlign w:val="bottom"/>
            <w:shd w:val="clear" w:color="auto" w:fill="00558C"/>
          </w:tcPr>
          <w:p>
            <w:pPr>
              <w:spacing w:after="0"/>
              <w:rPr>
                <w:sz w:val="8"/>
                <w:szCs w:val="8"/>
                <w:color w:val="auto"/>
              </w:rPr>
            </w:pPr>
          </w:p>
        </w:tc>
        <w:tc>
          <w:tcPr>
            <w:tcW w:w="940" w:type="dxa"/>
            <w:vAlign w:val="bottom"/>
            <w:shd w:val="clear" w:color="auto" w:fill="00558C"/>
          </w:tcPr>
          <w:p>
            <w:pPr>
              <w:spacing w:after="0"/>
              <w:rPr>
                <w:sz w:val="8"/>
                <w:szCs w:val="8"/>
                <w:color w:val="auto"/>
              </w:rPr>
            </w:pPr>
          </w:p>
        </w:tc>
        <w:tc>
          <w:tcPr>
            <w:tcW w:w="1240" w:type="dxa"/>
            <w:vAlign w:val="bottom"/>
            <w:shd w:val="clear" w:color="auto" w:fill="00558C"/>
          </w:tcPr>
          <w:p>
            <w:pPr>
              <w:spacing w:after="0"/>
              <w:rPr>
                <w:sz w:val="8"/>
                <w:szCs w:val="8"/>
                <w:color w:val="auto"/>
              </w:rPr>
            </w:pPr>
          </w:p>
        </w:tc>
        <w:tc>
          <w:tcPr>
            <w:tcW w:w="1260" w:type="dxa"/>
            <w:vAlign w:val="bottom"/>
            <w:shd w:val="clear" w:color="auto" w:fill="00558C"/>
          </w:tcPr>
          <w:p>
            <w:pPr>
              <w:spacing w:after="0"/>
              <w:rPr>
                <w:sz w:val="8"/>
                <w:szCs w:val="8"/>
                <w:color w:val="auto"/>
              </w:rPr>
            </w:pPr>
          </w:p>
        </w:tc>
        <w:tc>
          <w:tcPr>
            <w:tcW w:w="120" w:type="dxa"/>
            <w:vAlign w:val="bottom"/>
            <w:shd w:val="clear" w:color="auto" w:fill="00558C"/>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1940" w:type="dxa"/>
            <w:vAlign w:val="bottom"/>
            <w:vMerge w:val="continue"/>
          </w:tcPr>
          <w:p>
            <w:pPr>
              <w:spacing w:after="0"/>
              <w:rPr>
                <w:sz w:val="9"/>
                <w:szCs w:val="9"/>
                <w:color w:val="auto"/>
              </w:rPr>
            </w:pPr>
          </w:p>
        </w:tc>
        <w:tc>
          <w:tcPr>
            <w:tcW w:w="720" w:type="dxa"/>
            <w:vAlign w:val="bottom"/>
            <w:shd w:val="clear" w:color="auto" w:fill="F2F3F2"/>
          </w:tcPr>
          <w:p>
            <w:pPr>
              <w:spacing w:after="0"/>
              <w:rPr>
                <w:sz w:val="9"/>
                <w:szCs w:val="9"/>
                <w:color w:val="auto"/>
              </w:rPr>
            </w:pPr>
          </w:p>
        </w:tc>
        <w:tc>
          <w:tcPr>
            <w:tcW w:w="800" w:type="dxa"/>
            <w:vAlign w:val="bottom"/>
            <w:shd w:val="clear" w:color="auto" w:fill="F2F3F2"/>
          </w:tcPr>
          <w:p>
            <w:pPr>
              <w:spacing w:after="0"/>
              <w:rPr>
                <w:sz w:val="9"/>
                <w:szCs w:val="9"/>
                <w:color w:val="auto"/>
              </w:rPr>
            </w:pPr>
          </w:p>
        </w:tc>
        <w:tc>
          <w:tcPr>
            <w:tcW w:w="820" w:type="dxa"/>
            <w:vAlign w:val="bottom"/>
            <w:shd w:val="clear" w:color="auto" w:fill="F2F3F2"/>
          </w:tcPr>
          <w:p>
            <w:pPr>
              <w:spacing w:after="0"/>
              <w:rPr>
                <w:sz w:val="9"/>
                <w:szCs w:val="9"/>
                <w:color w:val="auto"/>
              </w:rPr>
            </w:pPr>
          </w:p>
        </w:tc>
        <w:tc>
          <w:tcPr>
            <w:tcW w:w="1220" w:type="dxa"/>
            <w:vAlign w:val="bottom"/>
            <w:shd w:val="clear" w:color="auto" w:fill="F2F3F2"/>
          </w:tcPr>
          <w:p>
            <w:pPr>
              <w:spacing w:after="0"/>
              <w:rPr>
                <w:sz w:val="9"/>
                <w:szCs w:val="9"/>
                <w:color w:val="auto"/>
              </w:rPr>
            </w:pPr>
          </w:p>
        </w:tc>
        <w:tc>
          <w:tcPr>
            <w:tcW w:w="940" w:type="dxa"/>
            <w:vAlign w:val="bottom"/>
            <w:shd w:val="clear" w:color="auto" w:fill="F2F3F2"/>
          </w:tcPr>
          <w:p>
            <w:pPr>
              <w:spacing w:after="0"/>
              <w:rPr>
                <w:sz w:val="9"/>
                <w:szCs w:val="9"/>
                <w:color w:val="auto"/>
              </w:rPr>
            </w:pPr>
          </w:p>
        </w:tc>
        <w:tc>
          <w:tcPr>
            <w:tcW w:w="1240" w:type="dxa"/>
            <w:vAlign w:val="bottom"/>
            <w:shd w:val="clear" w:color="auto" w:fill="F2F3F2"/>
          </w:tcPr>
          <w:p>
            <w:pPr>
              <w:spacing w:after="0"/>
              <w:rPr>
                <w:sz w:val="9"/>
                <w:szCs w:val="9"/>
                <w:color w:val="auto"/>
              </w:rPr>
            </w:pPr>
          </w:p>
        </w:tc>
        <w:tc>
          <w:tcPr>
            <w:tcW w:w="1260" w:type="dxa"/>
            <w:vAlign w:val="bottom"/>
            <w:shd w:val="clear" w:color="auto" w:fill="F2F3F2"/>
          </w:tcPr>
          <w:p>
            <w:pPr>
              <w:spacing w:after="0"/>
              <w:rPr>
                <w:sz w:val="9"/>
                <w:szCs w:val="9"/>
                <w:color w:val="auto"/>
              </w:rPr>
            </w:pPr>
          </w:p>
        </w:tc>
        <w:tc>
          <w:tcPr>
            <w:tcW w:w="120" w:type="dxa"/>
            <w:vAlign w:val="bottom"/>
            <w:shd w:val="clear" w:color="auto" w:fill="F2F3F2"/>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1940" w:type="dxa"/>
            <w:vAlign w:val="bottom"/>
          </w:tcPr>
          <w:p>
            <w:pPr>
              <w:ind w:left="140"/>
              <w:spacing w:after="0"/>
              <w:rPr>
                <w:sz w:val="20"/>
                <w:szCs w:val="20"/>
                <w:color w:val="auto"/>
              </w:rPr>
            </w:pPr>
            <w:r>
              <w:rPr>
                <w:rFonts w:ascii="Arial" w:cs="Arial" w:eastAsia="Arial" w:hAnsi="Arial"/>
                <w:sz w:val="14"/>
                <w:szCs w:val="14"/>
                <w:color w:val="auto"/>
              </w:rPr>
              <w:t>Executive Vice President</w:t>
            </w:r>
          </w:p>
        </w:tc>
        <w:tc>
          <w:tcPr>
            <w:tcW w:w="720" w:type="dxa"/>
            <w:vAlign w:val="bottom"/>
            <w:shd w:val="clear" w:color="auto" w:fill="F2F3F2"/>
          </w:tcPr>
          <w:p>
            <w:pPr>
              <w:jc w:val="right"/>
              <w:ind w:right="128"/>
              <w:spacing w:after="0"/>
              <w:rPr>
                <w:sz w:val="20"/>
                <w:szCs w:val="20"/>
                <w:color w:val="auto"/>
              </w:rPr>
            </w:pPr>
            <w:r>
              <w:rPr>
                <w:rFonts w:ascii="Arial" w:cs="Arial" w:eastAsia="Arial" w:hAnsi="Arial"/>
                <w:sz w:val="14"/>
                <w:szCs w:val="14"/>
                <w:color w:val="auto"/>
              </w:rPr>
              <w:t>2023</w:t>
            </w:r>
          </w:p>
        </w:tc>
        <w:tc>
          <w:tcPr>
            <w:tcW w:w="800" w:type="dxa"/>
            <w:vAlign w:val="bottom"/>
            <w:shd w:val="clear" w:color="auto" w:fill="F2F3F2"/>
          </w:tcPr>
          <w:p>
            <w:pPr>
              <w:ind w:left="240"/>
              <w:spacing w:after="0"/>
              <w:rPr>
                <w:sz w:val="20"/>
                <w:szCs w:val="20"/>
                <w:color w:val="auto"/>
              </w:rPr>
            </w:pPr>
            <w:r>
              <w:rPr>
                <w:rFonts w:ascii="Arial" w:cs="Arial" w:eastAsia="Arial" w:hAnsi="Arial"/>
                <w:sz w:val="14"/>
                <w:szCs w:val="14"/>
                <w:color w:val="auto"/>
              </w:rPr>
              <w:t>650,000</w:t>
            </w:r>
          </w:p>
        </w:tc>
        <w:tc>
          <w:tcPr>
            <w:tcW w:w="820" w:type="dxa"/>
            <w:vAlign w:val="bottom"/>
            <w:shd w:val="clear" w:color="auto" w:fill="F2F3F2"/>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F2F3F2"/>
          </w:tcPr>
          <w:p>
            <w:pPr>
              <w:jc w:val="right"/>
              <w:ind w:right="288"/>
              <w:spacing w:after="0"/>
              <w:rPr>
                <w:sz w:val="20"/>
                <w:szCs w:val="20"/>
                <w:color w:val="auto"/>
              </w:rPr>
            </w:pPr>
            <w:r>
              <w:rPr>
                <w:rFonts w:ascii="Arial" w:cs="Arial" w:eastAsia="Arial" w:hAnsi="Arial"/>
                <w:sz w:val="14"/>
                <w:szCs w:val="14"/>
                <w:color w:val="auto"/>
              </w:rPr>
              <w:t>812,465</w:t>
            </w:r>
          </w:p>
        </w:tc>
        <w:tc>
          <w:tcPr>
            <w:tcW w:w="940" w:type="dxa"/>
            <w:vAlign w:val="bottom"/>
            <w:shd w:val="clear" w:color="auto" w:fill="F2F3F2"/>
          </w:tcPr>
          <w:p>
            <w:pPr>
              <w:jc w:val="right"/>
              <w:spacing w:after="0"/>
              <w:rPr>
                <w:sz w:val="20"/>
                <w:szCs w:val="20"/>
                <w:color w:val="auto"/>
              </w:rPr>
            </w:pPr>
            <w:r>
              <w:rPr>
                <w:rFonts w:ascii="Arial" w:cs="Arial" w:eastAsia="Arial" w:hAnsi="Arial"/>
                <w:sz w:val="14"/>
                <w:szCs w:val="14"/>
                <w:color w:val="auto"/>
              </w:rPr>
              <w:t>964,316</w:t>
            </w:r>
          </w:p>
        </w:tc>
        <w:tc>
          <w:tcPr>
            <w:tcW w:w="1240" w:type="dxa"/>
            <w:vAlign w:val="bottom"/>
            <w:shd w:val="clear" w:color="auto" w:fill="F2F3F2"/>
          </w:tcPr>
          <w:p>
            <w:pPr>
              <w:jc w:val="right"/>
              <w:spacing w:after="0"/>
              <w:rPr>
                <w:sz w:val="20"/>
                <w:szCs w:val="20"/>
                <w:color w:val="auto"/>
              </w:rPr>
            </w:pPr>
            <w:r>
              <w:rPr>
                <w:rFonts w:ascii="Arial" w:cs="Arial" w:eastAsia="Arial" w:hAnsi="Arial"/>
                <w:sz w:val="14"/>
                <w:szCs w:val="14"/>
                <w:color w:val="auto"/>
              </w:rPr>
              <w:t>26,923</w:t>
            </w:r>
          </w:p>
        </w:tc>
        <w:tc>
          <w:tcPr>
            <w:tcW w:w="1260" w:type="dxa"/>
            <w:vAlign w:val="bottom"/>
            <w:shd w:val="clear" w:color="auto" w:fill="F2F3F2"/>
          </w:tcPr>
          <w:p>
            <w:pPr>
              <w:jc w:val="right"/>
              <w:spacing w:after="0"/>
              <w:rPr>
                <w:sz w:val="20"/>
                <w:szCs w:val="20"/>
                <w:color w:val="auto"/>
              </w:rPr>
            </w:pPr>
            <w:r>
              <w:rPr>
                <w:rFonts w:ascii="Arial" w:cs="Arial" w:eastAsia="Arial" w:hAnsi="Arial"/>
                <w:sz w:val="14"/>
                <w:szCs w:val="14"/>
                <w:color w:val="auto"/>
              </w:rPr>
              <w:t>2,453,704</w:t>
            </w:r>
          </w:p>
        </w:tc>
        <w:tc>
          <w:tcPr>
            <w:tcW w:w="120" w:type="dxa"/>
            <w:vAlign w:val="bottom"/>
            <w:shd w:val="clear" w:color="auto" w:fill="F2F3F2"/>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1940" w:type="dxa"/>
            <w:vAlign w:val="bottom"/>
          </w:tcPr>
          <w:p>
            <w:pPr>
              <w:ind w:left="140"/>
              <w:spacing w:after="0" w:line="158" w:lineRule="exact"/>
              <w:rPr>
                <w:sz w:val="20"/>
                <w:szCs w:val="20"/>
                <w:color w:val="auto"/>
              </w:rPr>
            </w:pPr>
            <w:r>
              <w:rPr>
                <w:rFonts w:ascii="Arial" w:cs="Arial" w:eastAsia="Arial" w:hAnsi="Arial"/>
                <w:sz w:val="14"/>
                <w:szCs w:val="14"/>
                <w:color w:val="auto"/>
              </w:rPr>
              <w:t>and Chief Operating Officer</w:t>
            </w:r>
          </w:p>
        </w:tc>
        <w:tc>
          <w:tcPr>
            <w:tcW w:w="720" w:type="dxa"/>
            <w:vAlign w:val="bottom"/>
            <w:tcBorders>
              <w:bottom w:val="single" w:sz="8" w:color="B6B6B6"/>
            </w:tcBorders>
            <w:shd w:val="clear" w:color="auto" w:fill="F2F3F2"/>
          </w:tcPr>
          <w:p>
            <w:pPr>
              <w:spacing w:after="0"/>
              <w:rPr>
                <w:sz w:val="13"/>
                <w:szCs w:val="13"/>
                <w:color w:val="auto"/>
              </w:rPr>
            </w:pPr>
          </w:p>
        </w:tc>
        <w:tc>
          <w:tcPr>
            <w:tcW w:w="800" w:type="dxa"/>
            <w:vAlign w:val="bottom"/>
            <w:tcBorders>
              <w:bottom w:val="single" w:sz="8" w:color="B6B6B6"/>
            </w:tcBorders>
            <w:shd w:val="clear" w:color="auto" w:fill="F2F3F2"/>
          </w:tcPr>
          <w:p>
            <w:pPr>
              <w:spacing w:after="0"/>
              <w:rPr>
                <w:sz w:val="13"/>
                <w:szCs w:val="13"/>
                <w:color w:val="auto"/>
              </w:rPr>
            </w:pPr>
          </w:p>
        </w:tc>
        <w:tc>
          <w:tcPr>
            <w:tcW w:w="820" w:type="dxa"/>
            <w:vAlign w:val="bottom"/>
            <w:tcBorders>
              <w:bottom w:val="single" w:sz="8" w:color="B6B6B6"/>
            </w:tcBorders>
            <w:shd w:val="clear" w:color="auto" w:fill="F2F3F2"/>
          </w:tcPr>
          <w:p>
            <w:pPr>
              <w:spacing w:after="0"/>
              <w:rPr>
                <w:sz w:val="13"/>
                <w:szCs w:val="13"/>
                <w:color w:val="auto"/>
              </w:rPr>
            </w:pPr>
          </w:p>
        </w:tc>
        <w:tc>
          <w:tcPr>
            <w:tcW w:w="1220" w:type="dxa"/>
            <w:vAlign w:val="bottom"/>
            <w:tcBorders>
              <w:bottom w:val="single" w:sz="8" w:color="B6B6B6"/>
            </w:tcBorders>
            <w:shd w:val="clear" w:color="auto" w:fill="F2F3F2"/>
          </w:tcPr>
          <w:p>
            <w:pPr>
              <w:spacing w:after="0"/>
              <w:rPr>
                <w:sz w:val="13"/>
                <w:szCs w:val="13"/>
                <w:color w:val="auto"/>
              </w:rPr>
            </w:pPr>
          </w:p>
        </w:tc>
        <w:tc>
          <w:tcPr>
            <w:tcW w:w="940" w:type="dxa"/>
            <w:vAlign w:val="bottom"/>
            <w:tcBorders>
              <w:bottom w:val="single" w:sz="8" w:color="B6B6B6"/>
            </w:tcBorders>
            <w:shd w:val="clear" w:color="auto" w:fill="F2F3F2"/>
          </w:tcPr>
          <w:p>
            <w:pPr>
              <w:spacing w:after="0"/>
              <w:rPr>
                <w:sz w:val="13"/>
                <w:szCs w:val="13"/>
                <w:color w:val="auto"/>
              </w:rPr>
            </w:pPr>
          </w:p>
        </w:tc>
        <w:tc>
          <w:tcPr>
            <w:tcW w:w="1240" w:type="dxa"/>
            <w:vAlign w:val="bottom"/>
            <w:tcBorders>
              <w:bottom w:val="single" w:sz="8" w:color="B6B6B6"/>
            </w:tcBorders>
            <w:shd w:val="clear" w:color="auto" w:fill="F2F3F2"/>
          </w:tcPr>
          <w:p>
            <w:pPr>
              <w:spacing w:after="0"/>
              <w:rPr>
                <w:sz w:val="13"/>
                <w:szCs w:val="13"/>
                <w:color w:val="auto"/>
              </w:rPr>
            </w:pPr>
          </w:p>
        </w:tc>
        <w:tc>
          <w:tcPr>
            <w:tcW w:w="1260" w:type="dxa"/>
            <w:vAlign w:val="bottom"/>
            <w:tcBorders>
              <w:bottom w:val="single" w:sz="8" w:color="B6B6B6"/>
            </w:tcBorders>
            <w:shd w:val="clear" w:color="auto" w:fill="F2F3F2"/>
          </w:tcPr>
          <w:p>
            <w:pPr>
              <w:spacing w:after="0"/>
              <w:rPr>
                <w:sz w:val="13"/>
                <w:szCs w:val="13"/>
                <w:color w:val="auto"/>
              </w:rPr>
            </w:pPr>
          </w:p>
        </w:tc>
        <w:tc>
          <w:tcPr>
            <w:tcW w:w="120" w:type="dxa"/>
            <w:vAlign w:val="bottom"/>
            <w:tcBorders>
              <w:bottom w:val="single" w:sz="8" w:color="B2B3B6"/>
            </w:tcBorders>
            <w:shd w:val="clear" w:color="auto" w:fill="F2F3F2"/>
          </w:tcPr>
          <w:p>
            <w:pPr>
              <w:spacing w:after="0"/>
              <w:rPr>
                <w:sz w:val="13"/>
                <w:szCs w:val="13"/>
                <w:color w:val="auto"/>
              </w:rPr>
            </w:pPr>
          </w:p>
        </w:tc>
        <w:tc>
          <w:tcPr>
            <w:tcW w:w="0" w:type="dxa"/>
            <w:vAlign w:val="bottom"/>
          </w:tcPr>
          <w:p>
            <w:pPr>
              <w:spacing w:after="0"/>
              <w:rPr>
                <w:sz w:val="1"/>
                <w:szCs w:val="1"/>
                <w:color w:val="auto"/>
              </w:rPr>
            </w:pPr>
          </w:p>
        </w:tc>
      </w:tr>
      <w:tr>
        <w:trPr>
          <w:trHeight w:val="283"/>
        </w:trPr>
        <w:tc>
          <w:tcPr>
            <w:tcW w:w="1940" w:type="dxa"/>
            <w:vAlign w:val="bottom"/>
          </w:tcPr>
          <w:p>
            <w:pPr>
              <w:spacing w:after="0"/>
              <w:rPr>
                <w:sz w:val="24"/>
                <w:szCs w:val="24"/>
                <w:color w:val="auto"/>
              </w:rPr>
            </w:pPr>
          </w:p>
        </w:tc>
        <w:tc>
          <w:tcPr>
            <w:tcW w:w="720" w:type="dxa"/>
            <w:vAlign w:val="bottom"/>
          </w:tcPr>
          <w:p>
            <w:pPr>
              <w:jc w:val="right"/>
              <w:ind w:right="128"/>
              <w:spacing w:after="0"/>
              <w:rPr>
                <w:sz w:val="20"/>
                <w:szCs w:val="20"/>
                <w:color w:val="auto"/>
              </w:rPr>
            </w:pPr>
            <w:r>
              <w:rPr>
                <w:rFonts w:ascii="Arial" w:cs="Arial" w:eastAsia="Arial" w:hAnsi="Arial"/>
                <w:sz w:val="14"/>
                <w:szCs w:val="14"/>
                <w:color w:val="auto"/>
              </w:rPr>
              <w:t>2022</w:t>
            </w:r>
          </w:p>
        </w:tc>
        <w:tc>
          <w:tcPr>
            <w:tcW w:w="800" w:type="dxa"/>
            <w:vAlign w:val="bottom"/>
            <w:shd w:val="clear" w:color="auto" w:fill="F2F3F2"/>
          </w:tcPr>
          <w:p>
            <w:pPr>
              <w:ind w:left="240"/>
              <w:spacing w:after="0"/>
              <w:rPr>
                <w:sz w:val="20"/>
                <w:szCs w:val="20"/>
                <w:color w:val="auto"/>
              </w:rPr>
            </w:pPr>
            <w:r>
              <w:rPr>
                <w:rFonts w:ascii="Arial" w:cs="Arial" w:eastAsia="Arial" w:hAnsi="Arial"/>
                <w:sz w:val="14"/>
                <w:szCs w:val="14"/>
                <w:color w:val="auto"/>
              </w:rPr>
              <w:t>612,500</w:t>
            </w:r>
          </w:p>
        </w:tc>
        <w:tc>
          <w:tcPr>
            <w:tcW w:w="820" w:type="dxa"/>
            <w:vAlign w:val="bottom"/>
            <w:shd w:val="clear" w:color="auto" w:fill="F2F3F2"/>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F2F3F2"/>
          </w:tcPr>
          <w:p>
            <w:pPr>
              <w:jc w:val="right"/>
              <w:ind w:right="288"/>
              <w:spacing w:after="0"/>
              <w:rPr>
                <w:sz w:val="20"/>
                <w:szCs w:val="20"/>
                <w:color w:val="auto"/>
              </w:rPr>
            </w:pPr>
            <w:r>
              <w:rPr>
                <w:rFonts w:ascii="Arial" w:cs="Arial" w:eastAsia="Arial" w:hAnsi="Arial"/>
                <w:sz w:val="14"/>
                <w:szCs w:val="14"/>
                <w:color w:val="auto"/>
              </w:rPr>
              <w:t>882,726</w:t>
            </w:r>
          </w:p>
        </w:tc>
        <w:tc>
          <w:tcPr>
            <w:tcW w:w="940" w:type="dxa"/>
            <w:vAlign w:val="bottom"/>
            <w:shd w:val="clear" w:color="auto" w:fill="F2F3F2"/>
          </w:tcPr>
          <w:p>
            <w:pPr>
              <w:jc w:val="right"/>
              <w:spacing w:after="0"/>
              <w:rPr>
                <w:sz w:val="20"/>
                <w:szCs w:val="20"/>
                <w:color w:val="auto"/>
              </w:rPr>
            </w:pPr>
            <w:r>
              <w:rPr>
                <w:rFonts w:ascii="Arial" w:cs="Arial" w:eastAsia="Arial" w:hAnsi="Arial"/>
                <w:sz w:val="14"/>
                <w:szCs w:val="14"/>
                <w:color w:val="auto"/>
              </w:rPr>
              <w:t>766,487</w:t>
            </w:r>
          </w:p>
        </w:tc>
        <w:tc>
          <w:tcPr>
            <w:tcW w:w="1240" w:type="dxa"/>
            <w:vAlign w:val="bottom"/>
            <w:shd w:val="clear" w:color="auto" w:fill="F2F3F2"/>
          </w:tcPr>
          <w:p>
            <w:pPr>
              <w:jc w:val="right"/>
              <w:spacing w:after="0"/>
              <w:rPr>
                <w:sz w:val="20"/>
                <w:szCs w:val="20"/>
                <w:color w:val="auto"/>
              </w:rPr>
            </w:pPr>
            <w:r>
              <w:rPr>
                <w:rFonts w:ascii="Arial" w:cs="Arial" w:eastAsia="Arial" w:hAnsi="Arial"/>
                <w:sz w:val="14"/>
                <w:szCs w:val="14"/>
                <w:color w:val="auto"/>
              </w:rPr>
              <w:t>26,154</w:t>
            </w:r>
          </w:p>
        </w:tc>
        <w:tc>
          <w:tcPr>
            <w:tcW w:w="1260" w:type="dxa"/>
            <w:vAlign w:val="bottom"/>
            <w:shd w:val="clear" w:color="auto" w:fill="F2F3F2"/>
          </w:tcPr>
          <w:p>
            <w:pPr>
              <w:jc w:val="right"/>
              <w:spacing w:after="0"/>
              <w:rPr>
                <w:sz w:val="20"/>
                <w:szCs w:val="20"/>
                <w:color w:val="auto"/>
              </w:rPr>
            </w:pPr>
            <w:r>
              <w:rPr>
                <w:rFonts w:ascii="Arial" w:cs="Arial" w:eastAsia="Arial" w:hAnsi="Arial"/>
                <w:sz w:val="14"/>
                <w:szCs w:val="14"/>
                <w:color w:val="auto"/>
              </w:rPr>
              <w:t>2,287,867</w:t>
            </w:r>
          </w:p>
        </w:tc>
        <w:tc>
          <w:tcPr>
            <w:tcW w:w="120" w:type="dxa"/>
            <w:vAlign w:val="bottom"/>
            <w:shd w:val="clear" w:color="auto" w:fill="F2F3F2"/>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1940" w:type="dxa"/>
            <w:vAlign w:val="bottom"/>
          </w:tcPr>
          <w:p>
            <w:pPr>
              <w:spacing w:after="0"/>
              <w:rPr>
                <w:sz w:val="12"/>
                <w:szCs w:val="12"/>
                <w:color w:val="auto"/>
              </w:rPr>
            </w:pPr>
          </w:p>
        </w:tc>
        <w:tc>
          <w:tcPr>
            <w:tcW w:w="720" w:type="dxa"/>
            <w:vAlign w:val="bottom"/>
            <w:tcBorders>
              <w:bottom w:val="single" w:sz="8" w:color="B2B3B6"/>
            </w:tcBorders>
          </w:tcPr>
          <w:p>
            <w:pPr>
              <w:spacing w:after="0"/>
              <w:rPr>
                <w:sz w:val="12"/>
                <w:szCs w:val="12"/>
                <w:color w:val="auto"/>
              </w:rPr>
            </w:pPr>
          </w:p>
        </w:tc>
        <w:tc>
          <w:tcPr>
            <w:tcW w:w="800" w:type="dxa"/>
            <w:vAlign w:val="bottom"/>
            <w:tcBorders>
              <w:bottom w:val="single" w:sz="8" w:color="B2B3B6"/>
            </w:tcBorders>
            <w:shd w:val="clear" w:color="auto" w:fill="F2F3F2"/>
          </w:tcPr>
          <w:p>
            <w:pPr>
              <w:spacing w:after="0"/>
              <w:rPr>
                <w:sz w:val="12"/>
                <w:szCs w:val="12"/>
                <w:color w:val="auto"/>
              </w:rPr>
            </w:pPr>
          </w:p>
        </w:tc>
        <w:tc>
          <w:tcPr>
            <w:tcW w:w="820" w:type="dxa"/>
            <w:vAlign w:val="bottom"/>
            <w:tcBorders>
              <w:bottom w:val="single" w:sz="8" w:color="B6B6B6"/>
            </w:tcBorders>
            <w:shd w:val="clear" w:color="auto" w:fill="F2F3F2"/>
          </w:tcPr>
          <w:p>
            <w:pPr>
              <w:spacing w:after="0"/>
              <w:rPr>
                <w:sz w:val="12"/>
                <w:szCs w:val="12"/>
                <w:color w:val="auto"/>
              </w:rPr>
            </w:pPr>
          </w:p>
        </w:tc>
        <w:tc>
          <w:tcPr>
            <w:tcW w:w="1220" w:type="dxa"/>
            <w:vAlign w:val="bottom"/>
            <w:tcBorders>
              <w:bottom w:val="single" w:sz="8" w:color="B2B3B6"/>
            </w:tcBorders>
            <w:shd w:val="clear" w:color="auto" w:fill="F2F3F2"/>
          </w:tcPr>
          <w:p>
            <w:pPr>
              <w:spacing w:after="0"/>
              <w:rPr>
                <w:sz w:val="12"/>
                <w:szCs w:val="12"/>
                <w:color w:val="auto"/>
              </w:rPr>
            </w:pPr>
          </w:p>
        </w:tc>
        <w:tc>
          <w:tcPr>
            <w:tcW w:w="940" w:type="dxa"/>
            <w:vAlign w:val="bottom"/>
            <w:tcBorders>
              <w:bottom w:val="single" w:sz="8" w:color="B2B3B6"/>
            </w:tcBorders>
            <w:shd w:val="clear" w:color="auto" w:fill="F2F3F2"/>
          </w:tcPr>
          <w:p>
            <w:pPr>
              <w:spacing w:after="0"/>
              <w:rPr>
                <w:sz w:val="12"/>
                <w:szCs w:val="12"/>
                <w:color w:val="auto"/>
              </w:rPr>
            </w:pPr>
          </w:p>
        </w:tc>
        <w:tc>
          <w:tcPr>
            <w:tcW w:w="1240" w:type="dxa"/>
            <w:vAlign w:val="bottom"/>
            <w:tcBorders>
              <w:bottom w:val="single" w:sz="8" w:color="B2B3B6"/>
            </w:tcBorders>
            <w:shd w:val="clear" w:color="auto" w:fill="F2F3F2"/>
          </w:tcPr>
          <w:p>
            <w:pPr>
              <w:spacing w:after="0"/>
              <w:rPr>
                <w:sz w:val="12"/>
                <w:szCs w:val="12"/>
                <w:color w:val="auto"/>
              </w:rPr>
            </w:pPr>
          </w:p>
        </w:tc>
        <w:tc>
          <w:tcPr>
            <w:tcW w:w="1260" w:type="dxa"/>
            <w:vAlign w:val="bottom"/>
            <w:tcBorders>
              <w:bottom w:val="single" w:sz="8" w:color="B2B3B6"/>
            </w:tcBorders>
            <w:shd w:val="clear" w:color="auto" w:fill="F2F3F2"/>
          </w:tcPr>
          <w:p>
            <w:pPr>
              <w:spacing w:after="0"/>
              <w:rPr>
                <w:sz w:val="12"/>
                <w:szCs w:val="12"/>
                <w:color w:val="auto"/>
              </w:rPr>
            </w:pPr>
          </w:p>
        </w:tc>
        <w:tc>
          <w:tcPr>
            <w:tcW w:w="120" w:type="dxa"/>
            <w:vAlign w:val="bottom"/>
            <w:tcBorders>
              <w:bottom w:val="single" w:sz="8" w:color="B2B3B6"/>
            </w:tcBorders>
            <w:shd w:val="clear" w:color="auto" w:fill="F2F3F2"/>
          </w:tcPr>
          <w:p>
            <w:pPr>
              <w:spacing w:after="0"/>
              <w:rPr>
                <w:sz w:val="12"/>
                <w:szCs w:val="12"/>
                <w:color w:val="auto"/>
              </w:rPr>
            </w:pPr>
          </w:p>
        </w:tc>
        <w:tc>
          <w:tcPr>
            <w:tcW w:w="0" w:type="dxa"/>
            <w:vAlign w:val="bottom"/>
          </w:tcPr>
          <w:p>
            <w:pPr>
              <w:spacing w:after="0"/>
              <w:rPr>
                <w:sz w:val="1"/>
                <w:szCs w:val="1"/>
                <w:color w:val="auto"/>
              </w:rPr>
            </w:pPr>
          </w:p>
        </w:tc>
      </w:tr>
      <w:tr>
        <w:trPr>
          <w:trHeight w:val="362"/>
        </w:trPr>
        <w:tc>
          <w:tcPr>
            <w:tcW w:w="1940" w:type="dxa"/>
            <w:vAlign w:val="bottom"/>
          </w:tcPr>
          <w:p>
            <w:pPr>
              <w:ind w:left="140"/>
              <w:spacing w:after="0"/>
              <w:rPr>
                <w:sz w:val="20"/>
                <w:szCs w:val="20"/>
                <w:color w:val="auto"/>
              </w:rPr>
            </w:pPr>
            <w:r>
              <w:rPr>
                <w:rFonts w:ascii="Arial" w:cs="Arial" w:eastAsia="Arial" w:hAnsi="Arial"/>
                <w:sz w:val="14"/>
                <w:szCs w:val="14"/>
                <w:b w:val="1"/>
                <w:bCs w:val="1"/>
                <w:color w:val="00558C"/>
              </w:rPr>
              <w:t xml:space="preserve">Ernest W. Torain, Jr. </w:t>
            </w:r>
            <w:r>
              <w:rPr>
                <w:rFonts w:ascii="Arial" w:cs="Arial" w:eastAsia="Arial" w:hAnsi="Arial"/>
                <w:sz w:val="18"/>
                <w:szCs w:val="18"/>
                <w:b w:val="1"/>
                <w:bCs w:val="1"/>
                <w:color w:val="00558C"/>
                <w:vertAlign w:val="superscript"/>
              </w:rPr>
              <w:t>(8) (9)</w:t>
            </w:r>
          </w:p>
        </w:tc>
        <w:tc>
          <w:tcPr>
            <w:tcW w:w="720" w:type="dxa"/>
            <w:vAlign w:val="bottom"/>
          </w:tcPr>
          <w:p>
            <w:pPr>
              <w:jc w:val="right"/>
              <w:ind w:right="128"/>
              <w:spacing w:after="0"/>
              <w:rPr>
                <w:sz w:val="20"/>
                <w:szCs w:val="20"/>
                <w:color w:val="auto"/>
              </w:rPr>
            </w:pPr>
            <w:r>
              <w:rPr>
                <w:rFonts w:ascii="Arial" w:cs="Arial" w:eastAsia="Arial" w:hAnsi="Arial"/>
                <w:sz w:val="14"/>
                <w:szCs w:val="14"/>
                <w:b w:val="1"/>
                <w:bCs w:val="1"/>
                <w:color w:val="auto"/>
              </w:rPr>
              <w:t>2024</w:t>
            </w:r>
          </w:p>
        </w:tc>
        <w:tc>
          <w:tcPr>
            <w:tcW w:w="800" w:type="dxa"/>
            <w:vAlign w:val="bottom"/>
            <w:shd w:val="clear" w:color="auto" w:fill="F2F3F2"/>
          </w:tcPr>
          <w:p>
            <w:pPr>
              <w:ind w:left="240"/>
              <w:spacing w:after="0"/>
              <w:rPr>
                <w:sz w:val="20"/>
                <w:szCs w:val="20"/>
                <w:color w:val="auto"/>
              </w:rPr>
            </w:pPr>
            <w:r>
              <w:rPr>
                <w:rFonts w:ascii="Arial" w:cs="Arial" w:eastAsia="Arial" w:hAnsi="Arial"/>
                <w:sz w:val="14"/>
                <w:szCs w:val="14"/>
                <w:b w:val="1"/>
                <w:bCs w:val="1"/>
                <w:color w:val="auto"/>
              </w:rPr>
              <w:t>112,500</w:t>
            </w:r>
          </w:p>
        </w:tc>
        <w:tc>
          <w:tcPr>
            <w:tcW w:w="820" w:type="dxa"/>
            <w:vAlign w:val="bottom"/>
            <w:shd w:val="clear" w:color="auto" w:fill="F2F3F2"/>
          </w:tcPr>
          <w:p>
            <w:pPr>
              <w:jc w:val="right"/>
              <w:spacing w:after="0"/>
              <w:rPr>
                <w:sz w:val="20"/>
                <w:szCs w:val="20"/>
                <w:color w:val="auto"/>
              </w:rPr>
            </w:pPr>
            <w:r>
              <w:rPr>
                <w:rFonts w:ascii="Arial" w:cs="Arial" w:eastAsia="Arial" w:hAnsi="Arial"/>
                <w:sz w:val="14"/>
                <w:szCs w:val="14"/>
                <w:b w:val="1"/>
                <w:bCs w:val="1"/>
                <w:color w:val="auto"/>
              </w:rPr>
              <w:t>80,000</w:t>
            </w:r>
          </w:p>
        </w:tc>
        <w:tc>
          <w:tcPr>
            <w:tcW w:w="1220" w:type="dxa"/>
            <w:vAlign w:val="bottom"/>
            <w:shd w:val="clear" w:color="auto" w:fill="F2F3F2"/>
          </w:tcPr>
          <w:p>
            <w:pPr>
              <w:jc w:val="right"/>
              <w:ind w:right="288"/>
              <w:spacing w:after="0"/>
              <w:rPr>
                <w:sz w:val="20"/>
                <w:szCs w:val="20"/>
                <w:color w:val="auto"/>
              </w:rPr>
            </w:pPr>
            <w:r>
              <w:rPr>
                <w:rFonts w:ascii="Arial" w:cs="Arial" w:eastAsia="Arial" w:hAnsi="Arial"/>
                <w:sz w:val="14"/>
                <w:szCs w:val="14"/>
                <w:color w:val="auto"/>
              </w:rPr>
              <w:t>—</w:t>
            </w:r>
          </w:p>
        </w:tc>
        <w:tc>
          <w:tcPr>
            <w:tcW w:w="940" w:type="dxa"/>
            <w:vAlign w:val="bottom"/>
            <w:shd w:val="clear" w:color="auto" w:fill="F2F3F2"/>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F2F3F2"/>
          </w:tcPr>
          <w:p>
            <w:pPr>
              <w:jc w:val="right"/>
              <w:spacing w:after="0"/>
              <w:rPr>
                <w:sz w:val="20"/>
                <w:szCs w:val="20"/>
                <w:color w:val="auto"/>
              </w:rPr>
            </w:pPr>
            <w:r>
              <w:rPr>
                <w:rFonts w:ascii="Arial" w:cs="Arial" w:eastAsia="Arial" w:hAnsi="Arial"/>
                <w:sz w:val="14"/>
                <w:szCs w:val="14"/>
                <w:b w:val="1"/>
                <w:bCs w:val="1"/>
                <w:color w:val="auto"/>
              </w:rPr>
              <w:t>914,371</w:t>
            </w:r>
          </w:p>
        </w:tc>
        <w:tc>
          <w:tcPr>
            <w:tcW w:w="1260" w:type="dxa"/>
            <w:vAlign w:val="bottom"/>
            <w:shd w:val="clear" w:color="auto" w:fill="F2F3F2"/>
          </w:tcPr>
          <w:p>
            <w:pPr>
              <w:jc w:val="right"/>
              <w:spacing w:after="0"/>
              <w:rPr>
                <w:sz w:val="20"/>
                <w:szCs w:val="20"/>
                <w:color w:val="auto"/>
              </w:rPr>
            </w:pPr>
            <w:r>
              <w:rPr>
                <w:rFonts w:ascii="Arial" w:cs="Arial" w:eastAsia="Arial" w:hAnsi="Arial"/>
                <w:sz w:val="14"/>
                <w:szCs w:val="14"/>
                <w:b w:val="1"/>
                <w:bCs w:val="1"/>
                <w:color w:val="auto"/>
              </w:rPr>
              <w:t>1,106,871</w:t>
            </w:r>
          </w:p>
        </w:tc>
        <w:tc>
          <w:tcPr>
            <w:tcW w:w="120" w:type="dxa"/>
            <w:vAlign w:val="bottom"/>
            <w:shd w:val="clear" w:color="auto" w:fill="F2F3F2"/>
          </w:tcPr>
          <w:p>
            <w:pPr>
              <w:spacing w:after="0"/>
              <w:rPr>
                <w:sz w:val="24"/>
                <w:szCs w:val="24"/>
                <w:color w:val="auto"/>
              </w:rPr>
            </w:pPr>
          </w:p>
        </w:tc>
        <w:tc>
          <w:tcPr>
            <w:tcW w:w="0" w:type="dxa"/>
            <w:vAlign w:val="bottom"/>
          </w:tcPr>
          <w:p>
            <w:pPr>
              <w:spacing w:after="0"/>
              <w:rPr>
                <w:sz w:val="1"/>
                <w:szCs w:val="1"/>
                <w:color w:val="auto"/>
              </w:rPr>
            </w:pPr>
          </w:p>
        </w:tc>
      </w:tr>
      <w:tr>
        <w:trPr>
          <w:trHeight w:val="63"/>
        </w:trPr>
        <w:tc>
          <w:tcPr>
            <w:tcW w:w="1940" w:type="dxa"/>
            <w:vAlign w:val="bottom"/>
            <w:vMerge w:val="restart"/>
          </w:tcPr>
          <w:p>
            <w:pPr>
              <w:ind w:left="140"/>
              <w:spacing w:after="0"/>
              <w:rPr>
                <w:sz w:val="20"/>
                <w:szCs w:val="20"/>
                <w:color w:val="auto"/>
              </w:rPr>
            </w:pPr>
            <w:r>
              <w:rPr>
                <w:rFonts w:ascii="Arial" w:cs="Arial" w:eastAsia="Arial" w:hAnsi="Arial"/>
                <w:sz w:val="14"/>
                <w:szCs w:val="14"/>
                <w:color w:val="auto"/>
              </w:rPr>
              <w:t>Former Executive Vice</w:t>
            </w:r>
          </w:p>
        </w:tc>
        <w:tc>
          <w:tcPr>
            <w:tcW w:w="720" w:type="dxa"/>
            <w:vAlign w:val="bottom"/>
          </w:tcPr>
          <w:p>
            <w:pPr>
              <w:spacing w:after="0"/>
              <w:rPr>
                <w:sz w:val="5"/>
                <w:szCs w:val="5"/>
                <w:color w:val="auto"/>
              </w:rPr>
            </w:pPr>
          </w:p>
        </w:tc>
        <w:tc>
          <w:tcPr>
            <w:tcW w:w="800" w:type="dxa"/>
            <w:vAlign w:val="bottom"/>
            <w:shd w:val="clear" w:color="auto" w:fill="F2F3F2"/>
          </w:tcPr>
          <w:p>
            <w:pPr>
              <w:spacing w:after="0"/>
              <w:rPr>
                <w:sz w:val="5"/>
                <w:szCs w:val="5"/>
                <w:color w:val="auto"/>
              </w:rPr>
            </w:pPr>
          </w:p>
        </w:tc>
        <w:tc>
          <w:tcPr>
            <w:tcW w:w="820" w:type="dxa"/>
            <w:vAlign w:val="bottom"/>
            <w:shd w:val="clear" w:color="auto" w:fill="F2F3F2"/>
          </w:tcPr>
          <w:p>
            <w:pPr>
              <w:spacing w:after="0"/>
              <w:rPr>
                <w:sz w:val="5"/>
                <w:szCs w:val="5"/>
                <w:color w:val="auto"/>
              </w:rPr>
            </w:pPr>
          </w:p>
        </w:tc>
        <w:tc>
          <w:tcPr>
            <w:tcW w:w="1220" w:type="dxa"/>
            <w:vAlign w:val="bottom"/>
            <w:shd w:val="clear" w:color="auto" w:fill="F2F3F2"/>
          </w:tcPr>
          <w:p>
            <w:pPr>
              <w:spacing w:after="0"/>
              <w:rPr>
                <w:sz w:val="5"/>
                <w:szCs w:val="5"/>
                <w:color w:val="auto"/>
              </w:rPr>
            </w:pPr>
          </w:p>
        </w:tc>
        <w:tc>
          <w:tcPr>
            <w:tcW w:w="940" w:type="dxa"/>
            <w:vAlign w:val="bottom"/>
            <w:shd w:val="clear" w:color="auto" w:fill="F2F3F2"/>
          </w:tcPr>
          <w:p>
            <w:pPr>
              <w:spacing w:after="0"/>
              <w:rPr>
                <w:sz w:val="5"/>
                <w:szCs w:val="5"/>
                <w:color w:val="auto"/>
              </w:rPr>
            </w:pPr>
          </w:p>
        </w:tc>
        <w:tc>
          <w:tcPr>
            <w:tcW w:w="1240" w:type="dxa"/>
            <w:vAlign w:val="bottom"/>
            <w:shd w:val="clear" w:color="auto" w:fill="F2F3F2"/>
          </w:tcPr>
          <w:p>
            <w:pPr>
              <w:spacing w:after="0"/>
              <w:rPr>
                <w:sz w:val="5"/>
                <w:szCs w:val="5"/>
                <w:color w:val="auto"/>
              </w:rPr>
            </w:pPr>
          </w:p>
        </w:tc>
        <w:tc>
          <w:tcPr>
            <w:tcW w:w="1260" w:type="dxa"/>
            <w:vAlign w:val="bottom"/>
            <w:shd w:val="clear" w:color="auto" w:fill="F2F3F2"/>
          </w:tcPr>
          <w:p>
            <w:pPr>
              <w:spacing w:after="0"/>
              <w:rPr>
                <w:sz w:val="5"/>
                <w:szCs w:val="5"/>
                <w:color w:val="auto"/>
              </w:rPr>
            </w:pPr>
          </w:p>
        </w:tc>
        <w:tc>
          <w:tcPr>
            <w:tcW w:w="120" w:type="dxa"/>
            <w:vAlign w:val="bottom"/>
            <w:shd w:val="clear" w:color="auto" w:fill="F2F3F2"/>
          </w:tcPr>
          <w:p>
            <w:pPr>
              <w:spacing w:after="0"/>
              <w:rPr>
                <w:sz w:val="5"/>
                <w:szCs w:val="5"/>
                <w:color w:val="auto"/>
              </w:rPr>
            </w:pPr>
          </w:p>
        </w:tc>
        <w:tc>
          <w:tcPr>
            <w:tcW w:w="0" w:type="dxa"/>
            <w:vAlign w:val="bottom"/>
          </w:tcPr>
          <w:p>
            <w:pPr>
              <w:spacing w:after="0"/>
              <w:rPr>
                <w:sz w:val="1"/>
                <w:szCs w:val="1"/>
                <w:color w:val="auto"/>
              </w:rPr>
            </w:pPr>
          </w:p>
        </w:tc>
      </w:tr>
      <w:tr>
        <w:trPr>
          <w:trHeight w:val="112"/>
        </w:trPr>
        <w:tc>
          <w:tcPr>
            <w:tcW w:w="194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1940" w:type="dxa"/>
            <w:vAlign w:val="bottom"/>
          </w:tcPr>
          <w:p>
            <w:pPr>
              <w:ind w:left="140"/>
              <w:spacing w:after="0"/>
              <w:rPr>
                <w:sz w:val="20"/>
                <w:szCs w:val="20"/>
                <w:color w:val="auto"/>
              </w:rPr>
            </w:pPr>
            <w:r>
              <w:rPr>
                <w:rFonts w:ascii="Arial" w:cs="Arial" w:eastAsia="Arial" w:hAnsi="Arial"/>
                <w:sz w:val="14"/>
                <w:szCs w:val="14"/>
                <w:color w:val="auto"/>
              </w:rPr>
              <w:t>President, General</w:t>
            </w:r>
          </w:p>
        </w:tc>
        <w:tc>
          <w:tcPr>
            <w:tcW w:w="720" w:type="dxa"/>
            <w:vAlign w:val="bottom"/>
          </w:tcPr>
          <w:p>
            <w:pPr>
              <w:jc w:val="right"/>
              <w:ind w:right="128"/>
              <w:spacing w:after="0"/>
              <w:rPr>
                <w:sz w:val="20"/>
                <w:szCs w:val="20"/>
                <w:color w:val="auto"/>
              </w:rPr>
            </w:pPr>
            <w:r>
              <w:rPr>
                <w:rFonts w:ascii="Arial" w:cs="Arial" w:eastAsia="Arial" w:hAnsi="Arial"/>
                <w:sz w:val="14"/>
                <w:szCs w:val="14"/>
                <w:color w:val="auto"/>
              </w:rPr>
              <w:t>2023</w:t>
            </w:r>
          </w:p>
        </w:tc>
        <w:tc>
          <w:tcPr>
            <w:tcW w:w="800" w:type="dxa"/>
            <w:vAlign w:val="bottom"/>
          </w:tcPr>
          <w:p>
            <w:pPr>
              <w:ind w:left="240"/>
              <w:spacing w:after="0"/>
              <w:rPr>
                <w:sz w:val="20"/>
                <w:szCs w:val="20"/>
                <w:color w:val="auto"/>
              </w:rPr>
            </w:pPr>
            <w:r>
              <w:rPr>
                <w:rFonts w:ascii="Arial" w:cs="Arial" w:eastAsia="Arial" w:hAnsi="Arial"/>
                <w:sz w:val="14"/>
                <w:szCs w:val="14"/>
                <w:color w:val="auto"/>
              </w:rPr>
              <w:t>447,917</w:t>
            </w:r>
          </w:p>
        </w:tc>
        <w:tc>
          <w:tcPr>
            <w:tcW w:w="820" w:type="dxa"/>
            <w:vAlign w:val="bottom"/>
          </w:tcPr>
          <w:p>
            <w:pPr>
              <w:jc w:val="right"/>
              <w:spacing w:after="0"/>
              <w:rPr>
                <w:sz w:val="20"/>
                <w:szCs w:val="20"/>
                <w:color w:val="auto"/>
              </w:rPr>
            </w:pPr>
            <w:r>
              <w:rPr>
                <w:rFonts w:ascii="Arial" w:cs="Arial" w:eastAsia="Arial" w:hAnsi="Arial"/>
                <w:sz w:val="14"/>
                <w:szCs w:val="14"/>
                <w:color w:val="auto"/>
              </w:rPr>
              <w:t>80,000</w:t>
            </w:r>
          </w:p>
        </w:tc>
        <w:tc>
          <w:tcPr>
            <w:tcW w:w="1220" w:type="dxa"/>
            <w:vAlign w:val="bottom"/>
          </w:tcPr>
          <w:p>
            <w:pPr>
              <w:jc w:val="right"/>
              <w:ind w:right="288"/>
              <w:spacing w:after="0"/>
              <w:rPr>
                <w:sz w:val="20"/>
                <w:szCs w:val="20"/>
                <w:color w:val="auto"/>
              </w:rPr>
            </w:pPr>
            <w:r>
              <w:rPr>
                <w:rFonts w:ascii="Arial" w:cs="Arial" w:eastAsia="Arial" w:hAnsi="Arial"/>
                <w:sz w:val="14"/>
                <w:szCs w:val="14"/>
                <w:color w:val="auto"/>
              </w:rPr>
              <w:t>692,411</w:t>
            </w:r>
          </w:p>
        </w:tc>
        <w:tc>
          <w:tcPr>
            <w:tcW w:w="940" w:type="dxa"/>
            <w:vAlign w:val="bottom"/>
          </w:tcPr>
          <w:p>
            <w:pPr>
              <w:jc w:val="right"/>
              <w:spacing w:after="0"/>
              <w:rPr>
                <w:sz w:val="20"/>
                <w:szCs w:val="20"/>
                <w:color w:val="auto"/>
              </w:rPr>
            </w:pPr>
            <w:r>
              <w:rPr>
                <w:rFonts w:ascii="Arial" w:cs="Arial" w:eastAsia="Arial" w:hAnsi="Arial"/>
                <w:sz w:val="14"/>
                <w:szCs w:val="14"/>
                <w:color w:val="auto"/>
              </w:rPr>
              <w:t>489,375</w:t>
            </w:r>
          </w:p>
        </w:tc>
        <w:tc>
          <w:tcPr>
            <w:tcW w:w="1240" w:type="dxa"/>
            <w:vAlign w:val="bottom"/>
          </w:tcPr>
          <w:p>
            <w:pPr>
              <w:jc w:val="right"/>
              <w:spacing w:after="0"/>
              <w:rPr>
                <w:sz w:val="20"/>
                <w:szCs w:val="20"/>
                <w:color w:val="auto"/>
              </w:rPr>
            </w:pPr>
            <w:r>
              <w:rPr>
                <w:rFonts w:ascii="Arial" w:cs="Arial" w:eastAsia="Arial" w:hAnsi="Arial"/>
                <w:sz w:val="14"/>
                <w:szCs w:val="14"/>
                <w:color w:val="auto"/>
              </w:rPr>
              <w:t>34,516</w:t>
            </w:r>
          </w:p>
        </w:tc>
        <w:tc>
          <w:tcPr>
            <w:tcW w:w="1260" w:type="dxa"/>
            <w:vAlign w:val="bottom"/>
          </w:tcPr>
          <w:p>
            <w:pPr>
              <w:jc w:val="right"/>
              <w:spacing w:after="0"/>
              <w:rPr>
                <w:sz w:val="20"/>
                <w:szCs w:val="20"/>
                <w:color w:val="auto"/>
              </w:rPr>
            </w:pPr>
            <w:r>
              <w:rPr>
                <w:rFonts w:ascii="Arial" w:cs="Arial" w:eastAsia="Arial" w:hAnsi="Arial"/>
                <w:sz w:val="14"/>
                <w:szCs w:val="14"/>
                <w:color w:val="auto"/>
              </w:rPr>
              <w:t>1,744,219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1940" w:type="dxa"/>
            <w:vAlign w:val="bottom"/>
          </w:tcPr>
          <w:p>
            <w:pPr>
              <w:ind w:left="140"/>
              <w:spacing w:after="0" w:line="158" w:lineRule="exact"/>
              <w:rPr>
                <w:sz w:val="20"/>
                <w:szCs w:val="20"/>
                <w:color w:val="auto"/>
              </w:rPr>
            </w:pPr>
            <w:r>
              <w:rPr>
                <w:rFonts w:ascii="Arial" w:cs="Arial" w:eastAsia="Arial" w:hAnsi="Arial"/>
                <w:sz w:val="14"/>
                <w:szCs w:val="14"/>
                <w:color w:val="auto"/>
              </w:rPr>
              <w:t>Counsel and Corporate</w:t>
            </w:r>
          </w:p>
        </w:tc>
        <w:tc>
          <w:tcPr>
            <w:tcW w:w="720" w:type="dxa"/>
            <w:vAlign w:val="bottom"/>
            <w:tcBorders>
              <w:bottom w:val="single" w:sz="8" w:color="B6B6B6"/>
            </w:tcBorders>
          </w:tcPr>
          <w:p>
            <w:pPr>
              <w:spacing w:after="0"/>
              <w:rPr>
                <w:sz w:val="13"/>
                <w:szCs w:val="13"/>
                <w:color w:val="auto"/>
              </w:rPr>
            </w:pPr>
          </w:p>
        </w:tc>
        <w:tc>
          <w:tcPr>
            <w:tcW w:w="800" w:type="dxa"/>
            <w:vAlign w:val="bottom"/>
            <w:tcBorders>
              <w:bottom w:val="single" w:sz="8" w:color="B6B6B6"/>
            </w:tcBorders>
          </w:tcPr>
          <w:p>
            <w:pPr>
              <w:spacing w:after="0"/>
              <w:rPr>
                <w:sz w:val="13"/>
                <w:szCs w:val="13"/>
                <w:color w:val="auto"/>
              </w:rPr>
            </w:pPr>
          </w:p>
        </w:tc>
        <w:tc>
          <w:tcPr>
            <w:tcW w:w="820" w:type="dxa"/>
            <w:vAlign w:val="bottom"/>
            <w:tcBorders>
              <w:bottom w:val="single" w:sz="8" w:color="B2B3B6"/>
            </w:tcBorders>
          </w:tcPr>
          <w:p>
            <w:pPr>
              <w:spacing w:after="0"/>
              <w:rPr>
                <w:sz w:val="13"/>
                <w:szCs w:val="13"/>
                <w:color w:val="auto"/>
              </w:rPr>
            </w:pPr>
          </w:p>
        </w:tc>
        <w:tc>
          <w:tcPr>
            <w:tcW w:w="1220" w:type="dxa"/>
            <w:vAlign w:val="bottom"/>
            <w:tcBorders>
              <w:bottom w:val="single" w:sz="8" w:color="B6B6B6"/>
            </w:tcBorders>
          </w:tcPr>
          <w:p>
            <w:pPr>
              <w:spacing w:after="0"/>
              <w:rPr>
                <w:sz w:val="13"/>
                <w:szCs w:val="13"/>
                <w:color w:val="auto"/>
              </w:rPr>
            </w:pPr>
          </w:p>
        </w:tc>
        <w:tc>
          <w:tcPr>
            <w:tcW w:w="940" w:type="dxa"/>
            <w:vAlign w:val="bottom"/>
            <w:tcBorders>
              <w:bottom w:val="single" w:sz="8" w:color="B6B6B6"/>
            </w:tcBorders>
          </w:tcPr>
          <w:p>
            <w:pPr>
              <w:spacing w:after="0"/>
              <w:rPr>
                <w:sz w:val="13"/>
                <w:szCs w:val="13"/>
                <w:color w:val="auto"/>
              </w:rPr>
            </w:pPr>
          </w:p>
        </w:tc>
        <w:tc>
          <w:tcPr>
            <w:tcW w:w="1240" w:type="dxa"/>
            <w:vAlign w:val="bottom"/>
            <w:tcBorders>
              <w:bottom w:val="single" w:sz="8" w:color="B2B3B6"/>
            </w:tcBorders>
          </w:tcPr>
          <w:p>
            <w:pPr>
              <w:spacing w:after="0"/>
              <w:rPr>
                <w:sz w:val="13"/>
                <w:szCs w:val="13"/>
                <w:color w:val="auto"/>
              </w:rPr>
            </w:pPr>
          </w:p>
        </w:tc>
        <w:tc>
          <w:tcPr>
            <w:tcW w:w="1260" w:type="dxa"/>
            <w:vAlign w:val="bottom"/>
            <w:tcBorders>
              <w:bottom w:val="single" w:sz="8" w:color="B6B6B6"/>
            </w:tcBorders>
          </w:tcPr>
          <w:p>
            <w:pPr>
              <w:spacing w:after="0"/>
              <w:rPr>
                <w:sz w:val="13"/>
                <w:szCs w:val="13"/>
                <w:color w:val="auto"/>
              </w:rPr>
            </w:pPr>
          </w:p>
        </w:tc>
        <w:tc>
          <w:tcPr>
            <w:tcW w:w="120" w:type="dxa"/>
            <w:vAlign w:val="bottom"/>
            <w:tcBorders>
              <w:bottom w:val="single" w:sz="8" w:color="B2B3B6"/>
            </w:tcBorders>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1940" w:type="dxa"/>
            <w:vAlign w:val="bottom"/>
          </w:tcPr>
          <w:p>
            <w:pPr>
              <w:ind w:left="140"/>
              <w:spacing w:after="0"/>
              <w:rPr>
                <w:sz w:val="20"/>
                <w:szCs w:val="20"/>
                <w:color w:val="auto"/>
              </w:rPr>
            </w:pPr>
            <w:r>
              <w:rPr>
                <w:rFonts w:ascii="Arial" w:cs="Arial" w:eastAsia="Arial" w:hAnsi="Arial"/>
                <w:sz w:val="14"/>
                <w:szCs w:val="14"/>
                <w:color w:val="auto"/>
              </w:rPr>
              <w:t>Secretary</w:t>
            </w:r>
          </w:p>
        </w:tc>
        <w:tc>
          <w:tcPr>
            <w:tcW w:w="720" w:type="dxa"/>
            <w:vAlign w:val="bottom"/>
            <w:vMerge w:val="restart"/>
          </w:tcPr>
          <w:p>
            <w:pPr>
              <w:jc w:val="right"/>
              <w:ind w:right="128"/>
              <w:spacing w:after="0"/>
              <w:rPr>
                <w:sz w:val="20"/>
                <w:szCs w:val="20"/>
                <w:color w:val="auto"/>
              </w:rPr>
            </w:pPr>
            <w:r>
              <w:rPr>
                <w:rFonts w:ascii="Arial" w:cs="Arial" w:eastAsia="Arial" w:hAnsi="Arial"/>
                <w:sz w:val="14"/>
                <w:szCs w:val="14"/>
                <w:color w:val="auto"/>
              </w:rPr>
              <w:t>2022</w:t>
            </w:r>
          </w:p>
        </w:tc>
        <w:tc>
          <w:tcPr>
            <w:tcW w:w="800" w:type="dxa"/>
            <w:vAlign w:val="bottom"/>
            <w:vMerge w:val="restart"/>
          </w:tcPr>
          <w:p>
            <w:pPr>
              <w:ind w:left="240"/>
              <w:spacing w:after="0"/>
              <w:rPr>
                <w:sz w:val="20"/>
                <w:szCs w:val="20"/>
                <w:color w:val="auto"/>
              </w:rPr>
            </w:pPr>
            <w:r>
              <w:rPr>
                <w:rFonts w:ascii="Arial" w:cs="Arial" w:eastAsia="Arial" w:hAnsi="Arial"/>
                <w:sz w:val="14"/>
                <w:szCs w:val="14"/>
                <w:color w:val="auto"/>
              </w:rPr>
              <w:t>398,333</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80,000</w:t>
            </w:r>
          </w:p>
        </w:tc>
        <w:tc>
          <w:tcPr>
            <w:tcW w:w="1220" w:type="dxa"/>
            <w:vAlign w:val="bottom"/>
            <w:vMerge w:val="restart"/>
          </w:tcPr>
          <w:p>
            <w:pPr>
              <w:jc w:val="right"/>
              <w:ind w:right="288"/>
              <w:spacing w:after="0"/>
              <w:rPr>
                <w:sz w:val="20"/>
                <w:szCs w:val="20"/>
                <w:color w:val="auto"/>
              </w:rPr>
            </w:pPr>
            <w:r>
              <w:rPr>
                <w:rFonts w:ascii="Arial" w:cs="Arial" w:eastAsia="Arial" w:hAnsi="Arial"/>
                <w:sz w:val="14"/>
                <w:szCs w:val="14"/>
                <w:color w:val="auto"/>
              </w:rPr>
              <w:t>516,327</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276,000</w:t>
            </w:r>
          </w:p>
        </w:tc>
        <w:tc>
          <w:tcPr>
            <w:tcW w:w="1240" w:type="dxa"/>
            <w:vAlign w:val="bottom"/>
            <w:vMerge w:val="restart"/>
          </w:tcPr>
          <w:p>
            <w:pPr>
              <w:jc w:val="right"/>
              <w:spacing w:after="0"/>
              <w:rPr>
                <w:sz w:val="20"/>
                <w:szCs w:val="20"/>
                <w:color w:val="auto"/>
              </w:rPr>
            </w:pPr>
            <w:r>
              <w:rPr>
                <w:rFonts w:ascii="Arial" w:cs="Arial" w:eastAsia="Arial" w:hAnsi="Arial"/>
                <w:sz w:val="14"/>
                <w:szCs w:val="14"/>
                <w:color w:val="auto"/>
              </w:rPr>
              <w:t>33,486</w:t>
            </w: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1,304,146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19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420" w:right="100" w:hanging="331"/>
        <w:spacing w:after="0" w:line="284" w:lineRule="auto"/>
        <w:tabs>
          <w:tab w:leader="none" w:pos="420" w:val="left"/>
        </w:tabs>
        <w:numPr>
          <w:ilvl w:val="0"/>
          <w:numId w:val="80"/>
        </w:numPr>
        <w:rPr>
          <w:rFonts w:ascii="Arial" w:cs="Arial" w:eastAsia="Arial" w:hAnsi="Arial"/>
          <w:sz w:val="14"/>
          <w:szCs w:val="14"/>
          <w:color w:val="auto"/>
        </w:rPr>
      </w:pPr>
      <w:r>
        <w:rPr>
          <w:rFonts w:ascii="Arial" w:cs="Arial" w:eastAsia="Arial" w:hAnsi="Arial"/>
          <w:sz w:val="14"/>
          <w:szCs w:val="14"/>
          <w:color w:val="auto"/>
        </w:rPr>
        <w:t>The bonus amounts paid in 2022, 2023, and 2024 represent all three installments of the three-year cash retention bonus made in 2021 to retain the NEOs’ continued leadership through the COVID-19 pandemic and in recognition of their exceptional performance during 2020.</w:t>
      </w:r>
    </w:p>
    <w:p>
      <w:pPr>
        <w:spacing w:after="0" w:line="185" w:lineRule="exact"/>
        <w:rPr>
          <w:rFonts w:ascii="Arial" w:cs="Arial" w:eastAsia="Arial" w:hAnsi="Arial"/>
          <w:sz w:val="14"/>
          <w:szCs w:val="14"/>
          <w:color w:val="auto"/>
        </w:rPr>
      </w:pPr>
    </w:p>
    <w:p>
      <w:pPr>
        <w:ind w:left="420" w:right="20" w:hanging="331"/>
        <w:spacing w:after="0" w:line="265" w:lineRule="auto"/>
        <w:tabs>
          <w:tab w:leader="none" w:pos="420" w:val="left"/>
        </w:tabs>
        <w:numPr>
          <w:ilvl w:val="0"/>
          <w:numId w:val="80"/>
        </w:numPr>
        <w:rPr>
          <w:rFonts w:ascii="Arial" w:cs="Arial" w:eastAsia="Arial" w:hAnsi="Arial"/>
          <w:sz w:val="14"/>
          <w:szCs w:val="14"/>
          <w:color w:val="auto"/>
        </w:rPr>
      </w:pPr>
      <w:r>
        <w:rPr>
          <w:rFonts w:ascii="Arial" w:cs="Arial" w:eastAsia="Arial" w:hAnsi="Arial"/>
          <w:sz w:val="14"/>
          <w:szCs w:val="14"/>
          <w:color w:val="auto"/>
        </w:rPr>
        <w:t>This column represents the aggregate grant date fair value of restricted stock, restricted stock units and/or performance share units and/ or performance-based stock option awards. The value of the performance share units and performance-based stock options in the table is consistent with the estimate of aggregate compensation cost to be recognized over the service period determined as of the grant date under FASB ASC Topic 718. Performance share unit values in the Stock Awards column are based on performance achieved at target levels for the included performance share units, which was the probable outcome of performance conditions as of the grant date for the PSUs. The grant date fair value of each NEO’s performance share unit grants for 2024 if earned at maximum levels was $4,987,494, $1,848,045, and $1,323,014, for Messrs. Hussey, Kelly, and Dail, respectively.</w:t>
      </w:r>
    </w:p>
    <w:p>
      <w:pPr>
        <w:spacing w:after="0" w:line="24" w:lineRule="exact"/>
        <w:rPr>
          <w:rFonts w:ascii="Arial" w:cs="Arial" w:eastAsia="Arial" w:hAnsi="Arial"/>
          <w:sz w:val="14"/>
          <w:szCs w:val="14"/>
          <w:color w:val="auto"/>
        </w:rPr>
      </w:pPr>
    </w:p>
    <w:p>
      <w:pPr>
        <w:ind w:left="420" w:hanging="331"/>
        <w:spacing w:after="0"/>
        <w:tabs>
          <w:tab w:leader="none" w:pos="420" w:val="left"/>
        </w:tabs>
        <w:numPr>
          <w:ilvl w:val="0"/>
          <w:numId w:val="80"/>
        </w:numPr>
        <w:rPr>
          <w:rFonts w:ascii="Arial" w:cs="Arial" w:eastAsia="Arial" w:hAnsi="Arial"/>
          <w:sz w:val="14"/>
          <w:szCs w:val="14"/>
          <w:color w:val="auto"/>
        </w:rPr>
      </w:pPr>
      <w:r>
        <w:rPr>
          <w:rFonts w:ascii="Arial" w:cs="Arial" w:eastAsia="Arial" w:hAnsi="Arial"/>
          <w:sz w:val="14"/>
          <w:szCs w:val="14"/>
          <w:color w:val="auto"/>
        </w:rPr>
        <w:t>All Other Compensation for 2024 is detailed in the table below.</w:t>
      </w:r>
    </w:p>
    <w:p>
      <w:pPr>
        <w:spacing w:after="0" w:line="68" w:lineRule="exact"/>
        <w:rPr>
          <w:rFonts w:ascii="Arial" w:cs="Arial" w:eastAsia="Arial" w:hAnsi="Arial"/>
          <w:sz w:val="14"/>
          <w:szCs w:val="14"/>
          <w:color w:val="auto"/>
        </w:rPr>
      </w:pPr>
    </w:p>
    <w:p>
      <w:pPr>
        <w:jc w:val="both"/>
        <w:ind w:left="420" w:right="40" w:hanging="331"/>
        <w:spacing w:after="0" w:line="273" w:lineRule="auto"/>
        <w:tabs>
          <w:tab w:leader="none" w:pos="420" w:val="left"/>
        </w:tabs>
        <w:numPr>
          <w:ilvl w:val="0"/>
          <w:numId w:val="80"/>
        </w:numPr>
        <w:rPr>
          <w:rFonts w:ascii="Arial" w:cs="Arial" w:eastAsia="Arial" w:hAnsi="Arial"/>
          <w:sz w:val="14"/>
          <w:szCs w:val="14"/>
          <w:color w:val="auto"/>
        </w:rPr>
      </w:pPr>
      <w:r>
        <w:rPr>
          <w:rFonts w:ascii="Arial" w:cs="Arial" w:eastAsia="Arial" w:hAnsi="Arial"/>
          <w:sz w:val="14"/>
          <w:szCs w:val="14"/>
          <w:color w:val="auto"/>
        </w:rPr>
        <w:t>Mr. Hussey served as president and chief operating officer through June 30, 2022, at which time he was succeeded by Mr. Dail effective July 1, 2022. Mr. Hussey continued to serve as president through December 31, 2022, and effective January 1, 2023, began serving as chief executive officer and president.</w:t>
      </w:r>
    </w:p>
    <w:p>
      <w:pPr>
        <w:spacing w:after="0" w:line="17" w:lineRule="exact"/>
        <w:rPr>
          <w:rFonts w:ascii="Arial" w:cs="Arial" w:eastAsia="Arial" w:hAnsi="Arial"/>
          <w:sz w:val="14"/>
          <w:szCs w:val="14"/>
          <w:color w:val="auto"/>
        </w:rPr>
      </w:pPr>
    </w:p>
    <w:p>
      <w:pPr>
        <w:ind w:left="420" w:right="180" w:hanging="331"/>
        <w:spacing w:after="0" w:line="301" w:lineRule="auto"/>
        <w:tabs>
          <w:tab w:leader="none" w:pos="420" w:val="left"/>
        </w:tabs>
        <w:numPr>
          <w:ilvl w:val="0"/>
          <w:numId w:val="80"/>
        </w:numPr>
        <w:rPr>
          <w:rFonts w:ascii="Arial" w:cs="Arial" w:eastAsia="Arial" w:hAnsi="Arial"/>
          <w:sz w:val="14"/>
          <w:szCs w:val="14"/>
          <w:color w:val="auto"/>
        </w:rPr>
      </w:pPr>
      <w:r>
        <w:rPr>
          <w:rFonts w:ascii="Arial" w:cs="Arial" w:eastAsia="Arial" w:hAnsi="Arial"/>
          <w:sz w:val="14"/>
          <w:szCs w:val="14"/>
          <w:color w:val="auto"/>
        </w:rPr>
        <w:t>Mr. Dail has served as executive vice president and chief operating officer since July 1, 2022, prior to which he led Huron’s healthcare performance improvement business unit.</w:t>
      </w:r>
    </w:p>
    <w:p>
      <w:pPr>
        <w:spacing w:after="0" w:line="1" w:lineRule="exact"/>
        <w:rPr>
          <w:rFonts w:ascii="Arial" w:cs="Arial" w:eastAsia="Arial" w:hAnsi="Arial"/>
          <w:sz w:val="14"/>
          <w:szCs w:val="14"/>
          <w:color w:val="auto"/>
        </w:rPr>
      </w:pPr>
    </w:p>
    <w:p>
      <w:pPr>
        <w:ind w:left="420" w:right="20" w:hanging="331"/>
        <w:spacing w:after="0" w:line="262" w:lineRule="auto"/>
        <w:tabs>
          <w:tab w:leader="none" w:pos="420" w:val="left"/>
        </w:tabs>
        <w:numPr>
          <w:ilvl w:val="0"/>
          <w:numId w:val="80"/>
        </w:numPr>
        <w:rPr>
          <w:rFonts w:ascii="Arial" w:cs="Arial" w:eastAsia="Arial" w:hAnsi="Arial"/>
          <w:sz w:val="14"/>
          <w:szCs w:val="14"/>
          <w:color w:val="auto"/>
        </w:rPr>
      </w:pPr>
      <w:r>
        <w:rPr>
          <w:rFonts w:ascii="Arial" w:cs="Arial" w:eastAsia="Arial" w:hAnsi="Arial"/>
          <w:sz w:val="14"/>
          <w:szCs w:val="14"/>
          <w:color w:val="auto"/>
        </w:rPr>
        <w:t>Mr. Dail's 2022 non-equity incentive plan compensation includes his earned non-equity incentive compensation under the NEO annual incentive plan and Healthcare Managing Director annual incentive plan, prorated for his time served as a managing director in the Healthcare business unit. Additionally, this total includes $122,837 earned under the Healthcare Managed Services incentive program, a commission-based program for the Healthcare Managed Services offering that is determined based on the revenue generated on certain engagements which Mr. Dail is eligible for based on his prior role as the leader of Huron's healthcare performance improvement business unit through July 1, 2022. Mr. Dail is expected to be eligible for this incentive compensation through 2025 per the terms of the Healthcare Managed Services incentive program structure.</w:t>
      </w:r>
    </w:p>
    <w:p>
      <w:pPr>
        <w:spacing w:after="0" w:line="25" w:lineRule="exact"/>
        <w:rPr>
          <w:rFonts w:ascii="Arial" w:cs="Arial" w:eastAsia="Arial" w:hAnsi="Arial"/>
          <w:sz w:val="14"/>
          <w:szCs w:val="14"/>
          <w:color w:val="auto"/>
        </w:rPr>
      </w:pPr>
    </w:p>
    <w:p>
      <w:pPr>
        <w:ind w:left="420" w:right="60" w:hanging="331"/>
        <w:spacing w:after="0" w:line="283" w:lineRule="auto"/>
        <w:tabs>
          <w:tab w:leader="none" w:pos="420" w:val="left"/>
        </w:tabs>
        <w:numPr>
          <w:ilvl w:val="0"/>
          <w:numId w:val="80"/>
        </w:numPr>
        <w:rPr>
          <w:rFonts w:ascii="Arial" w:cs="Arial" w:eastAsia="Arial" w:hAnsi="Arial"/>
          <w:sz w:val="14"/>
          <w:szCs w:val="14"/>
          <w:color w:val="auto"/>
        </w:rPr>
      </w:pPr>
      <w:r>
        <w:rPr>
          <w:rFonts w:ascii="Arial" w:cs="Arial" w:eastAsia="Arial" w:hAnsi="Arial"/>
          <w:sz w:val="14"/>
          <w:szCs w:val="14"/>
          <w:color w:val="auto"/>
        </w:rPr>
        <w:t>Mr. Dail's 2023 and 2024 non-equity incentive plan compensation includes his earned non-equity incentive compensation under the NEO annual incentive plan and $116,066 and $130,692 earned under the Healthcare Managed Services incentive program in 2023 and 2024, respectively. The Healthcare Managed Services incentive program is a commission-based program for the Healthcare Managed</w:t>
      </w:r>
    </w:p>
    <w:p>
      <w:pPr>
        <w:spacing w:after="0" w:line="394" w:lineRule="exact"/>
        <w:rPr>
          <w:sz w:val="20"/>
          <w:szCs w:val="20"/>
          <w:color w:val="auto"/>
        </w:rPr>
      </w:pPr>
    </w:p>
    <w:p>
      <w:pPr>
        <w:ind w:left="60"/>
        <w:spacing w:after="0"/>
        <w:tabs>
          <w:tab w:leader="none" w:pos="444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13"/>
          <w:szCs w:val="13"/>
          <w:b w:val="1"/>
          <w:bCs w:val="1"/>
          <w:color w:val="00558C"/>
        </w:rPr>
        <w:t>50</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420370</wp:posOffset>
            </wp:positionV>
            <wp:extent cx="6810375" cy="45339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10375" cy="4533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540" w:val="left"/>
          <w:tab w:leader="none" w:pos="7360" w:val="left"/>
          <w:tab w:leader="none" w:pos="8400" w:val="left"/>
        </w:tabs>
        <w:rPr>
          <w:sz w:val="20"/>
          <w:szCs w:val="20"/>
          <w:color w:val="auto"/>
        </w:rPr>
      </w:pPr>
      <w:r>
        <w:rPr>
          <w:rFonts w:ascii="Arial" w:cs="Arial" w:eastAsia="Arial" w:hAnsi="Arial"/>
          <w:sz w:val="13"/>
          <w:szCs w:val="13"/>
          <w:b w:val="1"/>
          <w:bCs w:val="1"/>
          <w:color w:val="B2B3B6"/>
        </w:rPr>
        <w:t>General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Corporate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6AAA37"/>
        </w:rPr>
        <w:t>Executive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Stockholder</w:t>
      </w:r>
      <w:r>
        <w:rPr>
          <w:sz w:val="20"/>
          <w:szCs w:val="20"/>
          <w:color w:val="auto"/>
        </w:rPr>
        <w:tab/>
      </w:r>
      <w:r>
        <w:rPr>
          <w:rFonts w:ascii="Arial" w:cs="Arial" w:eastAsia="Arial" w:hAnsi="Arial"/>
          <w:sz w:val="12"/>
          <w:szCs w:val="12"/>
          <w:b w:val="1"/>
          <w:bCs w:val="1"/>
          <w:color w:val="B2B3B6"/>
        </w:rPr>
        <w:t>Other</w:t>
      </w:r>
    </w:p>
    <w:p>
      <w:pPr>
        <w:spacing w:after="0" w:line="11"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540" w:val="left"/>
          <w:tab w:leader="none" w:pos="7360" w:val="left"/>
          <w:tab w:leader="none" w:pos="8400" w:val="left"/>
        </w:tabs>
        <w:rPr>
          <w:sz w:val="20"/>
          <w:szCs w:val="20"/>
          <w:color w:val="auto"/>
        </w:rPr>
      </w:pPr>
      <w:r>
        <w:rPr>
          <w:rFonts w:ascii="Arial" w:cs="Arial" w:eastAsia="Arial" w:hAnsi="Arial"/>
          <w:sz w:val="13"/>
          <w:szCs w:val="13"/>
          <w:b w:val="1"/>
          <w:bCs w:val="1"/>
          <w:color w:val="B2B3B6"/>
        </w:rPr>
        <w:t>Information</w:t>
      </w:r>
      <w:r>
        <w:rPr>
          <w:sz w:val="20"/>
          <w:szCs w:val="20"/>
          <w:color w:val="auto"/>
        </w:rPr>
        <w:tab/>
      </w:r>
      <w:r>
        <w:rPr>
          <w:rFonts w:ascii="Arial" w:cs="Arial" w:eastAsia="Arial" w:hAnsi="Arial"/>
          <w:sz w:val="13"/>
          <w:szCs w:val="13"/>
          <w:b w:val="1"/>
          <w:bCs w:val="1"/>
          <w:color w:val="B2B3B6"/>
        </w:rPr>
        <w:t>One</w:t>
      </w:r>
      <w:r>
        <w:rPr>
          <w:sz w:val="20"/>
          <w:szCs w:val="20"/>
          <w:color w:val="auto"/>
        </w:rPr>
        <w:tab/>
      </w:r>
      <w:r>
        <w:rPr>
          <w:rFonts w:ascii="Arial" w:cs="Arial" w:eastAsia="Arial" w:hAnsi="Arial"/>
          <w:sz w:val="13"/>
          <w:szCs w:val="13"/>
          <w:b w:val="1"/>
          <w:bCs w:val="1"/>
          <w:color w:val="B2B3B6"/>
        </w:rPr>
        <w:t>Governance</w:t>
      </w:r>
      <w:r>
        <w:rPr>
          <w:sz w:val="20"/>
          <w:szCs w:val="20"/>
          <w:color w:val="auto"/>
        </w:rPr>
        <w:tab/>
      </w:r>
      <w:r>
        <w:rPr>
          <w:rFonts w:ascii="Arial" w:cs="Arial" w:eastAsia="Arial" w:hAnsi="Arial"/>
          <w:sz w:val="13"/>
          <w:szCs w:val="13"/>
          <w:b w:val="1"/>
          <w:bCs w:val="1"/>
          <w:color w:val="B2B3B6"/>
        </w:rPr>
        <w:t>Two</w:t>
      </w:r>
      <w:r>
        <w:rPr>
          <w:sz w:val="20"/>
          <w:szCs w:val="20"/>
          <w:color w:val="auto"/>
        </w:rPr>
        <w:tab/>
      </w:r>
      <w:r>
        <w:rPr>
          <w:rFonts w:ascii="Arial" w:cs="Arial" w:eastAsia="Arial" w:hAnsi="Arial"/>
          <w:sz w:val="13"/>
          <w:szCs w:val="13"/>
          <w:b w:val="1"/>
          <w:bCs w:val="1"/>
          <w:color w:val="6AAA37"/>
        </w:rPr>
        <w:t>Compensation</w:t>
      </w:r>
      <w:r>
        <w:rPr>
          <w:sz w:val="20"/>
          <w:szCs w:val="20"/>
          <w:color w:val="auto"/>
        </w:rPr>
        <w:tab/>
      </w:r>
      <w:r>
        <w:rPr>
          <w:rFonts w:ascii="Arial" w:cs="Arial" w:eastAsia="Arial" w:hAnsi="Arial"/>
          <w:sz w:val="13"/>
          <w:szCs w:val="13"/>
          <w:b w:val="1"/>
          <w:bCs w:val="1"/>
          <w:color w:val="B2B3B6"/>
        </w:rPr>
        <w:t>Three</w:t>
      </w:r>
      <w:r>
        <w:rPr>
          <w:sz w:val="20"/>
          <w:szCs w:val="20"/>
          <w:color w:val="auto"/>
        </w:rPr>
        <w:tab/>
      </w:r>
      <w:r>
        <w:rPr>
          <w:rFonts w:ascii="Arial" w:cs="Arial" w:eastAsia="Arial" w:hAnsi="Arial"/>
          <w:sz w:val="13"/>
          <w:szCs w:val="13"/>
          <w:b w:val="1"/>
          <w:bCs w:val="1"/>
          <w:color w:val="B2B3B6"/>
        </w:rPr>
        <w:t>Four</w:t>
      </w:r>
      <w:r>
        <w:rPr>
          <w:sz w:val="20"/>
          <w:szCs w:val="20"/>
          <w:color w:val="auto"/>
        </w:rPr>
        <w:tab/>
      </w:r>
      <w:r>
        <w:rPr>
          <w:rFonts w:ascii="Arial" w:cs="Arial" w:eastAsia="Arial" w:hAnsi="Arial"/>
          <w:sz w:val="13"/>
          <w:szCs w:val="13"/>
          <w:b w:val="1"/>
          <w:bCs w:val="1"/>
          <w:color w:val="B2B3B6"/>
        </w:rPr>
        <w:t>Five</w:t>
      </w:r>
      <w:r>
        <w:rPr>
          <w:sz w:val="20"/>
          <w:szCs w:val="20"/>
          <w:color w:val="auto"/>
        </w:rPr>
        <w:tab/>
      </w:r>
      <w:r>
        <w:rPr>
          <w:rFonts w:ascii="Arial" w:cs="Arial" w:eastAsia="Arial" w:hAnsi="Arial"/>
          <w:sz w:val="13"/>
          <w:szCs w:val="13"/>
          <w:b w:val="1"/>
          <w:bCs w:val="1"/>
          <w:color w:val="B2B3B6"/>
        </w:rPr>
        <w:t>Proposals</w:t>
      </w:r>
      <w:r>
        <w:rPr>
          <w:sz w:val="20"/>
          <w:szCs w:val="20"/>
          <w:color w:val="auto"/>
        </w:rPr>
        <w:tab/>
      </w:r>
      <w:r>
        <w:rPr>
          <w:rFonts w:ascii="Arial" w:cs="Arial" w:eastAsia="Arial" w:hAnsi="Arial"/>
          <w:sz w:val="12"/>
          <w:szCs w:val="12"/>
          <w:b w:val="1"/>
          <w:bCs w:val="1"/>
          <w:color w:val="B2B3B6"/>
        </w:rPr>
        <w:t>Matters</w:t>
      </w:r>
    </w:p>
    <w:p>
      <w:pPr>
        <w:spacing w:after="0" w:line="306" w:lineRule="exact"/>
        <w:rPr>
          <w:sz w:val="20"/>
          <w:szCs w:val="20"/>
          <w:color w:val="auto"/>
        </w:rPr>
      </w:pPr>
    </w:p>
    <w:p>
      <w:pPr>
        <w:ind w:left="420" w:right="80"/>
        <w:spacing w:after="0" w:line="273" w:lineRule="auto"/>
        <w:rPr>
          <w:sz w:val="20"/>
          <w:szCs w:val="20"/>
          <w:color w:val="auto"/>
        </w:rPr>
      </w:pPr>
      <w:r>
        <w:rPr>
          <w:rFonts w:ascii="Arial" w:cs="Arial" w:eastAsia="Arial" w:hAnsi="Arial"/>
          <w:sz w:val="14"/>
          <w:szCs w:val="14"/>
          <w:color w:val="auto"/>
        </w:rPr>
        <w:t>Services offering that is determined based on the revenue generated on certain engagements which Mr. Dail is eligible for based on his prior role as the leader of Huron's healthcare performance improvement business unit through July 1, 2022. Mr. Dail is expected to be eligible for this incentive compensation through 2025 per the terms of the Healthcare Managed Services incentive program structure.</w:t>
      </w:r>
    </w:p>
    <w:p>
      <w:pPr>
        <w:spacing w:after="0" w:line="18" w:lineRule="exact"/>
        <w:rPr>
          <w:sz w:val="20"/>
          <w:szCs w:val="20"/>
          <w:color w:val="auto"/>
        </w:rPr>
      </w:pPr>
    </w:p>
    <w:p>
      <w:pPr>
        <w:ind w:left="420" w:right="80" w:hanging="331"/>
        <w:spacing w:after="0" w:line="256" w:lineRule="auto"/>
        <w:tabs>
          <w:tab w:leader="none" w:pos="420" w:val="left"/>
        </w:tabs>
        <w:numPr>
          <w:ilvl w:val="0"/>
          <w:numId w:val="81"/>
        </w:numPr>
        <w:rPr>
          <w:rFonts w:ascii="Arial" w:cs="Arial" w:eastAsia="Arial" w:hAnsi="Arial"/>
          <w:sz w:val="14"/>
          <w:szCs w:val="14"/>
          <w:color w:val="auto"/>
          <w:highlight w:val="white"/>
        </w:rPr>
      </w:pPr>
      <w:r>
        <w:rPr>
          <w:rFonts w:ascii="Arial" w:cs="Arial" w:eastAsia="Arial" w:hAnsi="Arial"/>
          <w:sz w:val="14"/>
          <w:szCs w:val="14"/>
          <w:color w:val="auto"/>
        </w:rPr>
        <w:t>Mr. Torain’s last day of employment with the Company was March 15, 2024. Mr. Torain’s salary and retention bonus earned for services performed prior to his departure are reflected in the table above. See the “2024 All Other Compensation” table below for additional amounts paid on or subsequent to his departure, which are included in the “All Other Compensation” column of the Summary Compensation Table as well.</w:t>
      </w:r>
    </w:p>
    <w:p>
      <w:pPr>
        <w:spacing w:after="0" w:line="15" w:lineRule="exact"/>
        <w:rPr>
          <w:rFonts w:ascii="Arial" w:cs="Arial" w:eastAsia="Arial" w:hAnsi="Arial"/>
          <w:sz w:val="14"/>
          <w:szCs w:val="14"/>
          <w:color w:val="auto"/>
          <w:highlight w:val="white"/>
        </w:rPr>
      </w:pPr>
    </w:p>
    <w:p>
      <w:pPr>
        <w:ind w:left="420" w:right="200" w:hanging="331"/>
        <w:spacing w:after="0" w:line="269" w:lineRule="auto"/>
        <w:tabs>
          <w:tab w:leader="none" w:pos="420" w:val="left"/>
        </w:tabs>
        <w:numPr>
          <w:ilvl w:val="0"/>
          <w:numId w:val="81"/>
        </w:numPr>
        <w:rPr>
          <w:rFonts w:ascii="Arial" w:cs="Arial" w:eastAsia="Arial" w:hAnsi="Arial"/>
          <w:sz w:val="14"/>
          <w:szCs w:val="14"/>
          <w:color w:val="auto"/>
        </w:rPr>
      </w:pPr>
      <w:r>
        <w:rPr>
          <w:rFonts w:ascii="Arial" w:cs="Arial" w:eastAsia="Arial" w:hAnsi="Arial"/>
          <w:sz w:val="14"/>
          <w:szCs w:val="14"/>
          <w:color w:val="auto"/>
        </w:rPr>
        <w:t>In March 2024, prior to his departure, a restricted stock grant and PSU grant were made in our equity administration system to Mr. Torain. These awards were not treated as granted for purposes of ASC 718 and we did not recognize any compensation expense for such awards. These awards were cancelled prior to the Record Date. Therefore, such awards are not included in the table above and are disregarded for purposes of other executive compensation disclosures in this Proxy Statement.</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2024 All Other Compensation</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315"/>
        </w:trPr>
        <w:tc>
          <w:tcPr>
            <w:tcW w:w="1620" w:type="dxa"/>
            <w:vAlign w:val="bottom"/>
            <w:shd w:val="clear" w:color="auto" w:fill="00558C"/>
          </w:tcPr>
          <w:p>
            <w:pPr>
              <w:spacing w:after="0"/>
              <w:rPr>
                <w:sz w:val="24"/>
                <w:szCs w:val="24"/>
                <w:color w:val="auto"/>
              </w:rPr>
            </w:pPr>
          </w:p>
        </w:tc>
        <w:tc>
          <w:tcPr>
            <w:tcW w:w="1460" w:type="dxa"/>
            <w:vAlign w:val="bottom"/>
            <w:shd w:val="clear" w:color="auto" w:fill="00558C"/>
          </w:tcPr>
          <w:p>
            <w:pPr>
              <w:jc w:val="right"/>
              <w:ind w:right="148"/>
              <w:spacing w:after="0"/>
              <w:rPr>
                <w:sz w:val="20"/>
                <w:szCs w:val="20"/>
                <w:color w:val="auto"/>
              </w:rPr>
            </w:pPr>
            <w:r>
              <w:rPr>
                <w:rFonts w:ascii="Arial" w:cs="Arial" w:eastAsia="Arial" w:hAnsi="Arial"/>
                <w:sz w:val="14"/>
                <w:szCs w:val="14"/>
                <w:b w:val="1"/>
                <w:bCs w:val="1"/>
                <w:color w:val="FFFFFF"/>
              </w:rPr>
              <w:t>Executive Long-</w:t>
            </w:r>
          </w:p>
        </w:tc>
        <w:tc>
          <w:tcPr>
            <w:tcW w:w="1240" w:type="dxa"/>
            <w:vAlign w:val="bottom"/>
            <w:shd w:val="clear" w:color="auto" w:fill="00558C"/>
          </w:tcPr>
          <w:p>
            <w:pPr>
              <w:jc w:val="right"/>
              <w:ind w:right="88"/>
              <w:spacing w:after="0"/>
              <w:rPr>
                <w:sz w:val="20"/>
                <w:szCs w:val="20"/>
                <w:color w:val="auto"/>
              </w:rPr>
            </w:pPr>
            <w:r>
              <w:rPr>
                <w:rFonts w:ascii="Arial" w:cs="Arial" w:eastAsia="Arial" w:hAnsi="Arial"/>
                <w:sz w:val="14"/>
                <w:szCs w:val="14"/>
                <w:b w:val="1"/>
                <w:bCs w:val="1"/>
                <w:color w:val="FFFFFF"/>
              </w:rPr>
              <w:t>Executive</w:t>
            </w:r>
          </w:p>
        </w:tc>
        <w:tc>
          <w:tcPr>
            <w:tcW w:w="1080" w:type="dxa"/>
            <w:vAlign w:val="bottom"/>
            <w:shd w:val="clear" w:color="auto" w:fill="00558C"/>
          </w:tcPr>
          <w:p>
            <w:pPr>
              <w:jc w:val="right"/>
              <w:ind w:right="28"/>
              <w:spacing w:after="0"/>
              <w:rPr>
                <w:sz w:val="20"/>
                <w:szCs w:val="20"/>
                <w:color w:val="auto"/>
              </w:rPr>
            </w:pPr>
            <w:r>
              <w:rPr>
                <w:rFonts w:ascii="Arial" w:cs="Arial" w:eastAsia="Arial" w:hAnsi="Arial"/>
                <w:sz w:val="14"/>
                <w:szCs w:val="14"/>
                <w:b w:val="1"/>
                <w:bCs w:val="1"/>
                <w:color w:val="FFFFFF"/>
              </w:rPr>
              <w:t>Company</w:t>
            </w:r>
          </w:p>
        </w:tc>
        <w:tc>
          <w:tcPr>
            <w:tcW w:w="1320" w:type="dxa"/>
            <w:vAlign w:val="bottom"/>
            <w:shd w:val="clear" w:color="auto" w:fill="00558C"/>
          </w:tcPr>
          <w:p>
            <w:pPr>
              <w:jc w:val="right"/>
              <w:ind w:right="88"/>
              <w:spacing w:after="0"/>
              <w:rPr>
                <w:sz w:val="20"/>
                <w:szCs w:val="20"/>
                <w:color w:val="auto"/>
              </w:rPr>
            </w:pPr>
            <w:r>
              <w:rPr>
                <w:rFonts w:ascii="Arial" w:cs="Arial" w:eastAsia="Arial" w:hAnsi="Arial"/>
                <w:sz w:val="14"/>
                <w:szCs w:val="14"/>
                <w:b w:val="1"/>
                <w:bCs w:val="1"/>
                <w:color w:val="FFFFFF"/>
              </w:rPr>
              <w:t>Other Benefits</w:t>
            </w:r>
          </w:p>
        </w:tc>
        <w:tc>
          <w:tcPr>
            <w:tcW w:w="1000" w:type="dxa"/>
            <w:vAlign w:val="bottom"/>
            <w:shd w:val="clear" w:color="auto" w:fill="00558C"/>
          </w:tcPr>
          <w:p>
            <w:pPr>
              <w:spacing w:after="0"/>
              <w:rPr>
                <w:sz w:val="24"/>
                <w:szCs w:val="24"/>
                <w:color w:val="auto"/>
              </w:rPr>
            </w:pPr>
          </w:p>
        </w:tc>
        <w:tc>
          <w:tcPr>
            <w:tcW w:w="1260" w:type="dxa"/>
            <w:vAlign w:val="bottom"/>
            <w:shd w:val="clear" w:color="auto" w:fill="00558C"/>
          </w:tcPr>
          <w:p>
            <w:pPr>
              <w:spacing w:after="0"/>
              <w:rPr>
                <w:sz w:val="24"/>
                <w:szCs w:val="24"/>
                <w:color w:val="auto"/>
              </w:rPr>
            </w:pPr>
          </w:p>
        </w:tc>
        <w:tc>
          <w:tcPr>
            <w:tcW w:w="100" w:type="dxa"/>
            <w:vAlign w:val="bottom"/>
            <w:shd w:val="clear" w:color="auto" w:fill="00558C"/>
          </w:tcPr>
          <w:p>
            <w:pPr>
              <w:spacing w:after="0"/>
              <w:rPr>
                <w:sz w:val="24"/>
                <w:szCs w:val="24"/>
                <w:color w:val="auto"/>
              </w:rPr>
            </w:pPr>
          </w:p>
        </w:tc>
      </w:tr>
      <w:tr>
        <w:trPr>
          <w:trHeight w:val="175"/>
        </w:trPr>
        <w:tc>
          <w:tcPr>
            <w:tcW w:w="1620" w:type="dxa"/>
            <w:vAlign w:val="bottom"/>
            <w:shd w:val="clear" w:color="auto" w:fill="00558C"/>
          </w:tcPr>
          <w:p>
            <w:pPr>
              <w:spacing w:after="0"/>
              <w:rPr>
                <w:sz w:val="15"/>
                <w:szCs w:val="15"/>
                <w:color w:val="auto"/>
              </w:rPr>
            </w:pPr>
          </w:p>
        </w:tc>
        <w:tc>
          <w:tcPr>
            <w:tcW w:w="1460" w:type="dxa"/>
            <w:vAlign w:val="bottom"/>
            <w:shd w:val="clear" w:color="auto" w:fill="00558C"/>
          </w:tcPr>
          <w:p>
            <w:pPr>
              <w:jc w:val="right"/>
              <w:ind w:right="148"/>
              <w:spacing w:after="0"/>
              <w:rPr>
                <w:sz w:val="20"/>
                <w:szCs w:val="20"/>
                <w:color w:val="auto"/>
              </w:rPr>
            </w:pPr>
            <w:r>
              <w:rPr>
                <w:rFonts w:ascii="Arial" w:cs="Arial" w:eastAsia="Arial" w:hAnsi="Arial"/>
                <w:sz w:val="14"/>
                <w:szCs w:val="14"/>
                <w:b w:val="1"/>
                <w:bCs w:val="1"/>
                <w:color w:val="FFFFFF"/>
              </w:rPr>
              <w:t>Term Disability</w:t>
            </w:r>
          </w:p>
        </w:tc>
        <w:tc>
          <w:tcPr>
            <w:tcW w:w="1240" w:type="dxa"/>
            <w:vAlign w:val="bottom"/>
            <w:shd w:val="clear" w:color="auto" w:fill="00558C"/>
          </w:tcPr>
          <w:p>
            <w:pPr>
              <w:jc w:val="right"/>
              <w:ind w:right="88"/>
              <w:spacing w:after="0"/>
              <w:rPr>
                <w:sz w:val="20"/>
                <w:szCs w:val="20"/>
                <w:color w:val="auto"/>
              </w:rPr>
            </w:pPr>
            <w:r>
              <w:rPr>
                <w:rFonts w:ascii="Arial" w:cs="Arial" w:eastAsia="Arial" w:hAnsi="Arial"/>
                <w:sz w:val="14"/>
                <w:szCs w:val="14"/>
                <w:b w:val="1"/>
                <w:bCs w:val="1"/>
                <w:color w:val="FFFFFF"/>
              </w:rPr>
              <w:t>$1MM Term</w:t>
            </w:r>
          </w:p>
        </w:tc>
        <w:tc>
          <w:tcPr>
            <w:tcW w:w="1080" w:type="dxa"/>
            <w:vAlign w:val="bottom"/>
            <w:shd w:val="clear" w:color="auto" w:fill="00558C"/>
          </w:tcPr>
          <w:p>
            <w:pPr>
              <w:jc w:val="right"/>
              <w:ind w:right="28"/>
              <w:spacing w:after="0"/>
              <w:rPr>
                <w:sz w:val="20"/>
                <w:szCs w:val="20"/>
                <w:color w:val="auto"/>
              </w:rPr>
            </w:pPr>
            <w:r>
              <w:rPr>
                <w:rFonts w:ascii="Arial" w:cs="Arial" w:eastAsia="Arial" w:hAnsi="Arial"/>
                <w:sz w:val="14"/>
                <w:szCs w:val="14"/>
                <w:b w:val="1"/>
                <w:bCs w:val="1"/>
                <w:color w:val="FFFFFF"/>
              </w:rPr>
              <w:t>Provided</w:t>
            </w:r>
          </w:p>
        </w:tc>
        <w:tc>
          <w:tcPr>
            <w:tcW w:w="1320" w:type="dxa"/>
            <w:vAlign w:val="bottom"/>
            <w:shd w:val="clear" w:color="auto" w:fill="00558C"/>
          </w:tcPr>
          <w:p>
            <w:pPr>
              <w:jc w:val="right"/>
              <w:ind w:right="8"/>
              <w:spacing w:after="0"/>
              <w:rPr>
                <w:sz w:val="20"/>
                <w:szCs w:val="20"/>
                <w:color w:val="auto"/>
              </w:rPr>
            </w:pPr>
            <w:r>
              <w:rPr>
                <w:rFonts w:ascii="Arial" w:cs="Arial" w:eastAsia="Arial" w:hAnsi="Arial"/>
                <w:sz w:val="14"/>
                <w:szCs w:val="14"/>
                <w:b w:val="1"/>
                <w:bCs w:val="1"/>
                <w:color w:val="FFFFFF"/>
              </w:rPr>
              <w:t>and</w:t>
            </w:r>
          </w:p>
        </w:tc>
        <w:tc>
          <w:tcPr>
            <w:tcW w:w="1000" w:type="dxa"/>
            <w:vAlign w:val="bottom"/>
            <w:shd w:val="clear" w:color="auto" w:fill="00558C"/>
          </w:tcPr>
          <w:p>
            <w:pPr>
              <w:spacing w:after="0"/>
              <w:rPr>
                <w:sz w:val="15"/>
                <w:szCs w:val="15"/>
                <w:color w:val="auto"/>
              </w:rPr>
            </w:pPr>
          </w:p>
        </w:tc>
        <w:tc>
          <w:tcPr>
            <w:tcW w:w="1360" w:type="dxa"/>
            <w:vAlign w:val="bottom"/>
            <w:gridSpan w:val="2"/>
            <w:shd w:val="clear" w:color="auto" w:fill="00558C"/>
          </w:tcPr>
          <w:p>
            <w:pPr>
              <w:jc w:val="right"/>
              <w:ind w:right="260"/>
              <w:spacing w:after="0"/>
              <w:rPr>
                <w:sz w:val="20"/>
                <w:szCs w:val="20"/>
                <w:color w:val="auto"/>
              </w:rPr>
            </w:pPr>
            <w:r>
              <w:rPr>
                <w:rFonts w:ascii="Arial" w:cs="Arial" w:eastAsia="Arial" w:hAnsi="Arial"/>
                <w:sz w:val="14"/>
                <w:szCs w:val="14"/>
                <w:b w:val="1"/>
                <w:bCs w:val="1"/>
                <w:color w:val="FFFFFF"/>
              </w:rPr>
              <w:t>Total All Other</w:t>
            </w:r>
          </w:p>
        </w:tc>
      </w:tr>
      <w:tr>
        <w:trPr>
          <w:trHeight w:val="144"/>
        </w:trPr>
        <w:tc>
          <w:tcPr>
            <w:tcW w:w="1620" w:type="dxa"/>
            <w:vAlign w:val="bottom"/>
            <w:shd w:val="clear" w:color="auto" w:fill="00558C"/>
          </w:tcPr>
          <w:p>
            <w:pPr>
              <w:spacing w:after="0"/>
              <w:rPr>
                <w:sz w:val="12"/>
                <w:szCs w:val="12"/>
                <w:color w:val="auto"/>
              </w:rPr>
            </w:pPr>
          </w:p>
        </w:tc>
        <w:tc>
          <w:tcPr>
            <w:tcW w:w="1460" w:type="dxa"/>
            <w:vAlign w:val="bottom"/>
            <w:shd w:val="clear" w:color="auto" w:fill="00558C"/>
          </w:tcPr>
          <w:p>
            <w:pPr>
              <w:jc w:val="right"/>
              <w:ind w:right="108"/>
              <w:spacing w:after="0" w:line="145" w:lineRule="exact"/>
              <w:rPr>
                <w:sz w:val="20"/>
                <w:szCs w:val="20"/>
                <w:color w:val="auto"/>
              </w:rPr>
            </w:pPr>
            <w:r>
              <w:rPr>
                <w:rFonts w:ascii="Arial" w:cs="Arial" w:eastAsia="Arial" w:hAnsi="Arial"/>
                <w:sz w:val="14"/>
                <w:szCs w:val="14"/>
                <w:b w:val="1"/>
                <w:bCs w:val="1"/>
                <w:color w:val="FFFFFF"/>
              </w:rPr>
              <w:t>Insurance</w:t>
            </w:r>
          </w:p>
        </w:tc>
        <w:tc>
          <w:tcPr>
            <w:tcW w:w="1240" w:type="dxa"/>
            <w:vAlign w:val="bottom"/>
            <w:shd w:val="clear" w:color="auto" w:fill="00558C"/>
          </w:tcPr>
          <w:p>
            <w:pPr>
              <w:jc w:val="right"/>
              <w:ind w:right="108"/>
              <w:spacing w:after="0" w:line="145" w:lineRule="exact"/>
              <w:rPr>
                <w:sz w:val="20"/>
                <w:szCs w:val="20"/>
                <w:color w:val="auto"/>
              </w:rPr>
            </w:pPr>
            <w:r>
              <w:rPr>
                <w:rFonts w:ascii="Arial" w:cs="Arial" w:eastAsia="Arial" w:hAnsi="Arial"/>
                <w:sz w:val="14"/>
                <w:szCs w:val="14"/>
                <w:b w:val="1"/>
                <w:bCs w:val="1"/>
                <w:color w:val="FFFFFF"/>
              </w:rPr>
              <w:t>Life Insurance</w:t>
            </w:r>
          </w:p>
        </w:tc>
        <w:tc>
          <w:tcPr>
            <w:tcW w:w="1080" w:type="dxa"/>
            <w:vAlign w:val="bottom"/>
            <w:shd w:val="clear" w:color="auto" w:fill="00558C"/>
          </w:tcPr>
          <w:p>
            <w:pPr>
              <w:jc w:val="right"/>
              <w:ind w:right="68"/>
              <w:spacing w:after="0" w:line="145" w:lineRule="exact"/>
              <w:rPr>
                <w:sz w:val="20"/>
                <w:szCs w:val="20"/>
                <w:color w:val="auto"/>
              </w:rPr>
            </w:pPr>
            <w:r>
              <w:rPr>
                <w:rFonts w:ascii="Arial" w:cs="Arial" w:eastAsia="Arial" w:hAnsi="Arial"/>
                <w:sz w:val="14"/>
                <w:szCs w:val="14"/>
                <w:b w:val="1"/>
                <w:bCs w:val="1"/>
                <w:color w:val="FFFFFF"/>
              </w:rPr>
              <w:t>401(k) Match</w:t>
            </w:r>
          </w:p>
        </w:tc>
        <w:tc>
          <w:tcPr>
            <w:tcW w:w="1320" w:type="dxa"/>
            <w:vAlign w:val="bottom"/>
            <w:shd w:val="clear" w:color="auto" w:fill="00558C"/>
          </w:tcPr>
          <w:p>
            <w:pPr>
              <w:jc w:val="right"/>
              <w:ind w:right="48"/>
              <w:spacing w:after="0" w:line="145" w:lineRule="exact"/>
              <w:rPr>
                <w:sz w:val="20"/>
                <w:szCs w:val="20"/>
                <w:color w:val="auto"/>
              </w:rPr>
            </w:pPr>
            <w:r>
              <w:rPr>
                <w:rFonts w:ascii="Arial" w:cs="Arial" w:eastAsia="Arial" w:hAnsi="Arial"/>
                <w:sz w:val="14"/>
                <w:szCs w:val="14"/>
                <w:b w:val="1"/>
                <w:bCs w:val="1"/>
                <w:color w:val="FFFFFF"/>
              </w:rPr>
              <w:t>Perquisites</w:t>
            </w:r>
          </w:p>
        </w:tc>
        <w:tc>
          <w:tcPr>
            <w:tcW w:w="1000" w:type="dxa"/>
            <w:vAlign w:val="bottom"/>
            <w:shd w:val="clear" w:color="auto" w:fill="00558C"/>
          </w:tcPr>
          <w:p>
            <w:pPr>
              <w:jc w:val="right"/>
              <w:ind w:right="28"/>
              <w:spacing w:after="0" w:line="145" w:lineRule="exact"/>
              <w:rPr>
                <w:sz w:val="20"/>
                <w:szCs w:val="20"/>
                <w:color w:val="auto"/>
              </w:rPr>
            </w:pPr>
            <w:r>
              <w:rPr>
                <w:rFonts w:ascii="Arial" w:cs="Arial" w:eastAsia="Arial" w:hAnsi="Arial"/>
                <w:sz w:val="14"/>
                <w:szCs w:val="14"/>
                <w:b w:val="1"/>
                <w:bCs w:val="1"/>
                <w:color w:val="FFFFFF"/>
              </w:rPr>
              <w:t>Severance</w:t>
            </w:r>
          </w:p>
        </w:tc>
        <w:tc>
          <w:tcPr>
            <w:tcW w:w="1360" w:type="dxa"/>
            <w:vAlign w:val="bottom"/>
            <w:gridSpan w:val="2"/>
            <w:shd w:val="clear" w:color="auto" w:fill="00558C"/>
          </w:tcPr>
          <w:p>
            <w:pPr>
              <w:jc w:val="right"/>
              <w:ind w:right="240"/>
              <w:spacing w:after="0" w:line="145" w:lineRule="exact"/>
              <w:rPr>
                <w:sz w:val="20"/>
                <w:szCs w:val="20"/>
                <w:color w:val="auto"/>
              </w:rPr>
            </w:pPr>
            <w:r>
              <w:rPr>
                <w:rFonts w:ascii="Arial" w:cs="Arial" w:eastAsia="Arial" w:hAnsi="Arial"/>
                <w:sz w:val="14"/>
                <w:szCs w:val="14"/>
                <w:b w:val="1"/>
                <w:bCs w:val="1"/>
                <w:color w:val="FFFFFF"/>
              </w:rPr>
              <w:t>Compensation</w:t>
            </w:r>
          </w:p>
        </w:tc>
      </w:tr>
      <w:tr>
        <w:trPr>
          <w:trHeight w:val="229"/>
        </w:trPr>
        <w:tc>
          <w:tcPr>
            <w:tcW w:w="1620" w:type="dxa"/>
            <w:vAlign w:val="bottom"/>
            <w:shd w:val="clear" w:color="auto" w:fill="00558C"/>
          </w:tcPr>
          <w:p>
            <w:pPr>
              <w:ind w:left="140"/>
              <w:spacing w:after="0"/>
              <w:rPr>
                <w:sz w:val="20"/>
                <w:szCs w:val="20"/>
                <w:color w:val="auto"/>
              </w:rPr>
            </w:pPr>
            <w:r>
              <w:rPr>
                <w:rFonts w:ascii="Arial" w:cs="Arial" w:eastAsia="Arial" w:hAnsi="Arial"/>
                <w:sz w:val="14"/>
                <w:szCs w:val="14"/>
                <w:b w:val="1"/>
                <w:bCs w:val="1"/>
                <w:color w:val="FFFFFF"/>
              </w:rPr>
              <w:t>Name</w:t>
            </w:r>
          </w:p>
        </w:tc>
        <w:tc>
          <w:tcPr>
            <w:tcW w:w="1460" w:type="dxa"/>
            <w:vAlign w:val="bottom"/>
            <w:shd w:val="clear" w:color="auto" w:fill="00558C"/>
          </w:tcPr>
          <w:p>
            <w:pPr>
              <w:jc w:val="right"/>
              <w:ind w:right="28"/>
              <w:spacing w:after="0"/>
              <w:rPr>
                <w:sz w:val="20"/>
                <w:szCs w:val="20"/>
                <w:color w:val="auto"/>
              </w:rPr>
            </w:pPr>
            <w:r>
              <w:rPr>
                <w:rFonts w:ascii="Arial" w:cs="Arial" w:eastAsia="Arial" w:hAnsi="Arial"/>
                <w:sz w:val="14"/>
                <w:szCs w:val="14"/>
                <w:b w:val="1"/>
                <w:bCs w:val="1"/>
                <w:color w:val="FFFFFF"/>
              </w:rPr>
              <w:t xml:space="preserve">($) </w:t>
            </w:r>
            <w:r>
              <w:rPr>
                <w:rFonts w:ascii="Arial" w:cs="Arial" w:eastAsia="Arial" w:hAnsi="Arial"/>
                <w:sz w:val="18"/>
                <w:szCs w:val="18"/>
                <w:b w:val="1"/>
                <w:bCs w:val="1"/>
                <w:color w:val="FFFFFF"/>
                <w:vertAlign w:val="superscript"/>
              </w:rPr>
              <w:t>(1)</w:t>
            </w:r>
          </w:p>
        </w:tc>
        <w:tc>
          <w:tcPr>
            <w:tcW w:w="1240" w:type="dxa"/>
            <w:vAlign w:val="bottom"/>
            <w:shd w:val="clear" w:color="auto" w:fill="00558C"/>
          </w:tcPr>
          <w:p>
            <w:pPr>
              <w:jc w:val="right"/>
              <w:ind w:right="28"/>
              <w:spacing w:after="0"/>
              <w:rPr>
                <w:sz w:val="20"/>
                <w:szCs w:val="20"/>
                <w:color w:val="auto"/>
              </w:rPr>
            </w:pPr>
            <w:r>
              <w:rPr>
                <w:rFonts w:ascii="Arial" w:cs="Arial" w:eastAsia="Arial" w:hAnsi="Arial"/>
                <w:sz w:val="14"/>
                <w:szCs w:val="14"/>
                <w:b w:val="1"/>
                <w:bCs w:val="1"/>
                <w:color w:val="FFFFFF"/>
              </w:rPr>
              <w:t xml:space="preserve">($) </w:t>
            </w:r>
            <w:r>
              <w:rPr>
                <w:rFonts w:ascii="Arial" w:cs="Arial" w:eastAsia="Arial" w:hAnsi="Arial"/>
                <w:sz w:val="18"/>
                <w:szCs w:val="18"/>
                <w:b w:val="1"/>
                <w:bCs w:val="1"/>
                <w:color w:val="FFFFFF"/>
                <w:vertAlign w:val="superscript"/>
              </w:rPr>
              <w:t>(2)</w:t>
            </w:r>
          </w:p>
        </w:tc>
        <w:tc>
          <w:tcPr>
            <w:tcW w:w="1080" w:type="dxa"/>
            <w:vAlign w:val="bottom"/>
            <w:shd w:val="clear" w:color="auto" w:fill="00558C"/>
          </w:tcPr>
          <w:p>
            <w:pPr>
              <w:jc w:val="right"/>
              <w:spacing w:after="0"/>
              <w:rPr>
                <w:sz w:val="20"/>
                <w:szCs w:val="20"/>
                <w:color w:val="auto"/>
              </w:rPr>
            </w:pPr>
            <w:r>
              <w:rPr>
                <w:rFonts w:ascii="Arial" w:cs="Arial" w:eastAsia="Arial" w:hAnsi="Arial"/>
                <w:sz w:val="14"/>
                <w:szCs w:val="14"/>
                <w:b w:val="1"/>
                <w:bCs w:val="1"/>
                <w:color w:val="FFFFFF"/>
              </w:rPr>
              <w:t xml:space="preserve">($) </w:t>
            </w:r>
            <w:r>
              <w:rPr>
                <w:rFonts w:ascii="Arial" w:cs="Arial" w:eastAsia="Arial" w:hAnsi="Arial"/>
                <w:sz w:val="18"/>
                <w:szCs w:val="18"/>
                <w:b w:val="1"/>
                <w:bCs w:val="1"/>
                <w:color w:val="FFFFFF"/>
                <w:vertAlign w:val="superscript"/>
              </w:rPr>
              <w:t>(3)</w:t>
            </w:r>
          </w:p>
        </w:tc>
        <w:tc>
          <w:tcPr>
            <w:tcW w:w="1320" w:type="dxa"/>
            <w:vAlign w:val="bottom"/>
            <w:shd w:val="clear" w:color="auto" w:fill="00558C"/>
          </w:tcPr>
          <w:p>
            <w:pPr>
              <w:jc w:val="right"/>
              <w:spacing w:after="0"/>
              <w:rPr>
                <w:sz w:val="20"/>
                <w:szCs w:val="20"/>
                <w:color w:val="auto"/>
              </w:rPr>
            </w:pPr>
            <w:r>
              <w:rPr>
                <w:rFonts w:ascii="Arial" w:cs="Arial" w:eastAsia="Arial" w:hAnsi="Arial"/>
                <w:sz w:val="14"/>
                <w:szCs w:val="14"/>
                <w:b w:val="1"/>
                <w:bCs w:val="1"/>
                <w:color w:val="FFFFFF"/>
              </w:rPr>
              <w:t xml:space="preserve">($) </w:t>
            </w:r>
            <w:r>
              <w:rPr>
                <w:rFonts w:ascii="Arial" w:cs="Arial" w:eastAsia="Arial" w:hAnsi="Arial"/>
                <w:sz w:val="18"/>
                <w:szCs w:val="18"/>
                <w:b w:val="1"/>
                <w:bCs w:val="1"/>
                <w:color w:val="FFFFFF"/>
                <w:vertAlign w:val="superscript"/>
              </w:rPr>
              <w:t>(4)</w:t>
            </w:r>
          </w:p>
        </w:tc>
        <w:tc>
          <w:tcPr>
            <w:tcW w:w="1000" w:type="dxa"/>
            <w:vAlign w:val="bottom"/>
            <w:shd w:val="clear" w:color="auto" w:fill="00558C"/>
          </w:tcPr>
          <w:p>
            <w:pPr>
              <w:jc w:val="right"/>
              <w:spacing w:after="0"/>
              <w:rPr>
                <w:sz w:val="20"/>
                <w:szCs w:val="20"/>
                <w:color w:val="auto"/>
              </w:rPr>
            </w:pPr>
            <w:r>
              <w:rPr>
                <w:rFonts w:ascii="Arial" w:cs="Arial" w:eastAsia="Arial" w:hAnsi="Arial"/>
                <w:sz w:val="14"/>
                <w:szCs w:val="14"/>
                <w:b w:val="1"/>
                <w:bCs w:val="1"/>
                <w:color w:val="FFFFFF"/>
              </w:rPr>
              <w:t xml:space="preserve">($) </w:t>
            </w:r>
            <w:r>
              <w:rPr>
                <w:rFonts w:ascii="Arial" w:cs="Arial" w:eastAsia="Arial" w:hAnsi="Arial"/>
                <w:sz w:val="18"/>
                <w:szCs w:val="18"/>
                <w:b w:val="1"/>
                <w:bCs w:val="1"/>
                <w:color w:val="FFFFFF"/>
                <w:vertAlign w:val="superscript"/>
              </w:rPr>
              <w:t>(5)</w:t>
            </w:r>
          </w:p>
        </w:tc>
        <w:tc>
          <w:tcPr>
            <w:tcW w:w="1260" w:type="dxa"/>
            <w:vAlign w:val="bottom"/>
            <w:shd w:val="clear" w:color="auto" w:fill="00558C"/>
          </w:tcPr>
          <w:p>
            <w:pPr>
              <w:jc w:val="right"/>
              <w:spacing w:after="0"/>
              <w:rPr>
                <w:sz w:val="20"/>
                <w:szCs w:val="20"/>
                <w:color w:val="auto"/>
              </w:rPr>
            </w:pPr>
            <w:r>
              <w:rPr>
                <w:rFonts w:ascii="Arial" w:cs="Arial" w:eastAsia="Arial" w:hAnsi="Arial"/>
                <w:sz w:val="14"/>
                <w:szCs w:val="14"/>
                <w:b w:val="1"/>
                <w:bCs w:val="1"/>
                <w:color w:val="FFFFFF"/>
              </w:rPr>
              <w:t>($)</w:t>
            </w:r>
          </w:p>
        </w:tc>
        <w:tc>
          <w:tcPr>
            <w:tcW w:w="100" w:type="dxa"/>
            <w:vAlign w:val="bottom"/>
            <w:shd w:val="clear" w:color="auto" w:fill="00558C"/>
          </w:tcPr>
          <w:p>
            <w:pPr>
              <w:spacing w:after="0"/>
              <w:rPr>
                <w:sz w:val="19"/>
                <w:szCs w:val="19"/>
                <w:color w:val="auto"/>
              </w:rPr>
            </w:pPr>
          </w:p>
        </w:tc>
      </w:tr>
      <w:tr>
        <w:trPr>
          <w:trHeight w:val="108"/>
        </w:trPr>
        <w:tc>
          <w:tcPr>
            <w:tcW w:w="1620" w:type="dxa"/>
            <w:vAlign w:val="bottom"/>
            <w:shd w:val="clear" w:color="auto" w:fill="00558C"/>
          </w:tcPr>
          <w:p>
            <w:pPr>
              <w:spacing w:after="0"/>
              <w:rPr>
                <w:sz w:val="9"/>
                <w:szCs w:val="9"/>
                <w:color w:val="auto"/>
              </w:rPr>
            </w:pPr>
          </w:p>
        </w:tc>
        <w:tc>
          <w:tcPr>
            <w:tcW w:w="1460" w:type="dxa"/>
            <w:vAlign w:val="bottom"/>
            <w:shd w:val="clear" w:color="auto" w:fill="00558C"/>
          </w:tcPr>
          <w:p>
            <w:pPr>
              <w:spacing w:after="0"/>
              <w:rPr>
                <w:sz w:val="9"/>
                <w:szCs w:val="9"/>
                <w:color w:val="auto"/>
              </w:rPr>
            </w:pPr>
          </w:p>
        </w:tc>
        <w:tc>
          <w:tcPr>
            <w:tcW w:w="1240" w:type="dxa"/>
            <w:vAlign w:val="bottom"/>
            <w:shd w:val="clear" w:color="auto" w:fill="00558C"/>
          </w:tcPr>
          <w:p>
            <w:pPr>
              <w:spacing w:after="0"/>
              <w:rPr>
                <w:sz w:val="9"/>
                <w:szCs w:val="9"/>
                <w:color w:val="auto"/>
              </w:rPr>
            </w:pPr>
          </w:p>
        </w:tc>
        <w:tc>
          <w:tcPr>
            <w:tcW w:w="1080" w:type="dxa"/>
            <w:vAlign w:val="bottom"/>
            <w:shd w:val="clear" w:color="auto" w:fill="00558C"/>
          </w:tcPr>
          <w:p>
            <w:pPr>
              <w:spacing w:after="0"/>
              <w:rPr>
                <w:sz w:val="9"/>
                <w:szCs w:val="9"/>
                <w:color w:val="auto"/>
              </w:rPr>
            </w:pPr>
          </w:p>
        </w:tc>
        <w:tc>
          <w:tcPr>
            <w:tcW w:w="1320" w:type="dxa"/>
            <w:vAlign w:val="bottom"/>
            <w:shd w:val="clear" w:color="auto" w:fill="00558C"/>
          </w:tcPr>
          <w:p>
            <w:pPr>
              <w:spacing w:after="0"/>
              <w:rPr>
                <w:sz w:val="9"/>
                <w:szCs w:val="9"/>
                <w:color w:val="auto"/>
              </w:rPr>
            </w:pPr>
          </w:p>
        </w:tc>
        <w:tc>
          <w:tcPr>
            <w:tcW w:w="1000" w:type="dxa"/>
            <w:vAlign w:val="bottom"/>
            <w:shd w:val="clear" w:color="auto" w:fill="00558C"/>
          </w:tcPr>
          <w:p>
            <w:pPr>
              <w:spacing w:after="0"/>
              <w:rPr>
                <w:sz w:val="9"/>
                <w:szCs w:val="9"/>
                <w:color w:val="auto"/>
              </w:rPr>
            </w:pPr>
          </w:p>
        </w:tc>
        <w:tc>
          <w:tcPr>
            <w:tcW w:w="1260" w:type="dxa"/>
            <w:vAlign w:val="bottom"/>
            <w:shd w:val="clear" w:color="auto" w:fill="00558C"/>
          </w:tcPr>
          <w:p>
            <w:pPr>
              <w:spacing w:after="0"/>
              <w:rPr>
                <w:sz w:val="9"/>
                <w:szCs w:val="9"/>
                <w:color w:val="auto"/>
              </w:rPr>
            </w:pPr>
          </w:p>
        </w:tc>
        <w:tc>
          <w:tcPr>
            <w:tcW w:w="100" w:type="dxa"/>
            <w:vAlign w:val="bottom"/>
            <w:shd w:val="clear" w:color="auto" w:fill="00558C"/>
          </w:tcPr>
          <w:p>
            <w:pPr>
              <w:spacing w:after="0"/>
              <w:rPr>
                <w:sz w:val="9"/>
                <w:szCs w:val="9"/>
                <w:color w:val="auto"/>
              </w:rPr>
            </w:pPr>
          </w:p>
        </w:tc>
      </w:tr>
      <w:tr>
        <w:trPr>
          <w:trHeight w:val="322"/>
        </w:trPr>
        <w:tc>
          <w:tcPr>
            <w:tcW w:w="1620" w:type="dxa"/>
            <w:vAlign w:val="bottom"/>
            <w:shd w:val="clear" w:color="auto" w:fill="F2F3F2"/>
          </w:tcPr>
          <w:p>
            <w:pPr>
              <w:ind w:left="140"/>
              <w:spacing w:after="0"/>
              <w:rPr>
                <w:sz w:val="20"/>
                <w:szCs w:val="20"/>
                <w:color w:val="auto"/>
              </w:rPr>
            </w:pPr>
            <w:r>
              <w:rPr>
                <w:rFonts w:ascii="Arial" w:cs="Arial" w:eastAsia="Arial" w:hAnsi="Arial"/>
                <w:sz w:val="14"/>
                <w:szCs w:val="14"/>
                <w:b w:val="1"/>
                <w:bCs w:val="1"/>
                <w:color w:val="00558C"/>
              </w:rPr>
              <w:t>C. Mark Hussey</w:t>
            </w:r>
          </w:p>
        </w:tc>
        <w:tc>
          <w:tcPr>
            <w:tcW w:w="1460" w:type="dxa"/>
            <w:vAlign w:val="bottom"/>
            <w:shd w:val="clear" w:color="auto" w:fill="F2F3F2"/>
          </w:tcPr>
          <w:p>
            <w:pPr>
              <w:jc w:val="right"/>
              <w:ind w:right="28"/>
              <w:spacing w:after="0"/>
              <w:rPr>
                <w:sz w:val="20"/>
                <w:szCs w:val="20"/>
                <w:color w:val="auto"/>
              </w:rPr>
            </w:pPr>
            <w:r>
              <w:rPr>
                <w:rFonts w:ascii="Arial" w:cs="Arial" w:eastAsia="Arial" w:hAnsi="Arial"/>
                <w:sz w:val="14"/>
                <w:szCs w:val="14"/>
                <w:color w:val="auto"/>
              </w:rPr>
              <w:t>7,101</w:t>
            </w:r>
          </w:p>
        </w:tc>
        <w:tc>
          <w:tcPr>
            <w:tcW w:w="1240" w:type="dxa"/>
            <w:vAlign w:val="bottom"/>
            <w:shd w:val="clear" w:color="auto" w:fill="F2F3F2"/>
          </w:tcPr>
          <w:p>
            <w:pPr>
              <w:jc w:val="right"/>
              <w:ind w:right="28"/>
              <w:spacing w:after="0"/>
              <w:rPr>
                <w:sz w:val="20"/>
                <w:szCs w:val="20"/>
                <w:color w:val="auto"/>
              </w:rPr>
            </w:pPr>
            <w:r>
              <w:rPr>
                <w:rFonts w:ascii="Arial" w:cs="Arial" w:eastAsia="Arial" w:hAnsi="Arial"/>
                <w:sz w:val="14"/>
                <w:szCs w:val="14"/>
                <w:color w:val="auto"/>
              </w:rPr>
              <w:t>4,870</w:t>
            </w:r>
          </w:p>
        </w:tc>
        <w:tc>
          <w:tcPr>
            <w:tcW w:w="1080" w:type="dxa"/>
            <w:vAlign w:val="bottom"/>
            <w:shd w:val="clear" w:color="auto" w:fill="F2F3F2"/>
          </w:tcPr>
          <w:p>
            <w:pPr>
              <w:jc w:val="right"/>
              <w:spacing w:after="0"/>
              <w:rPr>
                <w:sz w:val="20"/>
                <w:szCs w:val="20"/>
                <w:color w:val="auto"/>
              </w:rPr>
            </w:pPr>
            <w:r>
              <w:rPr>
                <w:rFonts w:ascii="Arial" w:cs="Arial" w:eastAsia="Arial" w:hAnsi="Arial"/>
                <w:sz w:val="14"/>
                <w:szCs w:val="14"/>
                <w:color w:val="auto"/>
              </w:rPr>
              <w:t>20,700</w:t>
            </w:r>
          </w:p>
        </w:tc>
        <w:tc>
          <w:tcPr>
            <w:tcW w:w="1320" w:type="dxa"/>
            <w:vAlign w:val="bottom"/>
            <w:shd w:val="clear" w:color="auto" w:fill="F2F3F2"/>
          </w:tcPr>
          <w:p>
            <w:pPr>
              <w:jc w:val="right"/>
              <w:spacing w:after="0"/>
              <w:rPr>
                <w:sz w:val="20"/>
                <w:szCs w:val="20"/>
                <w:color w:val="auto"/>
              </w:rPr>
            </w:pPr>
            <w:r>
              <w:rPr>
                <w:rFonts w:ascii="Arial" w:cs="Arial" w:eastAsia="Arial" w:hAnsi="Arial"/>
                <w:sz w:val="14"/>
                <w:szCs w:val="14"/>
                <w:color w:val="auto"/>
              </w:rPr>
              <w:t>6,710</w:t>
            </w:r>
          </w:p>
        </w:tc>
        <w:tc>
          <w:tcPr>
            <w:tcW w:w="1000" w:type="dxa"/>
            <w:vAlign w:val="bottom"/>
            <w:shd w:val="clear" w:color="auto" w:fill="F2F3F2"/>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F2F3F2"/>
          </w:tcPr>
          <w:p>
            <w:pPr>
              <w:jc w:val="right"/>
              <w:spacing w:after="0"/>
              <w:rPr>
                <w:sz w:val="20"/>
                <w:szCs w:val="20"/>
                <w:color w:val="auto"/>
              </w:rPr>
            </w:pPr>
            <w:r>
              <w:rPr>
                <w:rFonts w:ascii="Arial" w:cs="Arial" w:eastAsia="Arial" w:hAnsi="Arial"/>
                <w:sz w:val="14"/>
                <w:szCs w:val="14"/>
                <w:color w:val="auto"/>
              </w:rPr>
              <w:t>39,381</w:t>
            </w:r>
          </w:p>
        </w:tc>
        <w:tc>
          <w:tcPr>
            <w:tcW w:w="100" w:type="dxa"/>
            <w:vAlign w:val="bottom"/>
            <w:shd w:val="clear" w:color="auto" w:fill="F2F3F2"/>
          </w:tcPr>
          <w:p>
            <w:pPr>
              <w:spacing w:after="0"/>
              <w:rPr>
                <w:sz w:val="24"/>
                <w:szCs w:val="24"/>
                <w:color w:val="auto"/>
              </w:rPr>
            </w:pPr>
          </w:p>
        </w:tc>
      </w:tr>
      <w:tr>
        <w:trPr>
          <w:trHeight w:val="110"/>
        </w:trPr>
        <w:tc>
          <w:tcPr>
            <w:tcW w:w="1620" w:type="dxa"/>
            <w:vAlign w:val="bottom"/>
            <w:shd w:val="clear" w:color="auto" w:fill="F2F3F2"/>
          </w:tcPr>
          <w:p>
            <w:pPr>
              <w:spacing w:after="0"/>
              <w:rPr>
                <w:sz w:val="9"/>
                <w:szCs w:val="9"/>
                <w:color w:val="auto"/>
              </w:rPr>
            </w:pPr>
          </w:p>
        </w:tc>
        <w:tc>
          <w:tcPr>
            <w:tcW w:w="1460" w:type="dxa"/>
            <w:vAlign w:val="bottom"/>
            <w:shd w:val="clear" w:color="auto" w:fill="F2F3F2"/>
          </w:tcPr>
          <w:p>
            <w:pPr>
              <w:spacing w:after="0"/>
              <w:rPr>
                <w:sz w:val="9"/>
                <w:szCs w:val="9"/>
                <w:color w:val="auto"/>
              </w:rPr>
            </w:pPr>
          </w:p>
        </w:tc>
        <w:tc>
          <w:tcPr>
            <w:tcW w:w="1240" w:type="dxa"/>
            <w:vAlign w:val="bottom"/>
            <w:shd w:val="clear" w:color="auto" w:fill="F2F3F2"/>
          </w:tcPr>
          <w:p>
            <w:pPr>
              <w:spacing w:after="0"/>
              <w:rPr>
                <w:sz w:val="9"/>
                <w:szCs w:val="9"/>
                <w:color w:val="auto"/>
              </w:rPr>
            </w:pPr>
          </w:p>
        </w:tc>
        <w:tc>
          <w:tcPr>
            <w:tcW w:w="1080" w:type="dxa"/>
            <w:vAlign w:val="bottom"/>
            <w:shd w:val="clear" w:color="auto" w:fill="F2F3F2"/>
          </w:tcPr>
          <w:p>
            <w:pPr>
              <w:spacing w:after="0"/>
              <w:rPr>
                <w:sz w:val="9"/>
                <w:szCs w:val="9"/>
                <w:color w:val="auto"/>
              </w:rPr>
            </w:pPr>
          </w:p>
        </w:tc>
        <w:tc>
          <w:tcPr>
            <w:tcW w:w="1320" w:type="dxa"/>
            <w:vAlign w:val="bottom"/>
            <w:shd w:val="clear" w:color="auto" w:fill="F2F3F2"/>
          </w:tcPr>
          <w:p>
            <w:pPr>
              <w:spacing w:after="0"/>
              <w:rPr>
                <w:sz w:val="9"/>
                <w:szCs w:val="9"/>
                <w:color w:val="auto"/>
              </w:rPr>
            </w:pPr>
          </w:p>
        </w:tc>
        <w:tc>
          <w:tcPr>
            <w:tcW w:w="1000" w:type="dxa"/>
            <w:vAlign w:val="bottom"/>
            <w:shd w:val="clear" w:color="auto" w:fill="F2F3F2"/>
          </w:tcPr>
          <w:p>
            <w:pPr>
              <w:spacing w:after="0"/>
              <w:rPr>
                <w:sz w:val="9"/>
                <w:szCs w:val="9"/>
                <w:color w:val="auto"/>
              </w:rPr>
            </w:pPr>
          </w:p>
        </w:tc>
        <w:tc>
          <w:tcPr>
            <w:tcW w:w="1260" w:type="dxa"/>
            <w:vAlign w:val="bottom"/>
            <w:shd w:val="clear" w:color="auto" w:fill="F2F3F2"/>
          </w:tcPr>
          <w:p>
            <w:pPr>
              <w:spacing w:after="0"/>
              <w:rPr>
                <w:sz w:val="9"/>
                <w:szCs w:val="9"/>
                <w:color w:val="auto"/>
              </w:rPr>
            </w:pPr>
          </w:p>
        </w:tc>
        <w:tc>
          <w:tcPr>
            <w:tcW w:w="100" w:type="dxa"/>
            <w:vAlign w:val="bottom"/>
            <w:shd w:val="clear" w:color="auto" w:fill="F2F3F2"/>
          </w:tcPr>
          <w:p>
            <w:pPr>
              <w:spacing w:after="0"/>
              <w:rPr>
                <w:sz w:val="9"/>
                <w:szCs w:val="9"/>
                <w:color w:val="auto"/>
              </w:rPr>
            </w:pPr>
          </w:p>
        </w:tc>
      </w:tr>
      <w:tr>
        <w:trPr>
          <w:trHeight w:val="335"/>
        </w:trPr>
        <w:tc>
          <w:tcPr>
            <w:tcW w:w="1620" w:type="dxa"/>
            <w:vAlign w:val="bottom"/>
          </w:tcPr>
          <w:p>
            <w:pPr>
              <w:ind w:left="140"/>
              <w:spacing w:after="0"/>
              <w:rPr>
                <w:sz w:val="20"/>
                <w:szCs w:val="20"/>
                <w:color w:val="auto"/>
              </w:rPr>
            </w:pPr>
            <w:r>
              <w:rPr>
                <w:rFonts w:ascii="Arial" w:cs="Arial" w:eastAsia="Arial" w:hAnsi="Arial"/>
                <w:sz w:val="14"/>
                <w:szCs w:val="14"/>
                <w:b w:val="1"/>
                <w:bCs w:val="1"/>
                <w:color w:val="00558C"/>
              </w:rPr>
              <w:t>John D. Kelly</w:t>
            </w: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4,353</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1,190</w:t>
            </w:r>
          </w:p>
        </w:tc>
        <w:tc>
          <w:tcPr>
            <w:tcW w:w="1080" w:type="dxa"/>
            <w:vAlign w:val="bottom"/>
          </w:tcPr>
          <w:p>
            <w:pPr>
              <w:jc w:val="right"/>
              <w:spacing w:after="0"/>
              <w:rPr>
                <w:sz w:val="20"/>
                <w:szCs w:val="20"/>
                <w:color w:val="auto"/>
              </w:rPr>
            </w:pPr>
            <w:r>
              <w:rPr>
                <w:rFonts w:ascii="Arial" w:cs="Arial" w:eastAsia="Arial" w:hAnsi="Arial"/>
                <w:sz w:val="14"/>
                <w:szCs w:val="14"/>
                <w:color w:val="auto"/>
              </w:rPr>
              <w:t>20,700</w:t>
            </w:r>
          </w:p>
        </w:tc>
        <w:tc>
          <w:tcPr>
            <w:tcW w:w="1320" w:type="dxa"/>
            <w:vAlign w:val="bottom"/>
          </w:tcPr>
          <w:p>
            <w:pPr>
              <w:jc w:val="right"/>
              <w:spacing w:after="0"/>
              <w:rPr>
                <w:sz w:val="20"/>
                <w:szCs w:val="20"/>
                <w:color w:val="auto"/>
              </w:rPr>
            </w:pPr>
            <w:r>
              <w:rPr>
                <w:rFonts w:ascii="Arial" w:cs="Arial" w:eastAsia="Arial" w:hAnsi="Arial"/>
                <w:sz w:val="14"/>
                <w:szCs w:val="14"/>
                <w:color w:val="auto"/>
              </w:rPr>
              <w:t>5,197</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31,440</w:t>
            </w:r>
          </w:p>
        </w:tc>
        <w:tc>
          <w:tcPr>
            <w:tcW w:w="100" w:type="dxa"/>
            <w:vAlign w:val="bottom"/>
          </w:tcPr>
          <w:p>
            <w:pPr>
              <w:spacing w:after="0"/>
              <w:rPr>
                <w:sz w:val="24"/>
                <w:szCs w:val="24"/>
                <w:color w:val="auto"/>
              </w:rPr>
            </w:pPr>
          </w:p>
        </w:tc>
      </w:tr>
      <w:tr>
        <w:trPr>
          <w:trHeight w:val="110"/>
        </w:trPr>
        <w:tc>
          <w:tcPr>
            <w:tcW w:w="16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336"/>
        </w:trPr>
        <w:tc>
          <w:tcPr>
            <w:tcW w:w="1620" w:type="dxa"/>
            <w:vAlign w:val="bottom"/>
            <w:shd w:val="clear" w:color="auto" w:fill="F2F3F2"/>
          </w:tcPr>
          <w:p>
            <w:pPr>
              <w:ind w:left="140"/>
              <w:spacing w:after="0"/>
              <w:rPr>
                <w:sz w:val="20"/>
                <w:szCs w:val="20"/>
                <w:color w:val="auto"/>
              </w:rPr>
            </w:pPr>
            <w:r>
              <w:rPr>
                <w:rFonts w:ascii="Arial" w:cs="Arial" w:eastAsia="Arial" w:hAnsi="Arial"/>
                <w:sz w:val="14"/>
                <w:szCs w:val="14"/>
                <w:b w:val="1"/>
                <w:bCs w:val="1"/>
                <w:color w:val="00558C"/>
              </w:rPr>
              <w:t>J. Ronald Dail</w:t>
            </w:r>
          </w:p>
        </w:tc>
        <w:tc>
          <w:tcPr>
            <w:tcW w:w="1460" w:type="dxa"/>
            <w:vAlign w:val="bottom"/>
            <w:shd w:val="clear" w:color="auto" w:fill="F2F3F2"/>
          </w:tcPr>
          <w:p>
            <w:pPr>
              <w:jc w:val="right"/>
              <w:ind w:right="28"/>
              <w:spacing w:after="0"/>
              <w:rPr>
                <w:sz w:val="20"/>
                <w:szCs w:val="20"/>
                <w:color w:val="auto"/>
              </w:rPr>
            </w:pPr>
            <w:r>
              <w:rPr>
                <w:rFonts w:ascii="Arial" w:cs="Arial" w:eastAsia="Arial" w:hAnsi="Arial"/>
                <w:sz w:val="14"/>
                <w:szCs w:val="14"/>
                <w:color w:val="auto"/>
              </w:rPr>
              <w:t>5,545</w:t>
            </w:r>
          </w:p>
        </w:tc>
        <w:tc>
          <w:tcPr>
            <w:tcW w:w="1240" w:type="dxa"/>
            <w:vAlign w:val="bottom"/>
            <w:shd w:val="clear" w:color="auto" w:fill="F2F3F2"/>
          </w:tcPr>
          <w:p>
            <w:pPr>
              <w:jc w:val="right"/>
              <w:ind w:right="28"/>
              <w:spacing w:after="0"/>
              <w:rPr>
                <w:sz w:val="20"/>
                <w:szCs w:val="20"/>
                <w:color w:val="auto"/>
              </w:rPr>
            </w:pPr>
            <w:r>
              <w:rPr>
                <w:rFonts w:ascii="Arial" w:cs="Arial" w:eastAsia="Arial" w:hAnsi="Arial"/>
                <w:sz w:val="14"/>
                <w:szCs w:val="14"/>
                <w:color w:val="auto"/>
              </w:rPr>
              <w:t>2,075</w:t>
            </w:r>
          </w:p>
        </w:tc>
        <w:tc>
          <w:tcPr>
            <w:tcW w:w="1080" w:type="dxa"/>
            <w:vAlign w:val="bottom"/>
            <w:shd w:val="clear" w:color="auto" w:fill="F2F3F2"/>
          </w:tcPr>
          <w:p>
            <w:pPr>
              <w:jc w:val="right"/>
              <w:spacing w:after="0"/>
              <w:rPr>
                <w:sz w:val="20"/>
                <w:szCs w:val="20"/>
                <w:color w:val="auto"/>
              </w:rPr>
            </w:pPr>
            <w:r>
              <w:rPr>
                <w:rFonts w:ascii="Arial" w:cs="Arial" w:eastAsia="Arial" w:hAnsi="Arial"/>
                <w:sz w:val="14"/>
                <w:szCs w:val="14"/>
                <w:color w:val="auto"/>
              </w:rPr>
              <w:t>20,700</w:t>
            </w:r>
          </w:p>
        </w:tc>
        <w:tc>
          <w:tcPr>
            <w:tcW w:w="1320" w:type="dxa"/>
            <w:vAlign w:val="bottom"/>
            <w:shd w:val="clear" w:color="auto" w:fill="F2F3F2"/>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F2F3F2"/>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F2F3F2"/>
          </w:tcPr>
          <w:p>
            <w:pPr>
              <w:jc w:val="right"/>
              <w:spacing w:after="0"/>
              <w:rPr>
                <w:sz w:val="20"/>
                <w:szCs w:val="20"/>
                <w:color w:val="auto"/>
              </w:rPr>
            </w:pPr>
            <w:r>
              <w:rPr>
                <w:rFonts w:ascii="Arial" w:cs="Arial" w:eastAsia="Arial" w:hAnsi="Arial"/>
                <w:sz w:val="14"/>
                <w:szCs w:val="14"/>
                <w:color w:val="auto"/>
              </w:rPr>
              <w:t>28,320</w:t>
            </w:r>
          </w:p>
        </w:tc>
        <w:tc>
          <w:tcPr>
            <w:tcW w:w="100" w:type="dxa"/>
            <w:vAlign w:val="bottom"/>
            <w:shd w:val="clear" w:color="auto" w:fill="F2F3F2"/>
          </w:tcPr>
          <w:p>
            <w:pPr>
              <w:spacing w:after="0"/>
              <w:rPr>
                <w:sz w:val="24"/>
                <w:szCs w:val="24"/>
                <w:color w:val="auto"/>
              </w:rPr>
            </w:pPr>
          </w:p>
        </w:tc>
      </w:tr>
      <w:tr>
        <w:trPr>
          <w:trHeight w:val="110"/>
        </w:trPr>
        <w:tc>
          <w:tcPr>
            <w:tcW w:w="1620" w:type="dxa"/>
            <w:vAlign w:val="bottom"/>
            <w:shd w:val="clear" w:color="auto" w:fill="F2F3F2"/>
          </w:tcPr>
          <w:p>
            <w:pPr>
              <w:spacing w:after="0"/>
              <w:rPr>
                <w:sz w:val="9"/>
                <w:szCs w:val="9"/>
                <w:color w:val="auto"/>
              </w:rPr>
            </w:pPr>
          </w:p>
        </w:tc>
        <w:tc>
          <w:tcPr>
            <w:tcW w:w="1460" w:type="dxa"/>
            <w:vAlign w:val="bottom"/>
            <w:shd w:val="clear" w:color="auto" w:fill="F2F3F2"/>
          </w:tcPr>
          <w:p>
            <w:pPr>
              <w:spacing w:after="0"/>
              <w:rPr>
                <w:sz w:val="9"/>
                <w:szCs w:val="9"/>
                <w:color w:val="auto"/>
              </w:rPr>
            </w:pPr>
          </w:p>
        </w:tc>
        <w:tc>
          <w:tcPr>
            <w:tcW w:w="1240" w:type="dxa"/>
            <w:vAlign w:val="bottom"/>
            <w:shd w:val="clear" w:color="auto" w:fill="F2F3F2"/>
          </w:tcPr>
          <w:p>
            <w:pPr>
              <w:spacing w:after="0"/>
              <w:rPr>
                <w:sz w:val="9"/>
                <w:szCs w:val="9"/>
                <w:color w:val="auto"/>
              </w:rPr>
            </w:pPr>
          </w:p>
        </w:tc>
        <w:tc>
          <w:tcPr>
            <w:tcW w:w="1080" w:type="dxa"/>
            <w:vAlign w:val="bottom"/>
            <w:shd w:val="clear" w:color="auto" w:fill="F2F3F2"/>
          </w:tcPr>
          <w:p>
            <w:pPr>
              <w:spacing w:after="0"/>
              <w:rPr>
                <w:sz w:val="9"/>
                <w:szCs w:val="9"/>
                <w:color w:val="auto"/>
              </w:rPr>
            </w:pPr>
          </w:p>
        </w:tc>
        <w:tc>
          <w:tcPr>
            <w:tcW w:w="1320" w:type="dxa"/>
            <w:vAlign w:val="bottom"/>
            <w:shd w:val="clear" w:color="auto" w:fill="F2F3F2"/>
          </w:tcPr>
          <w:p>
            <w:pPr>
              <w:spacing w:after="0"/>
              <w:rPr>
                <w:sz w:val="9"/>
                <w:szCs w:val="9"/>
                <w:color w:val="auto"/>
              </w:rPr>
            </w:pPr>
          </w:p>
        </w:tc>
        <w:tc>
          <w:tcPr>
            <w:tcW w:w="1000" w:type="dxa"/>
            <w:vAlign w:val="bottom"/>
            <w:shd w:val="clear" w:color="auto" w:fill="F2F3F2"/>
          </w:tcPr>
          <w:p>
            <w:pPr>
              <w:spacing w:after="0"/>
              <w:rPr>
                <w:sz w:val="9"/>
                <w:szCs w:val="9"/>
                <w:color w:val="auto"/>
              </w:rPr>
            </w:pPr>
          </w:p>
        </w:tc>
        <w:tc>
          <w:tcPr>
            <w:tcW w:w="1260" w:type="dxa"/>
            <w:vAlign w:val="bottom"/>
            <w:shd w:val="clear" w:color="auto" w:fill="F2F3F2"/>
          </w:tcPr>
          <w:p>
            <w:pPr>
              <w:spacing w:after="0"/>
              <w:rPr>
                <w:sz w:val="9"/>
                <w:szCs w:val="9"/>
                <w:color w:val="auto"/>
              </w:rPr>
            </w:pPr>
          </w:p>
        </w:tc>
        <w:tc>
          <w:tcPr>
            <w:tcW w:w="100" w:type="dxa"/>
            <w:vAlign w:val="bottom"/>
            <w:shd w:val="clear" w:color="auto" w:fill="F2F3F2"/>
          </w:tcPr>
          <w:p>
            <w:pPr>
              <w:spacing w:after="0"/>
              <w:rPr>
                <w:sz w:val="9"/>
                <w:szCs w:val="9"/>
                <w:color w:val="auto"/>
              </w:rPr>
            </w:pPr>
          </w:p>
        </w:tc>
      </w:tr>
      <w:tr>
        <w:trPr>
          <w:trHeight w:val="335"/>
        </w:trPr>
        <w:tc>
          <w:tcPr>
            <w:tcW w:w="1620" w:type="dxa"/>
            <w:vAlign w:val="bottom"/>
          </w:tcPr>
          <w:p>
            <w:pPr>
              <w:ind w:left="140"/>
              <w:spacing w:after="0"/>
              <w:rPr>
                <w:sz w:val="20"/>
                <w:szCs w:val="20"/>
                <w:color w:val="auto"/>
              </w:rPr>
            </w:pPr>
            <w:r>
              <w:rPr>
                <w:rFonts w:ascii="Arial" w:cs="Arial" w:eastAsia="Arial" w:hAnsi="Arial"/>
                <w:sz w:val="14"/>
                <w:szCs w:val="14"/>
                <w:b w:val="1"/>
                <w:bCs w:val="1"/>
                <w:color w:val="00558C"/>
              </w:rPr>
              <w:t>Ernest W. Torain, Jr.</w:t>
            </w: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2,215</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936</w:t>
            </w:r>
          </w:p>
        </w:tc>
        <w:tc>
          <w:tcPr>
            <w:tcW w:w="1080" w:type="dxa"/>
            <w:vAlign w:val="bottom"/>
          </w:tcPr>
          <w:p>
            <w:pPr>
              <w:jc w:val="right"/>
              <w:spacing w:after="0"/>
              <w:rPr>
                <w:sz w:val="20"/>
                <w:szCs w:val="20"/>
                <w:color w:val="auto"/>
              </w:rPr>
            </w:pPr>
            <w:r>
              <w:rPr>
                <w:rFonts w:ascii="Arial" w:cs="Arial" w:eastAsia="Arial" w:hAnsi="Arial"/>
                <w:sz w:val="14"/>
                <w:szCs w:val="14"/>
                <w:color w:val="auto"/>
              </w:rPr>
              <w:t>20,700</w:t>
            </w: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890,520</w:t>
            </w:r>
          </w:p>
        </w:tc>
        <w:tc>
          <w:tcPr>
            <w:tcW w:w="1260" w:type="dxa"/>
            <w:vAlign w:val="bottom"/>
          </w:tcPr>
          <w:p>
            <w:pPr>
              <w:jc w:val="right"/>
              <w:spacing w:after="0"/>
              <w:rPr>
                <w:sz w:val="20"/>
                <w:szCs w:val="20"/>
                <w:color w:val="auto"/>
              </w:rPr>
            </w:pPr>
            <w:r>
              <w:rPr>
                <w:rFonts w:ascii="Arial" w:cs="Arial" w:eastAsia="Arial" w:hAnsi="Arial"/>
                <w:sz w:val="14"/>
                <w:szCs w:val="14"/>
                <w:color w:val="auto"/>
              </w:rPr>
              <w:t>914,371</w:t>
            </w:r>
          </w:p>
        </w:tc>
        <w:tc>
          <w:tcPr>
            <w:tcW w:w="100" w:type="dxa"/>
            <w:vAlign w:val="bottom"/>
          </w:tcPr>
          <w:p>
            <w:pPr>
              <w:spacing w:after="0"/>
              <w:rPr>
                <w:sz w:val="24"/>
                <w:szCs w:val="24"/>
                <w:color w:val="auto"/>
              </w:rPr>
            </w:pPr>
          </w:p>
        </w:tc>
      </w:tr>
      <w:tr>
        <w:trPr>
          <w:trHeight w:val="110"/>
        </w:trPr>
        <w:tc>
          <w:tcPr>
            <w:tcW w:w="1620" w:type="dxa"/>
            <w:vAlign w:val="bottom"/>
            <w:tcBorders>
              <w:bottom w:val="single" w:sz="8" w:color="B2B3B6"/>
            </w:tcBorders>
          </w:tcPr>
          <w:p>
            <w:pPr>
              <w:spacing w:after="0"/>
              <w:rPr>
                <w:sz w:val="9"/>
                <w:szCs w:val="9"/>
                <w:color w:val="auto"/>
              </w:rPr>
            </w:pPr>
          </w:p>
        </w:tc>
        <w:tc>
          <w:tcPr>
            <w:tcW w:w="1460" w:type="dxa"/>
            <w:vAlign w:val="bottom"/>
            <w:tcBorders>
              <w:bottom w:val="single" w:sz="8" w:color="B6B6B6"/>
            </w:tcBorders>
          </w:tcPr>
          <w:p>
            <w:pPr>
              <w:spacing w:after="0"/>
              <w:rPr>
                <w:sz w:val="9"/>
                <w:szCs w:val="9"/>
                <w:color w:val="auto"/>
              </w:rPr>
            </w:pPr>
          </w:p>
        </w:tc>
        <w:tc>
          <w:tcPr>
            <w:tcW w:w="1240" w:type="dxa"/>
            <w:vAlign w:val="bottom"/>
            <w:tcBorders>
              <w:bottom w:val="single" w:sz="8" w:color="B6B6B6"/>
            </w:tcBorders>
          </w:tcPr>
          <w:p>
            <w:pPr>
              <w:spacing w:after="0"/>
              <w:rPr>
                <w:sz w:val="9"/>
                <w:szCs w:val="9"/>
                <w:color w:val="auto"/>
              </w:rPr>
            </w:pPr>
          </w:p>
        </w:tc>
        <w:tc>
          <w:tcPr>
            <w:tcW w:w="1080" w:type="dxa"/>
            <w:vAlign w:val="bottom"/>
            <w:tcBorders>
              <w:bottom w:val="single" w:sz="8" w:color="B6B6B6"/>
            </w:tcBorders>
          </w:tcPr>
          <w:p>
            <w:pPr>
              <w:spacing w:after="0"/>
              <w:rPr>
                <w:sz w:val="9"/>
                <w:szCs w:val="9"/>
                <w:color w:val="auto"/>
              </w:rPr>
            </w:pPr>
          </w:p>
        </w:tc>
        <w:tc>
          <w:tcPr>
            <w:tcW w:w="1320" w:type="dxa"/>
            <w:vAlign w:val="bottom"/>
            <w:tcBorders>
              <w:bottom w:val="single" w:sz="8" w:color="B2B3B6"/>
            </w:tcBorders>
          </w:tcPr>
          <w:p>
            <w:pPr>
              <w:spacing w:after="0"/>
              <w:rPr>
                <w:sz w:val="9"/>
                <w:szCs w:val="9"/>
                <w:color w:val="auto"/>
              </w:rPr>
            </w:pPr>
          </w:p>
        </w:tc>
        <w:tc>
          <w:tcPr>
            <w:tcW w:w="1000" w:type="dxa"/>
            <w:vAlign w:val="bottom"/>
            <w:tcBorders>
              <w:bottom w:val="single" w:sz="8" w:color="B6B6B6"/>
            </w:tcBorders>
          </w:tcPr>
          <w:p>
            <w:pPr>
              <w:spacing w:after="0"/>
              <w:rPr>
                <w:sz w:val="9"/>
                <w:szCs w:val="9"/>
                <w:color w:val="auto"/>
              </w:rPr>
            </w:pPr>
          </w:p>
        </w:tc>
        <w:tc>
          <w:tcPr>
            <w:tcW w:w="1260" w:type="dxa"/>
            <w:vAlign w:val="bottom"/>
            <w:tcBorders>
              <w:bottom w:val="single" w:sz="8" w:color="B6B6B6"/>
            </w:tcBorders>
          </w:tcPr>
          <w:p>
            <w:pPr>
              <w:spacing w:after="0"/>
              <w:rPr>
                <w:sz w:val="9"/>
                <w:szCs w:val="9"/>
                <w:color w:val="auto"/>
              </w:rPr>
            </w:pPr>
          </w:p>
        </w:tc>
        <w:tc>
          <w:tcPr>
            <w:tcW w:w="100" w:type="dxa"/>
            <w:vAlign w:val="bottom"/>
            <w:tcBorders>
              <w:bottom w:val="single" w:sz="8" w:color="B2B3B6"/>
            </w:tcBorders>
          </w:tcPr>
          <w:p>
            <w:pPr>
              <w:spacing w:after="0"/>
              <w:rPr>
                <w:sz w:val="9"/>
                <w:szCs w:val="9"/>
                <w:color w:val="auto"/>
              </w:rPr>
            </w:pPr>
          </w:p>
        </w:tc>
      </w:tr>
    </w:tbl>
    <w:p>
      <w:pPr>
        <w:spacing w:after="0" w:line="139" w:lineRule="exact"/>
        <w:rPr>
          <w:sz w:val="20"/>
          <w:szCs w:val="20"/>
          <w:color w:val="auto"/>
        </w:rPr>
      </w:pPr>
    </w:p>
    <w:p>
      <w:pPr>
        <w:sectPr>
          <w:pgSz w:w="11900" w:h="16838" w:orient="portrait"/>
          <w:cols w:equalWidth="0" w:num="1">
            <w:col w:w="9080"/>
          </w:cols>
          <w:pgMar w:left="1400" w:top="24" w:right="1419" w:bottom="0" w:gutter="0" w:footer="0" w:header="0"/>
        </w:sectPr>
      </w:pPr>
    </w:p>
    <w:p>
      <w:pPr>
        <w:ind w:left="420" w:hanging="331"/>
        <w:spacing w:after="0"/>
        <w:tabs>
          <w:tab w:leader="none" w:pos="420" w:val="left"/>
        </w:tabs>
        <w:numPr>
          <w:ilvl w:val="0"/>
          <w:numId w:val="82"/>
        </w:numPr>
        <w:rPr>
          <w:rFonts w:ascii="Arial" w:cs="Arial" w:eastAsia="Arial" w:hAnsi="Arial"/>
          <w:sz w:val="14"/>
          <w:szCs w:val="14"/>
          <w:color w:val="auto"/>
        </w:rPr>
      </w:pPr>
      <w:r>
        <w:rPr>
          <w:rFonts w:ascii="Arial" w:cs="Arial" w:eastAsia="Arial" w:hAnsi="Arial"/>
          <w:sz w:val="14"/>
          <w:szCs w:val="14"/>
          <w:color w:val="auto"/>
        </w:rPr>
        <w:t>Executive Long-Term Disability Insurance is provided to all executives, managing directors and principals.</w:t>
      </w:r>
    </w:p>
    <w:p>
      <w:pPr>
        <w:spacing w:after="0" w:line="68" w:lineRule="exact"/>
        <w:rPr>
          <w:rFonts w:ascii="Arial" w:cs="Arial" w:eastAsia="Arial" w:hAnsi="Arial"/>
          <w:sz w:val="14"/>
          <w:szCs w:val="14"/>
          <w:color w:val="auto"/>
        </w:rPr>
      </w:pPr>
    </w:p>
    <w:p>
      <w:pPr>
        <w:ind w:left="420" w:hanging="331"/>
        <w:spacing w:after="0"/>
        <w:tabs>
          <w:tab w:leader="none" w:pos="420" w:val="left"/>
        </w:tabs>
        <w:numPr>
          <w:ilvl w:val="0"/>
          <w:numId w:val="82"/>
        </w:numPr>
        <w:rPr>
          <w:rFonts w:ascii="Arial" w:cs="Arial" w:eastAsia="Arial" w:hAnsi="Arial"/>
          <w:sz w:val="14"/>
          <w:szCs w:val="14"/>
          <w:color w:val="auto"/>
        </w:rPr>
      </w:pPr>
      <w:r>
        <w:rPr>
          <w:rFonts w:ascii="Arial" w:cs="Arial" w:eastAsia="Arial" w:hAnsi="Arial"/>
          <w:sz w:val="14"/>
          <w:szCs w:val="14"/>
          <w:color w:val="auto"/>
        </w:rPr>
        <w:t>Executive Term Life Insurance is provided to all executives, managing directors and principals.</w:t>
      </w:r>
    </w:p>
    <w:p>
      <w:pPr>
        <w:spacing w:after="0" w:line="68" w:lineRule="exact"/>
        <w:rPr>
          <w:rFonts w:ascii="Arial" w:cs="Arial" w:eastAsia="Arial" w:hAnsi="Arial"/>
          <w:sz w:val="14"/>
          <w:szCs w:val="14"/>
          <w:color w:val="auto"/>
        </w:rPr>
      </w:pPr>
    </w:p>
    <w:p>
      <w:pPr>
        <w:ind w:left="420" w:hanging="331"/>
        <w:spacing w:after="0"/>
        <w:tabs>
          <w:tab w:leader="none" w:pos="420" w:val="left"/>
        </w:tabs>
        <w:numPr>
          <w:ilvl w:val="0"/>
          <w:numId w:val="82"/>
        </w:numPr>
        <w:rPr>
          <w:rFonts w:ascii="Arial" w:cs="Arial" w:eastAsia="Arial" w:hAnsi="Arial"/>
          <w:sz w:val="14"/>
          <w:szCs w:val="14"/>
          <w:color w:val="auto"/>
        </w:rPr>
      </w:pPr>
      <w:r>
        <w:rPr>
          <w:rFonts w:ascii="Arial" w:cs="Arial" w:eastAsia="Arial" w:hAnsi="Arial"/>
          <w:sz w:val="14"/>
          <w:szCs w:val="14"/>
          <w:color w:val="auto"/>
        </w:rPr>
        <w:t>Huron provides a Company 401(k) match to all participating employees.</w:t>
      </w:r>
    </w:p>
    <w:p>
      <w:pPr>
        <w:sectPr>
          <w:pgSz w:w="11900" w:h="16838" w:orient="portrait"/>
          <w:cols w:equalWidth="0" w:num="1">
            <w:col w:w="9080"/>
          </w:cols>
          <w:pgMar w:left="1400" w:top="24" w:right="1419" w:bottom="0" w:gutter="0" w:footer="0" w:header="0"/>
          <w:type w:val="continuous"/>
        </w:sectPr>
      </w:pPr>
    </w:p>
    <w:bookmarkStart w:id="54" w:name="page55"/>
    <w:bookmarkEnd w:id="54"/>
    <w:p>
      <w:pPr>
        <w:spacing w:after="0" w:line="142" w:lineRule="exact"/>
        <w:rPr>
          <w:sz w:val="20"/>
          <w:szCs w:val="20"/>
          <w:color w:val="auto"/>
        </w:rPr>
      </w:pPr>
    </w:p>
    <w:p>
      <w:pPr>
        <w:ind w:left="420" w:hanging="331"/>
        <w:spacing w:after="0"/>
        <w:tabs>
          <w:tab w:leader="none" w:pos="420" w:val="left"/>
        </w:tabs>
        <w:numPr>
          <w:ilvl w:val="0"/>
          <w:numId w:val="83"/>
        </w:numPr>
        <w:rPr>
          <w:rFonts w:ascii="Arial" w:cs="Arial" w:eastAsia="Arial" w:hAnsi="Arial"/>
          <w:sz w:val="14"/>
          <w:szCs w:val="14"/>
          <w:color w:val="auto"/>
        </w:rPr>
      </w:pPr>
      <w:r>
        <w:rPr>
          <w:rFonts w:ascii="Arial" w:cs="Arial" w:eastAsia="Arial" w:hAnsi="Arial"/>
          <w:sz w:val="14"/>
          <w:szCs w:val="14"/>
          <w:color w:val="auto"/>
        </w:rPr>
        <w:t>Other Benefits and Perquisites include the cost of executive physicals, which Huron pays for executives and certain managing directors.</w:t>
      </w:r>
    </w:p>
    <w:p>
      <w:pPr>
        <w:spacing w:after="0" w:line="28" w:lineRule="exact"/>
        <w:rPr>
          <w:rFonts w:ascii="Arial" w:cs="Arial" w:eastAsia="Arial" w:hAnsi="Arial"/>
          <w:sz w:val="14"/>
          <w:szCs w:val="14"/>
          <w:color w:val="auto"/>
        </w:rPr>
      </w:pPr>
    </w:p>
    <w:p>
      <w:pPr>
        <w:ind w:left="420" w:right="120" w:hanging="331"/>
        <w:spacing w:after="0" w:line="265" w:lineRule="auto"/>
        <w:tabs>
          <w:tab w:leader="none" w:pos="420" w:val="left"/>
        </w:tabs>
        <w:numPr>
          <w:ilvl w:val="0"/>
          <w:numId w:val="83"/>
        </w:numPr>
        <w:rPr>
          <w:rFonts w:ascii="Arial" w:cs="Arial" w:eastAsia="Arial" w:hAnsi="Arial"/>
          <w:sz w:val="14"/>
          <w:szCs w:val="14"/>
          <w:color w:val="auto"/>
        </w:rPr>
      </w:pPr>
      <w:r>
        <w:rPr>
          <w:rFonts w:ascii="Arial" w:cs="Arial" w:eastAsia="Arial" w:hAnsi="Arial"/>
          <w:sz w:val="14"/>
          <w:szCs w:val="14"/>
          <w:color w:val="auto"/>
        </w:rPr>
        <w:t>As provided for in Mr. Torain’s senior management agreement, upon departure from the Company, Mr. Torain (a) was paid severance consisting of an amount equal to one (1) times the sum of his annual base salary and target annual bonus in effect at the time of separation ($787,500); (b) became entitled to continuation of 12 months of medical benefits on the same economic terms as exist from time to time for active similarly-situated executives (estimated to $22,766 for the 12 months); (c) became entitled to a lump sum cash payment equal to a pro-rata annual bonus for 2024 based on actual performance, pro-rated for the number of days he was employed during the performance period ($80,254).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-782955</wp:posOffset>
            </wp:positionV>
            <wp:extent cx="6810375" cy="43224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10375" cy="4322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0"/>
        <w:spacing w:after="0"/>
        <w:tabs>
          <w:tab w:leader="none" w:pos="446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13"/>
          <w:szCs w:val="13"/>
          <w:b w:val="1"/>
          <w:bCs w:val="1"/>
          <w:color w:val="00558C"/>
        </w:rPr>
        <w:t>51</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420370</wp:posOffset>
            </wp:positionV>
            <wp:extent cx="6810375" cy="61112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10375" cy="6111240"/>
                    </a:xfrm>
                    <a:prstGeom prst="rect">
                      <a:avLst/>
                    </a:prstGeom>
                    <a:noFill/>
                  </pic:spPr>
                </pic:pic>
              </a:graphicData>
            </a:graphic>
          </wp:anchor>
        </w:drawing>
      </w:r>
    </w:p>
    <w:p>
      <w:pPr>
        <w:sectPr>
          <w:pgSz w:w="11900" w:h="16980" w:orient="portrait"/>
          <w:cols w:equalWidth="0" w:num="1">
            <w:col w:w="9080"/>
          </w:cols>
          <w:pgMar w:left="1400" w:top="118" w:right="14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0"/>
        <w:spacing w:after="0" w:line="274" w:lineRule="auto"/>
        <w:rPr>
          <w:sz w:val="20"/>
          <w:szCs w:val="20"/>
          <w:color w:val="auto"/>
        </w:rPr>
      </w:pPr>
      <w:r>
        <w:rPr>
          <w:rFonts w:ascii="Arial" w:cs="Arial" w:eastAsia="Arial" w:hAnsi="Arial"/>
          <w:sz w:val="13"/>
          <w:szCs w:val="13"/>
          <w:b w:val="1"/>
          <w:bCs w:val="1"/>
          <w:color w:val="B2B3B6"/>
        </w:rPr>
        <w:t>General Proposal Information 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line="274" w:lineRule="auto"/>
        <w:rPr>
          <w:sz w:val="20"/>
          <w:szCs w:val="20"/>
          <w:color w:val="auto"/>
        </w:rPr>
      </w:pPr>
      <w:r>
        <w:rPr>
          <w:rFonts w:ascii="Arial" w:cs="Arial" w:eastAsia="Arial" w:hAnsi="Arial"/>
          <w:sz w:val="13"/>
          <w:szCs w:val="13"/>
          <w:b w:val="1"/>
          <w:bCs w:val="1"/>
          <w:color w:val="B2B3B6"/>
        </w:rPr>
        <w:t>Corporate Proposal Governance Two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line="317" w:lineRule="auto"/>
        <w:rPr>
          <w:sz w:val="20"/>
          <w:szCs w:val="20"/>
          <w:color w:val="auto"/>
        </w:rPr>
      </w:pPr>
      <w:r>
        <w:rPr>
          <w:rFonts w:ascii="Arial" w:cs="Arial" w:eastAsia="Arial" w:hAnsi="Arial"/>
          <w:sz w:val="12"/>
          <w:szCs w:val="12"/>
          <w:b w:val="1"/>
          <w:bCs w:val="1"/>
          <w:color w:val="6AAA37"/>
        </w:rPr>
        <w:t>Executive 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200"/>
        <w:spacing w:after="0" w:line="274" w:lineRule="auto"/>
        <w:rPr>
          <w:sz w:val="20"/>
          <w:szCs w:val="20"/>
          <w:color w:val="auto"/>
        </w:rPr>
      </w:pPr>
      <w:r>
        <w:rPr>
          <w:rFonts w:ascii="Arial" w:cs="Arial" w:eastAsia="Arial" w:hAnsi="Arial"/>
          <w:sz w:val="13"/>
          <w:szCs w:val="13"/>
          <w:b w:val="1"/>
          <w:bCs w:val="1"/>
          <w:color w:val="B2B3B6"/>
        </w:rPr>
        <w:t>Proposal Proposal Proposal Stockholder Other Three Four Five Proposals Matters</w:t>
      </w:r>
    </w:p>
    <w:p>
      <w:pPr>
        <w:spacing w:after="0" w:line="223" w:lineRule="exact"/>
        <w:rPr>
          <w:sz w:val="20"/>
          <w:szCs w:val="20"/>
          <w:color w:val="auto"/>
        </w:rPr>
      </w:pPr>
    </w:p>
    <w:p>
      <w:pPr>
        <w:sectPr>
          <w:pgSz w:w="11900" w:h="16980" w:orient="portrait"/>
          <w:cols w:equalWidth="0" w:num="4">
            <w:col w:w="1600" w:space="300"/>
            <w:col w:w="1540" w:space="280"/>
            <w:col w:w="880" w:space="320"/>
            <w:col w:w="4160"/>
          </w:cols>
          <w:pgMar w:left="1400" w:top="118" w:right="1419" w:bottom="0" w:gutter="0" w:footer="0" w:header="0"/>
          <w:type w:val="continuous"/>
        </w:sectPr>
      </w:pPr>
    </w:p>
    <w:p>
      <w:pPr>
        <w:spacing w:after="0" w:line="59" w:lineRule="exact"/>
        <w:rPr>
          <w:sz w:val="20"/>
          <w:szCs w:val="20"/>
          <w:color w:val="auto"/>
        </w:rPr>
      </w:pPr>
    </w:p>
    <w:p>
      <w:pPr>
        <w:spacing w:after="0"/>
        <w:rPr>
          <w:sz w:val="20"/>
          <w:szCs w:val="20"/>
          <w:color w:val="auto"/>
        </w:rPr>
      </w:pPr>
      <w:r>
        <w:rPr>
          <w:rFonts w:ascii="Arial" w:cs="Arial" w:eastAsia="Arial" w:hAnsi="Arial"/>
          <w:sz w:val="22"/>
          <w:szCs w:val="22"/>
          <w:b w:val="1"/>
          <w:bCs w:val="1"/>
          <w:color w:val="00558C"/>
        </w:rPr>
        <w:t>2024 Grants of Plan-Based Awards</w:t>
      </w:r>
    </w:p>
    <w:p>
      <w:pPr>
        <w:spacing w:after="0" w:line="112" w:lineRule="exact"/>
        <w:rPr>
          <w:sz w:val="20"/>
          <w:szCs w:val="20"/>
          <w:color w:val="auto"/>
        </w:rPr>
      </w:pPr>
    </w:p>
    <w:p>
      <w:pPr>
        <w:ind w:right="580"/>
        <w:spacing w:after="0" w:line="321" w:lineRule="auto"/>
        <w:rPr>
          <w:sz w:val="20"/>
          <w:szCs w:val="20"/>
          <w:color w:val="auto"/>
        </w:rPr>
      </w:pPr>
      <w:r>
        <w:rPr>
          <w:rFonts w:ascii="Arial" w:cs="Arial" w:eastAsia="Arial" w:hAnsi="Arial"/>
          <w:sz w:val="16"/>
          <w:szCs w:val="16"/>
          <w:color w:val="auto"/>
        </w:rPr>
        <w:t>The following table summarizes the grants of equity awards and annual cash incentive awards for 2024 to each named executive officer.</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20" w:type="dxa"/>
            <w:vAlign w:val="bottom"/>
            <w:shd w:val="clear" w:color="auto" w:fill="00558C"/>
          </w:tcPr>
          <w:p>
            <w:pPr>
              <w:spacing w:after="0"/>
              <w:rPr>
                <w:sz w:val="19"/>
                <w:szCs w:val="19"/>
                <w:color w:val="auto"/>
              </w:rPr>
            </w:pPr>
          </w:p>
        </w:tc>
        <w:tc>
          <w:tcPr>
            <w:tcW w:w="640" w:type="dxa"/>
            <w:vAlign w:val="bottom"/>
            <w:shd w:val="clear" w:color="auto" w:fill="00558C"/>
          </w:tcPr>
          <w:p>
            <w:pPr>
              <w:spacing w:after="0"/>
              <w:rPr>
                <w:sz w:val="19"/>
                <w:szCs w:val="19"/>
                <w:color w:val="auto"/>
              </w:rPr>
            </w:pPr>
          </w:p>
        </w:tc>
        <w:tc>
          <w:tcPr>
            <w:tcW w:w="1120" w:type="dxa"/>
            <w:vAlign w:val="bottom"/>
            <w:shd w:val="clear" w:color="auto" w:fill="00558C"/>
          </w:tcPr>
          <w:p>
            <w:pPr>
              <w:spacing w:after="0"/>
              <w:rPr>
                <w:sz w:val="19"/>
                <w:szCs w:val="19"/>
                <w:color w:val="auto"/>
              </w:rPr>
            </w:pPr>
          </w:p>
        </w:tc>
        <w:tc>
          <w:tcPr>
            <w:tcW w:w="820" w:type="dxa"/>
            <w:vAlign w:val="bottom"/>
            <w:shd w:val="clear" w:color="auto" w:fill="00558C"/>
          </w:tcPr>
          <w:p>
            <w:pPr>
              <w:spacing w:after="0"/>
              <w:rPr>
                <w:sz w:val="19"/>
                <w:szCs w:val="19"/>
                <w:color w:val="auto"/>
              </w:rPr>
            </w:pPr>
          </w:p>
        </w:tc>
        <w:tc>
          <w:tcPr>
            <w:tcW w:w="760" w:type="dxa"/>
            <w:vAlign w:val="bottom"/>
            <w:shd w:val="clear" w:color="auto" w:fill="00558C"/>
          </w:tcPr>
          <w:p>
            <w:pPr>
              <w:spacing w:after="0"/>
              <w:rPr>
                <w:sz w:val="19"/>
                <w:szCs w:val="19"/>
                <w:color w:val="auto"/>
              </w:rPr>
            </w:pPr>
          </w:p>
        </w:tc>
        <w:tc>
          <w:tcPr>
            <w:tcW w:w="800" w:type="dxa"/>
            <w:vAlign w:val="bottom"/>
            <w:shd w:val="clear" w:color="auto" w:fill="00558C"/>
          </w:tcPr>
          <w:p>
            <w:pPr>
              <w:spacing w:after="0"/>
              <w:rPr>
                <w:sz w:val="19"/>
                <w:szCs w:val="19"/>
                <w:color w:val="auto"/>
              </w:rPr>
            </w:pPr>
          </w:p>
        </w:tc>
        <w:tc>
          <w:tcPr>
            <w:tcW w:w="200" w:type="dxa"/>
            <w:vAlign w:val="bottom"/>
            <w:shd w:val="clear" w:color="auto" w:fill="00558C"/>
          </w:tcPr>
          <w:p>
            <w:pPr>
              <w:spacing w:after="0"/>
              <w:rPr>
                <w:sz w:val="19"/>
                <w:szCs w:val="19"/>
                <w:color w:val="auto"/>
              </w:rPr>
            </w:pPr>
          </w:p>
        </w:tc>
        <w:tc>
          <w:tcPr>
            <w:tcW w:w="860" w:type="dxa"/>
            <w:vAlign w:val="bottom"/>
            <w:shd w:val="clear" w:color="auto" w:fill="00558C"/>
          </w:tcPr>
          <w:p>
            <w:pPr>
              <w:spacing w:after="0"/>
              <w:rPr>
                <w:sz w:val="19"/>
                <w:szCs w:val="19"/>
                <w:color w:val="auto"/>
              </w:rPr>
            </w:pPr>
          </w:p>
        </w:tc>
        <w:tc>
          <w:tcPr>
            <w:tcW w:w="560" w:type="dxa"/>
            <w:vAlign w:val="bottom"/>
            <w:shd w:val="clear" w:color="auto" w:fill="00558C"/>
          </w:tcPr>
          <w:p>
            <w:pPr>
              <w:spacing w:after="0"/>
              <w:rPr>
                <w:sz w:val="19"/>
                <w:szCs w:val="19"/>
                <w:color w:val="auto"/>
              </w:rPr>
            </w:pPr>
          </w:p>
        </w:tc>
        <w:tc>
          <w:tcPr>
            <w:tcW w:w="800" w:type="dxa"/>
            <w:vAlign w:val="bottom"/>
            <w:shd w:val="clear" w:color="auto" w:fill="00558C"/>
          </w:tcPr>
          <w:p>
            <w:pPr>
              <w:spacing w:after="0"/>
              <w:rPr>
                <w:sz w:val="19"/>
                <w:szCs w:val="19"/>
                <w:color w:val="auto"/>
              </w:rPr>
            </w:pPr>
          </w:p>
        </w:tc>
        <w:tc>
          <w:tcPr>
            <w:tcW w:w="740" w:type="dxa"/>
            <w:vAlign w:val="bottom"/>
            <w:shd w:val="clear" w:color="auto" w:fill="00558C"/>
          </w:tcPr>
          <w:p>
            <w:pPr>
              <w:jc w:val="right"/>
              <w:ind w:right="33"/>
              <w:spacing w:after="0"/>
              <w:rPr>
                <w:sz w:val="20"/>
                <w:szCs w:val="20"/>
                <w:color w:val="auto"/>
              </w:rPr>
            </w:pPr>
            <w:r>
              <w:rPr>
                <w:rFonts w:ascii="Arial" w:cs="Arial" w:eastAsia="Arial" w:hAnsi="Arial"/>
                <w:sz w:val="13"/>
                <w:szCs w:val="13"/>
                <w:b w:val="1"/>
                <w:bCs w:val="1"/>
                <w:color w:val="FFFFFF"/>
              </w:rPr>
              <w:t>All Other</w:t>
            </w:r>
          </w:p>
        </w:tc>
        <w:tc>
          <w:tcPr>
            <w:tcW w:w="760" w:type="dxa"/>
            <w:vAlign w:val="bottom"/>
            <w:shd w:val="clear" w:color="auto" w:fill="00558C"/>
          </w:tcPr>
          <w:p>
            <w:pPr>
              <w:jc w:val="right"/>
              <w:ind w:right="14"/>
              <w:spacing w:after="0"/>
              <w:rPr>
                <w:sz w:val="20"/>
                <w:szCs w:val="20"/>
                <w:color w:val="auto"/>
              </w:rPr>
            </w:pPr>
            <w:r>
              <w:rPr>
                <w:rFonts w:ascii="Arial" w:cs="Arial" w:eastAsia="Arial" w:hAnsi="Arial"/>
                <w:sz w:val="13"/>
                <w:szCs w:val="13"/>
                <w:b w:val="1"/>
                <w:bCs w:val="1"/>
                <w:color w:val="FFFFFF"/>
              </w:rPr>
              <w:t>Grant</w:t>
            </w:r>
          </w:p>
        </w:tc>
        <w:tc>
          <w:tcPr>
            <w:tcW w:w="200" w:type="dxa"/>
            <w:vAlign w:val="bottom"/>
            <w:shd w:val="clear" w:color="auto" w:fill="00558C"/>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820" w:type="dxa"/>
            <w:vAlign w:val="bottom"/>
            <w:shd w:val="clear" w:color="auto" w:fill="00558C"/>
          </w:tcPr>
          <w:p>
            <w:pPr>
              <w:spacing w:after="0"/>
              <w:rPr>
                <w:sz w:val="15"/>
                <w:szCs w:val="15"/>
                <w:color w:val="auto"/>
              </w:rPr>
            </w:pPr>
          </w:p>
        </w:tc>
        <w:tc>
          <w:tcPr>
            <w:tcW w:w="640" w:type="dxa"/>
            <w:vAlign w:val="bottom"/>
            <w:shd w:val="clear" w:color="auto" w:fill="00558C"/>
          </w:tcPr>
          <w:p>
            <w:pPr>
              <w:spacing w:after="0"/>
              <w:rPr>
                <w:sz w:val="15"/>
                <w:szCs w:val="15"/>
                <w:color w:val="auto"/>
              </w:rPr>
            </w:pPr>
          </w:p>
        </w:tc>
        <w:tc>
          <w:tcPr>
            <w:tcW w:w="1120" w:type="dxa"/>
            <w:vAlign w:val="bottom"/>
            <w:shd w:val="clear" w:color="auto" w:fill="00558C"/>
          </w:tcPr>
          <w:p>
            <w:pPr>
              <w:spacing w:after="0"/>
              <w:rPr>
                <w:sz w:val="15"/>
                <w:szCs w:val="15"/>
                <w:color w:val="auto"/>
              </w:rPr>
            </w:pPr>
          </w:p>
        </w:tc>
        <w:tc>
          <w:tcPr>
            <w:tcW w:w="2380" w:type="dxa"/>
            <w:vAlign w:val="bottom"/>
            <w:gridSpan w:val="3"/>
            <w:shd w:val="clear" w:color="auto" w:fill="00558C"/>
          </w:tcPr>
          <w:p>
            <w:pPr>
              <w:jc w:val="right"/>
              <w:ind w:right="373"/>
              <w:spacing w:after="0"/>
              <w:rPr>
                <w:sz w:val="20"/>
                <w:szCs w:val="20"/>
                <w:color w:val="auto"/>
              </w:rPr>
            </w:pPr>
            <w:r>
              <w:rPr>
                <w:rFonts w:ascii="Arial" w:cs="Arial" w:eastAsia="Arial" w:hAnsi="Arial"/>
                <w:sz w:val="13"/>
                <w:szCs w:val="13"/>
                <w:b w:val="1"/>
                <w:bCs w:val="1"/>
                <w:color w:val="FFFFFF"/>
              </w:rPr>
              <w:t>Estimated Future Payouts</w:t>
            </w:r>
          </w:p>
        </w:tc>
        <w:tc>
          <w:tcPr>
            <w:tcW w:w="200" w:type="dxa"/>
            <w:vAlign w:val="bottom"/>
            <w:shd w:val="clear" w:color="auto" w:fill="00558C"/>
          </w:tcPr>
          <w:p>
            <w:pPr>
              <w:spacing w:after="0"/>
              <w:rPr>
                <w:sz w:val="15"/>
                <w:szCs w:val="15"/>
                <w:color w:val="auto"/>
              </w:rPr>
            </w:pPr>
          </w:p>
        </w:tc>
        <w:tc>
          <w:tcPr>
            <w:tcW w:w="2220" w:type="dxa"/>
            <w:vAlign w:val="bottom"/>
            <w:gridSpan w:val="3"/>
            <w:shd w:val="clear" w:color="auto" w:fill="00558C"/>
          </w:tcPr>
          <w:p>
            <w:pPr>
              <w:jc w:val="right"/>
              <w:ind w:right="293"/>
              <w:spacing w:after="0"/>
              <w:rPr>
                <w:sz w:val="20"/>
                <w:szCs w:val="20"/>
                <w:color w:val="auto"/>
              </w:rPr>
            </w:pPr>
            <w:r>
              <w:rPr>
                <w:rFonts w:ascii="Arial" w:cs="Arial" w:eastAsia="Arial" w:hAnsi="Arial"/>
                <w:sz w:val="13"/>
                <w:szCs w:val="13"/>
                <w:b w:val="1"/>
                <w:bCs w:val="1"/>
                <w:color w:val="FFFFFF"/>
              </w:rPr>
              <w:t>Estimated Future Payouts</w:t>
            </w:r>
          </w:p>
        </w:tc>
        <w:tc>
          <w:tcPr>
            <w:tcW w:w="740" w:type="dxa"/>
            <w:vAlign w:val="bottom"/>
            <w:shd w:val="clear" w:color="auto" w:fill="00558C"/>
          </w:tcPr>
          <w:p>
            <w:pPr>
              <w:jc w:val="right"/>
              <w:ind w:right="13"/>
              <w:spacing w:after="0"/>
              <w:rPr>
                <w:sz w:val="20"/>
                <w:szCs w:val="20"/>
                <w:color w:val="auto"/>
              </w:rPr>
            </w:pPr>
            <w:r>
              <w:rPr>
                <w:rFonts w:ascii="Arial" w:cs="Arial" w:eastAsia="Arial" w:hAnsi="Arial"/>
                <w:sz w:val="13"/>
                <w:szCs w:val="13"/>
                <w:b w:val="1"/>
                <w:bCs w:val="1"/>
                <w:color w:val="FFFFFF"/>
              </w:rPr>
              <w:t>Stock</w:t>
            </w:r>
          </w:p>
        </w:tc>
        <w:tc>
          <w:tcPr>
            <w:tcW w:w="760" w:type="dxa"/>
            <w:vAlign w:val="bottom"/>
            <w:shd w:val="clear" w:color="auto" w:fill="00558C"/>
          </w:tcPr>
          <w:p>
            <w:pPr>
              <w:jc w:val="right"/>
              <w:ind w:right="54"/>
              <w:spacing w:after="0"/>
              <w:rPr>
                <w:sz w:val="20"/>
                <w:szCs w:val="20"/>
                <w:color w:val="auto"/>
              </w:rPr>
            </w:pPr>
            <w:r>
              <w:rPr>
                <w:rFonts w:ascii="Arial" w:cs="Arial" w:eastAsia="Arial" w:hAnsi="Arial"/>
                <w:sz w:val="13"/>
                <w:szCs w:val="13"/>
                <w:b w:val="1"/>
                <w:bCs w:val="1"/>
                <w:color w:val="FFFFFF"/>
              </w:rPr>
              <w:t>Date Fair</w:t>
            </w:r>
          </w:p>
        </w:tc>
        <w:tc>
          <w:tcPr>
            <w:tcW w:w="200" w:type="dxa"/>
            <w:vAlign w:val="bottom"/>
            <w:shd w:val="clear" w:color="auto" w:fill="00558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820" w:type="dxa"/>
            <w:vAlign w:val="bottom"/>
            <w:shd w:val="clear" w:color="auto" w:fill="00558C"/>
          </w:tcPr>
          <w:p>
            <w:pPr>
              <w:spacing w:after="0"/>
              <w:rPr>
                <w:sz w:val="14"/>
                <w:szCs w:val="14"/>
                <w:color w:val="auto"/>
              </w:rPr>
            </w:pPr>
          </w:p>
        </w:tc>
        <w:tc>
          <w:tcPr>
            <w:tcW w:w="640" w:type="dxa"/>
            <w:vAlign w:val="bottom"/>
            <w:shd w:val="clear" w:color="auto" w:fill="00558C"/>
          </w:tcPr>
          <w:p>
            <w:pPr>
              <w:spacing w:after="0"/>
              <w:rPr>
                <w:sz w:val="14"/>
                <w:szCs w:val="14"/>
                <w:color w:val="auto"/>
              </w:rPr>
            </w:pPr>
          </w:p>
        </w:tc>
        <w:tc>
          <w:tcPr>
            <w:tcW w:w="1120" w:type="dxa"/>
            <w:vAlign w:val="bottom"/>
            <w:shd w:val="clear" w:color="auto" w:fill="00558C"/>
          </w:tcPr>
          <w:p>
            <w:pPr>
              <w:spacing w:after="0"/>
              <w:rPr>
                <w:sz w:val="14"/>
                <w:szCs w:val="14"/>
                <w:color w:val="auto"/>
              </w:rPr>
            </w:pPr>
          </w:p>
        </w:tc>
        <w:tc>
          <w:tcPr>
            <w:tcW w:w="2380" w:type="dxa"/>
            <w:vAlign w:val="bottom"/>
            <w:gridSpan w:val="3"/>
            <w:shd w:val="clear" w:color="auto" w:fill="00558C"/>
          </w:tcPr>
          <w:p>
            <w:pPr>
              <w:jc w:val="right"/>
              <w:ind w:right="613"/>
              <w:spacing w:after="0"/>
              <w:rPr>
                <w:sz w:val="20"/>
                <w:szCs w:val="20"/>
                <w:color w:val="auto"/>
              </w:rPr>
            </w:pPr>
            <w:r>
              <w:rPr>
                <w:rFonts w:ascii="Arial" w:cs="Arial" w:eastAsia="Arial" w:hAnsi="Arial"/>
                <w:sz w:val="13"/>
                <w:szCs w:val="13"/>
                <w:b w:val="1"/>
                <w:bCs w:val="1"/>
                <w:color w:val="FFFFFF"/>
              </w:rPr>
              <w:t>Under Non Equity</w:t>
            </w:r>
          </w:p>
        </w:tc>
        <w:tc>
          <w:tcPr>
            <w:tcW w:w="200" w:type="dxa"/>
            <w:vAlign w:val="bottom"/>
            <w:shd w:val="clear" w:color="auto" w:fill="00558C"/>
          </w:tcPr>
          <w:p>
            <w:pPr>
              <w:spacing w:after="0"/>
              <w:rPr>
                <w:sz w:val="14"/>
                <w:szCs w:val="14"/>
                <w:color w:val="auto"/>
              </w:rPr>
            </w:pPr>
          </w:p>
        </w:tc>
        <w:tc>
          <w:tcPr>
            <w:tcW w:w="2220" w:type="dxa"/>
            <w:vAlign w:val="bottom"/>
            <w:gridSpan w:val="3"/>
            <w:shd w:val="clear" w:color="auto" w:fill="00558C"/>
          </w:tcPr>
          <w:p>
            <w:pPr>
              <w:jc w:val="right"/>
              <w:ind w:right="673"/>
              <w:spacing w:after="0"/>
              <w:rPr>
                <w:sz w:val="20"/>
                <w:szCs w:val="20"/>
                <w:color w:val="auto"/>
              </w:rPr>
            </w:pPr>
            <w:r>
              <w:rPr>
                <w:rFonts w:ascii="Arial" w:cs="Arial" w:eastAsia="Arial" w:hAnsi="Arial"/>
                <w:sz w:val="13"/>
                <w:szCs w:val="13"/>
                <w:b w:val="1"/>
                <w:bCs w:val="1"/>
                <w:color w:val="FFFFFF"/>
              </w:rPr>
              <w:t>Under Equity</w:t>
            </w:r>
          </w:p>
        </w:tc>
        <w:tc>
          <w:tcPr>
            <w:tcW w:w="740" w:type="dxa"/>
            <w:vAlign w:val="bottom"/>
            <w:shd w:val="clear" w:color="auto" w:fill="00558C"/>
          </w:tcPr>
          <w:p>
            <w:pPr>
              <w:jc w:val="right"/>
              <w:ind w:right="13"/>
              <w:spacing w:after="0"/>
              <w:rPr>
                <w:sz w:val="20"/>
                <w:szCs w:val="20"/>
                <w:color w:val="auto"/>
              </w:rPr>
            </w:pPr>
            <w:r>
              <w:rPr>
                <w:rFonts w:ascii="Arial" w:cs="Arial" w:eastAsia="Arial" w:hAnsi="Arial"/>
                <w:sz w:val="13"/>
                <w:szCs w:val="13"/>
                <w:b w:val="1"/>
                <w:bCs w:val="1"/>
                <w:color w:val="FFFFFF"/>
              </w:rPr>
              <w:t>Awards:</w:t>
            </w:r>
          </w:p>
        </w:tc>
        <w:tc>
          <w:tcPr>
            <w:tcW w:w="760" w:type="dxa"/>
            <w:vAlign w:val="bottom"/>
            <w:shd w:val="clear" w:color="auto" w:fill="00558C"/>
          </w:tcPr>
          <w:p>
            <w:pPr>
              <w:jc w:val="right"/>
              <w:ind w:right="54"/>
              <w:spacing w:after="0"/>
              <w:rPr>
                <w:sz w:val="20"/>
                <w:szCs w:val="20"/>
                <w:color w:val="auto"/>
              </w:rPr>
            </w:pPr>
            <w:r>
              <w:rPr>
                <w:rFonts w:ascii="Arial" w:cs="Arial" w:eastAsia="Arial" w:hAnsi="Arial"/>
                <w:sz w:val="13"/>
                <w:szCs w:val="13"/>
                <w:b w:val="1"/>
                <w:bCs w:val="1"/>
                <w:color w:val="FFFFFF"/>
              </w:rPr>
              <w:t>Value of</w:t>
            </w:r>
          </w:p>
        </w:tc>
        <w:tc>
          <w:tcPr>
            <w:tcW w:w="200" w:type="dxa"/>
            <w:vAlign w:val="bottom"/>
            <w:shd w:val="clear" w:color="auto" w:fill="00558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20" w:type="dxa"/>
            <w:vAlign w:val="bottom"/>
            <w:shd w:val="clear" w:color="auto" w:fill="00558C"/>
          </w:tcPr>
          <w:p>
            <w:pPr>
              <w:spacing w:after="0"/>
              <w:rPr>
                <w:sz w:val="14"/>
                <w:szCs w:val="14"/>
                <w:color w:val="auto"/>
              </w:rPr>
            </w:pPr>
          </w:p>
        </w:tc>
        <w:tc>
          <w:tcPr>
            <w:tcW w:w="640" w:type="dxa"/>
            <w:vAlign w:val="bottom"/>
            <w:shd w:val="clear" w:color="auto" w:fill="00558C"/>
          </w:tcPr>
          <w:p>
            <w:pPr>
              <w:spacing w:after="0"/>
              <w:rPr>
                <w:sz w:val="14"/>
                <w:szCs w:val="14"/>
                <w:color w:val="auto"/>
              </w:rPr>
            </w:pPr>
          </w:p>
        </w:tc>
        <w:tc>
          <w:tcPr>
            <w:tcW w:w="1120" w:type="dxa"/>
            <w:vAlign w:val="bottom"/>
            <w:shd w:val="clear" w:color="auto" w:fill="00558C"/>
          </w:tcPr>
          <w:p>
            <w:pPr>
              <w:spacing w:after="0"/>
              <w:rPr>
                <w:sz w:val="14"/>
                <w:szCs w:val="14"/>
                <w:color w:val="auto"/>
              </w:rPr>
            </w:pPr>
          </w:p>
        </w:tc>
        <w:tc>
          <w:tcPr>
            <w:tcW w:w="2380" w:type="dxa"/>
            <w:vAlign w:val="bottom"/>
            <w:gridSpan w:val="3"/>
            <w:shd w:val="clear" w:color="auto" w:fill="00558C"/>
          </w:tcPr>
          <w:p>
            <w:pPr>
              <w:jc w:val="right"/>
              <w:ind w:right="473"/>
              <w:spacing w:after="0"/>
              <w:rPr>
                <w:sz w:val="20"/>
                <w:szCs w:val="20"/>
                <w:color w:val="auto"/>
              </w:rPr>
            </w:pPr>
            <w:r>
              <w:rPr>
                <w:rFonts w:ascii="Arial" w:cs="Arial" w:eastAsia="Arial" w:hAnsi="Arial"/>
                <w:sz w:val="13"/>
                <w:szCs w:val="13"/>
                <w:b w:val="1"/>
                <w:bCs w:val="1"/>
                <w:color w:val="FFFFFF"/>
              </w:rPr>
              <w:t>Incentive Plan Awards</w:t>
            </w:r>
          </w:p>
        </w:tc>
        <w:tc>
          <w:tcPr>
            <w:tcW w:w="200" w:type="dxa"/>
            <w:vAlign w:val="bottom"/>
            <w:shd w:val="clear" w:color="auto" w:fill="00558C"/>
          </w:tcPr>
          <w:p>
            <w:pPr>
              <w:spacing w:after="0"/>
              <w:rPr>
                <w:sz w:val="14"/>
                <w:szCs w:val="14"/>
                <w:color w:val="auto"/>
              </w:rPr>
            </w:pPr>
          </w:p>
        </w:tc>
        <w:tc>
          <w:tcPr>
            <w:tcW w:w="2220" w:type="dxa"/>
            <w:vAlign w:val="bottom"/>
            <w:gridSpan w:val="3"/>
            <w:shd w:val="clear" w:color="auto" w:fill="00558C"/>
          </w:tcPr>
          <w:p>
            <w:pPr>
              <w:jc w:val="right"/>
              <w:ind w:right="413"/>
              <w:spacing w:after="0"/>
              <w:rPr>
                <w:sz w:val="20"/>
                <w:szCs w:val="20"/>
                <w:color w:val="auto"/>
              </w:rPr>
            </w:pPr>
            <w:r>
              <w:rPr>
                <w:rFonts w:ascii="Arial" w:cs="Arial" w:eastAsia="Arial" w:hAnsi="Arial"/>
                <w:sz w:val="13"/>
                <w:szCs w:val="13"/>
                <w:b w:val="1"/>
                <w:bCs w:val="1"/>
                <w:color w:val="FFFFFF"/>
              </w:rPr>
              <w:t>Incentive Plan Awards</w:t>
            </w:r>
          </w:p>
        </w:tc>
        <w:tc>
          <w:tcPr>
            <w:tcW w:w="740" w:type="dxa"/>
            <w:vAlign w:val="bottom"/>
            <w:shd w:val="clear" w:color="auto" w:fill="00558C"/>
          </w:tcPr>
          <w:p>
            <w:pPr>
              <w:jc w:val="right"/>
              <w:ind w:right="53"/>
              <w:spacing w:after="0"/>
              <w:rPr>
                <w:sz w:val="20"/>
                <w:szCs w:val="20"/>
                <w:color w:val="auto"/>
              </w:rPr>
            </w:pPr>
            <w:r>
              <w:rPr>
                <w:rFonts w:ascii="Arial" w:cs="Arial" w:eastAsia="Arial" w:hAnsi="Arial"/>
                <w:sz w:val="13"/>
                <w:szCs w:val="13"/>
                <w:b w:val="1"/>
                <w:bCs w:val="1"/>
                <w:color w:val="FFFFFF"/>
              </w:rPr>
              <w:t>Number</w:t>
            </w:r>
          </w:p>
        </w:tc>
        <w:tc>
          <w:tcPr>
            <w:tcW w:w="760" w:type="dxa"/>
            <w:vAlign w:val="bottom"/>
            <w:shd w:val="clear" w:color="auto" w:fill="00558C"/>
          </w:tcPr>
          <w:p>
            <w:pPr>
              <w:jc w:val="right"/>
              <w:ind w:right="14"/>
              <w:spacing w:after="0"/>
              <w:rPr>
                <w:sz w:val="20"/>
                <w:szCs w:val="20"/>
                <w:color w:val="auto"/>
              </w:rPr>
            </w:pPr>
            <w:r>
              <w:rPr>
                <w:rFonts w:ascii="Arial" w:cs="Arial" w:eastAsia="Arial" w:hAnsi="Arial"/>
                <w:sz w:val="13"/>
                <w:szCs w:val="13"/>
                <w:b w:val="1"/>
                <w:bCs w:val="1"/>
                <w:color w:val="FFFFFF"/>
              </w:rPr>
              <w:t>Stock</w:t>
            </w:r>
          </w:p>
        </w:tc>
        <w:tc>
          <w:tcPr>
            <w:tcW w:w="200" w:type="dxa"/>
            <w:vAlign w:val="bottom"/>
            <w:shd w:val="clear" w:color="auto" w:fill="00558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20" w:type="dxa"/>
            <w:vAlign w:val="bottom"/>
            <w:shd w:val="clear" w:color="auto" w:fill="00558C"/>
          </w:tcPr>
          <w:p>
            <w:pPr>
              <w:spacing w:after="0"/>
              <w:rPr>
                <w:sz w:val="12"/>
                <w:szCs w:val="12"/>
                <w:color w:val="auto"/>
              </w:rPr>
            </w:pPr>
          </w:p>
        </w:tc>
        <w:tc>
          <w:tcPr>
            <w:tcW w:w="640" w:type="dxa"/>
            <w:vAlign w:val="bottom"/>
            <w:shd w:val="clear" w:color="auto" w:fill="00558C"/>
          </w:tcPr>
          <w:p>
            <w:pPr>
              <w:spacing w:after="0"/>
              <w:rPr>
                <w:sz w:val="12"/>
                <w:szCs w:val="12"/>
                <w:color w:val="auto"/>
              </w:rPr>
            </w:pPr>
          </w:p>
        </w:tc>
        <w:tc>
          <w:tcPr>
            <w:tcW w:w="1120" w:type="dxa"/>
            <w:vAlign w:val="bottom"/>
            <w:shd w:val="clear" w:color="auto" w:fill="00558C"/>
          </w:tcPr>
          <w:p>
            <w:pPr>
              <w:jc w:val="center"/>
              <w:spacing w:after="0"/>
              <w:rPr>
                <w:sz w:val="20"/>
                <w:szCs w:val="20"/>
                <w:color w:val="auto"/>
              </w:rPr>
            </w:pPr>
            <w:r>
              <w:rPr>
                <w:rFonts w:ascii="Arial" w:cs="Arial" w:eastAsia="Arial" w:hAnsi="Arial"/>
                <w:sz w:val="13"/>
                <w:szCs w:val="13"/>
                <w:b w:val="1"/>
                <w:bCs w:val="1"/>
                <w:color w:val="FFFFFF"/>
              </w:rPr>
              <w:t>Date of</w:t>
            </w:r>
          </w:p>
        </w:tc>
        <w:tc>
          <w:tcPr>
            <w:tcW w:w="820" w:type="dxa"/>
            <w:vAlign w:val="bottom"/>
            <w:shd w:val="clear" w:color="auto" w:fill="00558C"/>
          </w:tcPr>
          <w:p>
            <w:pPr>
              <w:spacing w:after="0"/>
              <w:rPr>
                <w:sz w:val="12"/>
                <w:szCs w:val="12"/>
                <w:color w:val="auto"/>
              </w:rPr>
            </w:pPr>
          </w:p>
        </w:tc>
        <w:tc>
          <w:tcPr>
            <w:tcW w:w="760" w:type="dxa"/>
            <w:vAlign w:val="bottom"/>
            <w:shd w:val="clear" w:color="auto" w:fill="00558C"/>
          </w:tcPr>
          <w:p>
            <w:pPr>
              <w:spacing w:after="0"/>
              <w:rPr>
                <w:sz w:val="12"/>
                <w:szCs w:val="12"/>
                <w:color w:val="auto"/>
              </w:rPr>
            </w:pPr>
          </w:p>
        </w:tc>
        <w:tc>
          <w:tcPr>
            <w:tcW w:w="800" w:type="dxa"/>
            <w:vAlign w:val="bottom"/>
            <w:shd w:val="clear" w:color="auto" w:fill="00558C"/>
          </w:tcPr>
          <w:p>
            <w:pPr>
              <w:spacing w:after="0"/>
              <w:rPr>
                <w:sz w:val="12"/>
                <w:szCs w:val="12"/>
                <w:color w:val="auto"/>
              </w:rPr>
            </w:pPr>
          </w:p>
        </w:tc>
        <w:tc>
          <w:tcPr>
            <w:tcW w:w="200" w:type="dxa"/>
            <w:vAlign w:val="bottom"/>
            <w:shd w:val="clear" w:color="auto" w:fill="00558C"/>
          </w:tcPr>
          <w:p>
            <w:pPr>
              <w:spacing w:after="0"/>
              <w:rPr>
                <w:sz w:val="12"/>
                <w:szCs w:val="12"/>
                <w:color w:val="auto"/>
              </w:rPr>
            </w:pPr>
          </w:p>
        </w:tc>
        <w:tc>
          <w:tcPr>
            <w:tcW w:w="860" w:type="dxa"/>
            <w:vAlign w:val="bottom"/>
            <w:shd w:val="clear" w:color="auto" w:fill="00558C"/>
          </w:tcPr>
          <w:p>
            <w:pPr>
              <w:spacing w:after="0"/>
              <w:rPr>
                <w:sz w:val="12"/>
                <w:szCs w:val="12"/>
                <w:color w:val="auto"/>
              </w:rPr>
            </w:pPr>
          </w:p>
        </w:tc>
        <w:tc>
          <w:tcPr>
            <w:tcW w:w="560" w:type="dxa"/>
            <w:vAlign w:val="bottom"/>
            <w:shd w:val="clear" w:color="auto" w:fill="00558C"/>
          </w:tcPr>
          <w:p>
            <w:pPr>
              <w:spacing w:after="0"/>
              <w:rPr>
                <w:sz w:val="12"/>
                <w:szCs w:val="12"/>
                <w:color w:val="auto"/>
              </w:rPr>
            </w:pPr>
          </w:p>
        </w:tc>
        <w:tc>
          <w:tcPr>
            <w:tcW w:w="800" w:type="dxa"/>
            <w:vAlign w:val="bottom"/>
            <w:shd w:val="clear" w:color="auto" w:fill="00558C"/>
          </w:tcPr>
          <w:p>
            <w:pPr>
              <w:spacing w:after="0"/>
              <w:rPr>
                <w:sz w:val="12"/>
                <w:szCs w:val="12"/>
                <w:color w:val="auto"/>
              </w:rPr>
            </w:pPr>
          </w:p>
        </w:tc>
        <w:tc>
          <w:tcPr>
            <w:tcW w:w="740" w:type="dxa"/>
            <w:vAlign w:val="bottom"/>
            <w:shd w:val="clear" w:color="auto" w:fill="00558C"/>
          </w:tcPr>
          <w:p>
            <w:pPr>
              <w:jc w:val="right"/>
              <w:spacing w:after="0"/>
              <w:rPr>
                <w:sz w:val="20"/>
                <w:szCs w:val="20"/>
                <w:color w:val="auto"/>
              </w:rPr>
            </w:pPr>
            <w:r>
              <w:rPr>
                <w:rFonts w:ascii="Arial" w:cs="Arial" w:eastAsia="Arial" w:hAnsi="Arial"/>
                <w:sz w:val="13"/>
                <w:szCs w:val="13"/>
                <w:b w:val="1"/>
                <w:bCs w:val="1"/>
                <w:color w:val="FFFFFF"/>
              </w:rPr>
              <w:t>of</w:t>
            </w:r>
          </w:p>
        </w:tc>
        <w:tc>
          <w:tcPr>
            <w:tcW w:w="760" w:type="dxa"/>
            <w:vAlign w:val="bottom"/>
            <w:shd w:val="clear" w:color="auto" w:fill="00558C"/>
          </w:tcPr>
          <w:p>
            <w:pPr>
              <w:jc w:val="right"/>
              <w:ind w:right="14"/>
              <w:spacing w:after="0"/>
              <w:rPr>
                <w:sz w:val="20"/>
                <w:szCs w:val="20"/>
                <w:color w:val="auto"/>
              </w:rPr>
            </w:pPr>
            <w:r>
              <w:rPr>
                <w:rFonts w:ascii="Arial" w:cs="Arial" w:eastAsia="Arial" w:hAnsi="Arial"/>
                <w:sz w:val="13"/>
                <w:szCs w:val="13"/>
                <w:b w:val="1"/>
                <w:bCs w:val="1"/>
                <w:color w:val="FFFFFF"/>
              </w:rPr>
              <w:t>and</w:t>
            </w:r>
          </w:p>
        </w:tc>
        <w:tc>
          <w:tcPr>
            <w:tcW w:w="200" w:type="dxa"/>
            <w:vAlign w:val="bottom"/>
            <w:shd w:val="clear" w:color="auto" w:fill="00558C"/>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820" w:type="dxa"/>
            <w:vAlign w:val="bottom"/>
            <w:shd w:val="clear" w:color="auto" w:fill="00558C"/>
          </w:tcPr>
          <w:p>
            <w:pPr>
              <w:spacing w:after="0"/>
              <w:rPr>
                <w:sz w:val="13"/>
                <w:szCs w:val="13"/>
                <w:color w:val="auto"/>
              </w:rPr>
            </w:pPr>
          </w:p>
        </w:tc>
        <w:tc>
          <w:tcPr>
            <w:tcW w:w="640" w:type="dxa"/>
            <w:vAlign w:val="bottom"/>
            <w:shd w:val="clear" w:color="auto" w:fill="00558C"/>
          </w:tcPr>
          <w:p>
            <w:pPr>
              <w:spacing w:after="0"/>
              <w:rPr>
                <w:sz w:val="13"/>
                <w:szCs w:val="13"/>
                <w:color w:val="auto"/>
              </w:rPr>
            </w:pPr>
          </w:p>
        </w:tc>
        <w:tc>
          <w:tcPr>
            <w:tcW w:w="1120" w:type="dxa"/>
            <w:vAlign w:val="bottom"/>
            <w:shd w:val="clear" w:color="auto" w:fill="00558C"/>
          </w:tcPr>
          <w:p>
            <w:pPr>
              <w:jc w:val="center"/>
              <w:ind w:right="33"/>
              <w:spacing w:after="0" w:line="144" w:lineRule="exact"/>
              <w:rPr>
                <w:sz w:val="20"/>
                <w:szCs w:val="20"/>
                <w:color w:val="auto"/>
              </w:rPr>
            </w:pPr>
            <w:r>
              <w:rPr>
                <w:rFonts w:ascii="Arial" w:cs="Arial" w:eastAsia="Arial" w:hAnsi="Arial"/>
                <w:sz w:val="13"/>
                <w:szCs w:val="13"/>
                <w:b w:val="1"/>
                <w:bCs w:val="1"/>
                <w:color w:val="FFFFFF"/>
              </w:rPr>
              <w:t>Compensation</w:t>
            </w:r>
          </w:p>
        </w:tc>
        <w:tc>
          <w:tcPr>
            <w:tcW w:w="820" w:type="dxa"/>
            <w:vAlign w:val="bottom"/>
            <w:shd w:val="clear" w:color="auto" w:fill="00558C"/>
          </w:tcPr>
          <w:p>
            <w:pPr>
              <w:spacing w:after="0"/>
              <w:rPr>
                <w:sz w:val="13"/>
                <w:szCs w:val="13"/>
                <w:color w:val="auto"/>
              </w:rPr>
            </w:pPr>
          </w:p>
        </w:tc>
        <w:tc>
          <w:tcPr>
            <w:tcW w:w="760" w:type="dxa"/>
            <w:vAlign w:val="bottom"/>
            <w:shd w:val="clear" w:color="auto" w:fill="00558C"/>
          </w:tcPr>
          <w:p>
            <w:pPr>
              <w:spacing w:after="0"/>
              <w:rPr>
                <w:sz w:val="13"/>
                <w:szCs w:val="13"/>
                <w:color w:val="auto"/>
              </w:rPr>
            </w:pPr>
          </w:p>
        </w:tc>
        <w:tc>
          <w:tcPr>
            <w:tcW w:w="800" w:type="dxa"/>
            <w:vAlign w:val="bottom"/>
            <w:shd w:val="clear" w:color="auto" w:fill="00558C"/>
          </w:tcPr>
          <w:p>
            <w:pPr>
              <w:spacing w:after="0"/>
              <w:rPr>
                <w:sz w:val="13"/>
                <w:szCs w:val="13"/>
                <w:color w:val="auto"/>
              </w:rPr>
            </w:pPr>
          </w:p>
        </w:tc>
        <w:tc>
          <w:tcPr>
            <w:tcW w:w="200" w:type="dxa"/>
            <w:vAlign w:val="bottom"/>
            <w:shd w:val="clear" w:color="auto" w:fill="00558C"/>
          </w:tcPr>
          <w:p>
            <w:pPr>
              <w:spacing w:after="0"/>
              <w:rPr>
                <w:sz w:val="13"/>
                <w:szCs w:val="13"/>
                <w:color w:val="auto"/>
              </w:rPr>
            </w:pPr>
          </w:p>
        </w:tc>
        <w:tc>
          <w:tcPr>
            <w:tcW w:w="860" w:type="dxa"/>
            <w:vAlign w:val="bottom"/>
            <w:shd w:val="clear" w:color="auto" w:fill="00558C"/>
          </w:tcPr>
          <w:p>
            <w:pPr>
              <w:spacing w:after="0"/>
              <w:rPr>
                <w:sz w:val="13"/>
                <w:szCs w:val="13"/>
                <w:color w:val="auto"/>
              </w:rPr>
            </w:pPr>
          </w:p>
        </w:tc>
        <w:tc>
          <w:tcPr>
            <w:tcW w:w="560" w:type="dxa"/>
            <w:vAlign w:val="bottom"/>
            <w:shd w:val="clear" w:color="auto" w:fill="00558C"/>
          </w:tcPr>
          <w:p>
            <w:pPr>
              <w:spacing w:after="0"/>
              <w:rPr>
                <w:sz w:val="13"/>
                <w:szCs w:val="13"/>
                <w:color w:val="auto"/>
              </w:rPr>
            </w:pPr>
          </w:p>
        </w:tc>
        <w:tc>
          <w:tcPr>
            <w:tcW w:w="800" w:type="dxa"/>
            <w:vAlign w:val="bottom"/>
            <w:shd w:val="clear" w:color="auto" w:fill="00558C"/>
          </w:tcPr>
          <w:p>
            <w:pPr>
              <w:spacing w:after="0"/>
              <w:rPr>
                <w:sz w:val="13"/>
                <w:szCs w:val="13"/>
                <w:color w:val="auto"/>
              </w:rPr>
            </w:pPr>
          </w:p>
        </w:tc>
        <w:tc>
          <w:tcPr>
            <w:tcW w:w="740" w:type="dxa"/>
            <w:vAlign w:val="bottom"/>
            <w:shd w:val="clear" w:color="auto" w:fill="00558C"/>
          </w:tcPr>
          <w:p>
            <w:pPr>
              <w:jc w:val="right"/>
              <w:ind w:right="13"/>
              <w:spacing w:after="0"/>
              <w:rPr>
                <w:sz w:val="20"/>
                <w:szCs w:val="20"/>
                <w:color w:val="auto"/>
              </w:rPr>
            </w:pPr>
            <w:r>
              <w:rPr>
                <w:rFonts w:ascii="Arial" w:cs="Arial" w:eastAsia="Arial" w:hAnsi="Arial"/>
                <w:sz w:val="13"/>
                <w:szCs w:val="13"/>
                <w:b w:val="1"/>
                <w:bCs w:val="1"/>
                <w:color w:val="FFFFFF"/>
              </w:rPr>
              <w:t>Shares</w:t>
            </w:r>
          </w:p>
        </w:tc>
        <w:tc>
          <w:tcPr>
            <w:tcW w:w="760" w:type="dxa"/>
            <w:vAlign w:val="bottom"/>
            <w:shd w:val="clear" w:color="auto" w:fill="00558C"/>
          </w:tcPr>
          <w:p>
            <w:pPr>
              <w:jc w:val="right"/>
              <w:ind w:right="34"/>
              <w:spacing w:after="0"/>
              <w:rPr>
                <w:sz w:val="20"/>
                <w:szCs w:val="20"/>
                <w:color w:val="auto"/>
              </w:rPr>
            </w:pPr>
            <w:r>
              <w:rPr>
                <w:rFonts w:ascii="Arial" w:cs="Arial" w:eastAsia="Arial" w:hAnsi="Arial"/>
                <w:sz w:val="13"/>
                <w:szCs w:val="13"/>
                <w:b w:val="1"/>
                <w:bCs w:val="1"/>
                <w:color w:val="FFFFFF"/>
              </w:rPr>
              <w:t>Option</w:t>
            </w:r>
          </w:p>
        </w:tc>
        <w:tc>
          <w:tcPr>
            <w:tcW w:w="200" w:type="dxa"/>
            <w:vAlign w:val="bottom"/>
            <w:shd w:val="clear" w:color="auto" w:fill="00558C"/>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820" w:type="dxa"/>
            <w:vAlign w:val="bottom"/>
            <w:shd w:val="clear" w:color="auto" w:fill="00558C"/>
          </w:tcPr>
          <w:p>
            <w:pPr>
              <w:spacing w:after="0"/>
              <w:rPr>
                <w:sz w:val="11"/>
                <w:szCs w:val="11"/>
                <w:color w:val="auto"/>
              </w:rPr>
            </w:pPr>
          </w:p>
        </w:tc>
        <w:tc>
          <w:tcPr>
            <w:tcW w:w="640" w:type="dxa"/>
            <w:vAlign w:val="bottom"/>
            <w:shd w:val="clear" w:color="auto" w:fill="00558C"/>
          </w:tcPr>
          <w:p>
            <w:pPr>
              <w:jc w:val="center"/>
              <w:spacing w:after="0" w:line="136" w:lineRule="exact"/>
              <w:rPr>
                <w:sz w:val="20"/>
                <w:szCs w:val="20"/>
                <w:color w:val="auto"/>
              </w:rPr>
            </w:pPr>
            <w:r>
              <w:rPr>
                <w:rFonts w:ascii="Arial" w:cs="Arial" w:eastAsia="Arial" w:hAnsi="Arial"/>
                <w:sz w:val="13"/>
                <w:szCs w:val="13"/>
                <w:b w:val="1"/>
                <w:bCs w:val="1"/>
                <w:color w:val="FFFFFF"/>
              </w:rPr>
              <w:t>Grant</w:t>
            </w:r>
          </w:p>
        </w:tc>
        <w:tc>
          <w:tcPr>
            <w:tcW w:w="1120" w:type="dxa"/>
            <w:vAlign w:val="bottom"/>
            <w:shd w:val="clear" w:color="auto" w:fill="00558C"/>
          </w:tcPr>
          <w:p>
            <w:pPr>
              <w:jc w:val="center"/>
              <w:spacing w:after="0" w:line="136" w:lineRule="exact"/>
              <w:rPr>
                <w:sz w:val="20"/>
                <w:szCs w:val="20"/>
                <w:color w:val="auto"/>
              </w:rPr>
            </w:pPr>
            <w:r>
              <w:rPr>
                <w:rFonts w:ascii="Arial" w:cs="Arial" w:eastAsia="Arial" w:hAnsi="Arial"/>
                <w:sz w:val="13"/>
                <w:szCs w:val="13"/>
                <w:b w:val="1"/>
                <w:bCs w:val="1"/>
                <w:color w:val="FFFFFF"/>
              </w:rPr>
              <w:t>Committee</w:t>
            </w:r>
          </w:p>
        </w:tc>
        <w:tc>
          <w:tcPr>
            <w:tcW w:w="820" w:type="dxa"/>
            <w:vAlign w:val="bottom"/>
            <w:shd w:val="clear" w:color="auto" w:fill="00558C"/>
          </w:tcPr>
          <w:p>
            <w:pPr>
              <w:jc w:val="right"/>
              <w:ind w:right="33"/>
              <w:spacing w:after="0" w:line="136" w:lineRule="exact"/>
              <w:rPr>
                <w:sz w:val="20"/>
                <w:szCs w:val="20"/>
                <w:color w:val="auto"/>
              </w:rPr>
            </w:pPr>
            <w:r>
              <w:rPr>
                <w:rFonts w:ascii="Arial" w:cs="Arial" w:eastAsia="Arial" w:hAnsi="Arial"/>
                <w:sz w:val="13"/>
                <w:szCs w:val="13"/>
                <w:b w:val="1"/>
                <w:bCs w:val="1"/>
                <w:color w:val="FFFFFF"/>
              </w:rPr>
              <w:t>Threshold</w:t>
            </w:r>
          </w:p>
        </w:tc>
        <w:tc>
          <w:tcPr>
            <w:tcW w:w="760" w:type="dxa"/>
            <w:vAlign w:val="bottom"/>
            <w:shd w:val="clear" w:color="auto" w:fill="00558C"/>
          </w:tcPr>
          <w:p>
            <w:pPr>
              <w:jc w:val="right"/>
              <w:ind w:right="53"/>
              <w:spacing w:after="0" w:line="136" w:lineRule="exact"/>
              <w:rPr>
                <w:sz w:val="20"/>
                <w:szCs w:val="20"/>
                <w:color w:val="auto"/>
              </w:rPr>
            </w:pPr>
            <w:r>
              <w:rPr>
                <w:rFonts w:ascii="Arial" w:cs="Arial" w:eastAsia="Arial" w:hAnsi="Arial"/>
                <w:sz w:val="13"/>
                <w:szCs w:val="13"/>
                <w:b w:val="1"/>
                <w:bCs w:val="1"/>
                <w:color w:val="FFFFFF"/>
              </w:rPr>
              <w:t>Target</w:t>
            </w:r>
          </w:p>
        </w:tc>
        <w:tc>
          <w:tcPr>
            <w:tcW w:w="800" w:type="dxa"/>
            <w:vAlign w:val="bottom"/>
            <w:shd w:val="clear" w:color="auto" w:fill="00558C"/>
          </w:tcPr>
          <w:p>
            <w:pPr>
              <w:jc w:val="right"/>
              <w:ind w:right="73"/>
              <w:spacing w:after="0" w:line="136" w:lineRule="exact"/>
              <w:rPr>
                <w:sz w:val="20"/>
                <w:szCs w:val="20"/>
                <w:color w:val="auto"/>
              </w:rPr>
            </w:pPr>
            <w:r>
              <w:rPr>
                <w:rFonts w:ascii="Arial" w:cs="Arial" w:eastAsia="Arial" w:hAnsi="Arial"/>
                <w:sz w:val="13"/>
                <w:szCs w:val="13"/>
                <w:b w:val="1"/>
                <w:bCs w:val="1"/>
                <w:color w:val="FFFFFF"/>
              </w:rPr>
              <w:t>Maximum</w:t>
            </w:r>
          </w:p>
        </w:tc>
        <w:tc>
          <w:tcPr>
            <w:tcW w:w="200" w:type="dxa"/>
            <w:vAlign w:val="bottom"/>
            <w:shd w:val="clear" w:color="auto" w:fill="00558C"/>
          </w:tcPr>
          <w:p>
            <w:pPr>
              <w:spacing w:after="0"/>
              <w:rPr>
                <w:sz w:val="11"/>
                <w:szCs w:val="11"/>
                <w:color w:val="auto"/>
              </w:rPr>
            </w:pPr>
          </w:p>
        </w:tc>
        <w:tc>
          <w:tcPr>
            <w:tcW w:w="860" w:type="dxa"/>
            <w:vAlign w:val="bottom"/>
            <w:shd w:val="clear" w:color="auto" w:fill="00558C"/>
          </w:tcPr>
          <w:p>
            <w:pPr>
              <w:jc w:val="right"/>
              <w:ind w:right="73"/>
              <w:spacing w:after="0" w:line="136" w:lineRule="exact"/>
              <w:rPr>
                <w:sz w:val="20"/>
                <w:szCs w:val="20"/>
                <w:color w:val="auto"/>
              </w:rPr>
            </w:pPr>
            <w:r>
              <w:rPr>
                <w:rFonts w:ascii="Arial" w:cs="Arial" w:eastAsia="Arial" w:hAnsi="Arial"/>
                <w:sz w:val="13"/>
                <w:szCs w:val="13"/>
                <w:b w:val="1"/>
                <w:bCs w:val="1"/>
                <w:color w:val="FFFFFF"/>
              </w:rPr>
              <w:t>Threshold</w:t>
            </w:r>
          </w:p>
        </w:tc>
        <w:tc>
          <w:tcPr>
            <w:tcW w:w="560" w:type="dxa"/>
            <w:vAlign w:val="bottom"/>
            <w:shd w:val="clear" w:color="auto" w:fill="00558C"/>
          </w:tcPr>
          <w:p>
            <w:pPr>
              <w:jc w:val="right"/>
              <w:ind w:right="53"/>
              <w:spacing w:after="0" w:line="136" w:lineRule="exact"/>
              <w:rPr>
                <w:sz w:val="20"/>
                <w:szCs w:val="20"/>
                <w:color w:val="auto"/>
              </w:rPr>
            </w:pPr>
            <w:r>
              <w:rPr>
                <w:rFonts w:ascii="Arial" w:cs="Arial" w:eastAsia="Arial" w:hAnsi="Arial"/>
                <w:sz w:val="13"/>
                <w:szCs w:val="13"/>
                <w:b w:val="1"/>
                <w:bCs w:val="1"/>
                <w:color w:val="FFFFFF"/>
              </w:rPr>
              <w:t>Target</w:t>
            </w:r>
          </w:p>
        </w:tc>
        <w:tc>
          <w:tcPr>
            <w:tcW w:w="800" w:type="dxa"/>
            <w:vAlign w:val="bottom"/>
            <w:shd w:val="clear" w:color="auto" w:fill="00558C"/>
          </w:tcPr>
          <w:p>
            <w:pPr>
              <w:jc w:val="right"/>
              <w:ind w:right="73"/>
              <w:spacing w:after="0" w:line="136" w:lineRule="exact"/>
              <w:rPr>
                <w:sz w:val="20"/>
                <w:szCs w:val="20"/>
                <w:color w:val="auto"/>
              </w:rPr>
            </w:pPr>
            <w:r>
              <w:rPr>
                <w:rFonts w:ascii="Arial" w:cs="Arial" w:eastAsia="Arial" w:hAnsi="Arial"/>
                <w:sz w:val="13"/>
                <w:szCs w:val="13"/>
                <w:b w:val="1"/>
                <w:bCs w:val="1"/>
                <w:color w:val="FFFFFF"/>
              </w:rPr>
              <w:t>Maximum</w:t>
            </w:r>
          </w:p>
        </w:tc>
        <w:tc>
          <w:tcPr>
            <w:tcW w:w="740" w:type="dxa"/>
            <w:vAlign w:val="bottom"/>
            <w:shd w:val="clear" w:color="auto" w:fill="00558C"/>
          </w:tcPr>
          <w:p>
            <w:pPr>
              <w:jc w:val="right"/>
              <w:ind w:right="33"/>
              <w:spacing w:after="0" w:line="136" w:lineRule="exact"/>
              <w:rPr>
                <w:sz w:val="20"/>
                <w:szCs w:val="20"/>
                <w:color w:val="auto"/>
              </w:rPr>
            </w:pPr>
            <w:r>
              <w:rPr>
                <w:rFonts w:ascii="Arial" w:cs="Arial" w:eastAsia="Arial" w:hAnsi="Arial"/>
                <w:sz w:val="13"/>
                <w:szCs w:val="13"/>
                <w:b w:val="1"/>
                <w:bCs w:val="1"/>
                <w:color w:val="FFFFFF"/>
              </w:rPr>
              <w:t>of Stock</w:t>
            </w:r>
          </w:p>
        </w:tc>
        <w:tc>
          <w:tcPr>
            <w:tcW w:w="760" w:type="dxa"/>
            <w:vAlign w:val="bottom"/>
            <w:shd w:val="clear" w:color="auto" w:fill="00558C"/>
          </w:tcPr>
          <w:p>
            <w:pPr>
              <w:jc w:val="right"/>
              <w:ind w:right="34"/>
              <w:spacing w:after="0" w:line="136" w:lineRule="exact"/>
              <w:rPr>
                <w:sz w:val="20"/>
                <w:szCs w:val="20"/>
                <w:color w:val="auto"/>
              </w:rPr>
            </w:pPr>
            <w:r>
              <w:rPr>
                <w:rFonts w:ascii="Arial" w:cs="Arial" w:eastAsia="Arial" w:hAnsi="Arial"/>
                <w:sz w:val="13"/>
                <w:szCs w:val="13"/>
                <w:b w:val="1"/>
                <w:bCs w:val="1"/>
                <w:color w:val="FFFFFF"/>
              </w:rPr>
              <w:t>Awards</w:t>
            </w:r>
          </w:p>
        </w:tc>
        <w:tc>
          <w:tcPr>
            <w:tcW w:w="200" w:type="dxa"/>
            <w:vAlign w:val="bottom"/>
            <w:shd w:val="clear" w:color="auto" w:fill="00558C"/>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00558C"/>
          </w:tcPr>
          <w:p>
            <w:pPr>
              <w:ind w:left="140"/>
              <w:spacing w:after="0"/>
              <w:rPr>
                <w:sz w:val="20"/>
                <w:szCs w:val="20"/>
                <w:color w:val="auto"/>
              </w:rPr>
            </w:pPr>
            <w:r>
              <w:rPr>
                <w:rFonts w:ascii="Arial" w:cs="Arial" w:eastAsia="Arial" w:hAnsi="Arial"/>
                <w:sz w:val="13"/>
                <w:szCs w:val="13"/>
                <w:b w:val="1"/>
                <w:bCs w:val="1"/>
                <w:color w:val="FFFFFF"/>
              </w:rPr>
              <w:t>Name</w:t>
            </w:r>
          </w:p>
        </w:tc>
        <w:tc>
          <w:tcPr>
            <w:tcW w:w="640" w:type="dxa"/>
            <w:vAlign w:val="bottom"/>
            <w:shd w:val="clear" w:color="auto" w:fill="00558C"/>
          </w:tcPr>
          <w:p>
            <w:pPr>
              <w:jc w:val="center"/>
              <w:spacing w:after="0"/>
              <w:rPr>
                <w:sz w:val="20"/>
                <w:szCs w:val="20"/>
                <w:color w:val="auto"/>
              </w:rPr>
            </w:pPr>
            <w:r>
              <w:rPr>
                <w:rFonts w:ascii="Arial" w:cs="Arial" w:eastAsia="Arial" w:hAnsi="Arial"/>
                <w:sz w:val="13"/>
                <w:szCs w:val="13"/>
                <w:b w:val="1"/>
                <w:bCs w:val="1"/>
                <w:color w:val="FFFFFF"/>
              </w:rPr>
              <w:t>Date</w:t>
            </w:r>
          </w:p>
        </w:tc>
        <w:tc>
          <w:tcPr>
            <w:tcW w:w="1120" w:type="dxa"/>
            <w:vAlign w:val="bottom"/>
            <w:shd w:val="clear" w:color="auto" w:fill="00558C"/>
          </w:tcPr>
          <w:p>
            <w:pPr>
              <w:jc w:val="center"/>
              <w:spacing w:after="0"/>
              <w:rPr>
                <w:sz w:val="20"/>
                <w:szCs w:val="20"/>
                <w:color w:val="auto"/>
              </w:rPr>
            </w:pPr>
            <w:r>
              <w:rPr>
                <w:rFonts w:ascii="Arial" w:cs="Arial" w:eastAsia="Arial" w:hAnsi="Arial"/>
                <w:sz w:val="13"/>
                <w:szCs w:val="13"/>
                <w:b w:val="1"/>
                <w:bCs w:val="1"/>
                <w:color w:val="FFFFFF"/>
              </w:rPr>
              <w:t>Action</w:t>
            </w:r>
          </w:p>
        </w:tc>
        <w:tc>
          <w:tcPr>
            <w:tcW w:w="820" w:type="dxa"/>
            <w:vAlign w:val="bottom"/>
            <w:shd w:val="clear" w:color="auto" w:fill="00558C"/>
          </w:tcPr>
          <w:p>
            <w:pPr>
              <w:jc w:val="right"/>
              <w:spacing w:after="0"/>
              <w:rPr>
                <w:sz w:val="20"/>
                <w:szCs w:val="20"/>
                <w:color w:val="auto"/>
              </w:rPr>
            </w:pPr>
            <w:r>
              <w:rPr>
                <w:rFonts w:ascii="Arial" w:cs="Arial" w:eastAsia="Arial" w:hAnsi="Arial"/>
                <w:sz w:val="13"/>
                <w:szCs w:val="13"/>
                <w:b w:val="1"/>
                <w:bCs w:val="1"/>
                <w:color w:val="FFFFFF"/>
              </w:rPr>
              <w:t>($)</w:t>
            </w:r>
          </w:p>
        </w:tc>
        <w:tc>
          <w:tcPr>
            <w:tcW w:w="760" w:type="dxa"/>
            <w:vAlign w:val="bottom"/>
            <w:shd w:val="clear" w:color="auto" w:fill="00558C"/>
          </w:tcPr>
          <w:p>
            <w:pPr>
              <w:jc w:val="right"/>
              <w:ind w:right="13"/>
              <w:spacing w:after="0"/>
              <w:rPr>
                <w:sz w:val="20"/>
                <w:szCs w:val="20"/>
                <w:color w:val="auto"/>
              </w:rPr>
            </w:pPr>
            <w:r>
              <w:rPr>
                <w:rFonts w:ascii="Arial" w:cs="Arial" w:eastAsia="Arial" w:hAnsi="Arial"/>
                <w:sz w:val="13"/>
                <w:szCs w:val="13"/>
                <w:b w:val="1"/>
                <w:bCs w:val="1"/>
                <w:color w:val="FFFFFF"/>
              </w:rPr>
              <w:t>($)</w:t>
            </w:r>
          </w:p>
        </w:tc>
        <w:tc>
          <w:tcPr>
            <w:tcW w:w="800" w:type="dxa"/>
            <w:vAlign w:val="bottom"/>
            <w:shd w:val="clear" w:color="auto" w:fill="00558C"/>
          </w:tcPr>
          <w:p>
            <w:pPr>
              <w:jc w:val="right"/>
              <w:spacing w:after="0"/>
              <w:rPr>
                <w:sz w:val="20"/>
                <w:szCs w:val="20"/>
                <w:color w:val="auto"/>
              </w:rPr>
            </w:pPr>
            <w:r>
              <w:rPr>
                <w:rFonts w:ascii="Arial" w:cs="Arial" w:eastAsia="Arial" w:hAnsi="Arial"/>
                <w:sz w:val="13"/>
                <w:szCs w:val="13"/>
                <w:b w:val="1"/>
                <w:bCs w:val="1"/>
                <w:color w:val="FFFFFF"/>
              </w:rPr>
              <w:t>($)</w:t>
            </w:r>
          </w:p>
        </w:tc>
        <w:tc>
          <w:tcPr>
            <w:tcW w:w="200" w:type="dxa"/>
            <w:vAlign w:val="bottom"/>
            <w:shd w:val="clear" w:color="auto" w:fill="00558C"/>
          </w:tcPr>
          <w:p>
            <w:pPr>
              <w:spacing w:after="0"/>
              <w:rPr>
                <w:sz w:val="18"/>
                <w:szCs w:val="18"/>
                <w:color w:val="auto"/>
              </w:rPr>
            </w:pPr>
          </w:p>
        </w:tc>
        <w:tc>
          <w:tcPr>
            <w:tcW w:w="860" w:type="dxa"/>
            <w:vAlign w:val="bottom"/>
            <w:shd w:val="clear" w:color="auto" w:fill="00558C"/>
          </w:tcPr>
          <w:p>
            <w:pPr>
              <w:jc w:val="right"/>
              <w:ind w:right="53"/>
              <w:spacing w:after="0"/>
              <w:rPr>
                <w:sz w:val="20"/>
                <w:szCs w:val="20"/>
                <w:color w:val="auto"/>
              </w:rPr>
            </w:pPr>
            <w:r>
              <w:rPr>
                <w:rFonts w:ascii="Arial" w:cs="Arial" w:eastAsia="Arial" w:hAnsi="Arial"/>
                <w:sz w:val="13"/>
                <w:szCs w:val="13"/>
                <w:b w:val="1"/>
                <w:bCs w:val="1"/>
                <w:color w:val="FFFFFF"/>
              </w:rPr>
              <w:t>(#)</w:t>
            </w:r>
          </w:p>
        </w:tc>
        <w:tc>
          <w:tcPr>
            <w:tcW w:w="560" w:type="dxa"/>
            <w:vAlign w:val="bottom"/>
            <w:shd w:val="clear" w:color="auto" w:fill="00558C"/>
          </w:tcPr>
          <w:p>
            <w:pPr>
              <w:jc w:val="right"/>
              <w:ind w:right="13"/>
              <w:spacing w:after="0"/>
              <w:rPr>
                <w:sz w:val="20"/>
                <w:szCs w:val="20"/>
                <w:color w:val="auto"/>
              </w:rPr>
            </w:pPr>
            <w:r>
              <w:rPr>
                <w:rFonts w:ascii="Arial" w:cs="Arial" w:eastAsia="Arial" w:hAnsi="Arial"/>
                <w:sz w:val="13"/>
                <w:szCs w:val="13"/>
                <w:b w:val="1"/>
                <w:bCs w:val="1"/>
                <w:color w:val="FFFFFF"/>
              </w:rPr>
              <w:t>(#)</w:t>
            </w:r>
          </w:p>
        </w:tc>
        <w:tc>
          <w:tcPr>
            <w:tcW w:w="800" w:type="dxa"/>
            <w:vAlign w:val="bottom"/>
            <w:shd w:val="clear" w:color="auto" w:fill="00558C"/>
          </w:tcPr>
          <w:p>
            <w:pPr>
              <w:jc w:val="right"/>
              <w:ind w:right="13"/>
              <w:spacing w:after="0"/>
              <w:rPr>
                <w:sz w:val="20"/>
                <w:szCs w:val="20"/>
                <w:color w:val="auto"/>
              </w:rPr>
            </w:pPr>
            <w:r>
              <w:rPr>
                <w:rFonts w:ascii="Arial" w:cs="Arial" w:eastAsia="Arial" w:hAnsi="Arial"/>
                <w:sz w:val="13"/>
                <w:szCs w:val="13"/>
                <w:b w:val="1"/>
                <w:bCs w:val="1"/>
                <w:color w:val="FFFFFF"/>
              </w:rPr>
              <w:t>(#)</w:t>
            </w:r>
          </w:p>
        </w:tc>
        <w:tc>
          <w:tcPr>
            <w:tcW w:w="740" w:type="dxa"/>
            <w:vAlign w:val="bottom"/>
            <w:shd w:val="clear" w:color="auto" w:fill="00558C"/>
          </w:tcPr>
          <w:p>
            <w:pPr>
              <w:jc w:val="right"/>
              <w:ind w:right="13"/>
              <w:spacing w:after="0"/>
              <w:rPr>
                <w:sz w:val="20"/>
                <w:szCs w:val="20"/>
                <w:color w:val="auto"/>
              </w:rPr>
            </w:pPr>
            <w:r>
              <w:rPr>
                <w:rFonts w:ascii="Arial" w:cs="Arial" w:eastAsia="Arial" w:hAnsi="Arial"/>
                <w:sz w:val="13"/>
                <w:szCs w:val="13"/>
                <w:b w:val="1"/>
                <w:bCs w:val="1"/>
                <w:color w:val="FFFFFF"/>
              </w:rPr>
              <w:t>(#)</w:t>
            </w:r>
          </w:p>
        </w:tc>
        <w:tc>
          <w:tcPr>
            <w:tcW w:w="760" w:type="dxa"/>
            <w:vAlign w:val="bottom"/>
            <w:shd w:val="clear" w:color="auto" w:fill="00558C"/>
          </w:tcPr>
          <w:p>
            <w:pPr>
              <w:jc w:val="right"/>
              <w:spacing w:after="0" w:line="216" w:lineRule="exact"/>
              <w:rPr>
                <w:sz w:val="20"/>
                <w:szCs w:val="20"/>
                <w:color w:val="auto"/>
              </w:rPr>
            </w:pPr>
            <w:r>
              <w:rPr>
                <w:rFonts w:ascii="Arial" w:cs="Arial" w:eastAsia="Arial" w:hAnsi="Arial"/>
                <w:sz w:val="25"/>
                <w:szCs w:val="25"/>
                <w:b w:val="1"/>
                <w:bCs w:val="1"/>
                <w:color w:val="FFFFFF"/>
                <w:vertAlign w:val="subscript"/>
              </w:rPr>
              <w:t>($)</w:t>
            </w:r>
            <w:r>
              <w:rPr>
                <w:rFonts w:ascii="Arial" w:cs="Arial" w:eastAsia="Arial" w:hAnsi="Arial"/>
                <w:sz w:val="9"/>
                <w:szCs w:val="9"/>
                <w:b w:val="1"/>
                <w:bCs w:val="1"/>
                <w:color w:val="FFFFFF"/>
              </w:rPr>
              <w:t xml:space="preserve"> (4)</w:t>
            </w:r>
          </w:p>
        </w:tc>
        <w:tc>
          <w:tcPr>
            <w:tcW w:w="200" w:type="dxa"/>
            <w:vAlign w:val="bottom"/>
            <w:shd w:val="clear" w:color="auto" w:fill="00558C"/>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820" w:type="dxa"/>
            <w:vAlign w:val="bottom"/>
            <w:shd w:val="clear" w:color="auto" w:fill="00558C"/>
          </w:tcPr>
          <w:p>
            <w:pPr>
              <w:spacing w:after="0"/>
              <w:rPr>
                <w:sz w:val="8"/>
                <w:szCs w:val="8"/>
                <w:color w:val="auto"/>
              </w:rPr>
            </w:pPr>
          </w:p>
        </w:tc>
        <w:tc>
          <w:tcPr>
            <w:tcW w:w="640" w:type="dxa"/>
            <w:vAlign w:val="bottom"/>
            <w:shd w:val="clear" w:color="auto" w:fill="00558C"/>
          </w:tcPr>
          <w:p>
            <w:pPr>
              <w:spacing w:after="0"/>
              <w:rPr>
                <w:sz w:val="8"/>
                <w:szCs w:val="8"/>
                <w:color w:val="auto"/>
              </w:rPr>
            </w:pPr>
          </w:p>
        </w:tc>
        <w:tc>
          <w:tcPr>
            <w:tcW w:w="1120" w:type="dxa"/>
            <w:vAlign w:val="bottom"/>
            <w:shd w:val="clear" w:color="auto" w:fill="00558C"/>
          </w:tcPr>
          <w:p>
            <w:pPr>
              <w:spacing w:after="0"/>
              <w:rPr>
                <w:sz w:val="8"/>
                <w:szCs w:val="8"/>
                <w:color w:val="auto"/>
              </w:rPr>
            </w:pPr>
          </w:p>
        </w:tc>
        <w:tc>
          <w:tcPr>
            <w:tcW w:w="820" w:type="dxa"/>
            <w:vAlign w:val="bottom"/>
            <w:shd w:val="clear" w:color="auto" w:fill="00558C"/>
          </w:tcPr>
          <w:p>
            <w:pPr>
              <w:spacing w:after="0"/>
              <w:rPr>
                <w:sz w:val="8"/>
                <w:szCs w:val="8"/>
                <w:color w:val="auto"/>
              </w:rPr>
            </w:pPr>
          </w:p>
        </w:tc>
        <w:tc>
          <w:tcPr>
            <w:tcW w:w="760" w:type="dxa"/>
            <w:vAlign w:val="bottom"/>
            <w:shd w:val="clear" w:color="auto" w:fill="00558C"/>
          </w:tcPr>
          <w:p>
            <w:pPr>
              <w:spacing w:after="0"/>
              <w:rPr>
                <w:sz w:val="8"/>
                <w:szCs w:val="8"/>
                <w:color w:val="auto"/>
              </w:rPr>
            </w:pPr>
          </w:p>
        </w:tc>
        <w:tc>
          <w:tcPr>
            <w:tcW w:w="800" w:type="dxa"/>
            <w:vAlign w:val="bottom"/>
            <w:shd w:val="clear" w:color="auto" w:fill="00558C"/>
          </w:tcPr>
          <w:p>
            <w:pPr>
              <w:spacing w:after="0"/>
              <w:rPr>
                <w:sz w:val="8"/>
                <w:szCs w:val="8"/>
                <w:color w:val="auto"/>
              </w:rPr>
            </w:pPr>
          </w:p>
        </w:tc>
        <w:tc>
          <w:tcPr>
            <w:tcW w:w="200" w:type="dxa"/>
            <w:vAlign w:val="bottom"/>
            <w:shd w:val="clear" w:color="auto" w:fill="00558C"/>
          </w:tcPr>
          <w:p>
            <w:pPr>
              <w:spacing w:after="0"/>
              <w:rPr>
                <w:sz w:val="8"/>
                <w:szCs w:val="8"/>
                <w:color w:val="auto"/>
              </w:rPr>
            </w:pPr>
          </w:p>
        </w:tc>
        <w:tc>
          <w:tcPr>
            <w:tcW w:w="860" w:type="dxa"/>
            <w:vAlign w:val="bottom"/>
            <w:shd w:val="clear" w:color="auto" w:fill="00558C"/>
          </w:tcPr>
          <w:p>
            <w:pPr>
              <w:spacing w:after="0"/>
              <w:rPr>
                <w:sz w:val="8"/>
                <w:szCs w:val="8"/>
                <w:color w:val="auto"/>
              </w:rPr>
            </w:pPr>
          </w:p>
        </w:tc>
        <w:tc>
          <w:tcPr>
            <w:tcW w:w="560" w:type="dxa"/>
            <w:vAlign w:val="bottom"/>
            <w:shd w:val="clear" w:color="auto" w:fill="00558C"/>
          </w:tcPr>
          <w:p>
            <w:pPr>
              <w:spacing w:after="0"/>
              <w:rPr>
                <w:sz w:val="8"/>
                <w:szCs w:val="8"/>
                <w:color w:val="auto"/>
              </w:rPr>
            </w:pPr>
          </w:p>
        </w:tc>
        <w:tc>
          <w:tcPr>
            <w:tcW w:w="800" w:type="dxa"/>
            <w:vAlign w:val="bottom"/>
            <w:shd w:val="clear" w:color="auto" w:fill="00558C"/>
          </w:tcPr>
          <w:p>
            <w:pPr>
              <w:spacing w:after="0"/>
              <w:rPr>
                <w:sz w:val="8"/>
                <w:szCs w:val="8"/>
                <w:color w:val="auto"/>
              </w:rPr>
            </w:pPr>
          </w:p>
        </w:tc>
        <w:tc>
          <w:tcPr>
            <w:tcW w:w="740" w:type="dxa"/>
            <w:vAlign w:val="bottom"/>
            <w:shd w:val="clear" w:color="auto" w:fill="00558C"/>
          </w:tcPr>
          <w:p>
            <w:pPr>
              <w:spacing w:after="0"/>
              <w:rPr>
                <w:sz w:val="8"/>
                <w:szCs w:val="8"/>
                <w:color w:val="auto"/>
              </w:rPr>
            </w:pPr>
          </w:p>
        </w:tc>
        <w:tc>
          <w:tcPr>
            <w:tcW w:w="760" w:type="dxa"/>
            <w:vAlign w:val="bottom"/>
            <w:shd w:val="clear" w:color="auto" w:fill="00558C"/>
          </w:tcPr>
          <w:p>
            <w:pPr>
              <w:spacing w:after="0"/>
              <w:rPr>
                <w:sz w:val="8"/>
                <w:szCs w:val="8"/>
                <w:color w:val="auto"/>
              </w:rPr>
            </w:pPr>
          </w:p>
        </w:tc>
        <w:tc>
          <w:tcPr>
            <w:tcW w:w="200" w:type="dxa"/>
            <w:vAlign w:val="bottom"/>
            <w:shd w:val="clear" w:color="auto" w:fill="00558C"/>
          </w:tcPr>
          <w:p>
            <w:pPr>
              <w:spacing w:after="0"/>
              <w:rPr>
                <w:sz w:val="8"/>
                <w:szCs w:val="8"/>
                <w:color w:val="auto"/>
              </w:rPr>
            </w:pPr>
          </w:p>
        </w:tc>
        <w:tc>
          <w:tcPr>
            <w:tcW w:w="0" w:type="dxa"/>
            <w:vAlign w:val="bottom"/>
          </w:tcPr>
          <w:p>
            <w:pPr>
              <w:spacing w:after="0"/>
              <w:rPr>
                <w:sz w:val="1"/>
                <w:szCs w:val="1"/>
                <w:color w:val="auto"/>
              </w:rPr>
            </w:pPr>
          </w:p>
        </w:tc>
      </w:tr>
      <w:tr>
        <w:trPr>
          <w:trHeight w:val="326"/>
        </w:trPr>
        <w:tc>
          <w:tcPr>
            <w:tcW w:w="820" w:type="dxa"/>
            <w:vAlign w:val="bottom"/>
            <w:shd w:val="clear" w:color="auto" w:fill="F2F3F2"/>
          </w:tcPr>
          <w:p>
            <w:pPr>
              <w:spacing w:after="0"/>
              <w:rPr>
                <w:sz w:val="24"/>
                <w:szCs w:val="24"/>
                <w:color w:val="auto"/>
              </w:rPr>
            </w:pPr>
          </w:p>
        </w:tc>
        <w:tc>
          <w:tcPr>
            <w:tcW w:w="640" w:type="dxa"/>
            <w:vAlign w:val="bottom"/>
            <w:shd w:val="clear" w:color="auto" w:fill="F2F3F2"/>
          </w:tcPr>
          <w:p>
            <w:pPr>
              <w:jc w:val="center"/>
              <w:spacing w:after="0"/>
              <w:rPr>
                <w:sz w:val="20"/>
                <w:szCs w:val="20"/>
                <w:color w:val="auto"/>
              </w:rPr>
            </w:pPr>
            <w:r>
              <w:rPr>
                <w:rFonts w:ascii="Arial" w:cs="Arial" w:eastAsia="Arial" w:hAnsi="Arial"/>
                <w:sz w:val="13"/>
                <w:szCs w:val="13"/>
                <w:color w:val="auto"/>
              </w:rPr>
              <w:t>3/1/2024</w:t>
            </w:r>
          </w:p>
        </w:tc>
        <w:tc>
          <w:tcPr>
            <w:tcW w:w="1120" w:type="dxa"/>
            <w:vAlign w:val="bottom"/>
            <w:shd w:val="clear" w:color="auto" w:fill="F2F3F2"/>
          </w:tcPr>
          <w:p>
            <w:pPr>
              <w:jc w:val="center"/>
              <w:spacing w:after="0"/>
              <w:rPr>
                <w:sz w:val="20"/>
                <w:szCs w:val="20"/>
                <w:color w:val="auto"/>
              </w:rPr>
            </w:pPr>
            <w:r>
              <w:rPr>
                <w:rFonts w:ascii="Arial" w:cs="Arial" w:eastAsia="Arial" w:hAnsi="Arial"/>
                <w:sz w:val="13"/>
                <w:szCs w:val="13"/>
                <w:color w:val="auto"/>
              </w:rPr>
              <w:t>2/21/2024</w:t>
            </w:r>
          </w:p>
        </w:tc>
        <w:tc>
          <w:tcPr>
            <w:tcW w:w="820" w:type="dxa"/>
            <w:vAlign w:val="bottom"/>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F2F3F2"/>
          </w:tcPr>
          <w:p>
            <w:pPr>
              <w:spacing w:after="0"/>
              <w:rPr>
                <w:sz w:val="24"/>
                <w:szCs w:val="24"/>
                <w:color w:val="auto"/>
              </w:rPr>
            </w:pPr>
          </w:p>
        </w:tc>
        <w:tc>
          <w:tcPr>
            <w:tcW w:w="860" w:type="dxa"/>
            <w:vAlign w:val="bottom"/>
            <w:shd w:val="clear" w:color="auto" w:fill="F2F3F2"/>
          </w:tcPr>
          <w:p>
            <w:pPr>
              <w:jc w:val="right"/>
              <w:spacing w:after="0"/>
              <w:rPr>
                <w:sz w:val="20"/>
                <w:szCs w:val="20"/>
                <w:color w:val="auto"/>
              </w:rPr>
            </w:pPr>
            <w:r>
              <w:rPr>
                <w:rFonts w:ascii="Arial" w:cs="Arial" w:eastAsia="Arial" w:hAnsi="Arial"/>
                <w:sz w:val="13"/>
                <w:szCs w:val="13"/>
                <w:color w:val="auto"/>
              </w:rPr>
              <w:t>6,272</w:t>
            </w:r>
          </w:p>
        </w:tc>
        <w:tc>
          <w:tcPr>
            <w:tcW w:w="560" w:type="dxa"/>
            <w:vAlign w:val="bottom"/>
            <w:shd w:val="clear" w:color="auto" w:fill="F2F3F2"/>
          </w:tcPr>
          <w:p>
            <w:pPr>
              <w:jc w:val="right"/>
              <w:spacing w:after="0"/>
              <w:rPr>
                <w:sz w:val="20"/>
                <w:szCs w:val="20"/>
                <w:color w:val="auto"/>
              </w:rPr>
            </w:pPr>
            <w:r>
              <w:rPr>
                <w:rFonts w:ascii="Arial" w:cs="Arial" w:eastAsia="Arial" w:hAnsi="Arial"/>
                <w:sz w:val="13"/>
                <w:szCs w:val="13"/>
                <w:color w:val="auto"/>
              </w:rPr>
              <w:t>25,088</w:t>
            </w:r>
          </w:p>
        </w:tc>
        <w:tc>
          <w:tcPr>
            <w:tcW w:w="800" w:type="dxa"/>
            <w:vAlign w:val="bottom"/>
            <w:shd w:val="clear" w:color="auto" w:fill="F2F3F2"/>
          </w:tcPr>
          <w:p>
            <w:pPr>
              <w:jc w:val="right"/>
              <w:spacing w:after="0"/>
              <w:rPr>
                <w:sz w:val="20"/>
                <w:szCs w:val="20"/>
                <w:color w:val="auto"/>
              </w:rPr>
            </w:pPr>
            <w:r>
              <w:rPr>
                <w:rFonts w:ascii="Arial" w:cs="Arial" w:eastAsia="Arial" w:hAnsi="Arial"/>
                <w:sz w:val="13"/>
                <w:szCs w:val="13"/>
                <w:color w:val="auto"/>
              </w:rPr>
              <w:t>50,176</w:t>
            </w:r>
          </w:p>
        </w:tc>
        <w:tc>
          <w:tcPr>
            <w:tcW w:w="740" w:type="dxa"/>
            <w:vAlign w:val="bottom"/>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F2F3F2"/>
          </w:tcPr>
          <w:p>
            <w:pPr>
              <w:jc w:val="right"/>
              <w:spacing w:after="0"/>
              <w:rPr>
                <w:sz w:val="20"/>
                <w:szCs w:val="20"/>
                <w:color w:val="auto"/>
              </w:rPr>
            </w:pPr>
            <w:r>
              <w:rPr>
                <w:rFonts w:ascii="Arial" w:cs="Arial" w:eastAsia="Arial" w:hAnsi="Arial"/>
                <w:sz w:val="13"/>
                <w:szCs w:val="13"/>
                <w:color w:val="auto"/>
              </w:rPr>
              <w:t>2,493,747</w:t>
            </w:r>
          </w:p>
        </w:tc>
        <w:tc>
          <w:tcPr>
            <w:tcW w:w="200" w:type="dxa"/>
            <w:vAlign w:val="bottom"/>
            <w:shd w:val="clear" w:color="auto" w:fill="F2F3F2"/>
          </w:tcPr>
          <w:p>
            <w:pPr>
              <w:jc w:val="right"/>
              <w:spacing w:after="0"/>
              <w:rPr>
                <w:sz w:val="20"/>
                <w:szCs w:val="20"/>
                <w:color w:val="auto"/>
              </w:rPr>
            </w:pPr>
            <w:r>
              <w:rPr>
                <w:rFonts w:ascii="Arial" w:cs="Arial" w:eastAsia="Arial" w:hAnsi="Arial"/>
                <w:sz w:val="9"/>
                <w:szCs w:val="9"/>
                <w:color w:val="auto"/>
              </w:rPr>
              <w:t>(2)</w:t>
            </w:r>
          </w:p>
        </w:tc>
        <w:tc>
          <w:tcPr>
            <w:tcW w:w="0" w:type="dxa"/>
            <w:vAlign w:val="bottom"/>
          </w:tcPr>
          <w:p>
            <w:pPr>
              <w:spacing w:after="0"/>
              <w:rPr>
                <w:sz w:val="1"/>
                <w:szCs w:val="1"/>
                <w:color w:val="auto"/>
              </w:rPr>
            </w:pPr>
          </w:p>
        </w:tc>
      </w:tr>
      <w:tr>
        <w:trPr>
          <w:trHeight w:val="120"/>
        </w:trPr>
        <w:tc>
          <w:tcPr>
            <w:tcW w:w="820" w:type="dxa"/>
            <w:vAlign w:val="bottom"/>
            <w:tcBorders>
              <w:bottom w:val="single" w:sz="8" w:color="F2F3F2"/>
            </w:tcBorders>
            <w:vMerge w:val="restart"/>
            <w:shd w:val="clear" w:color="auto" w:fill="F2F3F2"/>
          </w:tcPr>
          <w:p>
            <w:pPr>
              <w:ind w:left="140"/>
              <w:spacing w:after="0"/>
              <w:rPr>
                <w:sz w:val="20"/>
                <w:szCs w:val="20"/>
                <w:color w:val="auto"/>
              </w:rPr>
            </w:pPr>
            <w:r>
              <w:rPr>
                <w:rFonts w:ascii="Arial" w:cs="Arial" w:eastAsia="Arial" w:hAnsi="Arial"/>
                <w:sz w:val="13"/>
                <w:szCs w:val="13"/>
                <w:b w:val="1"/>
                <w:bCs w:val="1"/>
                <w:color w:val="00558C"/>
              </w:rPr>
              <w:t>C. Mark</w:t>
            </w:r>
          </w:p>
        </w:tc>
        <w:tc>
          <w:tcPr>
            <w:tcW w:w="640" w:type="dxa"/>
            <w:vAlign w:val="bottom"/>
            <w:tcBorders>
              <w:bottom w:val="single" w:sz="8" w:color="B2B3B6"/>
            </w:tcBorders>
            <w:shd w:val="clear" w:color="auto" w:fill="F2F3F2"/>
          </w:tcPr>
          <w:p>
            <w:pPr>
              <w:spacing w:after="0"/>
              <w:rPr>
                <w:sz w:val="10"/>
                <w:szCs w:val="10"/>
                <w:color w:val="auto"/>
              </w:rPr>
            </w:pPr>
          </w:p>
        </w:tc>
        <w:tc>
          <w:tcPr>
            <w:tcW w:w="1120" w:type="dxa"/>
            <w:vAlign w:val="bottom"/>
            <w:tcBorders>
              <w:bottom w:val="single" w:sz="8" w:color="B2B3B6"/>
            </w:tcBorders>
            <w:shd w:val="clear" w:color="auto" w:fill="F2F3F2"/>
          </w:tcPr>
          <w:p>
            <w:pPr>
              <w:spacing w:after="0"/>
              <w:rPr>
                <w:sz w:val="10"/>
                <w:szCs w:val="10"/>
                <w:color w:val="auto"/>
              </w:rPr>
            </w:pPr>
          </w:p>
        </w:tc>
        <w:tc>
          <w:tcPr>
            <w:tcW w:w="820" w:type="dxa"/>
            <w:vAlign w:val="bottom"/>
            <w:tcBorders>
              <w:bottom w:val="single" w:sz="8" w:color="B2B3B6"/>
            </w:tcBorders>
            <w:shd w:val="clear" w:color="auto" w:fill="F2F3F2"/>
          </w:tcPr>
          <w:p>
            <w:pPr>
              <w:spacing w:after="0"/>
              <w:rPr>
                <w:sz w:val="10"/>
                <w:szCs w:val="10"/>
                <w:color w:val="auto"/>
              </w:rPr>
            </w:pPr>
          </w:p>
        </w:tc>
        <w:tc>
          <w:tcPr>
            <w:tcW w:w="760" w:type="dxa"/>
            <w:vAlign w:val="bottom"/>
            <w:tcBorders>
              <w:bottom w:val="single" w:sz="8" w:color="B2B3B6"/>
            </w:tcBorders>
            <w:shd w:val="clear" w:color="auto" w:fill="F2F3F2"/>
          </w:tcPr>
          <w:p>
            <w:pPr>
              <w:spacing w:after="0"/>
              <w:rPr>
                <w:sz w:val="10"/>
                <w:szCs w:val="10"/>
                <w:color w:val="auto"/>
              </w:rPr>
            </w:pPr>
          </w:p>
        </w:tc>
        <w:tc>
          <w:tcPr>
            <w:tcW w:w="800" w:type="dxa"/>
            <w:vAlign w:val="bottom"/>
            <w:tcBorders>
              <w:bottom w:val="single" w:sz="8" w:color="B2B3B6"/>
            </w:tcBorders>
            <w:shd w:val="clear" w:color="auto" w:fill="F2F3F2"/>
          </w:tcPr>
          <w:p>
            <w:pPr>
              <w:spacing w:after="0"/>
              <w:rPr>
                <w:sz w:val="10"/>
                <w:szCs w:val="10"/>
                <w:color w:val="auto"/>
              </w:rPr>
            </w:pPr>
          </w:p>
        </w:tc>
        <w:tc>
          <w:tcPr>
            <w:tcW w:w="200" w:type="dxa"/>
            <w:vAlign w:val="bottom"/>
            <w:tcBorders>
              <w:bottom w:val="single" w:sz="8" w:color="B2B3B6"/>
            </w:tcBorders>
            <w:shd w:val="clear" w:color="auto" w:fill="F2F3F2"/>
          </w:tcPr>
          <w:p>
            <w:pPr>
              <w:spacing w:after="0"/>
              <w:rPr>
                <w:sz w:val="10"/>
                <w:szCs w:val="10"/>
                <w:color w:val="auto"/>
              </w:rPr>
            </w:pPr>
          </w:p>
        </w:tc>
        <w:tc>
          <w:tcPr>
            <w:tcW w:w="860" w:type="dxa"/>
            <w:vAlign w:val="bottom"/>
            <w:tcBorders>
              <w:bottom w:val="single" w:sz="8" w:color="B2B3B6"/>
            </w:tcBorders>
            <w:shd w:val="clear" w:color="auto" w:fill="F2F3F2"/>
          </w:tcPr>
          <w:p>
            <w:pPr>
              <w:spacing w:after="0"/>
              <w:rPr>
                <w:sz w:val="10"/>
                <w:szCs w:val="10"/>
                <w:color w:val="auto"/>
              </w:rPr>
            </w:pPr>
          </w:p>
        </w:tc>
        <w:tc>
          <w:tcPr>
            <w:tcW w:w="560" w:type="dxa"/>
            <w:vAlign w:val="bottom"/>
            <w:tcBorders>
              <w:bottom w:val="single" w:sz="8" w:color="B2B3B6"/>
            </w:tcBorders>
            <w:shd w:val="clear" w:color="auto" w:fill="F2F3F2"/>
          </w:tcPr>
          <w:p>
            <w:pPr>
              <w:spacing w:after="0"/>
              <w:rPr>
                <w:sz w:val="10"/>
                <w:szCs w:val="10"/>
                <w:color w:val="auto"/>
              </w:rPr>
            </w:pPr>
          </w:p>
        </w:tc>
        <w:tc>
          <w:tcPr>
            <w:tcW w:w="800" w:type="dxa"/>
            <w:vAlign w:val="bottom"/>
            <w:tcBorders>
              <w:bottom w:val="single" w:sz="8" w:color="B2B3B6"/>
            </w:tcBorders>
            <w:shd w:val="clear" w:color="auto" w:fill="F2F3F2"/>
          </w:tcPr>
          <w:p>
            <w:pPr>
              <w:spacing w:after="0"/>
              <w:rPr>
                <w:sz w:val="10"/>
                <w:szCs w:val="10"/>
                <w:color w:val="auto"/>
              </w:rPr>
            </w:pPr>
          </w:p>
        </w:tc>
        <w:tc>
          <w:tcPr>
            <w:tcW w:w="740" w:type="dxa"/>
            <w:vAlign w:val="bottom"/>
            <w:tcBorders>
              <w:bottom w:val="single" w:sz="8" w:color="B2B3B6"/>
            </w:tcBorders>
            <w:shd w:val="clear" w:color="auto" w:fill="F2F3F2"/>
          </w:tcPr>
          <w:p>
            <w:pPr>
              <w:spacing w:after="0"/>
              <w:rPr>
                <w:sz w:val="10"/>
                <w:szCs w:val="10"/>
                <w:color w:val="auto"/>
              </w:rPr>
            </w:pPr>
          </w:p>
        </w:tc>
        <w:tc>
          <w:tcPr>
            <w:tcW w:w="760" w:type="dxa"/>
            <w:vAlign w:val="bottom"/>
            <w:tcBorders>
              <w:bottom w:val="single" w:sz="8" w:color="B2B3B6"/>
            </w:tcBorders>
            <w:shd w:val="clear" w:color="auto" w:fill="F2F3F2"/>
          </w:tcPr>
          <w:p>
            <w:pPr>
              <w:spacing w:after="0"/>
              <w:rPr>
                <w:sz w:val="10"/>
                <w:szCs w:val="10"/>
                <w:color w:val="auto"/>
              </w:rPr>
            </w:pPr>
          </w:p>
        </w:tc>
        <w:tc>
          <w:tcPr>
            <w:tcW w:w="200" w:type="dxa"/>
            <w:vAlign w:val="bottom"/>
            <w:tcBorders>
              <w:bottom w:val="single" w:sz="8" w:color="B2B3B6"/>
            </w:tcBorders>
            <w:shd w:val="clear" w:color="auto" w:fill="F2F3F2"/>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820" w:type="dxa"/>
            <w:vAlign w:val="bottom"/>
            <w:vMerge w:val="continue"/>
            <w:shd w:val="clear" w:color="auto" w:fill="F2F3F2"/>
          </w:tcPr>
          <w:p>
            <w:pPr>
              <w:spacing w:after="0"/>
              <w:rPr>
                <w:sz w:val="22"/>
                <w:szCs w:val="22"/>
                <w:color w:val="auto"/>
              </w:rPr>
            </w:pPr>
          </w:p>
        </w:tc>
        <w:tc>
          <w:tcPr>
            <w:tcW w:w="640" w:type="dxa"/>
            <w:vAlign w:val="bottom"/>
            <w:shd w:val="clear" w:color="auto" w:fill="F2F3F2"/>
          </w:tcPr>
          <w:p>
            <w:pPr>
              <w:jc w:val="center"/>
              <w:spacing w:after="0"/>
              <w:rPr>
                <w:sz w:val="20"/>
                <w:szCs w:val="20"/>
                <w:color w:val="auto"/>
              </w:rPr>
            </w:pPr>
            <w:r>
              <w:rPr>
                <w:rFonts w:ascii="Arial" w:cs="Arial" w:eastAsia="Arial" w:hAnsi="Arial"/>
                <w:sz w:val="13"/>
                <w:szCs w:val="13"/>
                <w:color w:val="auto"/>
              </w:rPr>
              <w:t>3/1/2024</w:t>
            </w:r>
          </w:p>
        </w:tc>
        <w:tc>
          <w:tcPr>
            <w:tcW w:w="1120" w:type="dxa"/>
            <w:vAlign w:val="bottom"/>
            <w:shd w:val="clear" w:color="auto" w:fill="F2F3F2"/>
          </w:tcPr>
          <w:p>
            <w:pPr>
              <w:jc w:val="center"/>
              <w:spacing w:after="0"/>
              <w:rPr>
                <w:sz w:val="20"/>
                <w:szCs w:val="20"/>
                <w:color w:val="auto"/>
              </w:rPr>
            </w:pPr>
            <w:r>
              <w:rPr>
                <w:rFonts w:ascii="Arial" w:cs="Arial" w:eastAsia="Arial" w:hAnsi="Arial"/>
                <w:sz w:val="13"/>
                <w:szCs w:val="13"/>
                <w:color w:val="auto"/>
              </w:rPr>
              <w:t>2/21/2024</w:t>
            </w:r>
          </w:p>
        </w:tc>
        <w:tc>
          <w:tcPr>
            <w:tcW w:w="820" w:type="dxa"/>
            <w:vAlign w:val="bottom"/>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F2F3F2"/>
          </w:tcPr>
          <w:p>
            <w:pPr>
              <w:spacing w:after="0"/>
              <w:rPr>
                <w:sz w:val="22"/>
                <w:szCs w:val="22"/>
                <w:color w:val="auto"/>
              </w:rPr>
            </w:pPr>
          </w:p>
        </w:tc>
        <w:tc>
          <w:tcPr>
            <w:tcW w:w="860" w:type="dxa"/>
            <w:vAlign w:val="bottom"/>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F2F3F2"/>
          </w:tcPr>
          <w:p>
            <w:pPr>
              <w:jc w:val="right"/>
              <w:spacing w:after="0"/>
              <w:rPr>
                <w:sz w:val="20"/>
                <w:szCs w:val="20"/>
                <w:color w:val="auto"/>
              </w:rPr>
            </w:pPr>
            <w:r>
              <w:rPr>
                <w:rFonts w:ascii="Arial" w:cs="Arial" w:eastAsia="Arial" w:hAnsi="Arial"/>
                <w:sz w:val="13"/>
                <w:szCs w:val="13"/>
                <w:color w:val="auto"/>
              </w:rPr>
              <w:t>10,752</w:t>
            </w:r>
          </w:p>
        </w:tc>
        <w:tc>
          <w:tcPr>
            <w:tcW w:w="760" w:type="dxa"/>
            <w:vAlign w:val="bottom"/>
            <w:shd w:val="clear" w:color="auto" w:fill="F2F3F2"/>
          </w:tcPr>
          <w:p>
            <w:pPr>
              <w:jc w:val="right"/>
              <w:spacing w:after="0"/>
              <w:rPr>
                <w:sz w:val="20"/>
                <w:szCs w:val="20"/>
                <w:color w:val="auto"/>
              </w:rPr>
            </w:pPr>
            <w:r>
              <w:rPr>
                <w:rFonts w:ascii="Arial" w:cs="Arial" w:eastAsia="Arial" w:hAnsi="Arial"/>
                <w:sz w:val="13"/>
                <w:szCs w:val="13"/>
                <w:color w:val="auto"/>
              </w:rPr>
              <w:t>1,068,749</w:t>
            </w:r>
          </w:p>
        </w:tc>
        <w:tc>
          <w:tcPr>
            <w:tcW w:w="200" w:type="dxa"/>
            <w:vAlign w:val="bottom"/>
            <w:shd w:val="clear" w:color="auto" w:fill="F2F3F2"/>
          </w:tcPr>
          <w:p>
            <w:pPr>
              <w:jc w:val="right"/>
              <w:spacing w:after="0"/>
              <w:rPr>
                <w:sz w:val="20"/>
                <w:szCs w:val="20"/>
                <w:color w:val="auto"/>
              </w:rPr>
            </w:pPr>
            <w:r>
              <w:rPr>
                <w:rFonts w:ascii="Arial" w:cs="Arial" w:eastAsia="Arial" w:hAnsi="Arial"/>
                <w:sz w:val="9"/>
                <w:szCs w:val="9"/>
                <w:color w:val="auto"/>
              </w:rPr>
              <w:t>(3)</w:t>
            </w:r>
          </w:p>
        </w:tc>
        <w:tc>
          <w:tcPr>
            <w:tcW w:w="0" w:type="dxa"/>
            <w:vAlign w:val="bottom"/>
          </w:tcPr>
          <w:p>
            <w:pPr>
              <w:spacing w:after="0"/>
              <w:rPr>
                <w:sz w:val="1"/>
                <w:szCs w:val="1"/>
                <w:color w:val="auto"/>
              </w:rPr>
            </w:pPr>
          </w:p>
        </w:tc>
      </w:tr>
      <w:tr>
        <w:trPr>
          <w:trHeight w:val="162"/>
        </w:trPr>
        <w:tc>
          <w:tcPr>
            <w:tcW w:w="820" w:type="dxa"/>
            <w:vAlign w:val="bottom"/>
            <w:tcBorders>
              <w:bottom w:val="single" w:sz="8" w:color="F2F3F2"/>
            </w:tcBorders>
            <w:shd w:val="clear" w:color="auto" w:fill="F2F3F2"/>
          </w:tcPr>
          <w:p>
            <w:pPr>
              <w:ind w:left="140"/>
              <w:spacing w:after="0"/>
              <w:rPr>
                <w:sz w:val="20"/>
                <w:szCs w:val="20"/>
                <w:color w:val="auto"/>
              </w:rPr>
            </w:pPr>
            <w:r>
              <w:rPr>
                <w:rFonts w:ascii="Arial" w:cs="Arial" w:eastAsia="Arial" w:hAnsi="Arial"/>
                <w:sz w:val="13"/>
                <w:szCs w:val="13"/>
                <w:b w:val="1"/>
                <w:bCs w:val="1"/>
                <w:color w:val="00558C"/>
              </w:rPr>
              <w:t>Hussey</w:t>
            </w:r>
          </w:p>
        </w:tc>
        <w:tc>
          <w:tcPr>
            <w:tcW w:w="640" w:type="dxa"/>
            <w:vAlign w:val="bottom"/>
            <w:tcBorders>
              <w:bottom w:val="single" w:sz="8" w:color="B2B3B6"/>
            </w:tcBorders>
            <w:shd w:val="clear" w:color="auto" w:fill="F2F3F2"/>
          </w:tcPr>
          <w:p>
            <w:pPr>
              <w:spacing w:after="0"/>
              <w:rPr>
                <w:sz w:val="14"/>
                <w:szCs w:val="14"/>
                <w:color w:val="auto"/>
              </w:rPr>
            </w:pPr>
          </w:p>
        </w:tc>
        <w:tc>
          <w:tcPr>
            <w:tcW w:w="1120" w:type="dxa"/>
            <w:vAlign w:val="bottom"/>
            <w:tcBorders>
              <w:bottom w:val="single" w:sz="8" w:color="B2B3B6"/>
            </w:tcBorders>
            <w:shd w:val="clear" w:color="auto" w:fill="F2F3F2"/>
          </w:tcPr>
          <w:p>
            <w:pPr>
              <w:spacing w:after="0"/>
              <w:rPr>
                <w:sz w:val="14"/>
                <w:szCs w:val="14"/>
                <w:color w:val="auto"/>
              </w:rPr>
            </w:pPr>
          </w:p>
        </w:tc>
        <w:tc>
          <w:tcPr>
            <w:tcW w:w="820" w:type="dxa"/>
            <w:vAlign w:val="bottom"/>
            <w:tcBorders>
              <w:bottom w:val="single" w:sz="8" w:color="B2B3B6"/>
            </w:tcBorders>
            <w:shd w:val="clear" w:color="auto" w:fill="F2F3F2"/>
          </w:tcPr>
          <w:p>
            <w:pPr>
              <w:spacing w:after="0"/>
              <w:rPr>
                <w:sz w:val="14"/>
                <w:szCs w:val="14"/>
                <w:color w:val="auto"/>
              </w:rPr>
            </w:pPr>
          </w:p>
        </w:tc>
        <w:tc>
          <w:tcPr>
            <w:tcW w:w="760" w:type="dxa"/>
            <w:vAlign w:val="bottom"/>
            <w:tcBorders>
              <w:bottom w:val="single" w:sz="8" w:color="B2B3B6"/>
            </w:tcBorders>
            <w:shd w:val="clear" w:color="auto" w:fill="F2F3F2"/>
          </w:tcPr>
          <w:p>
            <w:pPr>
              <w:spacing w:after="0"/>
              <w:rPr>
                <w:sz w:val="14"/>
                <w:szCs w:val="14"/>
                <w:color w:val="auto"/>
              </w:rPr>
            </w:pPr>
          </w:p>
        </w:tc>
        <w:tc>
          <w:tcPr>
            <w:tcW w:w="800" w:type="dxa"/>
            <w:vAlign w:val="bottom"/>
            <w:tcBorders>
              <w:bottom w:val="single" w:sz="8" w:color="B2B3B6"/>
            </w:tcBorders>
            <w:shd w:val="clear" w:color="auto" w:fill="F2F3F2"/>
          </w:tcPr>
          <w:p>
            <w:pPr>
              <w:spacing w:after="0"/>
              <w:rPr>
                <w:sz w:val="14"/>
                <w:szCs w:val="14"/>
                <w:color w:val="auto"/>
              </w:rPr>
            </w:pPr>
          </w:p>
        </w:tc>
        <w:tc>
          <w:tcPr>
            <w:tcW w:w="200" w:type="dxa"/>
            <w:vAlign w:val="bottom"/>
            <w:tcBorders>
              <w:bottom w:val="single" w:sz="8" w:color="B2B3B6"/>
            </w:tcBorders>
            <w:shd w:val="clear" w:color="auto" w:fill="F2F3F2"/>
          </w:tcPr>
          <w:p>
            <w:pPr>
              <w:spacing w:after="0"/>
              <w:rPr>
                <w:sz w:val="14"/>
                <w:szCs w:val="14"/>
                <w:color w:val="auto"/>
              </w:rPr>
            </w:pPr>
          </w:p>
        </w:tc>
        <w:tc>
          <w:tcPr>
            <w:tcW w:w="860" w:type="dxa"/>
            <w:vAlign w:val="bottom"/>
            <w:tcBorders>
              <w:bottom w:val="single" w:sz="8" w:color="B2B3B6"/>
            </w:tcBorders>
            <w:shd w:val="clear" w:color="auto" w:fill="F2F3F2"/>
          </w:tcPr>
          <w:p>
            <w:pPr>
              <w:spacing w:after="0"/>
              <w:rPr>
                <w:sz w:val="14"/>
                <w:szCs w:val="14"/>
                <w:color w:val="auto"/>
              </w:rPr>
            </w:pPr>
          </w:p>
        </w:tc>
        <w:tc>
          <w:tcPr>
            <w:tcW w:w="560" w:type="dxa"/>
            <w:vAlign w:val="bottom"/>
            <w:tcBorders>
              <w:bottom w:val="single" w:sz="8" w:color="B2B3B6"/>
            </w:tcBorders>
            <w:shd w:val="clear" w:color="auto" w:fill="F2F3F2"/>
          </w:tcPr>
          <w:p>
            <w:pPr>
              <w:spacing w:after="0"/>
              <w:rPr>
                <w:sz w:val="14"/>
                <w:szCs w:val="14"/>
                <w:color w:val="auto"/>
              </w:rPr>
            </w:pPr>
          </w:p>
        </w:tc>
        <w:tc>
          <w:tcPr>
            <w:tcW w:w="800" w:type="dxa"/>
            <w:vAlign w:val="bottom"/>
            <w:tcBorders>
              <w:bottom w:val="single" w:sz="8" w:color="B2B3B6"/>
            </w:tcBorders>
            <w:shd w:val="clear" w:color="auto" w:fill="F2F3F2"/>
          </w:tcPr>
          <w:p>
            <w:pPr>
              <w:spacing w:after="0"/>
              <w:rPr>
                <w:sz w:val="14"/>
                <w:szCs w:val="14"/>
                <w:color w:val="auto"/>
              </w:rPr>
            </w:pPr>
          </w:p>
        </w:tc>
        <w:tc>
          <w:tcPr>
            <w:tcW w:w="740" w:type="dxa"/>
            <w:vAlign w:val="bottom"/>
            <w:tcBorders>
              <w:bottom w:val="single" w:sz="8" w:color="B2B3B6"/>
            </w:tcBorders>
            <w:shd w:val="clear" w:color="auto" w:fill="F2F3F2"/>
          </w:tcPr>
          <w:p>
            <w:pPr>
              <w:spacing w:after="0"/>
              <w:rPr>
                <w:sz w:val="14"/>
                <w:szCs w:val="14"/>
                <w:color w:val="auto"/>
              </w:rPr>
            </w:pPr>
          </w:p>
        </w:tc>
        <w:tc>
          <w:tcPr>
            <w:tcW w:w="760" w:type="dxa"/>
            <w:vAlign w:val="bottom"/>
            <w:tcBorders>
              <w:bottom w:val="single" w:sz="8" w:color="B2B3B6"/>
            </w:tcBorders>
            <w:shd w:val="clear" w:color="auto" w:fill="F2F3F2"/>
          </w:tcPr>
          <w:p>
            <w:pPr>
              <w:spacing w:after="0"/>
              <w:rPr>
                <w:sz w:val="14"/>
                <w:szCs w:val="14"/>
                <w:color w:val="auto"/>
              </w:rPr>
            </w:pPr>
          </w:p>
        </w:tc>
        <w:tc>
          <w:tcPr>
            <w:tcW w:w="200" w:type="dxa"/>
            <w:vAlign w:val="bottom"/>
            <w:tcBorders>
              <w:bottom w:val="single" w:sz="8" w:color="B2B3B6"/>
            </w:tcBorders>
            <w:shd w:val="clear" w:color="auto" w:fill="F2F3F2"/>
          </w:tcPr>
          <w:p>
            <w:pPr>
              <w:spacing w:after="0"/>
              <w:rPr>
                <w:sz w:val="14"/>
                <w:szCs w:val="14"/>
                <w:color w:val="auto"/>
              </w:rPr>
            </w:pPr>
          </w:p>
        </w:tc>
        <w:tc>
          <w:tcPr>
            <w:tcW w:w="0" w:type="dxa"/>
            <w:vAlign w:val="bottom"/>
          </w:tcPr>
          <w:p>
            <w:pPr>
              <w:spacing w:after="0"/>
              <w:rPr>
                <w:sz w:val="1"/>
                <w:szCs w:val="1"/>
                <w:color w:val="auto"/>
              </w:rPr>
            </w:pPr>
          </w:p>
        </w:tc>
      </w:tr>
      <w:tr>
        <w:trPr>
          <w:trHeight w:val="306"/>
        </w:trPr>
        <w:tc>
          <w:tcPr>
            <w:tcW w:w="820" w:type="dxa"/>
            <w:vAlign w:val="bottom"/>
            <w:shd w:val="clear" w:color="auto" w:fill="F2F3F2"/>
          </w:tcPr>
          <w:p>
            <w:pPr>
              <w:spacing w:after="0"/>
              <w:rPr>
                <w:sz w:val="24"/>
                <w:szCs w:val="24"/>
                <w:color w:val="auto"/>
              </w:rPr>
            </w:pPr>
          </w:p>
        </w:tc>
        <w:tc>
          <w:tcPr>
            <w:tcW w:w="640" w:type="dxa"/>
            <w:vAlign w:val="bottom"/>
            <w:shd w:val="clear" w:color="auto" w:fill="F2F3F2"/>
          </w:tcPr>
          <w:p>
            <w:pPr>
              <w:spacing w:after="0"/>
              <w:rPr>
                <w:sz w:val="24"/>
                <w:szCs w:val="24"/>
                <w:color w:val="auto"/>
              </w:rPr>
            </w:pPr>
          </w:p>
        </w:tc>
        <w:tc>
          <w:tcPr>
            <w:tcW w:w="1120" w:type="dxa"/>
            <w:vAlign w:val="bottom"/>
            <w:shd w:val="clear" w:color="auto" w:fill="F2F3F2"/>
          </w:tcPr>
          <w:p>
            <w:pPr>
              <w:spacing w:after="0"/>
              <w:rPr>
                <w:sz w:val="24"/>
                <w:szCs w:val="24"/>
                <w:color w:val="auto"/>
              </w:rPr>
            </w:pPr>
          </w:p>
        </w:tc>
        <w:tc>
          <w:tcPr>
            <w:tcW w:w="820" w:type="dxa"/>
            <w:vAlign w:val="bottom"/>
            <w:shd w:val="clear" w:color="auto" w:fill="F2F3F2"/>
          </w:tcPr>
          <w:p>
            <w:pPr>
              <w:jc w:val="right"/>
              <w:spacing w:after="0"/>
              <w:rPr>
                <w:sz w:val="20"/>
                <w:szCs w:val="20"/>
                <w:color w:val="auto"/>
              </w:rPr>
            </w:pPr>
            <w:r>
              <w:rPr>
                <w:rFonts w:ascii="Arial" w:cs="Arial" w:eastAsia="Arial" w:hAnsi="Arial"/>
                <w:sz w:val="13"/>
                <w:szCs w:val="13"/>
                <w:color w:val="auto"/>
              </w:rPr>
              <w:t>166,250</w:t>
            </w:r>
          </w:p>
        </w:tc>
        <w:tc>
          <w:tcPr>
            <w:tcW w:w="760" w:type="dxa"/>
            <w:vAlign w:val="bottom"/>
            <w:shd w:val="clear" w:color="auto" w:fill="F2F3F2"/>
          </w:tcPr>
          <w:p>
            <w:pPr>
              <w:jc w:val="right"/>
              <w:spacing w:after="0"/>
              <w:rPr>
                <w:sz w:val="20"/>
                <w:szCs w:val="20"/>
                <w:color w:val="auto"/>
              </w:rPr>
            </w:pPr>
            <w:r>
              <w:rPr>
                <w:rFonts w:ascii="Arial" w:cs="Arial" w:eastAsia="Arial" w:hAnsi="Arial"/>
                <w:sz w:val="13"/>
                <w:szCs w:val="13"/>
                <w:color w:val="auto"/>
              </w:rPr>
              <w:t>1,330,000</w:t>
            </w:r>
          </w:p>
        </w:tc>
        <w:tc>
          <w:tcPr>
            <w:tcW w:w="800" w:type="dxa"/>
            <w:vAlign w:val="bottom"/>
            <w:shd w:val="clear" w:color="auto" w:fill="F2F3F2"/>
          </w:tcPr>
          <w:p>
            <w:pPr>
              <w:jc w:val="right"/>
              <w:spacing w:after="0"/>
              <w:rPr>
                <w:sz w:val="20"/>
                <w:szCs w:val="20"/>
                <w:color w:val="auto"/>
              </w:rPr>
            </w:pPr>
            <w:r>
              <w:rPr>
                <w:rFonts w:ascii="Arial" w:cs="Arial" w:eastAsia="Arial" w:hAnsi="Arial"/>
                <w:sz w:val="13"/>
                <w:szCs w:val="13"/>
                <w:color w:val="auto"/>
              </w:rPr>
              <w:t>2,660,000</w:t>
            </w:r>
          </w:p>
        </w:tc>
        <w:tc>
          <w:tcPr>
            <w:tcW w:w="200" w:type="dxa"/>
            <w:vAlign w:val="bottom"/>
            <w:shd w:val="clear" w:color="auto" w:fill="F2F3F2"/>
          </w:tcPr>
          <w:p>
            <w:pPr>
              <w:jc w:val="right"/>
              <w:spacing w:after="0"/>
              <w:rPr>
                <w:sz w:val="20"/>
                <w:szCs w:val="20"/>
                <w:color w:val="auto"/>
              </w:rPr>
            </w:pPr>
            <w:r>
              <w:rPr>
                <w:rFonts w:ascii="Arial" w:cs="Arial" w:eastAsia="Arial" w:hAnsi="Arial"/>
                <w:sz w:val="9"/>
                <w:szCs w:val="9"/>
                <w:color w:val="auto"/>
              </w:rPr>
              <w:t>(1)</w:t>
            </w:r>
          </w:p>
        </w:tc>
        <w:tc>
          <w:tcPr>
            <w:tcW w:w="860" w:type="dxa"/>
            <w:vAlign w:val="bottom"/>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F2F3F2"/>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820" w:type="dxa"/>
            <w:vAlign w:val="bottom"/>
            <w:shd w:val="clear" w:color="auto" w:fill="F2F3F2"/>
          </w:tcPr>
          <w:p>
            <w:pPr>
              <w:spacing w:after="0"/>
              <w:rPr>
                <w:sz w:val="10"/>
                <w:szCs w:val="10"/>
                <w:color w:val="auto"/>
              </w:rPr>
            </w:pPr>
          </w:p>
        </w:tc>
        <w:tc>
          <w:tcPr>
            <w:tcW w:w="640" w:type="dxa"/>
            <w:vAlign w:val="bottom"/>
            <w:shd w:val="clear" w:color="auto" w:fill="F2F3F2"/>
          </w:tcPr>
          <w:p>
            <w:pPr>
              <w:spacing w:after="0"/>
              <w:rPr>
                <w:sz w:val="10"/>
                <w:szCs w:val="10"/>
                <w:color w:val="auto"/>
              </w:rPr>
            </w:pPr>
          </w:p>
        </w:tc>
        <w:tc>
          <w:tcPr>
            <w:tcW w:w="1120" w:type="dxa"/>
            <w:vAlign w:val="bottom"/>
            <w:shd w:val="clear" w:color="auto" w:fill="F2F3F2"/>
          </w:tcPr>
          <w:p>
            <w:pPr>
              <w:spacing w:after="0"/>
              <w:rPr>
                <w:sz w:val="10"/>
                <w:szCs w:val="10"/>
                <w:color w:val="auto"/>
              </w:rPr>
            </w:pPr>
          </w:p>
        </w:tc>
        <w:tc>
          <w:tcPr>
            <w:tcW w:w="820" w:type="dxa"/>
            <w:vAlign w:val="bottom"/>
            <w:shd w:val="clear" w:color="auto" w:fill="F2F3F2"/>
          </w:tcPr>
          <w:p>
            <w:pPr>
              <w:spacing w:after="0"/>
              <w:rPr>
                <w:sz w:val="10"/>
                <w:szCs w:val="10"/>
                <w:color w:val="auto"/>
              </w:rPr>
            </w:pPr>
          </w:p>
        </w:tc>
        <w:tc>
          <w:tcPr>
            <w:tcW w:w="760" w:type="dxa"/>
            <w:vAlign w:val="bottom"/>
            <w:shd w:val="clear" w:color="auto" w:fill="F2F3F2"/>
          </w:tcPr>
          <w:p>
            <w:pPr>
              <w:spacing w:after="0"/>
              <w:rPr>
                <w:sz w:val="10"/>
                <w:szCs w:val="10"/>
                <w:color w:val="auto"/>
              </w:rPr>
            </w:pPr>
          </w:p>
        </w:tc>
        <w:tc>
          <w:tcPr>
            <w:tcW w:w="800" w:type="dxa"/>
            <w:vAlign w:val="bottom"/>
            <w:shd w:val="clear" w:color="auto" w:fill="F2F3F2"/>
          </w:tcPr>
          <w:p>
            <w:pPr>
              <w:spacing w:after="0"/>
              <w:rPr>
                <w:sz w:val="10"/>
                <w:szCs w:val="10"/>
                <w:color w:val="auto"/>
              </w:rPr>
            </w:pPr>
          </w:p>
        </w:tc>
        <w:tc>
          <w:tcPr>
            <w:tcW w:w="200" w:type="dxa"/>
            <w:vAlign w:val="bottom"/>
            <w:shd w:val="clear" w:color="auto" w:fill="F2F3F2"/>
          </w:tcPr>
          <w:p>
            <w:pPr>
              <w:spacing w:after="0"/>
              <w:rPr>
                <w:sz w:val="10"/>
                <w:szCs w:val="10"/>
                <w:color w:val="auto"/>
              </w:rPr>
            </w:pPr>
          </w:p>
        </w:tc>
        <w:tc>
          <w:tcPr>
            <w:tcW w:w="860" w:type="dxa"/>
            <w:vAlign w:val="bottom"/>
            <w:shd w:val="clear" w:color="auto" w:fill="F2F3F2"/>
          </w:tcPr>
          <w:p>
            <w:pPr>
              <w:spacing w:after="0"/>
              <w:rPr>
                <w:sz w:val="10"/>
                <w:szCs w:val="10"/>
                <w:color w:val="auto"/>
              </w:rPr>
            </w:pPr>
          </w:p>
        </w:tc>
        <w:tc>
          <w:tcPr>
            <w:tcW w:w="560" w:type="dxa"/>
            <w:vAlign w:val="bottom"/>
            <w:shd w:val="clear" w:color="auto" w:fill="F2F3F2"/>
          </w:tcPr>
          <w:p>
            <w:pPr>
              <w:spacing w:after="0"/>
              <w:rPr>
                <w:sz w:val="10"/>
                <w:szCs w:val="10"/>
                <w:color w:val="auto"/>
              </w:rPr>
            </w:pPr>
          </w:p>
        </w:tc>
        <w:tc>
          <w:tcPr>
            <w:tcW w:w="800" w:type="dxa"/>
            <w:vAlign w:val="bottom"/>
            <w:shd w:val="clear" w:color="auto" w:fill="F2F3F2"/>
          </w:tcPr>
          <w:p>
            <w:pPr>
              <w:spacing w:after="0"/>
              <w:rPr>
                <w:sz w:val="10"/>
                <w:szCs w:val="10"/>
                <w:color w:val="auto"/>
              </w:rPr>
            </w:pPr>
          </w:p>
        </w:tc>
        <w:tc>
          <w:tcPr>
            <w:tcW w:w="740" w:type="dxa"/>
            <w:vAlign w:val="bottom"/>
            <w:shd w:val="clear" w:color="auto" w:fill="F2F3F2"/>
          </w:tcPr>
          <w:p>
            <w:pPr>
              <w:spacing w:after="0"/>
              <w:rPr>
                <w:sz w:val="10"/>
                <w:szCs w:val="10"/>
                <w:color w:val="auto"/>
              </w:rPr>
            </w:pPr>
          </w:p>
        </w:tc>
        <w:tc>
          <w:tcPr>
            <w:tcW w:w="760" w:type="dxa"/>
            <w:vAlign w:val="bottom"/>
            <w:shd w:val="clear" w:color="auto" w:fill="F2F3F2"/>
          </w:tcPr>
          <w:p>
            <w:pPr>
              <w:spacing w:after="0"/>
              <w:rPr>
                <w:sz w:val="10"/>
                <w:szCs w:val="10"/>
                <w:color w:val="auto"/>
              </w:rPr>
            </w:pPr>
          </w:p>
        </w:tc>
        <w:tc>
          <w:tcPr>
            <w:tcW w:w="200" w:type="dxa"/>
            <w:vAlign w:val="bottom"/>
            <w:shd w:val="clear" w:color="auto" w:fill="F2F3F2"/>
          </w:tcPr>
          <w:p>
            <w:pPr>
              <w:spacing w:after="0"/>
              <w:rPr>
                <w:sz w:val="10"/>
                <w:szCs w:val="10"/>
                <w:color w:val="auto"/>
              </w:rPr>
            </w:pPr>
          </w:p>
        </w:tc>
        <w:tc>
          <w:tcPr>
            <w:tcW w:w="0" w:type="dxa"/>
            <w:vAlign w:val="bottom"/>
          </w:tcPr>
          <w:p>
            <w:pPr>
              <w:spacing w:after="0"/>
              <w:rPr>
                <w:sz w:val="1"/>
                <w:szCs w:val="1"/>
                <w:color w:val="auto"/>
              </w:rPr>
            </w:pPr>
          </w:p>
        </w:tc>
      </w:tr>
      <w:tr>
        <w:trPr>
          <w:trHeight w:val="326"/>
        </w:trPr>
        <w:tc>
          <w:tcPr>
            <w:tcW w:w="82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3"/>
                <w:szCs w:val="13"/>
                <w:color w:val="auto"/>
              </w:rPr>
              <w:t>3/1/2024</w:t>
            </w:r>
          </w:p>
        </w:tc>
        <w:tc>
          <w:tcPr>
            <w:tcW w:w="1120" w:type="dxa"/>
            <w:vAlign w:val="bottom"/>
          </w:tcPr>
          <w:p>
            <w:pPr>
              <w:jc w:val="center"/>
              <w:spacing w:after="0"/>
              <w:rPr>
                <w:sz w:val="20"/>
                <w:szCs w:val="20"/>
                <w:color w:val="auto"/>
              </w:rPr>
            </w:pPr>
            <w:r>
              <w:rPr>
                <w:rFonts w:ascii="Arial" w:cs="Arial" w:eastAsia="Arial" w:hAnsi="Arial"/>
                <w:sz w:val="13"/>
                <w:szCs w:val="13"/>
                <w:color w:val="auto"/>
              </w:rPr>
              <w:t>2/21/2024</w:t>
            </w: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2,324</w:t>
            </w:r>
          </w:p>
        </w:tc>
        <w:tc>
          <w:tcPr>
            <w:tcW w:w="560" w:type="dxa"/>
            <w:vAlign w:val="bottom"/>
          </w:tcPr>
          <w:p>
            <w:pPr>
              <w:jc w:val="right"/>
              <w:spacing w:after="0"/>
              <w:rPr>
                <w:sz w:val="20"/>
                <w:szCs w:val="20"/>
                <w:color w:val="auto"/>
              </w:rPr>
            </w:pPr>
            <w:r>
              <w:rPr>
                <w:rFonts w:ascii="Arial" w:cs="Arial" w:eastAsia="Arial" w:hAnsi="Arial"/>
                <w:sz w:val="13"/>
                <w:szCs w:val="13"/>
                <w:color w:val="auto"/>
              </w:rPr>
              <w:t>9,296</w:t>
            </w:r>
          </w:p>
        </w:tc>
        <w:tc>
          <w:tcPr>
            <w:tcW w:w="800" w:type="dxa"/>
            <w:vAlign w:val="bottom"/>
          </w:tcPr>
          <w:p>
            <w:pPr>
              <w:jc w:val="right"/>
              <w:spacing w:after="0"/>
              <w:rPr>
                <w:sz w:val="20"/>
                <w:szCs w:val="20"/>
                <w:color w:val="auto"/>
              </w:rPr>
            </w:pPr>
            <w:r>
              <w:rPr>
                <w:rFonts w:ascii="Arial" w:cs="Arial" w:eastAsia="Arial" w:hAnsi="Arial"/>
                <w:sz w:val="13"/>
                <w:szCs w:val="13"/>
                <w:color w:val="auto"/>
              </w:rPr>
              <w:t>18,592</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924,022</w:t>
            </w:r>
          </w:p>
        </w:tc>
        <w:tc>
          <w:tcPr>
            <w:tcW w:w="200" w:type="dxa"/>
            <w:vAlign w:val="bottom"/>
          </w:tcPr>
          <w:p>
            <w:pPr>
              <w:jc w:val="right"/>
              <w:spacing w:after="0"/>
              <w:rPr>
                <w:sz w:val="20"/>
                <w:szCs w:val="20"/>
                <w:color w:val="auto"/>
              </w:rPr>
            </w:pPr>
            <w:r>
              <w:rPr>
                <w:rFonts w:ascii="Arial" w:cs="Arial" w:eastAsia="Arial" w:hAnsi="Arial"/>
                <w:sz w:val="9"/>
                <w:szCs w:val="9"/>
                <w:color w:val="auto"/>
              </w:rPr>
              <w:t>(2)</w:t>
            </w:r>
          </w:p>
        </w:tc>
        <w:tc>
          <w:tcPr>
            <w:tcW w:w="0" w:type="dxa"/>
            <w:vAlign w:val="bottom"/>
          </w:tcPr>
          <w:p>
            <w:pPr>
              <w:spacing w:after="0"/>
              <w:rPr>
                <w:sz w:val="1"/>
                <w:szCs w:val="1"/>
                <w:color w:val="auto"/>
              </w:rPr>
            </w:pPr>
          </w:p>
        </w:tc>
      </w:tr>
      <w:tr>
        <w:trPr>
          <w:trHeight w:val="120"/>
        </w:trPr>
        <w:tc>
          <w:tcPr>
            <w:tcW w:w="820" w:type="dxa"/>
            <w:vAlign w:val="bottom"/>
            <w:vMerge w:val="restart"/>
          </w:tcPr>
          <w:p>
            <w:pPr>
              <w:ind w:left="140"/>
              <w:spacing w:after="0"/>
              <w:rPr>
                <w:sz w:val="20"/>
                <w:szCs w:val="20"/>
                <w:color w:val="auto"/>
              </w:rPr>
            </w:pPr>
            <w:r>
              <w:rPr>
                <w:rFonts w:ascii="Arial" w:cs="Arial" w:eastAsia="Arial" w:hAnsi="Arial"/>
                <w:sz w:val="13"/>
                <w:szCs w:val="13"/>
                <w:b w:val="1"/>
                <w:bCs w:val="1"/>
                <w:color w:val="00558C"/>
              </w:rPr>
              <w:t>John D.</w:t>
            </w:r>
          </w:p>
        </w:tc>
        <w:tc>
          <w:tcPr>
            <w:tcW w:w="640" w:type="dxa"/>
            <w:vAlign w:val="bottom"/>
            <w:tcBorders>
              <w:bottom w:val="single" w:sz="8" w:color="B2B3B6"/>
            </w:tcBorders>
          </w:tcPr>
          <w:p>
            <w:pPr>
              <w:spacing w:after="0"/>
              <w:rPr>
                <w:sz w:val="10"/>
                <w:szCs w:val="10"/>
                <w:color w:val="auto"/>
              </w:rPr>
            </w:pPr>
          </w:p>
        </w:tc>
        <w:tc>
          <w:tcPr>
            <w:tcW w:w="1120" w:type="dxa"/>
            <w:vAlign w:val="bottom"/>
            <w:tcBorders>
              <w:bottom w:val="single" w:sz="8" w:color="B2B3B6"/>
            </w:tcBorders>
          </w:tcPr>
          <w:p>
            <w:pPr>
              <w:spacing w:after="0"/>
              <w:rPr>
                <w:sz w:val="10"/>
                <w:szCs w:val="10"/>
                <w:color w:val="auto"/>
              </w:rPr>
            </w:pPr>
          </w:p>
        </w:tc>
        <w:tc>
          <w:tcPr>
            <w:tcW w:w="820" w:type="dxa"/>
            <w:vAlign w:val="bottom"/>
            <w:tcBorders>
              <w:bottom w:val="single" w:sz="8" w:color="B2B3B6"/>
            </w:tcBorders>
          </w:tcPr>
          <w:p>
            <w:pPr>
              <w:spacing w:after="0"/>
              <w:rPr>
                <w:sz w:val="10"/>
                <w:szCs w:val="10"/>
                <w:color w:val="auto"/>
              </w:rPr>
            </w:pPr>
          </w:p>
        </w:tc>
        <w:tc>
          <w:tcPr>
            <w:tcW w:w="760" w:type="dxa"/>
            <w:vAlign w:val="bottom"/>
            <w:tcBorders>
              <w:bottom w:val="single" w:sz="8" w:color="B2B3B6"/>
            </w:tcBorders>
          </w:tcPr>
          <w:p>
            <w:pPr>
              <w:spacing w:after="0"/>
              <w:rPr>
                <w:sz w:val="10"/>
                <w:szCs w:val="10"/>
                <w:color w:val="auto"/>
              </w:rPr>
            </w:pPr>
          </w:p>
        </w:tc>
        <w:tc>
          <w:tcPr>
            <w:tcW w:w="800" w:type="dxa"/>
            <w:vAlign w:val="bottom"/>
            <w:tcBorders>
              <w:bottom w:val="single" w:sz="8" w:color="B2B3B6"/>
            </w:tcBorders>
          </w:tcPr>
          <w:p>
            <w:pPr>
              <w:spacing w:after="0"/>
              <w:rPr>
                <w:sz w:val="10"/>
                <w:szCs w:val="10"/>
                <w:color w:val="auto"/>
              </w:rPr>
            </w:pPr>
          </w:p>
        </w:tc>
        <w:tc>
          <w:tcPr>
            <w:tcW w:w="200" w:type="dxa"/>
            <w:vAlign w:val="bottom"/>
            <w:tcBorders>
              <w:bottom w:val="single" w:sz="8" w:color="B2B3B6"/>
            </w:tcBorders>
          </w:tcPr>
          <w:p>
            <w:pPr>
              <w:spacing w:after="0"/>
              <w:rPr>
                <w:sz w:val="10"/>
                <w:szCs w:val="10"/>
                <w:color w:val="auto"/>
              </w:rPr>
            </w:pPr>
          </w:p>
        </w:tc>
        <w:tc>
          <w:tcPr>
            <w:tcW w:w="860" w:type="dxa"/>
            <w:vAlign w:val="bottom"/>
            <w:tcBorders>
              <w:bottom w:val="single" w:sz="8" w:color="B2B3B6"/>
            </w:tcBorders>
          </w:tcPr>
          <w:p>
            <w:pPr>
              <w:spacing w:after="0"/>
              <w:rPr>
                <w:sz w:val="10"/>
                <w:szCs w:val="10"/>
                <w:color w:val="auto"/>
              </w:rPr>
            </w:pPr>
          </w:p>
        </w:tc>
        <w:tc>
          <w:tcPr>
            <w:tcW w:w="560" w:type="dxa"/>
            <w:vAlign w:val="bottom"/>
            <w:tcBorders>
              <w:bottom w:val="single" w:sz="8" w:color="B2B3B6"/>
            </w:tcBorders>
          </w:tcPr>
          <w:p>
            <w:pPr>
              <w:spacing w:after="0"/>
              <w:rPr>
                <w:sz w:val="10"/>
                <w:szCs w:val="10"/>
                <w:color w:val="auto"/>
              </w:rPr>
            </w:pPr>
          </w:p>
        </w:tc>
        <w:tc>
          <w:tcPr>
            <w:tcW w:w="800" w:type="dxa"/>
            <w:vAlign w:val="bottom"/>
            <w:tcBorders>
              <w:bottom w:val="single" w:sz="8" w:color="B2B3B6"/>
            </w:tcBorders>
          </w:tcPr>
          <w:p>
            <w:pPr>
              <w:spacing w:after="0"/>
              <w:rPr>
                <w:sz w:val="10"/>
                <w:szCs w:val="10"/>
                <w:color w:val="auto"/>
              </w:rPr>
            </w:pPr>
          </w:p>
        </w:tc>
        <w:tc>
          <w:tcPr>
            <w:tcW w:w="740" w:type="dxa"/>
            <w:vAlign w:val="bottom"/>
            <w:tcBorders>
              <w:bottom w:val="single" w:sz="8" w:color="B2B3B6"/>
            </w:tcBorders>
          </w:tcPr>
          <w:p>
            <w:pPr>
              <w:spacing w:after="0"/>
              <w:rPr>
                <w:sz w:val="10"/>
                <w:szCs w:val="10"/>
                <w:color w:val="auto"/>
              </w:rPr>
            </w:pPr>
          </w:p>
        </w:tc>
        <w:tc>
          <w:tcPr>
            <w:tcW w:w="760" w:type="dxa"/>
            <w:vAlign w:val="bottom"/>
            <w:tcBorders>
              <w:bottom w:val="single" w:sz="8" w:color="B2B3B6"/>
            </w:tcBorders>
          </w:tcPr>
          <w:p>
            <w:pPr>
              <w:spacing w:after="0"/>
              <w:rPr>
                <w:sz w:val="10"/>
                <w:szCs w:val="10"/>
                <w:color w:val="auto"/>
              </w:rPr>
            </w:pPr>
          </w:p>
        </w:tc>
        <w:tc>
          <w:tcPr>
            <w:tcW w:w="200" w:type="dxa"/>
            <w:vAlign w:val="bottom"/>
            <w:tcBorders>
              <w:bottom w:val="single" w:sz="8" w:color="B2B3B6"/>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820" w:type="dxa"/>
            <w:vAlign w:val="bottom"/>
            <w:vMerge w:val="continue"/>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3"/>
                <w:szCs w:val="13"/>
                <w:color w:val="auto"/>
              </w:rPr>
              <w:t>3/1/2024</w:t>
            </w:r>
          </w:p>
        </w:tc>
        <w:tc>
          <w:tcPr>
            <w:tcW w:w="1120" w:type="dxa"/>
            <w:vAlign w:val="bottom"/>
          </w:tcPr>
          <w:p>
            <w:pPr>
              <w:jc w:val="center"/>
              <w:spacing w:after="0"/>
              <w:rPr>
                <w:sz w:val="20"/>
                <w:szCs w:val="20"/>
                <w:color w:val="auto"/>
              </w:rPr>
            </w:pPr>
            <w:r>
              <w:rPr>
                <w:rFonts w:ascii="Arial" w:cs="Arial" w:eastAsia="Arial" w:hAnsi="Arial"/>
                <w:sz w:val="13"/>
                <w:szCs w:val="13"/>
                <w:color w:val="auto"/>
              </w:rPr>
              <w:t>2/21/2024</w:t>
            </w: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3,984</w:t>
            </w:r>
          </w:p>
        </w:tc>
        <w:tc>
          <w:tcPr>
            <w:tcW w:w="760" w:type="dxa"/>
            <w:vAlign w:val="bottom"/>
          </w:tcPr>
          <w:p>
            <w:pPr>
              <w:jc w:val="right"/>
              <w:spacing w:after="0"/>
              <w:rPr>
                <w:sz w:val="20"/>
                <w:szCs w:val="20"/>
                <w:color w:val="auto"/>
              </w:rPr>
            </w:pPr>
            <w:r>
              <w:rPr>
                <w:rFonts w:ascii="Arial" w:cs="Arial" w:eastAsia="Arial" w:hAnsi="Arial"/>
                <w:sz w:val="13"/>
                <w:szCs w:val="13"/>
                <w:color w:val="auto"/>
              </w:rPr>
              <w:t>396,010</w:t>
            </w:r>
          </w:p>
        </w:tc>
        <w:tc>
          <w:tcPr>
            <w:tcW w:w="200" w:type="dxa"/>
            <w:vAlign w:val="bottom"/>
          </w:tcPr>
          <w:p>
            <w:pPr>
              <w:jc w:val="right"/>
              <w:spacing w:after="0"/>
              <w:rPr>
                <w:sz w:val="20"/>
                <w:szCs w:val="20"/>
                <w:color w:val="auto"/>
              </w:rPr>
            </w:pPr>
            <w:r>
              <w:rPr>
                <w:rFonts w:ascii="Arial" w:cs="Arial" w:eastAsia="Arial" w:hAnsi="Arial"/>
                <w:sz w:val="9"/>
                <w:szCs w:val="9"/>
                <w:color w:val="auto"/>
              </w:rPr>
              <w:t>(3)</w:t>
            </w:r>
          </w:p>
        </w:tc>
        <w:tc>
          <w:tcPr>
            <w:tcW w:w="0" w:type="dxa"/>
            <w:vAlign w:val="bottom"/>
          </w:tcPr>
          <w:p>
            <w:pPr>
              <w:spacing w:after="0"/>
              <w:rPr>
                <w:sz w:val="1"/>
                <w:szCs w:val="1"/>
                <w:color w:val="auto"/>
              </w:rPr>
            </w:pPr>
          </w:p>
        </w:tc>
      </w:tr>
      <w:tr>
        <w:trPr>
          <w:trHeight w:val="162"/>
        </w:trPr>
        <w:tc>
          <w:tcPr>
            <w:tcW w:w="820" w:type="dxa"/>
            <w:vAlign w:val="bottom"/>
          </w:tcPr>
          <w:p>
            <w:pPr>
              <w:ind w:left="140"/>
              <w:spacing w:after="0"/>
              <w:rPr>
                <w:sz w:val="20"/>
                <w:szCs w:val="20"/>
                <w:color w:val="auto"/>
              </w:rPr>
            </w:pPr>
            <w:r>
              <w:rPr>
                <w:rFonts w:ascii="Arial" w:cs="Arial" w:eastAsia="Arial" w:hAnsi="Arial"/>
                <w:sz w:val="13"/>
                <w:szCs w:val="13"/>
                <w:b w:val="1"/>
                <w:bCs w:val="1"/>
                <w:color w:val="00558C"/>
              </w:rPr>
              <w:t>Kelly</w:t>
            </w:r>
          </w:p>
        </w:tc>
        <w:tc>
          <w:tcPr>
            <w:tcW w:w="640" w:type="dxa"/>
            <w:vAlign w:val="bottom"/>
            <w:tcBorders>
              <w:bottom w:val="single" w:sz="8" w:color="B2B3B6"/>
            </w:tcBorders>
          </w:tcPr>
          <w:p>
            <w:pPr>
              <w:spacing w:after="0"/>
              <w:rPr>
                <w:sz w:val="14"/>
                <w:szCs w:val="14"/>
                <w:color w:val="auto"/>
              </w:rPr>
            </w:pPr>
          </w:p>
        </w:tc>
        <w:tc>
          <w:tcPr>
            <w:tcW w:w="1120" w:type="dxa"/>
            <w:vAlign w:val="bottom"/>
            <w:tcBorders>
              <w:bottom w:val="single" w:sz="8" w:color="B2B3B6"/>
            </w:tcBorders>
          </w:tcPr>
          <w:p>
            <w:pPr>
              <w:spacing w:after="0"/>
              <w:rPr>
                <w:sz w:val="14"/>
                <w:szCs w:val="14"/>
                <w:color w:val="auto"/>
              </w:rPr>
            </w:pPr>
          </w:p>
        </w:tc>
        <w:tc>
          <w:tcPr>
            <w:tcW w:w="820" w:type="dxa"/>
            <w:vAlign w:val="bottom"/>
            <w:tcBorders>
              <w:bottom w:val="single" w:sz="8" w:color="B2B3B6"/>
            </w:tcBorders>
          </w:tcPr>
          <w:p>
            <w:pPr>
              <w:spacing w:after="0"/>
              <w:rPr>
                <w:sz w:val="14"/>
                <w:szCs w:val="14"/>
                <w:color w:val="auto"/>
              </w:rPr>
            </w:pPr>
          </w:p>
        </w:tc>
        <w:tc>
          <w:tcPr>
            <w:tcW w:w="760" w:type="dxa"/>
            <w:vAlign w:val="bottom"/>
            <w:tcBorders>
              <w:bottom w:val="single" w:sz="8" w:color="B2B3B6"/>
            </w:tcBorders>
          </w:tcPr>
          <w:p>
            <w:pPr>
              <w:spacing w:after="0"/>
              <w:rPr>
                <w:sz w:val="14"/>
                <w:szCs w:val="14"/>
                <w:color w:val="auto"/>
              </w:rPr>
            </w:pPr>
          </w:p>
        </w:tc>
        <w:tc>
          <w:tcPr>
            <w:tcW w:w="800" w:type="dxa"/>
            <w:vAlign w:val="bottom"/>
            <w:tcBorders>
              <w:bottom w:val="single" w:sz="8" w:color="B2B3B6"/>
            </w:tcBorders>
          </w:tcPr>
          <w:p>
            <w:pPr>
              <w:spacing w:after="0"/>
              <w:rPr>
                <w:sz w:val="14"/>
                <w:szCs w:val="14"/>
                <w:color w:val="auto"/>
              </w:rPr>
            </w:pPr>
          </w:p>
        </w:tc>
        <w:tc>
          <w:tcPr>
            <w:tcW w:w="200" w:type="dxa"/>
            <w:vAlign w:val="bottom"/>
            <w:tcBorders>
              <w:bottom w:val="single" w:sz="8" w:color="B2B3B6"/>
            </w:tcBorders>
          </w:tcPr>
          <w:p>
            <w:pPr>
              <w:spacing w:after="0"/>
              <w:rPr>
                <w:sz w:val="14"/>
                <w:szCs w:val="14"/>
                <w:color w:val="auto"/>
              </w:rPr>
            </w:pPr>
          </w:p>
        </w:tc>
        <w:tc>
          <w:tcPr>
            <w:tcW w:w="860" w:type="dxa"/>
            <w:vAlign w:val="bottom"/>
            <w:tcBorders>
              <w:bottom w:val="single" w:sz="8" w:color="B2B3B6"/>
            </w:tcBorders>
          </w:tcPr>
          <w:p>
            <w:pPr>
              <w:spacing w:after="0"/>
              <w:rPr>
                <w:sz w:val="14"/>
                <w:szCs w:val="14"/>
                <w:color w:val="auto"/>
              </w:rPr>
            </w:pPr>
          </w:p>
        </w:tc>
        <w:tc>
          <w:tcPr>
            <w:tcW w:w="560" w:type="dxa"/>
            <w:vAlign w:val="bottom"/>
            <w:tcBorders>
              <w:bottom w:val="single" w:sz="8" w:color="B2B3B6"/>
            </w:tcBorders>
          </w:tcPr>
          <w:p>
            <w:pPr>
              <w:spacing w:after="0"/>
              <w:rPr>
                <w:sz w:val="14"/>
                <w:szCs w:val="14"/>
                <w:color w:val="auto"/>
              </w:rPr>
            </w:pPr>
          </w:p>
        </w:tc>
        <w:tc>
          <w:tcPr>
            <w:tcW w:w="800" w:type="dxa"/>
            <w:vAlign w:val="bottom"/>
            <w:tcBorders>
              <w:bottom w:val="single" w:sz="8" w:color="B2B3B6"/>
            </w:tcBorders>
          </w:tcPr>
          <w:p>
            <w:pPr>
              <w:spacing w:after="0"/>
              <w:rPr>
                <w:sz w:val="14"/>
                <w:szCs w:val="14"/>
                <w:color w:val="auto"/>
              </w:rPr>
            </w:pPr>
          </w:p>
        </w:tc>
        <w:tc>
          <w:tcPr>
            <w:tcW w:w="740" w:type="dxa"/>
            <w:vAlign w:val="bottom"/>
            <w:tcBorders>
              <w:bottom w:val="single" w:sz="8" w:color="B2B3B6"/>
            </w:tcBorders>
          </w:tcPr>
          <w:p>
            <w:pPr>
              <w:spacing w:after="0"/>
              <w:rPr>
                <w:sz w:val="14"/>
                <w:szCs w:val="14"/>
                <w:color w:val="auto"/>
              </w:rPr>
            </w:pPr>
          </w:p>
        </w:tc>
        <w:tc>
          <w:tcPr>
            <w:tcW w:w="760" w:type="dxa"/>
            <w:vAlign w:val="bottom"/>
            <w:tcBorders>
              <w:bottom w:val="single" w:sz="8" w:color="B2B3B6"/>
            </w:tcBorders>
          </w:tcPr>
          <w:p>
            <w:pPr>
              <w:spacing w:after="0"/>
              <w:rPr>
                <w:sz w:val="14"/>
                <w:szCs w:val="14"/>
                <w:color w:val="auto"/>
              </w:rPr>
            </w:pPr>
          </w:p>
        </w:tc>
        <w:tc>
          <w:tcPr>
            <w:tcW w:w="200" w:type="dxa"/>
            <w:vAlign w:val="bottom"/>
            <w:tcBorders>
              <w:bottom w:val="single" w:sz="8" w:color="B2B3B6"/>
            </w:tcBorders>
          </w:tcPr>
          <w:p>
            <w:pPr>
              <w:spacing w:after="0"/>
              <w:rPr>
                <w:sz w:val="14"/>
                <w:szCs w:val="14"/>
                <w:color w:val="auto"/>
              </w:rPr>
            </w:pPr>
          </w:p>
        </w:tc>
        <w:tc>
          <w:tcPr>
            <w:tcW w:w="0" w:type="dxa"/>
            <w:vAlign w:val="bottom"/>
          </w:tcPr>
          <w:p>
            <w:pPr>
              <w:spacing w:after="0"/>
              <w:rPr>
                <w:sz w:val="1"/>
                <w:szCs w:val="1"/>
                <w:color w:val="auto"/>
              </w:rPr>
            </w:pPr>
          </w:p>
        </w:tc>
      </w:tr>
      <w:tr>
        <w:trPr>
          <w:trHeight w:val="306"/>
        </w:trPr>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86,250</w:t>
            </w:r>
          </w:p>
        </w:tc>
        <w:tc>
          <w:tcPr>
            <w:tcW w:w="760" w:type="dxa"/>
            <w:vAlign w:val="bottom"/>
          </w:tcPr>
          <w:p>
            <w:pPr>
              <w:jc w:val="right"/>
              <w:spacing w:after="0"/>
              <w:rPr>
                <w:sz w:val="20"/>
                <w:szCs w:val="20"/>
                <w:color w:val="auto"/>
              </w:rPr>
            </w:pPr>
            <w:r>
              <w:rPr>
                <w:rFonts w:ascii="Arial" w:cs="Arial" w:eastAsia="Arial" w:hAnsi="Arial"/>
                <w:sz w:val="13"/>
                <w:szCs w:val="13"/>
                <w:color w:val="auto"/>
              </w:rPr>
              <w:t>690,000</w:t>
            </w:r>
          </w:p>
        </w:tc>
        <w:tc>
          <w:tcPr>
            <w:tcW w:w="800" w:type="dxa"/>
            <w:vAlign w:val="bottom"/>
          </w:tcPr>
          <w:p>
            <w:pPr>
              <w:jc w:val="right"/>
              <w:spacing w:after="0"/>
              <w:rPr>
                <w:sz w:val="20"/>
                <w:szCs w:val="20"/>
                <w:color w:val="auto"/>
              </w:rPr>
            </w:pPr>
            <w:r>
              <w:rPr>
                <w:rFonts w:ascii="Arial" w:cs="Arial" w:eastAsia="Arial" w:hAnsi="Arial"/>
                <w:sz w:val="13"/>
                <w:szCs w:val="13"/>
                <w:color w:val="auto"/>
              </w:rPr>
              <w:t>1,380,000</w:t>
            </w:r>
          </w:p>
        </w:tc>
        <w:tc>
          <w:tcPr>
            <w:tcW w:w="200" w:type="dxa"/>
            <w:vAlign w:val="bottom"/>
          </w:tcPr>
          <w:p>
            <w:pPr>
              <w:jc w:val="right"/>
              <w:spacing w:after="0"/>
              <w:rPr>
                <w:sz w:val="20"/>
                <w:szCs w:val="20"/>
                <w:color w:val="auto"/>
              </w:rPr>
            </w:pPr>
            <w:r>
              <w:rPr>
                <w:rFonts w:ascii="Arial" w:cs="Arial" w:eastAsia="Arial" w:hAnsi="Arial"/>
                <w:sz w:val="9"/>
                <w:szCs w:val="9"/>
                <w:color w:val="auto"/>
              </w:rPr>
              <w:t>(1)</w:t>
            </w: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8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5"/>
        </w:trPr>
        <w:tc>
          <w:tcPr>
            <w:tcW w:w="820" w:type="dxa"/>
            <w:vAlign w:val="bottom"/>
            <w:shd w:val="clear" w:color="auto" w:fill="F2F3F2"/>
          </w:tcPr>
          <w:p>
            <w:pPr>
              <w:spacing w:after="0"/>
              <w:rPr>
                <w:sz w:val="24"/>
                <w:szCs w:val="24"/>
                <w:color w:val="auto"/>
              </w:rPr>
            </w:pPr>
          </w:p>
        </w:tc>
        <w:tc>
          <w:tcPr>
            <w:tcW w:w="640" w:type="dxa"/>
            <w:vAlign w:val="bottom"/>
            <w:shd w:val="clear" w:color="auto" w:fill="F2F3F2"/>
          </w:tcPr>
          <w:p>
            <w:pPr>
              <w:jc w:val="center"/>
              <w:spacing w:after="0"/>
              <w:rPr>
                <w:sz w:val="20"/>
                <w:szCs w:val="20"/>
                <w:color w:val="auto"/>
              </w:rPr>
            </w:pPr>
            <w:r>
              <w:rPr>
                <w:rFonts w:ascii="Arial" w:cs="Arial" w:eastAsia="Arial" w:hAnsi="Arial"/>
                <w:sz w:val="13"/>
                <w:szCs w:val="13"/>
                <w:color w:val="auto"/>
              </w:rPr>
              <w:t>3/1/2024</w:t>
            </w:r>
          </w:p>
        </w:tc>
        <w:tc>
          <w:tcPr>
            <w:tcW w:w="1120" w:type="dxa"/>
            <w:vAlign w:val="bottom"/>
            <w:shd w:val="clear" w:color="auto" w:fill="F2F3F2"/>
          </w:tcPr>
          <w:p>
            <w:pPr>
              <w:jc w:val="center"/>
              <w:spacing w:after="0"/>
              <w:rPr>
                <w:sz w:val="20"/>
                <w:szCs w:val="20"/>
                <w:color w:val="auto"/>
              </w:rPr>
            </w:pPr>
            <w:r>
              <w:rPr>
                <w:rFonts w:ascii="Arial" w:cs="Arial" w:eastAsia="Arial" w:hAnsi="Arial"/>
                <w:sz w:val="13"/>
                <w:szCs w:val="13"/>
                <w:color w:val="auto"/>
              </w:rPr>
              <w:t>2/21/2024</w:t>
            </w:r>
          </w:p>
        </w:tc>
        <w:tc>
          <w:tcPr>
            <w:tcW w:w="820" w:type="dxa"/>
            <w:vAlign w:val="bottom"/>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F2F3F2"/>
          </w:tcPr>
          <w:p>
            <w:pPr>
              <w:spacing w:after="0"/>
              <w:rPr>
                <w:sz w:val="24"/>
                <w:szCs w:val="24"/>
                <w:color w:val="auto"/>
              </w:rPr>
            </w:pPr>
          </w:p>
        </w:tc>
        <w:tc>
          <w:tcPr>
            <w:tcW w:w="860" w:type="dxa"/>
            <w:vAlign w:val="bottom"/>
            <w:shd w:val="clear" w:color="auto" w:fill="F2F3F2"/>
          </w:tcPr>
          <w:p>
            <w:pPr>
              <w:jc w:val="right"/>
              <w:spacing w:after="0"/>
              <w:rPr>
                <w:sz w:val="20"/>
                <w:szCs w:val="20"/>
                <w:color w:val="auto"/>
              </w:rPr>
            </w:pPr>
            <w:r>
              <w:rPr>
                <w:rFonts w:ascii="Arial" w:cs="Arial" w:eastAsia="Arial" w:hAnsi="Arial"/>
                <w:sz w:val="13"/>
                <w:szCs w:val="13"/>
                <w:color w:val="auto"/>
              </w:rPr>
              <w:t>1,664</w:t>
            </w:r>
          </w:p>
        </w:tc>
        <w:tc>
          <w:tcPr>
            <w:tcW w:w="560" w:type="dxa"/>
            <w:vAlign w:val="bottom"/>
            <w:shd w:val="clear" w:color="auto" w:fill="F2F3F2"/>
          </w:tcPr>
          <w:p>
            <w:pPr>
              <w:jc w:val="right"/>
              <w:spacing w:after="0"/>
              <w:rPr>
                <w:sz w:val="20"/>
                <w:szCs w:val="20"/>
                <w:color w:val="auto"/>
              </w:rPr>
            </w:pPr>
            <w:r>
              <w:rPr>
                <w:rFonts w:ascii="Arial" w:cs="Arial" w:eastAsia="Arial" w:hAnsi="Arial"/>
                <w:sz w:val="13"/>
                <w:szCs w:val="13"/>
                <w:color w:val="auto"/>
              </w:rPr>
              <w:t>6,655</w:t>
            </w:r>
          </w:p>
        </w:tc>
        <w:tc>
          <w:tcPr>
            <w:tcW w:w="800" w:type="dxa"/>
            <w:vAlign w:val="bottom"/>
            <w:shd w:val="clear" w:color="auto" w:fill="F2F3F2"/>
          </w:tcPr>
          <w:p>
            <w:pPr>
              <w:jc w:val="right"/>
              <w:spacing w:after="0"/>
              <w:rPr>
                <w:sz w:val="20"/>
                <w:szCs w:val="20"/>
                <w:color w:val="auto"/>
              </w:rPr>
            </w:pPr>
            <w:r>
              <w:rPr>
                <w:rFonts w:ascii="Arial" w:cs="Arial" w:eastAsia="Arial" w:hAnsi="Arial"/>
                <w:sz w:val="13"/>
                <w:szCs w:val="13"/>
                <w:color w:val="auto"/>
              </w:rPr>
              <w:t>13,310</w:t>
            </w:r>
          </w:p>
        </w:tc>
        <w:tc>
          <w:tcPr>
            <w:tcW w:w="740" w:type="dxa"/>
            <w:vAlign w:val="bottom"/>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F2F3F2"/>
          </w:tcPr>
          <w:p>
            <w:pPr>
              <w:jc w:val="right"/>
              <w:spacing w:after="0"/>
              <w:rPr>
                <w:sz w:val="20"/>
                <w:szCs w:val="20"/>
                <w:color w:val="auto"/>
              </w:rPr>
            </w:pPr>
            <w:r>
              <w:rPr>
                <w:rFonts w:ascii="Arial" w:cs="Arial" w:eastAsia="Arial" w:hAnsi="Arial"/>
                <w:sz w:val="13"/>
                <w:szCs w:val="13"/>
                <w:color w:val="auto"/>
              </w:rPr>
              <w:t>661,507</w:t>
            </w:r>
          </w:p>
        </w:tc>
        <w:tc>
          <w:tcPr>
            <w:tcW w:w="200" w:type="dxa"/>
            <w:vAlign w:val="bottom"/>
            <w:shd w:val="clear" w:color="auto" w:fill="F2F3F2"/>
          </w:tcPr>
          <w:p>
            <w:pPr>
              <w:jc w:val="right"/>
              <w:spacing w:after="0"/>
              <w:rPr>
                <w:sz w:val="20"/>
                <w:szCs w:val="20"/>
                <w:color w:val="auto"/>
              </w:rPr>
            </w:pPr>
            <w:r>
              <w:rPr>
                <w:rFonts w:ascii="Arial" w:cs="Arial" w:eastAsia="Arial" w:hAnsi="Arial"/>
                <w:sz w:val="9"/>
                <w:szCs w:val="9"/>
                <w:color w:val="auto"/>
              </w:rPr>
              <w:t>(2)</w:t>
            </w:r>
          </w:p>
        </w:tc>
        <w:tc>
          <w:tcPr>
            <w:tcW w:w="0" w:type="dxa"/>
            <w:vAlign w:val="bottom"/>
          </w:tcPr>
          <w:p>
            <w:pPr>
              <w:spacing w:after="0"/>
              <w:rPr>
                <w:sz w:val="1"/>
                <w:szCs w:val="1"/>
                <w:color w:val="auto"/>
              </w:rPr>
            </w:pPr>
          </w:p>
        </w:tc>
      </w:tr>
      <w:tr>
        <w:trPr>
          <w:trHeight w:val="120"/>
        </w:trPr>
        <w:tc>
          <w:tcPr>
            <w:tcW w:w="820" w:type="dxa"/>
            <w:vAlign w:val="bottom"/>
            <w:tcBorders>
              <w:bottom w:val="single" w:sz="8" w:color="F2F3F2"/>
            </w:tcBorders>
            <w:vMerge w:val="restart"/>
            <w:shd w:val="clear" w:color="auto" w:fill="F2F3F2"/>
          </w:tcPr>
          <w:p>
            <w:pPr>
              <w:ind w:left="140"/>
              <w:spacing w:after="0"/>
              <w:rPr>
                <w:sz w:val="20"/>
                <w:szCs w:val="20"/>
                <w:color w:val="auto"/>
              </w:rPr>
            </w:pPr>
            <w:r>
              <w:rPr>
                <w:rFonts w:ascii="Arial" w:cs="Arial" w:eastAsia="Arial" w:hAnsi="Arial"/>
                <w:sz w:val="13"/>
                <w:szCs w:val="13"/>
                <w:b w:val="1"/>
                <w:bCs w:val="1"/>
                <w:color w:val="00558C"/>
              </w:rPr>
              <w:t>J. Ronald</w:t>
            </w:r>
          </w:p>
        </w:tc>
        <w:tc>
          <w:tcPr>
            <w:tcW w:w="640" w:type="dxa"/>
            <w:vAlign w:val="bottom"/>
            <w:tcBorders>
              <w:bottom w:val="single" w:sz="8" w:color="B2B3B6"/>
            </w:tcBorders>
            <w:shd w:val="clear" w:color="auto" w:fill="F2F3F2"/>
          </w:tcPr>
          <w:p>
            <w:pPr>
              <w:spacing w:after="0"/>
              <w:rPr>
                <w:sz w:val="10"/>
                <w:szCs w:val="10"/>
                <w:color w:val="auto"/>
              </w:rPr>
            </w:pPr>
          </w:p>
        </w:tc>
        <w:tc>
          <w:tcPr>
            <w:tcW w:w="1120" w:type="dxa"/>
            <w:vAlign w:val="bottom"/>
            <w:tcBorders>
              <w:bottom w:val="single" w:sz="8" w:color="B2B3B6"/>
            </w:tcBorders>
            <w:shd w:val="clear" w:color="auto" w:fill="F2F3F2"/>
          </w:tcPr>
          <w:p>
            <w:pPr>
              <w:spacing w:after="0"/>
              <w:rPr>
                <w:sz w:val="10"/>
                <w:szCs w:val="10"/>
                <w:color w:val="auto"/>
              </w:rPr>
            </w:pPr>
          </w:p>
        </w:tc>
        <w:tc>
          <w:tcPr>
            <w:tcW w:w="820" w:type="dxa"/>
            <w:vAlign w:val="bottom"/>
            <w:tcBorders>
              <w:bottom w:val="single" w:sz="8" w:color="B2B3B6"/>
            </w:tcBorders>
            <w:shd w:val="clear" w:color="auto" w:fill="F2F3F2"/>
          </w:tcPr>
          <w:p>
            <w:pPr>
              <w:spacing w:after="0"/>
              <w:rPr>
                <w:sz w:val="10"/>
                <w:szCs w:val="10"/>
                <w:color w:val="auto"/>
              </w:rPr>
            </w:pPr>
          </w:p>
        </w:tc>
        <w:tc>
          <w:tcPr>
            <w:tcW w:w="760" w:type="dxa"/>
            <w:vAlign w:val="bottom"/>
            <w:tcBorders>
              <w:bottom w:val="single" w:sz="8" w:color="B2B3B6"/>
            </w:tcBorders>
            <w:shd w:val="clear" w:color="auto" w:fill="F2F3F2"/>
          </w:tcPr>
          <w:p>
            <w:pPr>
              <w:spacing w:after="0"/>
              <w:rPr>
                <w:sz w:val="10"/>
                <w:szCs w:val="10"/>
                <w:color w:val="auto"/>
              </w:rPr>
            </w:pPr>
          </w:p>
        </w:tc>
        <w:tc>
          <w:tcPr>
            <w:tcW w:w="800" w:type="dxa"/>
            <w:vAlign w:val="bottom"/>
            <w:tcBorders>
              <w:bottom w:val="single" w:sz="8" w:color="B2B3B6"/>
            </w:tcBorders>
            <w:shd w:val="clear" w:color="auto" w:fill="F2F3F2"/>
          </w:tcPr>
          <w:p>
            <w:pPr>
              <w:spacing w:after="0"/>
              <w:rPr>
                <w:sz w:val="10"/>
                <w:szCs w:val="10"/>
                <w:color w:val="auto"/>
              </w:rPr>
            </w:pPr>
          </w:p>
        </w:tc>
        <w:tc>
          <w:tcPr>
            <w:tcW w:w="200" w:type="dxa"/>
            <w:vAlign w:val="bottom"/>
            <w:tcBorders>
              <w:bottom w:val="single" w:sz="8" w:color="B2B3B6"/>
            </w:tcBorders>
            <w:shd w:val="clear" w:color="auto" w:fill="F2F3F2"/>
          </w:tcPr>
          <w:p>
            <w:pPr>
              <w:spacing w:after="0"/>
              <w:rPr>
                <w:sz w:val="10"/>
                <w:szCs w:val="10"/>
                <w:color w:val="auto"/>
              </w:rPr>
            </w:pPr>
          </w:p>
        </w:tc>
        <w:tc>
          <w:tcPr>
            <w:tcW w:w="860" w:type="dxa"/>
            <w:vAlign w:val="bottom"/>
            <w:tcBorders>
              <w:bottom w:val="single" w:sz="8" w:color="B2B3B6"/>
            </w:tcBorders>
            <w:shd w:val="clear" w:color="auto" w:fill="F2F3F2"/>
          </w:tcPr>
          <w:p>
            <w:pPr>
              <w:spacing w:after="0"/>
              <w:rPr>
                <w:sz w:val="10"/>
                <w:szCs w:val="10"/>
                <w:color w:val="auto"/>
              </w:rPr>
            </w:pPr>
          </w:p>
        </w:tc>
        <w:tc>
          <w:tcPr>
            <w:tcW w:w="560" w:type="dxa"/>
            <w:vAlign w:val="bottom"/>
            <w:tcBorders>
              <w:bottom w:val="single" w:sz="8" w:color="B2B3B6"/>
            </w:tcBorders>
            <w:shd w:val="clear" w:color="auto" w:fill="F2F3F2"/>
          </w:tcPr>
          <w:p>
            <w:pPr>
              <w:spacing w:after="0"/>
              <w:rPr>
                <w:sz w:val="10"/>
                <w:szCs w:val="10"/>
                <w:color w:val="auto"/>
              </w:rPr>
            </w:pPr>
          </w:p>
        </w:tc>
        <w:tc>
          <w:tcPr>
            <w:tcW w:w="800" w:type="dxa"/>
            <w:vAlign w:val="bottom"/>
            <w:tcBorders>
              <w:bottom w:val="single" w:sz="8" w:color="B2B3B6"/>
            </w:tcBorders>
            <w:shd w:val="clear" w:color="auto" w:fill="F2F3F2"/>
          </w:tcPr>
          <w:p>
            <w:pPr>
              <w:spacing w:after="0"/>
              <w:rPr>
                <w:sz w:val="10"/>
                <w:szCs w:val="10"/>
                <w:color w:val="auto"/>
              </w:rPr>
            </w:pPr>
          </w:p>
        </w:tc>
        <w:tc>
          <w:tcPr>
            <w:tcW w:w="740" w:type="dxa"/>
            <w:vAlign w:val="bottom"/>
            <w:tcBorders>
              <w:bottom w:val="single" w:sz="8" w:color="B2B3B6"/>
            </w:tcBorders>
            <w:shd w:val="clear" w:color="auto" w:fill="F2F3F2"/>
          </w:tcPr>
          <w:p>
            <w:pPr>
              <w:spacing w:after="0"/>
              <w:rPr>
                <w:sz w:val="10"/>
                <w:szCs w:val="10"/>
                <w:color w:val="auto"/>
              </w:rPr>
            </w:pPr>
          </w:p>
        </w:tc>
        <w:tc>
          <w:tcPr>
            <w:tcW w:w="760" w:type="dxa"/>
            <w:vAlign w:val="bottom"/>
            <w:tcBorders>
              <w:bottom w:val="single" w:sz="8" w:color="B2B3B6"/>
            </w:tcBorders>
            <w:shd w:val="clear" w:color="auto" w:fill="F2F3F2"/>
          </w:tcPr>
          <w:p>
            <w:pPr>
              <w:spacing w:after="0"/>
              <w:rPr>
                <w:sz w:val="10"/>
                <w:szCs w:val="10"/>
                <w:color w:val="auto"/>
              </w:rPr>
            </w:pPr>
          </w:p>
        </w:tc>
        <w:tc>
          <w:tcPr>
            <w:tcW w:w="200" w:type="dxa"/>
            <w:vAlign w:val="bottom"/>
            <w:tcBorders>
              <w:bottom w:val="single" w:sz="8" w:color="B2B3B6"/>
            </w:tcBorders>
            <w:shd w:val="clear" w:color="auto" w:fill="F2F3F2"/>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820" w:type="dxa"/>
            <w:vAlign w:val="bottom"/>
            <w:vMerge w:val="continue"/>
            <w:shd w:val="clear" w:color="auto" w:fill="F2F3F2"/>
          </w:tcPr>
          <w:p>
            <w:pPr>
              <w:spacing w:after="0"/>
              <w:rPr>
                <w:sz w:val="22"/>
                <w:szCs w:val="22"/>
                <w:color w:val="auto"/>
              </w:rPr>
            </w:pPr>
          </w:p>
        </w:tc>
        <w:tc>
          <w:tcPr>
            <w:tcW w:w="640" w:type="dxa"/>
            <w:vAlign w:val="bottom"/>
            <w:shd w:val="clear" w:color="auto" w:fill="F2F3F2"/>
          </w:tcPr>
          <w:p>
            <w:pPr>
              <w:jc w:val="center"/>
              <w:spacing w:after="0"/>
              <w:rPr>
                <w:sz w:val="20"/>
                <w:szCs w:val="20"/>
                <w:color w:val="auto"/>
              </w:rPr>
            </w:pPr>
            <w:r>
              <w:rPr>
                <w:rFonts w:ascii="Arial" w:cs="Arial" w:eastAsia="Arial" w:hAnsi="Arial"/>
                <w:sz w:val="13"/>
                <w:szCs w:val="13"/>
                <w:color w:val="auto"/>
              </w:rPr>
              <w:t>3/1/2024</w:t>
            </w:r>
          </w:p>
        </w:tc>
        <w:tc>
          <w:tcPr>
            <w:tcW w:w="1120" w:type="dxa"/>
            <w:vAlign w:val="bottom"/>
            <w:shd w:val="clear" w:color="auto" w:fill="F2F3F2"/>
          </w:tcPr>
          <w:p>
            <w:pPr>
              <w:jc w:val="center"/>
              <w:spacing w:after="0"/>
              <w:rPr>
                <w:sz w:val="20"/>
                <w:szCs w:val="20"/>
                <w:color w:val="auto"/>
              </w:rPr>
            </w:pPr>
            <w:r>
              <w:rPr>
                <w:rFonts w:ascii="Arial" w:cs="Arial" w:eastAsia="Arial" w:hAnsi="Arial"/>
                <w:sz w:val="13"/>
                <w:szCs w:val="13"/>
                <w:color w:val="auto"/>
              </w:rPr>
              <w:t>2/21/2024</w:t>
            </w:r>
          </w:p>
        </w:tc>
        <w:tc>
          <w:tcPr>
            <w:tcW w:w="820" w:type="dxa"/>
            <w:vAlign w:val="bottom"/>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F2F3F2"/>
          </w:tcPr>
          <w:p>
            <w:pPr>
              <w:spacing w:after="0"/>
              <w:rPr>
                <w:sz w:val="22"/>
                <w:szCs w:val="22"/>
                <w:color w:val="auto"/>
              </w:rPr>
            </w:pPr>
          </w:p>
        </w:tc>
        <w:tc>
          <w:tcPr>
            <w:tcW w:w="860" w:type="dxa"/>
            <w:vAlign w:val="bottom"/>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F2F3F2"/>
          </w:tcPr>
          <w:p>
            <w:pPr>
              <w:jc w:val="right"/>
              <w:spacing w:after="0"/>
              <w:rPr>
                <w:sz w:val="20"/>
                <w:szCs w:val="20"/>
                <w:color w:val="auto"/>
              </w:rPr>
            </w:pPr>
            <w:r>
              <w:rPr>
                <w:rFonts w:ascii="Arial" w:cs="Arial" w:eastAsia="Arial" w:hAnsi="Arial"/>
                <w:sz w:val="13"/>
                <w:szCs w:val="13"/>
                <w:color w:val="auto"/>
              </w:rPr>
              <w:t>2,852</w:t>
            </w:r>
          </w:p>
        </w:tc>
        <w:tc>
          <w:tcPr>
            <w:tcW w:w="760" w:type="dxa"/>
            <w:vAlign w:val="bottom"/>
            <w:shd w:val="clear" w:color="auto" w:fill="F2F3F2"/>
          </w:tcPr>
          <w:p>
            <w:pPr>
              <w:jc w:val="right"/>
              <w:spacing w:after="0"/>
              <w:rPr>
                <w:sz w:val="20"/>
                <w:szCs w:val="20"/>
                <w:color w:val="auto"/>
              </w:rPr>
            </w:pPr>
            <w:r>
              <w:rPr>
                <w:rFonts w:ascii="Arial" w:cs="Arial" w:eastAsia="Arial" w:hAnsi="Arial"/>
                <w:sz w:val="13"/>
                <w:szCs w:val="13"/>
                <w:color w:val="auto"/>
              </w:rPr>
              <w:t>283,489</w:t>
            </w:r>
          </w:p>
        </w:tc>
        <w:tc>
          <w:tcPr>
            <w:tcW w:w="200" w:type="dxa"/>
            <w:vAlign w:val="bottom"/>
            <w:shd w:val="clear" w:color="auto" w:fill="F2F3F2"/>
          </w:tcPr>
          <w:p>
            <w:pPr>
              <w:jc w:val="right"/>
              <w:spacing w:after="0"/>
              <w:rPr>
                <w:sz w:val="20"/>
                <w:szCs w:val="20"/>
                <w:color w:val="auto"/>
              </w:rPr>
            </w:pPr>
            <w:r>
              <w:rPr>
                <w:rFonts w:ascii="Arial" w:cs="Arial" w:eastAsia="Arial" w:hAnsi="Arial"/>
                <w:sz w:val="9"/>
                <w:szCs w:val="9"/>
                <w:color w:val="auto"/>
              </w:rPr>
              <w:t>(3)</w:t>
            </w:r>
          </w:p>
        </w:tc>
        <w:tc>
          <w:tcPr>
            <w:tcW w:w="0" w:type="dxa"/>
            <w:vAlign w:val="bottom"/>
          </w:tcPr>
          <w:p>
            <w:pPr>
              <w:spacing w:after="0"/>
              <w:rPr>
                <w:sz w:val="1"/>
                <w:szCs w:val="1"/>
                <w:color w:val="auto"/>
              </w:rPr>
            </w:pPr>
          </w:p>
        </w:tc>
      </w:tr>
      <w:tr>
        <w:trPr>
          <w:trHeight w:val="162"/>
        </w:trPr>
        <w:tc>
          <w:tcPr>
            <w:tcW w:w="820" w:type="dxa"/>
            <w:vAlign w:val="bottom"/>
            <w:tcBorders>
              <w:bottom w:val="single" w:sz="8" w:color="F2F3F2"/>
            </w:tcBorders>
            <w:shd w:val="clear" w:color="auto" w:fill="F2F3F2"/>
          </w:tcPr>
          <w:p>
            <w:pPr>
              <w:ind w:left="140"/>
              <w:spacing w:after="0"/>
              <w:rPr>
                <w:sz w:val="20"/>
                <w:szCs w:val="20"/>
                <w:color w:val="auto"/>
              </w:rPr>
            </w:pPr>
            <w:r>
              <w:rPr>
                <w:rFonts w:ascii="Arial" w:cs="Arial" w:eastAsia="Arial" w:hAnsi="Arial"/>
                <w:sz w:val="13"/>
                <w:szCs w:val="13"/>
                <w:b w:val="1"/>
                <w:bCs w:val="1"/>
                <w:color w:val="00558C"/>
              </w:rPr>
              <w:t>Dail</w:t>
            </w:r>
          </w:p>
        </w:tc>
        <w:tc>
          <w:tcPr>
            <w:tcW w:w="640" w:type="dxa"/>
            <w:vAlign w:val="bottom"/>
            <w:tcBorders>
              <w:bottom w:val="single" w:sz="8" w:color="B2B3B6"/>
            </w:tcBorders>
            <w:shd w:val="clear" w:color="auto" w:fill="F2F3F2"/>
          </w:tcPr>
          <w:p>
            <w:pPr>
              <w:spacing w:after="0"/>
              <w:rPr>
                <w:sz w:val="14"/>
                <w:szCs w:val="14"/>
                <w:color w:val="auto"/>
              </w:rPr>
            </w:pPr>
          </w:p>
        </w:tc>
        <w:tc>
          <w:tcPr>
            <w:tcW w:w="1120" w:type="dxa"/>
            <w:vAlign w:val="bottom"/>
            <w:tcBorders>
              <w:bottom w:val="single" w:sz="8" w:color="B2B3B6"/>
            </w:tcBorders>
            <w:shd w:val="clear" w:color="auto" w:fill="F2F3F2"/>
          </w:tcPr>
          <w:p>
            <w:pPr>
              <w:spacing w:after="0"/>
              <w:rPr>
                <w:sz w:val="14"/>
                <w:szCs w:val="14"/>
                <w:color w:val="auto"/>
              </w:rPr>
            </w:pPr>
          </w:p>
        </w:tc>
        <w:tc>
          <w:tcPr>
            <w:tcW w:w="820" w:type="dxa"/>
            <w:vAlign w:val="bottom"/>
            <w:tcBorders>
              <w:bottom w:val="single" w:sz="8" w:color="B2B3B6"/>
            </w:tcBorders>
            <w:shd w:val="clear" w:color="auto" w:fill="F2F3F2"/>
          </w:tcPr>
          <w:p>
            <w:pPr>
              <w:spacing w:after="0"/>
              <w:rPr>
                <w:sz w:val="14"/>
                <w:szCs w:val="14"/>
                <w:color w:val="auto"/>
              </w:rPr>
            </w:pPr>
          </w:p>
        </w:tc>
        <w:tc>
          <w:tcPr>
            <w:tcW w:w="760" w:type="dxa"/>
            <w:vAlign w:val="bottom"/>
            <w:tcBorders>
              <w:bottom w:val="single" w:sz="8" w:color="B2B3B6"/>
            </w:tcBorders>
            <w:shd w:val="clear" w:color="auto" w:fill="F2F3F2"/>
          </w:tcPr>
          <w:p>
            <w:pPr>
              <w:spacing w:after="0"/>
              <w:rPr>
                <w:sz w:val="14"/>
                <w:szCs w:val="14"/>
                <w:color w:val="auto"/>
              </w:rPr>
            </w:pPr>
          </w:p>
        </w:tc>
        <w:tc>
          <w:tcPr>
            <w:tcW w:w="800" w:type="dxa"/>
            <w:vAlign w:val="bottom"/>
            <w:tcBorders>
              <w:bottom w:val="single" w:sz="8" w:color="B2B3B6"/>
            </w:tcBorders>
            <w:shd w:val="clear" w:color="auto" w:fill="F2F3F2"/>
          </w:tcPr>
          <w:p>
            <w:pPr>
              <w:spacing w:after="0"/>
              <w:rPr>
                <w:sz w:val="14"/>
                <w:szCs w:val="14"/>
                <w:color w:val="auto"/>
              </w:rPr>
            </w:pPr>
          </w:p>
        </w:tc>
        <w:tc>
          <w:tcPr>
            <w:tcW w:w="200" w:type="dxa"/>
            <w:vAlign w:val="bottom"/>
            <w:tcBorders>
              <w:bottom w:val="single" w:sz="8" w:color="B2B3B6"/>
            </w:tcBorders>
            <w:shd w:val="clear" w:color="auto" w:fill="F2F3F2"/>
          </w:tcPr>
          <w:p>
            <w:pPr>
              <w:spacing w:after="0"/>
              <w:rPr>
                <w:sz w:val="14"/>
                <w:szCs w:val="14"/>
                <w:color w:val="auto"/>
              </w:rPr>
            </w:pPr>
          </w:p>
        </w:tc>
        <w:tc>
          <w:tcPr>
            <w:tcW w:w="860" w:type="dxa"/>
            <w:vAlign w:val="bottom"/>
            <w:tcBorders>
              <w:bottom w:val="single" w:sz="8" w:color="B2B3B6"/>
            </w:tcBorders>
            <w:shd w:val="clear" w:color="auto" w:fill="F2F3F2"/>
          </w:tcPr>
          <w:p>
            <w:pPr>
              <w:spacing w:after="0"/>
              <w:rPr>
                <w:sz w:val="14"/>
                <w:szCs w:val="14"/>
                <w:color w:val="auto"/>
              </w:rPr>
            </w:pPr>
          </w:p>
        </w:tc>
        <w:tc>
          <w:tcPr>
            <w:tcW w:w="560" w:type="dxa"/>
            <w:vAlign w:val="bottom"/>
            <w:tcBorders>
              <w:bottom w:val="single" w:sz="8" w:color="B2B3B6"/>
            </w:tcBorders>
            <w:shd w:val="clear" w:color="auto" w:fill="F2F3F2"/>
          </w:tcPr>
          <w:p>
            <w:pPr>
              <w:spacing w:after="0"/>
              <w:rPr>
                <w:sz w:val="14"/>
                <w:szCs w:val="14"/>
                <w:color w:val="auto"/>
              </w:rPr>
            </w:pPr>
          </w:p>
        </w:tc>
        <w:tc>
          <w:tcPr>
            <w:tcW w:w="800" w:type="dxa"/>
            <w:vAlign w:val="bottom"/>
            <w:tcBorders>
              <w:bottom w:val="single" w:sz="8" w:color="B2B3B6"/>
            </w:tcBorders>
            <w:shd w:val="clear" w:color="auto" w:fill="F2F3F2"/>
          </w:tcPr>
          <w:p>
            <w:pPr>
              <w:spacing w:after="0"/>
              <w:rPr>
                <w:sz w:val="14"/>
                <w:szCs w:val="14"/>
                <w:color w:val="auto"/>
              </w:rPr>
            </w:pPr>
          </w:p>
        </w:tc>
        <w:tc>
          <w:tcPr>
            <w:tcW w:w="740" w:type="dxa"/>
            <w:vAlign w:val="bottom"/>
            <w:tcBorders>
              <w:bottom w:val="single" w:sz="8" w:color="B2B3B6"/>
            </w:tcBorders>
            <w:shd w:val="clear" w:color="auto" w:fill="F2F3F2"/>
          </w:tcPr>
          <w:p>
            <w:pPr>
              <w:spacing w:after="0"/>
              <w:rPr>
                <w:sz w:val="14"/>
                <w:szCs w:val="14"/>
                <w:color w:val="auto"/>
              </w:rPr>
            </w:pPr>
          </w:p>
        </w:tc>
        <w:tc>
          <w:tcPr>
            <w:tcW w:w="760" w:type="dxa"/>
            <w:vAlign w:val="bottom"/>
            <w:tcBorders>
              <w:bottom w:val="single" w:sz="8" w:color="B2B3B6"/>
            </w:tcBorders>
            <w:shd w:val="clear" w:color="auto" w:fill="F2F3F2"/>
          </w:tcPr>
          <w:p>
            <w:pPr>
              <w:spacing w:after="0"/>
              <w:rPr>
                <w:sz w:val="14"/>
                <w:szCs w:val="14"/>
                <w:color w:val="auto"/>
              </w:rPr>
            </w:pPr>
          </w:p>
        </w:tc>
        <w:tc>
          <w:tcPr>
            <w:tcW w:w="200" w:type="dxa"/>
            <w:vAlign w:val="bottom"/>
            <w:tcBorders>
              <w:bottom w:val="single" w:sz="8" w:color="B2B3B6"/>
            </w:tcBorders>
            <w:shd w:val="clear" w:color="auto" w:fill="F2F3F2"/>
          </w:tcPr>
          <w:p>
            <w:pPr>
              <w:spacing w:after="0"/>
              <w:rPr>
                <w:sz w:val="14"/>
                <w:szCs w:val="14"/>
                <w:color w:val="auto"/>
              </w:rPr>
            </w:pPr>
          </w:p>
        </w:tc>
        <w:tc>
          <w:tcPr>
            <w:tcW w:w="0" w:type="dxa"/>
            <w:vAlign w:val="bottom"/>
          </w:tcPr>
          <w:p>
            <w:pPr>
              <w:spacing w:after="0"/>
              <w:rPr>
                <w:sz w:val="1"/>
                <w:szCs w:val="1"/>
                <w:color w:val="auto"/>
              </w:rPr>
            </w:pPr>
          </w:p>
        </w:tc>
      </w:tr>
      <w:tr>
        <w:trPr>
          <w:trHeight w:val="306"/>
        </w:trPr>
        <w:tc>
          <w:tcPr>
            <w:tcW w:w="820" w:type="dxa"/>
            <w:vAlign w:val="bottom"/>
            <w:shd w:val="clear" w:color="auto" w:fill="F2F3F2"/>
          </w:tcPr>
          <w:p>
            <w:pPr>
              <w:spacing w:after="0"/>
              <w:rPr>
                <w:sz w:val="24"/>
                <w:szCs w:val="24"/>
                <w:color w:val="auto"/>
              </w:rPr>
            </w:pPr>
          </w:p>
        </w:tc>
        <w:tc>
          <w:tcPr>
            <w:tcW w:w="640" w:type="dxa"/>
            <w:vAlign w:val="bottom"/>
            <w:shd w:val="clear" w:color="auto" w:fill="F2F3F2"/>
          </w:tcPr>
          <w:p>
            <w:pPr>
              <w:spacing w:after="0"/>
              <w:rPr>
                <w:sz w:val="24"/>
                <w:szCs w:val="24"/>
                <w:color w:val="auto"/>
              </w:rPr>
            </w:pPr>
          </w:p>
        </w:tc>
        <w:tc>
          <w:tcPr>
            <w:tcW w:w="1120" w:type="dxa"/>
            <w:vAlign w:val="bottom"/>
            <w:shd w:val="clear" w:color="auto" w:fill="F2F3F2"/>
          </w:tcPr>
          <w:p>
            <w:pPr>
              <w:spacing w:after="0"/>
              <w:rPr>
                <w:sz w:val="24"/>
                <w:szCs w:val="24"/>
                <w:color w:val="auto"/>
              </w:rPr>
            </w:pPr>
          </w:p>
        </w:tc>
        <w:tc>
          <w:tcPr>
            <w:tcW w:w="820" w:type="dxa"/>
            <w:vAlign w:val="bottom"/>
            <w:shd w:val="clear" w:color="auto" w:fill="F2F3F2"/>
          </w:tcPr>
          <w:p>
            <w:pPr>
              <w:jc w:val="right"/>
              <w:spacing w:after="0"/>
              <w:rPr>
                <w:sz w:val="20"/>
                <w:szCs w:val="20"/>
                <w:color w:val="auto"/>
              </w:rPr>
            </w:pPr>
            <w:r>
              <w:rPr>
                <w:rFonts w:ascii="Arial" w:cs="Arial" w:eastAsia="Arial" w:hAnsi="Arial"/>
                <w:sz w:val="13"/>
                <w:szCs w:val="13"/>
                <w:color w:val="auto"/>
              </w:rPr>
              <w:t>75,938</w:t>
            </w:r>
          </w:p>
        </w:tc>
        <w:tc>
          <w:tcPr>
            <w:tcW w:w="760" w:type="dxa"/>
            <w:vAlign w:val="bottom"/>
            <w:shd w:val="clear" w:color="auto" w:fill="F2F3F2"/>
          </w:tcPr>
          <w:p>
            <w:pPr>
              <w:jc w:val="right"/>
              <w:spacing w:after="0"/>
              <w:rPr>
                <w:sz w:val="20"/>
                <w:szCs w:val="20"/>
                <w:color w:val="auto"/>
              </w:rPr>
            </w:pPr>
            <w:r>
              <w:rPr>
                <w:rFonts w:ascii="Arial" w:cs="Arial" w:eastAsia="Arial" w:hAnsi="Arial"/>
                <w:sz w:val="13"/>
                <w:szCs w:val="13"/>
                <w:color w:val="auto"/>
              </w:rPr>
              <w:t>607,500</w:t>
            </w:r>
          </w:p>
        </w:tc>
        <w:tc>
          <w:tcPr>
            <w:tcW w:w="800" w:type="dxa"/>
            <w:vAlign w:val="bottom"/>
            <w:shd w:val="clear" w:color="auto" w:fill="F2F3F2"/>
          </w:tcPr>
          <w:p>
            <w:pPr>
              <w:jc w:val="right"/>
              <w:spacing w:after="0"/>
              <w:rPr>
                <w:sz w:val="20"/>
                <w:szCs w:val="20"/>
                <w:color w:val="auto"/>
              </w:rPr>
            </w:pPr>
            <w:r>
              <w:rPr>
                <w:rFonts w:ascii="Arial" w:cs="Arial" w:eastAsia="Arial" w:hAnsi="Arial"/>
                <w:sz w:val="13"/>
                <w:szCs w:val="13"/>
                <w:color w:val="auto"/>
              </w:rPr>
              <w:t>1,215,000</w:t>
            </w:r>
          </w:p>
        </w:tc>
        <w:tc>
          <w:tcPr>
            <w:tcW w:w="200" w:type="dxa"/>
            <w:vAlign w:val="bottom"/>
            <w:shd w:val="clear" w:color="auto" w:fill="F2F3F2"/>
          </w:tcPr>
          <w:p>
            <w:pPr>
              <w:jc w:val="right"/>
              <w:spacing w:after="0"/>
              <w:rPr>
                <w:sz w:val="20"/>
                <w:szCs w:val="20"/>
                <w:color w:val="auto"/>
              </w:rPr>
            </w:pPr>
            <w:r>
              <w:rPr>
                <w:rFonts w:ascii="Arial" w:cs="Arial" w:eastAsia="Arial" w:hAnsi="Arial"/>
                <w:sz w:val="9"/>
                <w:szCs w:val="9"/>
                <w:color w:val="auto"/>
              </w:rPr>
              <w:t>(1)</w:t>
            </w:r>
          </w:p>
        </w:tc>
        <w:tc>
          <w:tcPr>
            <w:tcW w:w="860" w:type="dxa"/>
            <w:vAlign w:val="bottom"/>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F2F3F2"/>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820" w:type="dxa"/>
            <w:vAlign w:val="bottom"/>
            <w:shd w:val="clear" w:color="auto" w:fill="F2F3F2"/>
          </w:tcPr>
          <w:p>
            <w:pPr>
              <w:spacing w:after="0"/>
              <w:rPr>
                <w:sz w:val="10"/>
                <w:szCs w:val="10"/>
                <w:color w:val="auto"/>
              </w:rPr>
            </w:pPr>
          </w:p>
        </w:tc>
        <w:tc>
          <w:tcPr>
            <w:tcW w:w="640" w:type="dxa"/>
            <w:vAlign w:val="bottom"/>
            <w:shd w:val="clear" w:color="auto" w:fill="F2F3F2"/>
          </w:tcPr>
          <w:p>
            <w:pPr>
              <w:spacing w:after="0"/>
              <w:rPr>
                <w:sz w:val="10"/>
                <w:szCs w:val="10"/>
                <w:color w:val="auto"/>
              </w:rPr>
            </w:pPr>
          </w:p>
        </w:tc>
        <w:tc>
          <w:tcPr>
            <w:tcW w:w="1120" w:type="dxa"/>
            <w:vAlign w:val="bottom"/>
            <w:shd w:val="clear" w:color="auto" w:fill="F2F3F2"/>
          </w:tcPr>
          <w:p>
            <w:pPr>
              <w:spacing w:after="0"/>
              <w:rPr>
                <w:sz w:val="10"/>
                <w:szCs w:val="10"/>
                <w:color w:val="auto"/>
              </w:rPr>
            </w:pPr>
          </w:p>
        </w:tc>
        <w:tc>
          <w:tcPr>
            <w:tcW w:w="820" w:type="dxa"/>
            <w:vAlign w:val="bottom"/>
            <w:shd w:val="clear" w:color="auto" w:fill="F2F3F2"/>
          </w:tcPr>
          <w:p>
            <w:pPr>
              <w:spacing w:after="0"/>
              <w:rPr>
                <w:sz w:val="10"/>
                <w:szCs w:val="10"/>
                <w:color w:val="auto"/>
              </w:rPr>
            </w:pPr>
          </w:p>
        </w:tc>
        <w:tc>
          <w:tcPr>
            <w:tcW w:w="760" w:type="dxa"/>
            <w:vAlign w:val="bottom"/>
            <w:shd w:val="clear" w:color="auto" w:fill="F2F3F2"/>
          </w:tcPr>
          <w:p>
            <w:pPr>
              <w:spacing w:after="0"/>
              <w:rPr>
                <w:sz w:val="10"/>
                <w:szCs w:val="10"/>
                <w:color w:val="auto"/>
              </w:rPr>
            </w:pPr>
          </w:p>
        </w:tc>
        <w:tc>
          <w:tcPr>
            <w:tcW w:w="800" w:type="dxa"/>
            <w:vAlign w:val="bottom"/>
            <w:shd w:val="clear" w:color="auto" w:fill="F2F3F2"/>
          </w:tcPr>
          <w:p>
            <w:pPr>
              <w:spacing w:after="0"/>
              <w:rPr>
                <w:sz w:val="10"/>
                <w:szCs w:val="10"/>
                <w:color w:val="auto"/>
              </w:rPr>
            </w:pPr>
          </w:p>
        </w:tc>
        <w:tc>
          <w:tcPr>
            <w:tcW w:w="200" w:type="dxa"/>
            <w:vAlign w:val="bottom"/>
            <w:shd w:val="clear" w:color="auto" w:fill="F2F3F2"/>
          </w:tcPr>
          <w:p>
            <w:pPr>
              <w:spacing w:after="0"/>
              <w:rPr>
                <w:sz w:val="10"/>
                <w:szCs w:val="10"/>
                <w:color w:val="auto"/>
              </w:rPr>
            </w:pPr>
          </w:p>
        </w:tc>
        <w:tc>
          <w:tcPr>
            <w:tcW w:w="860" w:type="dxa"/>
            <w:vAlign w:val="bottom"/>
            <w:shd w:val="clear" w:color="auto" w:fill="F2F3F2"/>
          </w:tcPr>
          <w:p>
            <w:pPr>
              <w:spacing w:after="0"/>
              <w:rPr>
                <w:sz w:val="10"/>
                <w:szCs w:val="10"/>
                <w:color w:val="auto"/>
              </w:rPr>
            </w:pPr>
          </w:p>
        </w:tc>
        <w:tc>
          <w:tcPr>
            <w:tcW w:w="560" w:type="dxa"/>
            <w:vAlign w:val="bottom"/>
            <w:shd w:val="clear" w:color="auto" w:fill="F2F3F2"/>
          </w:tcPr>
          <w:p>
            <w:pPr>
              <w:spacing w:after="0"/>
              <w:rPr>
                <w:sz w:val="10"/>
                <w:szCs w:val="10"/>
                <w:color w:val="auto"/>
              </w:rPr>
            </w:pPr>
          </w:p>
        </w:tc>
        <w:tc>
          <w:tcPr>
            <w:tcW w:w="800" w:type="dxa"/>
            <w:vAlign w:val="bottom"/>
            <w:shd w:val="clear" w:color="auto" w:fill="F2F3F2"/>
          </w:tcPr>
          <w:p>
            <w:pPr>
              <w:spacing w:after="0"/>
              <w:rPr>
                <w:sz w:val="10"/>
                <w:szCs w:val="10"/>
                <w:color w:val="auto"/>
              </w:rPr>
            </w:pPr>
          </w:p>
        </w:tc>
        <w:tc>
          <w:tcPr>
            <w:tcW w:w="740" w:type="dxa"/>
            <w:vAlign w:val="bottom"/>
            <w:shd w:val="clear" w:color="auto" w:fill="F2F3F2"/>
          </w:tcPr>
          <w:p>
            <w:pPr>
              <w:spacing w:after="0"/>
              <w:rPr>
                <w:sz w:val="10"/>
                <w:szCs w:val="10"/>
                <w:color w:val="auto"/>
              </w:rPr>
            </w:pPr>
          </w:p>
        </w:tc>
        <w:tc>
          <w:tcPr>
            <w:tcW w:w="760" w:type="dxa"/>
            <w:vAlign w:val="bottom"/>
            <w:shd w:val="clear" w:color="auto" w:fill="F2F3F2"/>
          </w:tcPr>
          <w:p>
            <w:pPr>
              <w:spacing w:after="0"/>
              <w:rPr>
                <w:sz w:val="10"/>
                <w:szCs w:val="10"/>
                <w:color w:val="auto"/>
              </w:rPr>
            </w:pPr>
          </w:p>
        </w:tc>
        <w:tc>
          <w:tcPr>
            <w:tcW w:w="200" w:type="dxa"/>
            <w:vAlign w:val="bottom"/>
            <w:shd w:val="clear" w:color="auto" w:fill="F2F3F2"/>
          </w:tcPr>
          <w:p>
            <w:pPr>
              <w:spacing w:after="0"/>
              <w:rPr>
                <w:sz w:val="10"/>
                <w:szCs w:val="10"/>
                <w:color w:val="auto"/>
              </w:rPr>
            </w:pPr>
          </w:p>
        </w:tc>
        <w:tc>
          <w:tcPr>
            <w:tcW w:w="0" w:type="dxa"/>
            <w:vAlign w:val="bottom"/>
          </w:tcPr>
          <w:p>
            <w:pPr>
              <w:spacing w:after="0"/>
              <w:rPr>
                <w:sz w:val="1"/>
                <w:szCs w:val="1"/>
                <w:color w:val="auto"/>
              </w:rPr>
            </w:pPr>
          </w:p>
        </w:tc>
      </w:tr>
      <w:tr>
        <w:trPr>
          <w:trHeight w:val="459"/>
        </w:trPr>
        <w:tc>
          <w:tcPr>
            <w:tcW w:w="820" w:type="dxa"/>
            <w:vAlign w:val="bottom"/>
          </w:tcPr>
          <w:p>
            <w:pPr>
              <w:ind w:left="140"/>
              <w:spacing w:after="0"/>
              <w:rPr>
                <w:sz w:val="20"/>
                <w:szCs w:val="20"/>
                <w:color w:val="auto"/>
              </w:rPr>
            </w:pPr>
            <w:r>
              <w:rPr>
                <w:rFonts w:ascii="Arial" w:cs="Arial" w:eastAsia="Arial" w:hAnsi="Arial"/>
                <w:sz w:val="13"/>
                <w:szCs w:val="13"/>
                <w:b w:val="1"/>
                <w:bCs w:val="1"/>
                <w:color w:val="00558C"/>
              </w:rPr>
              <w:t>Ernest W.</w:t>
            </w:r>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42,188</w:t>
            </w:r>
          </w:p>
        </w:tc>
        <w:tc>
          <w:tcPr>
            <w:tcW w:w="760" w:type="dxa"/>
            <w:vAlign w:val="bottom"/>
          </w:tcPr>
          <w:p>
            <w:pPr>
              <w:jc w:val="right"/>
              <w:spacing w:after="0"/>
              <w:rPr>
                <w:sz w:val="20"/>
                <w:szCs w:val="20"/>
                <w:color w:val="auto"/>
              </w:rPr>
            </w:pPr>
            <w:r>
              <w:rPr>
                <w:rFonts w:ascii="Arial" w:cs="Arial" w:eastAsia="Arial" w:hAnsi="Arial"/>
                <w:sz w:val="13"/>
                <w:szCs w:val="13"/>
                <w:color w:val="auto"/>
              </w:rPr>
              <w:t>337,500</w:t>
            </w:r>
          </w:p>
        </w:tc>
        <w:tc>
          <w:tcPr>
            <w:tcW w:w="800" w:type="dxa"/>
            <w:vAlign w:val="bottom"/>
          </w:tcPr>
          <w:p>
            <w:pPr>
              <w:jc w:val="right"/>
              <w:spacing w:after="0"/>
              <w:rPr>
                <w:sz w:val="20"/>
                <w:szCs w:val="20"/>
                <w:color w:val="auto"/>
              </w:rPr>
            </w:pPr>
            <w:r>
              <w:rPr>
                <w:rFonts w:ascii="Arial" w:cs="Arial" w:eastAsia="Arial" w:hAnsi="Arial"/>
                <w:sz w:val="13"/>
                <w:szCs w:val="13"/>
                <w:color w:val="auto"/>
              </w:rPr>
              <w:t>675,000</w:t>
            </w:r>
          </w:p>
        </w:tc>
        <w:tc>
          <w:tcPr>
            <w:tcW w:w="200" w:type="dxa"/>
            <w:vAlign w:val="bottom"/>
          </w:tcPr>
          <w:p>
            <w:pPr>
              <w:jc w:val="right"/>
              <w:spacing w:after="0"/>
              <w:rPr>
                <w:sz w:val="20"/>
                <w:szCs w:val="20"/>
                <w:color w:val="auto"/>
              </w:rPr>
            </w:pPr>
            <w:r>
              <w:rPr>
                <w:rFonts w:ascii="Arial" w:cs="Arial" w:eastAsia="Arial" w:hAnsi="Arial"/>
                <w:sz w:val="9"/>
                <w:szCs w:val="9"/>
                <w:color w:val="auto"/>
              </w:rPr>
              <w:t>(1)</w:t>
            </w: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820" w:type="dxa"/>
            <w:vAlign w:val="bottom"/>
          </w:tcPr>
          <w:p>
            <w:pPr>
              <w:ind w:left="140"/>
              <w:spacing w:after="0"/>
              <w:rPr>
                <w:sz w:val="20"/>
                <w:szCs w:val="20"/>
                <w:color w:val="auto"/>
              </w:rPr>
            </w:pPr>
            <w:r>
              <w:rPr>
                <w:rFonts w:ascii="Arial" w:cs="Arial" w:eastAsia="Arial" w:hAnsi="Arial"/>
                <w:sz w:val="13"/>
                <w:szCs w:val="13"/>
                <w:b w:val="1"/>
                <w:bCs w:val="1"/>
                <w:color w:val="00558C"/>
              </w:rPr>
              <w:t>Torain Jr.</w:t>
            </w:r>
          </w:p>
        </w:tc>
        <w:tc>
          <w:tcPr>
            <w:tcW w:w="6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331" w:lineRule="exact"/>
        <w:rPr>
          <w:sz w:val="20"/>
          <w:szCs w:val="20"/>
          <w:color w:val="auto"/>
        </w:rPr>
      </w:pPr>
    </w:p>
    <w:p>
      <w:pPr>
        <w:ind w:left="420" w:right="100" w:hanging="331"/>
        <w:spacing w:after="0" w:line="269" w:lineRule="auto"/>
        <w:tabs>
          <w:tab w:leader="none" w:pos="420" w:val="left"/>
        </w:tabs>
        <w:numPr>
          <w:ilvl w:val="0"/>
          <w:numId w:val="84"/>
        </w:numPr>
        <w:rPr>
          <w:rFonts w:ascii="Arial" w:cs="Arial" w:eastAsia="Arial" w:hAnsi="Arial"/>
          <w:sz w:val="14"/>
          <w:szCs w:val="14"/>
          <w:color w:val="auto"/>
        </w:rPr>
      </w:pPr>
      <w:r>
        <w:rPr>
          <w:rFonts w:ascii="Arial" w:cs="Arial" w:eastAsia="Arial" w:hAnsi="Arial"/>
          <w:sz w:val="14"/>
          <w:szCs w:val="14"/>
          <w:color w:val="auto"/>
        </w:rPr>
        <w:t>The target, threshold and maximum represent the range of cash award that could be earned under the 2024 NEO annual incentive program. The minimum amount that could be paid is 12.5% of target, calculated as threshold payout of 50% for the lowest weighted component. Maximum payout represents 200% of target. Based on the achievement of specific financial goals and strategic measures, the Compensation Committee determined that 115.7% of the target award was earned for 2024.</w:t>
      </w:r>
    </w:p>
    <w:p>
      <w:pPr>
        <w:spacing w:after="0" w:line="20" w:lineRule="exact"/>
        <w:rPr>
          <w:rFonts w:ascii="Arial" w:cs="Arial" w:eastAsia="Arial" w:hAnsi="Arial"/>
          <w:sz w:val="14"/>
          <w:szCs w:val="14"/>
          <w:color w:val="auto"/>
        </w:rPr>
      </w:pPr>
    </w:p>
    <w:p>
      <w:pPr>
        <w:jc w:val="both"/>
        <w:ind w:left="420" w:right="40" w:hanging="331"/>
        <w:spacing w:after="0" w:line="305" w:lineRule="auto"/>
        <w:tabs>
          <w:tab w:leader="none" w:pos="420" w:val="left"/>
        </w:tabs>
        <w:numPr>
          <w:ilvl w:val="0"/>
          <w:numId w:val="84"/>
        </w:numPr>
        <w:rPr>
          <w:rFonts w:ascii="Arial" w:cs="Arial" w:eastAsia="Arial" w:hAnsi="Arial"/>
          <w:sz w:val="14"/>
          <w:szCs w:val="14"/>
          <w:color w:val="auto"/>
        </w:rPr>
      </w:pPr>
      <w:r>
        <w:rPr>
          <w:rFonts w:ascii="Arial" w:cs="Arial" w:eastAsia="Arial" w:hAnsi="Arial"/>
          <w:sz w:val="14"/>
          <w:szCs w:val="14"/>
          <w:color w:val="auto"/>
        </w:rPr>
        <w:t>The March 1, 2024 grant of PSUs is based on the performance against predefined financial measures of revenues before reimbursable expenses and adjusted diluted EPS over the three-year performance cycle from 2024-2026. The minimum amount that could be earned</w:t>
      </w:r>
    </w:p>
    <w:p>
      <w:pPr>
        <w:sectPr>
          <w:pgSz w:w="11900" w:h="16980" w:orient="portrait"/>
          <w:cols w:equalWidth="0" w:num="1">
            <w:col w:w="9080"/>
          </w:cols>
          <w:pgMar w:left="1400" w:top="118" w:right="1419" w:bottom="0" w:gutter="0" w:footer="0" w:header="0"/>
          <w:type w:val="continuous"/>
        </w:sectPr>
      </w:pPr>
    </w:p>
    <w:bookmarkStart w:id="55" w:name="page56"/>
    <w:bookmarkEnd w:id="55"/>
    <w:p>
      <w:pPr>
        <w:ind w:left="420"/>
        <w:spacing w:after="0" w:line="276" w:lineRule="auto"/>
        <w:rPr>
          <w:sz w:val="20"/>
          <w:szCs w:val="20"/>
          <w:color w:val="auto"/>
        </w:rPr>
      </w:pPr>
      <w:r>
        <w:rPr>
          <w:rFonts w:ascii="Arial" w:cs="Arial" w:eastAsia="Arial" w:hAnsi="Arial"/>
          <w:sz w:val="14"/>
          <w:szCs w:val="14"/>
          <w:color w:val="auto"/>
        </w:rPr>
        <w:t>is 25% of target, calculated as threshold payout of 50% on only one of the financial measures; and, if threshold performance is not achieved for all financial measures, the award will be forfeited. The PSUs can be earned up to 200% of target for maximum performance on all financial measures. The PSUs that are earned will vest on March 1, 2027. These PSUs were granted under the Company's 2012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-463550</wp:posOffset>
            </wp:positionV>
            <wp:extent cx="6810375" cy="27451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10375" cy="2745105"/>
                    </a:xfrm>
                    <a:prstGeom prst="rect">
                      <a:avLst/>
                    </a:prstGeom>
                    <a:noFill/>
                  </pic:spPr>
                </pic:pic>
              </a:graphicData>
            </a:graphic>
          </wp:anchor>
        </w:drawing>
      </w:r>
    </w:p>
    <w:p>
      <w:pPr>
        <w:ind w:left="420" w:right="280" w:hanging="331"/>
        <w:spacing w:after="0" w:line="285" w:lineRule="auto"/>
        <w:tabs>
          <w:tab w:leader="none" w:pos="420" w:val="left"/>
        </w:tabs>
        <w:numPr>
          <w:ilvl w:val="0"/>
          <w:numId w:val="85"/>
        </w:numPr>
        <w:rPr>
          <w:rFonts w:ascii="Arial" w:cs="Arial" w:eastAsia="Arial" w:hAnsi="Arial"/>
          <w:sz w:val="14"/>
          <w:szCs w:val="14"/>
          <w:color w:val="auto"/>
        </w:rPr>
      </w:pPr>
      <w:r>
        <w:rPr>
          <w:rFonts w:ascii="Arial" w:cs="Arial" w:eastAsia="Arial" w:hAnsi="Arial"/>
          <w:sz w:val="14"/>
          <w:szCs w:val="14"/>
          <w:color w:val="auto"/>
        </w:rPr>
        <w:t>This grant of restricted stock units (RSUs) was made under the 2024 NEO long-term incentive program and will vest annually over a three-year period. The RSUs were granted under the Company’s 2012 Omnibus Incentive Plan.</w:t>
      </w:r>
    </w:p>
    <w:p>
      <w:pPr>
        <w:spacing w:after="0" w:line="9" w:lineRule="exact"/>
        <w:rPr>
          <w:rFonts w:ascii="Arial" w:cs="Arial" w:eastAsia="Arial" w:hAnsi="Arial"/>
          <w:sz w:val="14"/>
          <w:szCs w:val="14"/>
          <w:color w:val="auto"/>
        </w:rPr>
      </w:pPr>
    </w:p>
    <w:p>
      <w:pPr>
        <w:ind w:left="420" w:right="100" w:hanging="331"/>
        <w:spacing w:after="0" w:line="276" w:lineRule="auto"/>
        <w:tabs>
          <w:tab w:leader="none" w:pos="420" w:val="left"/>
        </w:tabs>
        <w:numPr>
          <w:ilvl w:val="0"/>
          <w:numId w:val="85"/>
        </w:numPr>
        <w:rPr>
          <w:rFonts w:ascii="Arial" w:cs="Arial" w:eastAsia="Arial" w:hAnsi="Arial"/>
          <w:sz w:val="14"/>
          <w:szCs w:val="14"/>
          <w:color w:val="auto"/>
        </w:rPr>
      </w:pPr>
      <w:r>
        <w:rPr>
          <w:rFonts w:ascii="Arial" w:cs="Arial" w:eastAsia="Arial" w:hAnsi="Arial"/>
          <w:sz w:val="14"/>
          <w:szCs w:val="14"/>
          <w:color w:val="auto"/>
        </w:rPr>
        <w:t>The grant date fair value of all RSU and PSU grants are based on the closing price of Huron stock on the date of grant, which was $99.40 on March 1, 2024; and for performance-based awards, the estimate of expected funding (i.e., the probable outcome of performance conditions) as of the grant date. The total number of PSUs to be earned is contingent on meeting specific financial targets as described in Note 2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60"/>
        <w:spacing w:after="0"/>
        <w:tabs>
          <w:tab w:leader="none" w:pos="444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13"/>
          <w:szCs w:val="13"/>
          <w:b w:val="1"/>
          <w:bCs w:val="1"/>
          <w:color w:val="00558C"/>
        </w:rPr>
        <w:t>52</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420370</wp:posOffset>
            </wp:positionV>
            <wp:extent cx="6810375" cy="768858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10375" cy="7688580"/>
                    </a:xfrm>
                    <a:prstGeom prst="rect">
                      <a:avLst/>
                    </a:prstGeom>
                    <a:noFill/>
                  </pic:spPr>
                </pic:pic>
              </a:graphicData>
            </a:graphic>
          </wp:anchor>
        </w:drawing>
      </w:r>
    </w:p>
    <w:p>
      <w:pPr>
        <w:sectPr>
          <w:pgSz w:w="11900" w:h="16838" w:orient="portrait"/>
          <w:cols w:equalWidth="0" w:num="1">
            <w:col w:w="9080"/>
          </w:cols>
          <w:pgMar w:left="1400" w:top="130"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0"/>
        <w:spacing w:after="0" w:line="274" w:lineRule="auto"/>
        <w:rPr>
          <w:sz w:val="20"/>
          <w:szCs w:val="20"/>
          <w:color w:val="auto"/>
        </w:rPr>
      </w:pPr>
      <w:r>
        <w:rPr>
          <w:rFonts w:ascii="Arial" w:cs="Arial" w:eastAsia="Arial" w:hAnsi="Arial"/>
          <w:sz w:val="13"/>
          <w:szCs w:val="13"/>
          <w:b w:val="1"/>
          <w:bCs w:val="1"/>
          <w:color w:val="B2B3B6"/>
        </w:rPr>
        <w:t>General Proposal Information 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line="274" w:lineRule="auto"/>
        <w:rPr>
          <w:sz w:val="20"/>
          <w:szCs w:val="20"/>
          <w:color w:val="auto"/>
        </w:rPr>
      </w:pPr>
      <w:r>
        <w:rPr>
          <w:rFonts w:ascii="Arial" w:cs="Arial" w:eastAsia="Arial" w:hAnsi="Arial"/>
          <w:sz w:val="13"/>
          <w:szCs w:val="13"/>
          <w:b w:val="1"/>
          <w:bCs w:val="1"/>
          <w:color w:val="B2B3B6"/>
        </w:rPr>
        <w:t xml:space="preserve">Corporate Proposal </w:t>
      </w:r>
      <w:r>
        <w:rPr>
          <w:rFonts w:ascii="Arial" w:cs="Arial" w:eastAsia="Arial" w:hAnsi="Arial"/>
          <w:sz w:val="13"/>
          <w:szCs w:val="13"/>
          <w:b w:val="1"/>
          <w:bCs w:val="1"/>
          <w:color w:val="6AAA37"/>
        </w:rPr>
        <w:t>Executive</w:t>
      </w:r>
      <w:r>
        <w:rPr>
          <w:rFonts w:ascii="Arial" w:cs="Arial" w:eastAsia="Arial" w:hAnsi="Arial"/>
          <w:sz w:val="13"/>
          <w:szCs w:val="13"/>
          <w:b w:val="1"/>
          <w:bCs w:val="1"/>
          <w:color w:val="B2B3B6"/>
        </w:rPr>
        <w:t xml:space="preserve"> Governance Two </w:t>
      </w:r>
      <w:r>
        <w:rPr>
          <w:rFonts w:ascii="Arial" w:cs="Arial" w:eastAsia="Arial" w:hAnsi="Arial"/>
          <w:sz w:val="13"/>
          <w:szCs w:val="13"/>
          <w:b w:val="1"/>
          <w:bCs w:val="1"/>
          <w:color w:val="6AAA37"/>
        </w:rPr>
        <w:t>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200"/>
        <w:spacing w:after="0" w:line="274" w:lineRule="auto"/>
        <w:rPr>
          <w:sz w:val="20"/>
          <w:szCs w:val="20"/>
          <w:color w:val="auto"/>
        </w:rPr>
      </w:pPr>
      <w:r>
        <w:rPr>
          <w:rFonts w:ascii="Arial" w:cs="Arial" w:eastAsia="Arial" w:hAnsi="Arial"/>
          <w:sz w:val="13"/>
          <w:szCs w:val="13"/>
          <w:b w:val="1"/>
          <w:bCs w:val="1"/>
          <w:color w:val="B2B3B6"/>
        </w:rPr>
        <w:t>Proposal Proposal Proposal Stockholder Other Three Four Five Proposals Matters</w:t>
      </w:r>
    </w:p>
    <w:p>
      <w:pPr>
        <w:spacing w:after="0" w:line="200" w:lineRule="exact"/>
        <w:rPr>
          <w:sz w:val="20"/>
          <w:szCs w:val="20"/>
          <w:color w:val="auto"/>
        </w:rPr>
      </w:pPr>
    </w:p>
    <w:p>
      <w:pPr>
        <w:sectPr>
          <w:pgSz w:w="11900" w:h="16838" w:orient="portrait"/>
          <w:cols w:equalWidth="0" w:num="3">
            <w:col w:w="1600" w:space="300"/>
            <w:col w:w="2700" w:space="320"/>
            <w:col w:w="4160"/>
          </w:cols>
          <w:pgMar w:left="1400" w:top="130" w:right="1419" w:bottom="1440" w:gutter="0" w:footer="0" w:header="0"/>
          <w:type w:val="continuous"/>
        </w:sectPr>
      </w:pPr>
    </w:p>
    <w:p>
      <w:pPr>
        <w:spacing w:after="0" w:line="83" w:lineRule="exact"/>
        <w:rPr>
          <w:sz w:val="20"/>
          <w:szCs w:val="20"/>
          <w:color w:val="auto"/>
        </w:rPr>
      </w:pPr>
    </w:p>
    <w:p>
      <w:pPr>
        <w:spacing w:after="0"/>
        <w:rPr>
          <w:sz w:val="20"/>
          <w:szCs w:val="20"/>
          <w:color w:val="auto"/>
        </w:rPr>
      </w:pPr>
      <w:r>
        <w:rPr>
          <w:rFonts w:ascii="Arial" w:cs="Arial" w:eastAsia="Arial" w:hAnsi="Arial"/>
          <w:sz w:val="22"/>
          <w:szCs w:val="22"/>
          <w:b w:val="1"/>
          <w:bCs w:val="1"/>
          <w:color w:val="00558C"/>
        </w:rPr>
        <w:t>2024 Outstanding Equity Awards at Fiscal Year-End</w:t>
      </w:r>
    </w:p>
    <w:p>
      <w:pPr>
        <w:spacing w:after="0" w:line="112" w:lineRule="exact"/>
        <w:rPr>
          <w:sz w:val="20"/>
          <w:szCs w:val="20"/>
          <w:color w:val="auto"/>
        </w:rPr>
      </w:pPr>
    </w:p>
    <w:p>
      <w:pPr>
        <w:ind w:right="20"/>
        <w:spacing w:after="0" w:line="310" w:lineRule="auto"/>
        <w:rPr>
          <w:sz w:val="20"/>
          <w:szCs w:val="20"/>
          <w:color w:val="auto"/>
        </w:rPr>
      </w:pPr>
      <w:r>
        <w:rPr>
          <w:rFonts w:ascii="Arial" w:cs="Arial" w:eastAsia="Arial" w:hAnsi="Arial"/>
          <w:sz w:val="16"/>
          <w:szCs w:val="16"/>
          <w:color w:val="auto"/>
        </w:rPr>
        <w:t>The following table sets forth certain information concerning outstanding stock and option awards as of December 31, 2024 for each named executive officer. Market value is based on the closing price of Huron stock of $124.26 on December 31, 2024, the last trading day of the fiscal year.</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360"/>
        </w:trPr>
        <w:tc>
          <w:tcPr>
            <w:tcW w:w="820" w:type="dxa"/>
            <w:vAlign w:val="bottom"/>
            <w:shd w:val="clear" w:color="auto" w:fill="00558C"/>
          </w:tcPr>
          <w:p>
            <w:pPr>
              <w:spacing w:after="0"/>
              <w:rPr>
                <w:sz w:val="24"/>
                <w:szCs w:val="24"/>
                <w:color w:val="auto"/>
              </w:rPr>
            </w:pPr>
          </w:p>
        </w:tc>
        <w:tc>
          <w:tcPr>
            <w:tcW w:w="640" w:type="dxa"/>
            <w:vAlign w:val="bottom"/>
            <w:shd w:val="clear" w:color="auto" w:fill="00558C"/>
          </w:tcPr>
          <w:p>
            <w:pPr>
              <w:spacing w:after="0"/>
              <w:rPr>
                <w:sz w:val="24"/>
                <w:szCs w:val="24"/>
                <w:color w:val="auto"/>
              </w:rPr>
            </w:pPr>
          </w:p>
        </w:tc>
        <w:tc>
          <w:tcPr>
            <w:tcW w:w="1000" w:type="dxa"/>
            <w:vAlign w:val="bottom"/>
            <w:shd w:val="clear" w:color="auto" w:fill="00558C"/>
          </w:tcPr>
          <w:p>
            <w:pPr>
              <w:spacing w:after="0"/>
              <w:rPr>
                <w:sz w:val="24"/>
                <w:szCs w:val="24"/>
                <w:color w:val="auto"/>
              </w:rPr>
            </w:pPr>
          </w:p>
        </w:tc>
        <w:tc>
          <w:tcPr>
            <w:tcW w:w="1900" w:type="dxa"/>
            <w:vAlign w:val="bottom"/>
            <w:gridSpan w:val="2"/>
            <w:shd w:val="clear" w:color="auto" w:fill="00558C"/>
          </w:tcPr>
          <w:p>
            <w:pPr>
              <w:jc w:val="right"/>
              <w:ind w:right="533"/>
              <w:spacing w:after="0"/>
              <w:rPr>
                <w:sz w:val="20"/>
                <w:szCs w:val="20"/>
                <w:color w:val="auto"/>
              </w:rPr>
            </w:pPr>
            <w:r>
              <w:rPr>
                <w:rFonts w:ascii="Arial" w:cs="Arial" w:eastAsia="Arial" w:hAnsi="Arial"/>
                <w:sz w:val="13"/>
                <w:szCs w:val="13"/>
                <w:b w:val="1"/>
                <w:bCs w:val="1"/>
                <w:color w:val="FFFFFF"/>
              </w:rPr>
              <w:t>Option Awards</w:t>
            </w:r>
          </w:p>
        </w:tc>
        <w:tc>
          <w:tcPr>
            <w:tcW w:w="860" w:type="dxa"/>
            <w:vAlign w:val="bottom"/>
            <w:shd w:val="clear" w:color="auto" w:fill="00558C"/>
          </w:tcPr>
          <w:p>
            <w:pPr>
              <w:spacing w:after="0"/>
              <w:rPr>
                <w:sz w:val="24"/>
                <w:szCs w:val="24"/>
                <w:color w:val="auto"/>
              </w:rPr>
            </w:pPr>
          </w:p>
        </w:tc>
        <w:tc>
          <w:tcPr>
            <w:tcW w:w="780" w:type="dxa"/>
            <w:vAlign w:val="bottom"/>
            <w:shd w:val="clear" w:color="auto" w:fill="00558C"/>
          </w:tcPr>
          <w:p>
            <w:pPr>
              <w:spacing w:after="0"/>
              <w:rPr>
                <w:sz w:val="24"/>
                <w:szCs w:val="24"/>
                <w:color w:val="auto"/>
              </w:rPr>
            </w:pPr>
          </w:p>
        </w:tc>
        <w:tc>
          <w:tcPr>
            <w:tcW w:w="240" w:type="dxa"/>
            <w:vAlign w:val="bottom"/>
            <w:shd w:val="clear" w:color="auto" w:fill="00558C"/>
          </w:tcPr>
          <w:p>
            <w:pPr>
              <w:spacing w:after="0"/>
              <w:rPr>
                <w:sz w:val="24"/>
                <w:szCs w:val="24"/>
                <w:color w:val="auto"/>
              </w:rPr>
            </w:pPr>
          </w:p>
        </w:tc>
        <w:tc>
          <w:tcPr>
            <w:tcW w:w="1720" w:type="dxa"/>
            <w:vAlign w:val="bottom"/>
            <w:gridSpan w:val="2"/>
            <w:shd w:val="clear" w:color="auto" w:fill="00558C"/>
          </w:tcPr>
          <w:p>
            <w:pPr>
              <w:jc w:val="right"/>
              <w:ind w:right="332"/>
              <w:spacing w:after="0"/>
              <w:rPr>
                <w:sz w:val="20"/>
                <w:szCs w:val="20"/>
                <w:color w:val="auto"/>
              </w:rPr>
            </w:pPr>
            <w:r>
              <w:rPr>
                <w:rFonts w:ascii="Arial" w:cs="Arial" w:eastAsia="Arial" w:hAnsi="Arial"/>
                <w:sz w:val="13"/>
                <w:szCs w:val="13"/>
                <w:b w:val="1"/>
                <w:bCs w:val="1"/>
                <w:color w:val="FFFFFF"/>
              </w:rPr>
              <w:t>Stock Awards</w:t>
            </w:r>
          </w:p>
        </w:tc>
        <w:tc>
          <w:tcPr>
            <w:tcW w:w="1120" w:type="dxa"/>
            <w:vAlign w:val="bottom"/>
            <w:shd w:val="clear" w:color="auto" w:fill="00558C"/>
          </w:tcPr>
          <w:p>
            <w:pPr>
              <w:spacing w:after="0"/>
              <w:rPr>
                <w:sz w:val="24"/>
                <w:szCs w:val="24"/>
                <w:color w:val="auto"/>
              </w:rPr>
            </w:pPr>
          </w:p>
        </w:tc>
        <w:tc>
          <w:tcPr>
            <w:tcW w:w="0" w:type="dxa"/>
            <w:vAlign w:val="bottom"/>
          </w:tcPr>
          <w:p>
            <w:pPr>
              <w:spacing w:after="0"/>
              <w:rPr>
                <w:sz w:val="1"/>
                <w:szCs w:val="1"/>
                <w:color w:val="auto"/>
              </w:rPr>
            </w:pPr>
          </w:p>
        </w:tc>
      </w:tr>
      <w:tr>
        <w:trPr>
          <w:trHeight w:val="381"/>
        </w:trPr>
        <w:tc>
          <w:tcPr>
            <w:tcW w:w="820" w:type="dxa"/>
            <w:vAlign w:val="bottom"/>
            <w:shd w:val="clear" w:color="auto" w:fill="00558C"/>
          </w:tcPr>
          <w:p>
            <w:pPr>
              <w:spacing w:after="0"/>
              <w:rPr>
                <w:sz w:val="24"/>
                <w:szCs w:val="24"/>
                <w:color w:val="auto"/>
              </w:rPr>
            </w:pPr>
          </w:p>
        </w:tc>
        <w:tc>
          <w:tcPr>
            <w:tcW w:w="640" w:type="dxa"/>
            <w:vAlign w:val="bottom"/>
            <w:shd w:val="clear" w:color="auto" w:fill="00558C"/>
          </w:tcPr>
          <w:p>
            <w:pPr>
              <w:spacing w:after="0"/>
              <w:rPr>
                <w:sz w:val="24"/>
                <w:szCs w:val="24"/>
                <w:color w:val="auto"/>
              </w:rPr>
            </w:pPr>
          </w:p>
        </w:tc>
        <w:tc>
          <w:tcPr>
            <w:tcW w:w="1000" w:type="dxa"/>
            <w:vAlign w:val="bottom"/>
            <w:shd w:val="clear" w:color="auto" w:fill="00558C"/>
          </w:tcPr>
          <w:p>
            <w:pPr>
              <w:spacing w:after="0"/>
              <w:rPr>
                <w:sz w:val="24"/>
                <w:szCs w:val="24"/>
                <w:color w:val="auto"/>
              </w:rPr>
            </w:pPr>
          </w:p>
        </w:tc>
        <w:tc>
          <w:tcPr>
            <w:tcW w:w="1160" w:type="dxa"/>
            <w:vAlign w:val="bottom"/>
            <w:shd w:val="clear" w:color="auto" w:fill="00558C"/>
          </w:tcPr>
          <w:p>
            <w:pPr>
              <w:spacing w:after="0"/>
              <w:rPr>
                <w:sz w:val="24"/>
                <w:szCs w:val="24"/>
                <w:color w:val="auto"/>
              </w:rPr>
            </w:pPr>
          </w:p>
        </w:tc>
        <w:tc>
          <w:tcPr>
            <w:tcW w:w="740" w:type="dxa"/>
            <w:vAlign w:val="bottom"/>
            <w:shd w:val="clear" w:color="auto" w:fill="00558C"/>
          </w:tcPr>
          <w:p>
            <w:pPr>
              <w:spacing w:after="0"/>
              <w:rPr>
                <w:sz w:val="24"/>
                <w:szCs w:val="24"/>
                <w:color w:val="auto"/>
              </w:rPr>
            </w:pPr>
          </w:p>
        </w:tc>
        <w:tc>
          <w:tcPr>
            <w:tcW w:w="860" w:type="dxa"/>
            <w:vAlign w:val="bottom"/>
            <w:shd w:val="clear" w:color="auto" w:fill="00558C"/>
          </w:tcPr>
          <w:p>
            <w:pPr>
              <w:spacing w:after="0"/>
              <w:rPr>
                <w:sz w:val="24"/>
                <w:szCs w:val="24"/>
                <w:color w:val="auto"/>
              </w:rPr>
            </w:pPr>
          </w:p>
        </w:tc>
        <w:tc>
          <w:tcPr>
            <w:tcW w:w="780" w:type="dxa"/>
            <w:vAlign w:val="bottom"/>
            <w:shd w:val="clear" w:color="auto" w:fill="00558C"/>
          </w:tcPr>
          <w:p>
            <w:pPr>
              <w:spacing w:after="0"/>
              <w:rPr>
                <w:sz w:val="24"/>
                <w:szCs w:val="24"/>
                <w:color w:val="auto"/>
              </w:rPr>
            </w:pPr>
          </w:p>
        </w:tc>
        <w:tc>
          <w:tcPr>
            <w:tcW w:w="240" w:type="dxa"/>
            <w:vAlign w:val="bottom"/>
            <w:shd w:val="clear" w:color="auto" w:fill="00558C"/>
          </w:tcPr>
          <w:p>
            <w:pPr>
              <w:spacing w:after="0"/>
              <w:rPr>
                <w:sz w:val="24"/>
                <w:szCs w:val="24"/>
                <w:color w:val="auto"/>
              </w:rPr>
            </w:pPr>
          </w:p>
        </w:tc>
        <w:tc>
          <w:tcPr>
            <w:tcW w:w="800" w:type="dxa"/>
            <w:vAlign w:val="bottom"/>
            <w:shd w:val="clear" w:color="auto" w:fill="00558C"/>
          </w:tcPr>
          <w:p>
            <w:pPr>
              <w:spacing w:after="0"/>
              <w:rPr>
                <w:sz w:val="24"/>
                <w:szCs w:val="24"/>
                <w:color w:val="auto"/>
              </w:rPr>
            </w:pPr>
          </w:p>
        </w:tc>
        <w:tc>
          <w:tcPr>
            <w:tcW w:w="920" w:type="dxa"/>
            <w:vAlign w:val="bottom"/>
            <w:shd w:val="clear" w:color="auto" w:fill="00558C"/>
          </w:tcPr>
          <w:p>
            <w:pPr>
              <w:jc w:val="right"/>
              <w:ind w:right="32"/>
              <w:spacing w:after="0"/>
              <w:rPr>
                <w:sz w:val="20"/>
                <w:szCs w:val="20"/>
                <w:color w:val="auto"/>
              </w:rPr>
            </w:pPr>
            <w:r>
              <w:rPr>
                <w:rFonts w:ascii="Arial" w:cs="Arial" w:eastAsia="Arial" w:hAnsi="Arial"/>
                <w:sz w:val="13"/>
                <w:szCs w:val="13"/>
                <w:b w:val="1"/>
                <w:bCs w:val="1"/>
                <w:color w:val="FFFFFF"/>
              </w:rPr>
              <w:t>Equity</w:t>
            </w:r>
          </w:p>
        </w:tc>
        <w:tc>
          <w:tcPr>
            <w:tcW w:w="1120" w:type="dxa"/>
            <w:vAlign w:val="bottom"/>
            <w:shd w:val="clear" w:color="auto" w:fill="00558C"/>
          </w:tcPr>
          <w:p>
            <w:pPr>
              <w:jc w:val="right"/>
              <w:ind w:right="133"/>
              <w:spacing w:after="0"/>
              <w:rPr>
                <w:sz w:val="20"/>
                <w:szCs w:val="20"/>
                <w:color w:val="auto"/>
              </w:rPr>
            </w:pPr>
            <w:r>
              <w:rPr>
                <w:rFonts w:ascii="Arial" w:cs="Arial" w:eastAsia="Arial" w:hAnsi="Arial"/>
                <w:sz w:val="13"/>
                <w:szCs w:val="13"/>
                <w:b w:val="1"/>
                <w:bCs w:val="1"/>
                <w:color w:val="FFFFFF"/>
              </w:rPr>
              <w:t>Equity</w:t>
            </w:r>
          </w:p>
        </w:tc>
        <w:tc>
          <w:tcPr>
            <w:tcW w:w="0" w:type="dxa"/>
            <w:vAlign w:val="bottom"/>
          </w:tcPr>
          <w:p>
            <w:pPr>
              <w:spacing w:after="0"/>
              <w:rPr>
                <w:sz w:val="1"/>
                <w:szCs w:val="1"/>
                <w:color w:val="auto"/>
              </w:rPr>
            </w:pPr>
          </w:p>
        </w:tc>
      </w:tr>
      <w:tr>
        <w:trPr>
          <w:trHeight w:val="162"/>
        </w:trPr>
        <w:tc>
          <w:tcPr>
            <w:tcW w:w="820" w:type="dxa"/>
            <w:vAlign w:val="bottom"/>
            <w:shd w:val="clear" w:color="auto" w:fill="00558C"/>
          </w:tcPr>
          <w:p>
            <w:pPr>
              <w:spacing w:after="0"/>
              <w:rPr>
                <w:sz w:val="14"/>
                <w:szCs w:val="14"/>
                <w:color w:val="auto"/>
              </w:rPr>
            </w:pPr>
          </w:p>
        </w:tc>
        <w:tc>
          <w:tcPr>
            <w:tcW w:w="640" w:type="dxa"/>
            <w:vAlign w:val="bottom"/>
            <w:shd w:val="clear" w:color="auto" w:fill="00558C"/>
          </w:tcPr>
          <w:p>
            <w:pPr>
              <w:spacing w:after="0"/>
              <w:rPr>
                <w:sz w:val="14"/>
                <w:szCs w:val="14"/>
                <w:color w:val="auto"/>
              </w:rPr>
            </w:pPr>
          </w:p>
        </w:tc>
        <w:tc>
          <w:tcPr>
            <w:tcW w:w="1000" w:type="dxa"/>
            <w:vAlign w:val="bottom"/>
            <w:shd w:val="clear" w:color="auto" w:fill="00558C"/>
          </w:tcPr>
          <w:p>
            <w:pPr>
              <w:spacing w:after="0"/>
              <w:rPr>
                <w:sz w:val="14"/>
                <w:szCs w:val="14"/>
                <w:color w:val="auto"/>
              </w:rPr>
            </w:pPr>
          </w:p>
        </w:tc>
        <w:tc>
          <w:tcPr>
            <w:tcW w:w="1160" w:type="dxa"/>
            <w:vAlign w:val="bottom"/>
            <w:shd w:val="clear" w:color="auto" w:fill="00558C"/>
          </w:tcPr>
          <w:p>
            <w:pPr>
              <w:spacing w:after="0"/>
              <w:rPr>
                <w:sz w:val="14"/>
                <w:szCs w:val="14"/>
                <w:color w:val="auto"/>
              </w:rPr>
            </w:pPr>
          </w:p>
        </w:tc>
        <w:tc>
          <w:tcPr>
            <w:tcW w:w="740" w:type="dxa"/>
            <w:vAlign w:val="bottom"/>
            <w:shd w:val="clear" w:color="auto" w:fill="00558C"/>
          </w:tcPr>
          <w:p>
            <w:pPr>
              <w:spacing w:after="0"/>
              <w:rPr>
                <w:sz w:val="14"/>
                <w:szCs w:val="14"/>
                <w:color w:val="auto"/>
              </w:rPr>
            </w:pPr>
          </w:p>
        </w:tc>
        <w:tc>
          <w:tcPr>
            <w:tcW w:w="860" w:type="dxa"/>
            <w:vAlign w:val="bottom"/>
            <w:shd w:val="clear" w:color="auto" w:fill="00558C"/>
          </w:tcPr>
          <w:p>
            <w:pPr>
              <w:spacing w:after="0"/>
              <w:rPr>
                <w:sz w:val="14"/>
                <w:szCs w:val="14"/>
                <w:color w:val="auto"/>
              </w:rPr>
            </w:pPr>
          </w:p>
        </w:tc>
        <w:tc>
          <w:tcPr>
            <w:tcW w:w="780" w:type="dxa"/>
            <w:vAlign w:val="bottom"/>
            <w:shd w:val="clear" w:color="auto" w:fill="00558C"/>
          </w:tcPr>
          <w:p>
            <w:pPr>
              <w:spacing w:after="0"/>
              <w:rPr>
                <w:sz w:val="14"/>
                <w:szCs w:val="14"/>
                <w:color w:val="auto"/>
              </w:rPr>
            </w:pPr>
          </w:p>
        </w:tc>
        <w:tc>
          <w:tcPr>
            <w:tcW w:w="240" w:type="dxa"/>
            <w:vAlign w:val="bottom"/>
            <w:shd w:val="clear" w:color="auto" w:fill="00558C"/>
          </w:tcPr>
          <w:p>
            <w:pPr>
              <w:spacing w:after="0"/>
              <w:rPr>
                <w:sz w:val="14"/>
                <w:szCs w:val="14"/>
                <w:color w:val="auto"/>
              </w:rPr>
            </w:pPr>
          </w:p>
        </w:tc>
        <w:tc>
          <w:tcPr>
            <w:tcW w:w="800" w:type="dxa"/>
            <w:vAlign w:val="bottom"/>
            <w:shd w:val="clear" w:color="auto" w:fill="00558C"/>
          </w:tcPr>
          <w:p>
            <w:pPr>
              <w:spacing w:after="0"/>
              <w:rPr>
                <w:sz w:val="14"/>
                <w:szCs w:val="14"/>
                <w:color w:val="auto"/>
              </w:rPr>
            </w:pPr>
          </w:p>
        </w:tc>
        <w:tc>
          <w:tcPr>
            <w:tcW w:w="920" w:type="dxa"/>
            <w:vAlign w:val="bottom"/>
            <w:shd w:val="clear" w:color="auto" w:fill="00558C"/>
          </w:tcPr>
          <w:p>
            <w:pPr>
              <w:jc w:val="center"/>
              <w:spacing w:after="0"/>
              <w:rPr>
                <w:sz w:val="20"/>
                <w:szCs w:val="20"/>
                <w:color w:val="auto"/>
              </w:rPr>
            </w:pPr>
            <w:r>
              <w:rPr>
                <w:rFonts w:ascii="Arial" w:cs="Arial" w:eastAsia="Arial" w:hAnsi="Arial"/>
                <w:sz w:val="13"/>
                <w:szCs w:val="13"/>
                <w:b w:val="1"/>
                <w:bCs w:val="1"/>
                <w:color w:val="FFFFFF"/>
              </w:rPr>
              <w:t>Incentive</w:t>
            </w:r>
          </w:p>
        </w:tc>
        <w:tc>
          <w:tcPr>
            <w:tcW w:w="1120" w:type="dxa"/>
            <w:vAlign w:val="bottom"/>
            <w:shd w:val="clear" w:color="auto" w:fill="00558C"/>
          </w:tcPr>
          <w:p>
            <w:pPr>
              <w:jc w:val="right"/>
              <w:ind w:right="173"/>
              <w:spacing w:after="0"/>
              <w:rPr>
                <w:sz w:val="20"/>
                <w:szCs w:val="20"/>
                <w:color w:val="auto"/>
              </w:rPr>
            </w:pPr>
            <w:r>
              <w:rPr>
                <w:rFonts w:ascii="Arial" w:cs="Arial" w:eastAsia="Arial" w:hAnsi="Arial"/>
                <w:sz w:val="13"/>
                <w:szCs w:val="13"/>
                <w:b w:val="1"/>
                <w:bCs w:val="1"/>
                <w:color w:val="FFFFFF"/>
              </w:rPr>
              <w:t>Incentive</w:t>
            </w:r>
          </w:p>
        </w:tc>
        <w:tc>
          <w:tcPr>
            <w:tcW w:w="0" w:type="dxa"/>
            <w:vAlign w:val="bottom"/>
          </w:tcPr>
          <w:p>
            <w:pPr>
              <w:spacing w:after="0"/>
              <w:rPr>
                <w:sz w:val="1"/>
                <w:szCs w:val="1"/>
                <w:color w:val="auto"/>
              </w:rPr>
            </w:pPr>
          </w:p>
        </w:tc>
      </w:tr>
      <w:tr>
        <w:trPr>
          <w:trHeight w:val="162"/>
        </w:trPr>
        <w:tc>
          <w:tcPr>
            <w:tcW w:w="820" w:type="dxa"/>
            <w:vAlign w:val="bottom"/>
            <w:shd w:val="clear" w:color="auto" w:fill="00558C"/>
          </w:tcPr>
          <w:p>
            <w:pPr>
              <w:spacing w:after="0"/>
              <w:rPr>
                <w:sz w:val="14"/>
                <w:szCs w:val="14"/>
                <w:color w:val="auto"/>
              </w:rPr>
            </w:pPr>
          </w:p>
        </w:tc>
        <w:tc>
          <w:tcPr>
            <w:tcW w:w="640" w:type="dxa"/>
            <w:vAlign w:val="bottom"/>
            <w:shd w:val="clear" w:color="auto" w:fill="00558C"/>
          </w:tcPr>
          <w:p>
            <w:pPr>
              <w:spacing w:after="0"/>
              <w:rPr>
                <w:sz w:val="14"/>
                <w:szCs w:val="14"/>
                <w:color w:val="auto"/>
              </w:rPr>
            </w:pPr>
          </w:p>
        </w:tc>
        <w:tc>
          <w:tcPr>
            <w:tcW w:w="1000" w:type="dxa"/>
            <w:vAlign w:val="bottom"/>
            <w:shd w:val="clear" w:color="auto" w:fill="00558C"/>
          </w:tcPr>
          <w:p>
            <w:pPr>
              <w:spacing w:after="0"/>
              <w:rPr>
                <w:sz w:val="14"/>
                <w:szCs w:val="14"/>
                <w:color w:val="auto"/>
              </w:rPr>
            </w:pPr>
          </w:p>
        </w:tc>
        <w:tc>
          <w:tcPr>
            <w:tcW w:w="1160" w:type="dxa"/>
            <w:vAlign w:val="bottom"/>
            <w:shd w:val="clear" w:color="auto" w:fill="00558C"/>
          </w:tcPr>
          <w:p>
            <w:pPr>
              <w:spacing w:after="0"/>
              <w:rPr>
                <w:sz w:val="14"/>
                <w:szCs w:val="14"/>
                <w:color w:val="auto"/>
              </w:rPr>
            </w:pPr>
          </w:p>
        </w:tc>
        <w:tc>
          <w:tcPr>
            <w:tcW w:w="740" w:type="dxa"/>
            <w:vAlign w:val="bottom"/>
            <w:shd w:val="clear" w:color="auto" w:fill="00558C"/>
          </w:tcPr>
          <w:p>
            <w:pPr>
              <w:spacing w:after="0"/>
              <w:rPr>
                <w:sz w:val="14"/>
                <w:szCs w:val="14"/>
                <w:color w:val="auto"/>
              </w:rPr>
            </w:pPr>
          </w:p>
        </w:tc>
        <w:tc>
          <w:tcPr>
            <w:tcW w:w="860" w:type="dxa"/>
            <w:vAlign w:val="bottom"/>
            <w:shd w:val="clear" w:color="auto" w:fill="00558C"/>
          </w:tcPr>
          <w:p>
            <w:pPr>
              <w:spacing w:after="0"/>
              <w:rPr>
                <w:sz w:val="14"/>
                <w:szCs w:val="14"/>
                <w:color w:val="auto"/>
              </w:rPr>
            </w:pPr>
          </w:p>
        </w:tc>
        <w:tc>
          <w:tcPr>
            <w:tcW w:w="780" w:type="dxa"/>
            <w:vAlign w:val="bottom"/>
            <w:shd w:val="clear" w:color="auto" w:fill="00558C"/>
          </w:tcPr>
          <w:p>
            <w:pPr>
              <w:spacing w:after="0"/>
              <w:rPr>
                <w:sz w:val="14"/>
                <w:szCs w:val="14"/>
                <w:color w:val="auto"/>
              </w:rPr>
            </w:pPr>
          </w:p>
        </w:tc>
        <w:tc>
          <w:tcPr>
            <w:tcW w:w="240" w:type="dxa"/>
            <w:vAlign w:val="bottom"/>
            <w:shd w:val="clear" w:color="auto" w:fill="00558C"/>
          </w:tcPr>
          <w:p>
            <w:pPr>
              <w:spacing w:after="0"/>
              <w:rPr>
                <w:sz w:val="14"/>
                <w:szCs w:val="14"/>
                <w:color w:val="auto"/>
              </w:rPr>
            </w:pPr>
          </w:p>
        </w:tc>
        <w:tc>
          <w:tcPr>
            <w:tcW w:w="800" w:type="dxa"/>
            <w:vAlign w:val="bottom"/>
            <w:shd w:val="clear" w:color="auto" w:fill="00558C"/>
          </w:tcPr>
          <w:p>
            <w:pPr>
              <w:spacing w:after="0"/>
              <w:rPr>
                <w:sz w:val="14"/>
                <w:szCs w:val="14"/>
                <w:color w:val="auto"/>
              </w:rPr>
            </w:pPr>
          </w:p>
        </w:tc>
        <w:tc>
          <w:tcPr>
            <w:tcW w:w="920" w:type="dxa"/>
            <w:vAlign w:val="bottom"/>
            <w:shd w:val="clear" w:color="auto" w:fill="00558C"/>
          </w:tcPr>
          <w:p>
            <w:pPr>
              <w:jc w:val="right"/>
              <w:ind w:right="32"/>
              <w:spacing w:after="0"/>
              <w:rPr>
                <w:sz w:val="20"/>
                <w:szCs w:val="20"/>
                <w:color w:val="auto"/>
              </w:rPr>
            </w:pPr>
            <w:r>
              <w:rPr>
                <w:rFonts w:ascii="Arial" w:cs="Arial" w:eastAsia="Arial" w:hAnsi="Arial"/>
                <w:sz w:val="13"/>
                <w:szCs w:val="13"/>
                <w:b w:val="1"/>
                <w:bCs w:val="1"/>
                <w:color w:val="FFFFFF"/>
              </w:rPr>
              <w:t>Plan</w:t>
            </w:r>
          </w:p>
        </w:tc>
        <w:tc>
          <w:tcPr>
            <w:tcW w:w="1120" w:type="dxa"/>
            <w:vAlign w:val="bottom"/>
            <w:shd w:val="clear" w:color="auto" w:fill="00558C"/>
          </w:tcPr>
          <w:p>
            <w:pPr>
              <w:jc w:val="right"/>
              <w:ind w:right="153"/>
              <w:spacing w:after="0"/>
              <w:rPr>
                <w:sz w:val="20"/>
                <w:szCs w:val="20"/>
                <w:color w:val="auto"/>
              </w:rPr>
            </w:pPr>
            <w:r>
              <w:rPr>
                <w:rFonts w:ascii="Arial" w:cs="Arial" w:eastAsia="Arial" w:hAnsi="Arial"/>
                <w:sz w:val="13"/>
                <w:szCs w:val="13"/>
                <w:b w:val="1"/>
                <w:bCs w:val="1"/>
                <w:color w:val="FFFFFF"/>
              </w:rPr>
              <w:t>Plan Awards:</w:t>
            </w:r>
          </w:p>
        </w:tc>
        <w:tc>
          <w:tcPr>
            <w:tcW w:w="0" w:type="dxa"/>
            <w:vAlign w:val="bottom"/>
          </w:tcPr>
          <w:p>
            <w:pPr>
              <w:spacing w:after="0"/>
              <w:rPr>
                <w:sz w:val="1"/>
                <w:szCs w:val="1"/>
                <w:color w:val="auto"/>
              </w:rPr>
            </w:pPr>
          </w:p>
        </w:tc>
      </w:tr>
      <w:tr>
        <w:trPr>
          <w:trHeight w:val="162"/>
        </w:trPr>
        <w:tc>
          <w:tcPr>
            <w:tcW w:w="820" w:type="dxa"/>
            <w:vAlign w:val="bottom"/>
            <w:shd w:val="clear" w:color="auto" w:fill="00558C"/>
          </w:tcPr>
          <w:p>
            <w:pPr>
              <w:spacing w:after="0"/>
              <w:rPr>
                <w:sz w:val="14"/>
                <w:szCs w:val="14"/>
                <w:color w:val="auto"/>
              </w:rPr>
            </w:pPr>
          </w:p>
        </w:tc>
        <w:tc>
          <w:tcPr>
            <w:tcW w:w="640" w:type="dxa"/>
            <w:vAlign w:val="bottom"/>
            <w:shd w:val="clear" w:color="auto" w:fill="00558C"/>
          </w:tcPr>
          <w:p>
            <w:pPr>
              <w:spacing w:after="0"/>
              <w:rPr>
                <w:sz w:val="14"/>
                <w:szCs w:val="14"/>
                <w:color w:val="auto"/>
              </w:rPr>
            </w:pPr>
          </w:p>
        </w:tc>
        <w:tc>
          <w:tcPr>
            <w:tcW w:w="1000" w:type="dxa"/>
            <w:vAlign w:val="bottom"/>
            <w:shd w:val="clear" w:color="auto" w:fill="00558C"/>
          </w:tcPr>
          <w:p>
            <w:pPr>
              <w:spacing w:after="0"/>
              <w:rPr>
                <w:sz w:val="14"/>
                <w:szCs w:val="14"/>
                <w:color w:val="auto"/>
              </w:rPr>
            </w:pPr>
          </w:p>
        </w:tc>
        <w:tc>
          <w:tcPr>
            <w:tcW w:w="1160" w:type="dxa"/>
            <w:vAlign w:val="bottom"/>
            <w:shd w:val="clear" w:color="auto" w:fill="00558C"/>
          </w:tcPr>
          <w:p>
            <w:pPr>
              <w:spacing w:after="0"/>
              <w:rPr>
                <w:sz w:val="14"/>
                <w:szCs w:val="14"/>
                <w:color w:val="auto"/>
              </w:rPr>
            </w:pPr>
          </w:p>
        </w:tc>
        <w:tc>
          <w:tcPr>
            <w:tcW w:w="740" w:type="dxa"/>
            <w:vAlign w:val="bottom"/>
            <w:shd w:val="clear" w:color="auto" w:fill="00558C"/>
          </w:tcPr>
          <w:p>
            <w:pPr>
              <w:spacing w:after="0"/>
              <w:rPr>
                <w:sz w:val="14"/>
                <w:szCs w:val="14"/>
                <w:color w:val="auto"/>
              </w:rPr>
            </w:pPr>
          </w:p>
        </w:tc>
        <w:tc>
          <w:tcPr>
            <w:tcW w:w="860" w:type="dxa"/>
            <w:vAlign w:val="bottom"/>
            <w:shd w:val="clear" w:color="auto" w:fill="00558C"/>
          </w:tcPr>
          <w:p>
            <w:pPr>
              <w:spacing w:after="0"/>
              <w:rPr>
                <w:sz w:val="14"/>
                <w:szCs w:val="14"/>
                <w:color w:val="auto"/>
              </w:rPr>
            </w:pPr>
          </w:p>
        </w:tc>
        <w:tc>
          <w:tcPr>
            <w:tcW w:w="780" w:type="dxa"/>
            <w:vAlign w:val="bottom"/>
            <w:shd w:val="clear" w:color="auto" w:fill="00558C"/>
          </w:tcPr>
          <w:p>
            <w:pPr>
              <w:spacing w:after="0"/>
              <w:rPr>
                <w:sz w:val="14"/>
                <w:szCs w:val="14"/>
                <w:color w:val="auto"/>
              </w:rPr>
            </w:pPr>
          </w:p>
        </w:tc>
        <w:tc>
          <w:tcPr>
            <w:tcW w:w="240" w:type="dxa"/>
            <w:vAlign w:val="bottom"/>
            <w:shd w:val="clear" w:color="auto" w:fill="00558C"/>
          </w:tcPr>
          <w:p>
            <w:pPr>
              <w:spacing w:after="0"/>
              <w:rPr>
                <w:sz w:val="14"/>
                <w:szCs w:val="14"/>
                <w:color w:val="auto"/>
              </w:rPr>
            </w:pPr>
          </w:p>
        </w:tc>
        <w:tc>
          <w:tcPr>
            <w:tcW w:w="800" w:type="dxa"/>
            <w:vAlign w:val="bottom"/>
            <w:shd w:val="clear" w:color="auto" w:fill="00558C"/>
          </w:tcPr>
          <w:p>
            <w:pPr>
              <w:spacing w:after="0"/>
              <w:rPr>
                <w:sz w:val="14"/>
                <w:szCs w:val="14"/>
                <w:color w:val="auto"/>
              </w:rPr>
            </w:pPr>
          </w:p>
        </w:tc>
        <w:tc>
          <w:tcPr>
            <w:tcW w:w="920" w:type="dxa"/>
            <w:vAlign w:val="bottom"/>
            <w:shd w:val="clear" w:color="auto" w:fill="00558C"/>
          </w:tcPr>
          <w:p>
            <w:pPr>
              <w:jc w:val="right"/>
              <w:ind w:right="32"/>
              <w:spacing w:after="0"/>
              <w:rPr>
                <w:sz w:val="20"/>
                <w:szCs w:val="20"/>
                <w:color w:val="auto"/>
              </w:rPr>
            </w:pPr>
            <w:r>
              <w:rPr>
                <w:rFonts w:ascii="Arial" w:cs="Arial" w:eastAsia="Arial" w:hAnsi="Arial"/>
                <w:sz w:val="13"/>
                <w:szCs w:val="13"/>
                <w:b w:val="1"/>
                <w:bCs w:val="1"/>
                <w:color w:val="FFFFFF"/>
              </w:rPr>
              <w:t>Awards:</w:t>
            </w:r>
          </w:p>
        </w:tc>
        <w:tc>
          <w:tcPr>
            <w:tcW w:w="1120" w:type="dxa"/>
            <w:vAlign w:val="bottom"/>
            <w:shd w:val="clear" w:color="auto" w:fill="00558C"/>
          </w:tcPr>
          <w:p>
            <w:pPr>
              <w:jc w:val="right"/>
              <w:ind w:right="173"/>
              <w:spacing w:after="0"/>
              <w:rPr>
                <w:sz w:val="20"/>
                <w:szCs w:val="20"/>
                <w:color w:val="auto"/>
              </w:rPr>
            </w:pPr>
            <w:r>
              <w:rPr>
                <w:rFonts w:ascii="Arial" w:cs="Arial" w:eastAsia="Arial" w:hAnsi="Arial"/>
                <w:sz w:val="13"/>
                <w:szCs w:val="13"/>
                <w:b w:val="1"/>
                <w:bCs w:val="1"/>
                <w:color w:val="FFFFFF"/>
              </w:rPr>
              <w:t>Market or</w:t>
            </w:r>
          </w:p>
        </w:tc>
        <w:tc>
          <w:tcPr>
            <w:tcW w:w="0" w:type="dxa"/>
            <w:vAlign w:val="bottom"/>
          </w:tcPr>
          <w:p>
            <w:pPr>
              <w:spacing w:after="0"/>
              <w:rPr>
                <w:sz w:val="1"/>
                <w:szCs w:val="1"/>
                <w:color w:val="auto"/>
              </w:rPr>
            </w:pPr>
          </w:p>
        </w:tc>
      </w:tr>
      <w:tr>
        <w:trPr>
          <w:trHeight w:val="162"/>
        </w:trPr>
        <w:tc>
          <w:tcPr>
            <w:tcW w:w="820" w:type="dxa"/>
            <w:vAlign w:val="bottom"/>
            <w:shd w:val="clear" w:color="auto" w:fill="00558C"/>
          </w:tcPr>
          <w:p>
            <w:pPr>
              <w:spacing w:after="0"/>
              <w:rPr>
                <w:sz w:val="14"/>
                <w:szCs w:val="14"/>
                <w:color w:val="auto"/>
              </w:rPr>
            </w:pPr>
          </w:p>
        </w:tc>
        <w:tc>
          <w:tcPr>
            <w:tcW w:w="640" w:type="dxa"/>
            <w:vAlign w:val="bottom"/>
            <w:shd w:val="clear" w:color="auto" w:fill="00558C"/>
          </w:tcPr>
          <w:p>
            <w:pPr>
              <w:spacing w:after="0"/>
              <w:rPr>
                <w:sz w:val="14"/>
                <w:szCs w:val="14"/>
                <w:color w:val="auto"/>
              </w:rPr>
            </w:pPr>
          </w:p>
        </w:tc>
        <w:tc>
          <w:tcPr>
            <w:tcW w:w="1000" w:type="dxa"/>
            <w:vAlign w:val="bottom"/>
            <w:shd w:val="clear" w:color="auto" w:fill="00558C"/>
          </w:tcPr>
          <w:p>
            <w:pPr>
              <w:spacing w:after="0"/>
              <w:rPr>
                <w:sz w:val="14"/>
                <w:szCs w:val="14"/>
                <w:color w:val="auto"/>
              </w:rPr>
            </w:pPr>
          </w:p>
        </w:tc>
        <w:tc>
          <w:tcPr>
            <w:tcW w:w="1160" w:type="dxa"/>
            <w:vAlign w:val="bottom"/>
            <w:shd w:val="clear" w:color="auto" w:fill="00558C"/>
          </w:tcPr>
          <w:p>
            <w:pPr>
              <w:spacing w:after="0"/>
              <w:rPr>
                <w:sz w:val="14"/>
                <w:szCs w:val="14"/>
                <w:color w:val="auto"/>
              </w:rPr>
            </w:pPr>
          </w:p>
        </w:tc>
        <w:tc>
          <w:tcPr>
            <w:tcW w:w="740" w:type="dxa"/>
            <w:vAlign w:val="bottom"/>
            <w:shd w:val="clear" w:color="auto" w:fill="00558C"/>
          </w:tcPr>
          <w:p>
            <w:pPr>
              <w:spacing w:after="0"/>
              <w:rPr>
                <w:sz w:val="14"/>
                <w:szCs w:val="14"/>
                <w:color w:val="auto"/>
              </w:rPr>
            </w:pPr>
          </w:p>
        </w:tc>
        <w:tc>
          <w:tcPr>
            <w:tcW w:w="860" w:type="dxa"/>
            <w:vAlign w:val="bottom"/>
            <w:shd w:val="clear" w:color="auto" w:fill="00558C"/>
          </w:tcPr>
          <w:p>
            <w:pPr>
              <w:spacing w:after="0"/>
              <w:rPr>
                <w:sz w:val="14"/>
                <w:szCs w:val="14"/>
                <w:color w:val="auto"/>
              </w:rPr>
            </w:pPr>
          </w:p>
        </w:tc>
        <w:tc>
          <w:tcPr>
            <w:tcW w:w="780" w:type="dxa"/>
            <w:vAlign w:val="bottom"/>
            <w:shd w:val="clear" w:color="auto" w:fill="00558C"/>
          </w:tcPr>
          <w:p>
            <w:pPr>
              <w:spacing w:after="0"/>
              <w:rPr>
                <w:sz w:val="14"/>
                <w:szCs w:val="14"/>
                <w:color w:val="auto"/>
              </w:rPr>
            </w:pPr>
          </w:p>
        </w:tc>
        <w:tc>
          <w:tcPr>
            <w:tcW w:w="240" w:type="dxa"/>
            <w:vAlign w:val="bottom"/>
            <w:shd w:val="clear" w:color="auto" w:fill="00558C"/>
          </w:tcPr>
          <w:p>
            <w:pPr>
              <w:spacing w:after="0"/>
              <w:rPr>
                <w:sz w:val="14"/>
                <w:szCs w:val="14"/>
                <w:color w:val="auto"/>
              </w:rPr>
            </w:pPr>
          </w:p>
        </w:tc>
        <w:tc>
          <w:tcPr>
            <w:tcW w:w="800" w:type="dxa"/>
            <w:vAlign w:val="bottom"/>
            <w:shd w:val="clear" w:color="auto" w:fill="00558C"/>
          </w:tcPr>
          <w:p>
            <w:pPr>
              <w:jc w:val="right"/>
              <w:ind w:right="53"/>
              <w:spacing w:after="0"/>
              <w:rPr>
                <w:sz w:val="20"/>
                <w:szCs w:val="20"/>
                <w:color w:val="auto"/>
              </w:rPr>
            </w:pPr>
            <w:r>
              <w:rPr>
                <w:rFonts w:ascii="Arial" w:cs="Arial" w:eastAsia="Arial" w:hAnsi="Arial"/>
                <w:sz w:val="13"/>
                <w:szCs w:val="13"/>
                <w:b w:val="1"/>
                <w:bCs w:val="1"/>
                <w:color w:val="FFFFFF"/>
              </w:rPr>
              <w:t>Market</w:t>
            </w:r>
          </w:p>
        </w:tc>
        <w:tc>
          <w:tcPr>
            <w:tcW w:w="920" w:type="dxa"/>
            <w:vAlign w:val="bottom"/>
            <w:shd w:val="clear" w:color="auto" w:fill="00558C"/>
          </w:tcPr>
          <w:p>
            <w:pPr>
              <w:jc w:val="right"/>
              <w:ind w:right="72"/>
              <w:spacing w:after="0"/>
              <w:rPr>
                <w:sz w:val="20"/>
                <w:szCs w:val="20"/>
                <w:color w:val="auto"/>
              </w:rPr>
            </w:pPr>
            <w:r>
              <w:rPr>
                <w:rFonts w:ascii="Arial" w:cs="Arial" w:eastAsia="Arial" w:hAnsi="Arial"/>
                <w:sz w:val="13"/>
                <w:szCs w:val="13"/>
                <w:b w:val="1"/>
                <w:bCs w:val="1"/>
                <w:color w:val="FFFFFF"/>
              </w:rPr>
              <w:t>Number of</w:t>
            </w:r>
          </w:p>
        </w:tc>
        <w:tc>
          <w:tcPr>
            <w:tcW w:w="1120" w:type="dxa"/>
            <w:vAlign w:val="bottom"/>
            <w:shd w:val="clear" w:color="auto" w:fill="00558C"/>
          </w:tcPr>
          <w:p>
            <w:pPr>
              <w:jc w:val="right"/>
              <w:ind w:right="133"/>
              <w:spacing w:after="0"/>
              <w:rPr>
                <w:sz w:val="20"/>
                <w:szCs w:val="20"/>
                <w:color w:val="auto"/>
              </w:rPr>
            </w:pPr>
            <w:r>
              <w:rPr>
                <w:rFonts w:ascii="Arial" w:cs="Arial" w:eastAsia="Arial" w:hAnsi="Arial"/>
                <w:sz w:val="13"/>
                <w:szCs w:val="13"/>
                <w:b w:val="1"/>
                <w:bCs w:val="1"/>
                <w:color w:val="FFFFFF"/>
              </w:rPr>
              <w:t>Payout</w:t>
            </w:r>
          </w:p>
        </w:tc>
        <w:tc>
          <w:tcPr>
            <w:tcW w:w="0" w:type="dxa"/>
            <w:vAlign w:val="bottom"/>
          </w:tcPr>
          <w:p>
            <w:pPr>
              <w:spacing w:after="0"/>
              <w:rPr>
                <w:sz w:val="1"/>
                <w:szCs w:val="1"/>
                <w:color w:val="auto"/>
              </w:rPr>
            </w:pPr>
          </w:p>
        </w:tc>
      </w:tr>
      <w:tr>
        <w:trPr>
          <w:trHeight w:val="162"/>
        </w:trPr>
        <w:tc>
          <w:tcPr>
            <w:tcW w:w="820" w:type="dxa"/>
            <w:vAlign w:val="bottom"/>
            <w:shd w:val="clear" w:color="auto" w:fill="00558C"/>
          </w:tcPr>
          <w:p>
            <w:pPr>
              <w:spacing w:after="0"/>
              <w:rPr>
                <w:sz w:val="14"/>
                <w:szCs w:val="14"/>
                <w:color w:val="auto"/>
              </w:rPr>
            </w:pPr>
          </w:p>
        </w:tc>
        <w:tc>
          <w:tcPr>
            <w:tcW w:w="640" w:type="dxa"/>
            <w:vAlign w:val="bottom"/>
            <w:shd w:val="clear" w:color="auto" w:fill="00558C"/>
          </w:tcPr>
          <w:p>
            <w:pPr>
              <w:spacing w:after="0"/>
              <w:rPr>
                <w:sz w:val="14"/>
                <w:szCs w:val="14"/>
                <w:color w:val="auto"/>
              </w:rPr>
            </w:pPr>
          </w:p>
        </w:tc>
        <w:tc>
          <w:tcPr>
            <w:tcW w:w="1000" w:type="dxa"/>
            <w:vAlign w:val="bottom"/>
            <w:shd w:val="clear" w:color="auto" w:fill="00558C"/>
          </w:tcPr>
          <w:p>
            <w:pPr>
              <w:spacing w:after="0"/>
              <w:rPr>
                <w:sz w:val="14"/>
                <w:szCs w:val="14"/>
                <w:color w:val="auto"/>
              </w:rPr>
            </w:pPr>
          </w:p>
        </w:tc>
        <w:tc>
          <w:tcPr>
            <w:tcW w:w="1160" w:type="dxa"/>
            <w:vAlign w:val="bottom"/>
            <w:shd w:val="clear" w:color="auto" w:fill="00558C"/>
          </w:tcPr>
          <w:p>
            <w:pPr>
              <w:spacing w:after="0"/>
              <w:rPr>
                <w:sz w:val="14"/>
                <w:szCs w:val="14"/>
                <w:color w:val="auto"/>
              </w:rPr>
            </w:pPr>
          </w:p>
        </w:tc>
        <w:tc>
          <w:tcPr>
            <w:tcW w:w="740" w:type="dxa"/>
            <w:vAlign w:val="bottom"/>
            <w:shd w:val="clear" w:color="auto" w:fill="00558C"/>
          </w:tcPr>
          <w:p>
            <w:pPr>
              <w:spacing w:after="0"/>
              <w:rPr>
                <w:sz w:val="14"/>
                <w:szCs w:val="14"/>
                <w:color w:val="auto"/>
              </w:rPr>
            </w:pPr>
          </w:p>
        </w:tc>
        <w:tc>
          <w:tcPr>
            <w:tcW w:w="860" w:type="dxa"/>
            <w:vAlign w:val="bottom"/>
            <w:shd w:val="clear" w:color="auto" w:fill="00558C"/>
          </w:tcPr>
          <w:p>
            <w:pPr>
              <w:spacing w:after="0"/>
              <w:rPr>
                <w:sz w:val="14"/>
                <w:szCs w:val="14"/>
                <w:color w:val="auto"/>
              </w:rPr>
            </w:pPr>
          </w:p>
        </w:tc>
        <w:tc>
          <w:tcPr>
            <w:tcW w:w="1020" w:type="dxa"/>
            <w:vAlign w:val="bottom"/>
            <w:gridSpan w:val="2"/>
            <w:shd w:val="clear" w:color="auto" w:fill="00558C"/>
          </w:tcPr>
          <w:p>
            <w:pPr>
              <w:jc w:val="right"/>
              <w:ind w:right="128"/>
              <w:spacing w:after="0"/>
              <w:rPr>
                <w:sz w:val="20"/>
                <w:szCs w:val="20"/>
                <w:color w:val="auto"/>
              </w:rPr>
            </w:pPr>
            <w:r>
              <w:rPr>
                <w:rFonts w:ascii="Arial" w:cs="Arial" w:eastAsia="Arial" w:hAnsi="Arial"/>
                <w:sz w:val="13"/>
                <w:szCs w:val="13"/>
                <w:b w:val="1"/>
                <w:bCs w:val="1"/>
                <w:color w:val="FFFFFF"/>
              </w:rPr>
              <w:t>Number of</w:t>
            </w:r>
          </w:p>
        </w:tc>
        <w:tc>
          <w:tcPr>
            <w:tcW w:w="800" w:type="dxa"/>
            <w:vAlign w:val="bottom"/>
            <w:shd w:val="clear" w:color="auto" w:fill="00558C"/>
          </w:tcPr>
          <w:p>
            <w:pPr>
              <w:jc w:val="right"/>
              <w:ind w:right="53"/>
              <w:spacing w:after="0"/>
              <w:rPr>
                <w:sz w:val="20"/>
                <w:szCs w:val="20"/>
                <w:color w:val="auto"/>
              </w:rPr>
            </w:pPr>
            <w:r>
              <w:rPr>
                <w:rFonts w:ascii="Arial" w:cs="Arial" w:eastAsia="Arial" w:hAnsi="Arial"/>
                <w:sz w:val="13"/>
                <w:szCs w:val="13"/>
                <w:b w:val="1"/>
                <w:bCs w:val="1"/>
                <w:color w:val="FFFFFF"/>
              </w:rPr>
              <w:t>Value of</w:t>
            </w:r>
          </w:p>
        </w:tc>
        <w:tc>
          <w:tcPr>
            <w:tcW w:w="920" w:type="dxa"/>
            <w:vAlign w:val="bottom"/>
            <w:shd w:val="clear" w:color="auto" w:fill="00558C"/>
          </w:tcPr>
          <w:p>
            <w:pPr>
              <w:jc w:val="center"/>
              <w:spacing w:after="0"/>
              <w:rPr>
                <w:sz w:val="20"/>
                <w:szCs w:val="20"/>
                <w:color w:val="auto"/>
              </w:rPr>
            </w:pPr>
            <w:r>
              <w:rPr>
                <w:rFonts w:ascii="Arial" w:cs="Arial" w:eastAsia="Arial" w:hAnsi="Arial"/>
                <w:sz w:val="13"/>
                <w:szCs w:val="13"/>
                <w:b w:val="1"/>
                <w:bCs w:val="1"/>
                <w:color w:val="FFFFFF"/>
              </w:rPr>
              <w:t>Unearned</w:t>
            </w:r>
          </w:p>
        </w:tc>
        <w:tc>
          <w:tcPr>
            <w:tcW w:w="1120" w:type="dxa"/>
            <w:vAlign w:val="bottom"/>
            <w:shd w:val="clear" w:color="auto" w:fill="00558C"/>
          </w:tcPr>
          <w:p>
            <w:pPr>
              <w:jc w:val="right"/>
              <w:ind w:right="153"/>
              <w:spacing w:after="0"/>
              <w:rPr>
                <w:sz w:val="20"/>
                <w:szCs w:val="20"/>
                <w:color w:val="auto"/>
              </w:rPr>
            </w:pPr>
            <w:r>
              <w:rPr>
                <w:rFonts w:ascii="Arial" w:cs="Arial" w:eastAsia="Arial" w:hAnsi="Arial"/>
                <w:sz w:val="13"/>
                <w:szCs w:val="13"/>
                <w:b w:val="1"/>
                <w:bCs w:val="1"/>
                <w:color w:val="FFFFFF"/>
              </w:rPr>
              <w:t>Value of</w:t>
            </w:r>
          </w:p>
        </w:tc>
        <w:tc>
          <w:tcPr>
            <w:tcW w:w="0" w:type="dxa"/>
            <w:vAlign w:val="bottom"/>
          </w:tcPr>
          <w:p>
            <w:pPr>
              <w:spacing w:after="0"/>
              <w:rPr>
                <w:sz w:val="1"/>
                <w:szCs w:val="1"/>
                <w:color w:val="auto"/>
              </w:rPr>
            </w:pPr>
          </w:p>
        </w:tc>
      </w:tr>
      <w:tr>
        <w:trPr>
          <w:trHeight w:val="162"/>
        </w:trPr>
        <w:tc>
          <w:tcPr>
            <w:tcW w:w="820" w:type="dxa"/>
            <w:vAlign w:val="bottom"/>
            <w:shd w:val="clear" w:color="auto" w:fill="00558C"/>
          </w:tcPr>
          <w:p>
            <w:pPr>
              <w:spacing w:after="0"/>
              <w:rPr>
                <w:sz w:val="14"/>
                <w:szCs w:val="14"/>
                <w:color w:val="auto"/>
              </w:rPr>
            </w:pPr>
          </w:p>
        </w:tc>
        <w:tc>
          <w:tcPr>
            <w:tcW w:w="640" w:type="dxa"/>
            <w:vAlign w:val="bottom"/>
            <w:shd w:val="clear" w:color="auto" w:fill="00558C"/>
          </w:tcPr>
          <w:p>
            <w:pPr>
              <w:spacing w:after="0"/>
              <w:rPr>
                <w:sz w:val="14"/>
                <w:szCs w:val="14"/>
                <w:color w:val="auto"/>
              </w:rPr>
            </w:pPr>
          </w:p>
        </w:tc>
        <w:tc>
          <w:tcPr>
            <w:tcW w:w="1000" w:type="dxa"/>
            <w:vAlign w:val="bottom"/>
            <w:shd w:val="clear" w:color="auto" w:fill="00558C"/>
          </w:tcPr>
          <w:p>
            <w:pPr>
              <w:spacing w:after="0"/>
              <w:rPr>
                <w:sz w:val="14"/>
                <w:szCs w:val="14"/>
                <w:color w:val="auto"/>
              </w:rPr>
            </w:pPr>
          </w:p>
        </w:tc>
        <w:tc>
          <w:tcPr>
            <w:tcW w:w="1160" w:type="dxa"/>
            <w:vAlign w:val="bottom"/>
            <w:shd w:val="clear" w:color="auto" w:fill="00558C"/>
          </w:tcPr>
          <w:p>
            <w:pPr>
              <w:spacing w:after="0"/>
              <w:rPr>
                <w:sz w:val="14"/>
                <w:szCs w:val="14"/>
                <w:color w:val="auto"/>
              </w:rPr>
            </w:pPr>
          </w:p>
        </w:tc>
        <w:tc>
          <w:tcPr>
            <w:tcW w:w="740" w:type="dxa"/>
            <w:vAlign w:val="bottom"/>
            <w:shd w:val="clear" w:color="auto" w:fill="00558C"/>
          </w:tcPr>
          <w:p>
            <w:pPr>
              <w:spacing w:after="0"/>
              <w:rPr>
                <w:sz w:val="14"/>
                <w:szCs w:val="14"/>
                <w:color w:val="auto"/>
              </w:rPr>
            </w:pPr>
          </w:p>
        </w:tc>
        <w:tc>
          <w:tcPr>
            <w:tcW w:w="860" w:type="dxa"/>
            <w:vAlign w:val="bottom"/>
            <w:shd w:val="clear" w:color="auto" w:fill="00558C"/>
          </w:tcPr>
          <w:p>
            <w:pPr>
              <w:spacing w:after="0"/>
              <w:rPr>
                <w:sz w:val="14"/>
                <w:szCs w:val="14"/>
                <w:color w:val="auto"/>
              </w:rPr>
            </w:pPr>
          </w:p>
        </w:tc>
        <w:tc>
          <w:tcPr>
            <w:tcW w:w="1020" w:type="dxa"/>
            <w:vAlign w:val="bottom"/>
            <w:gridSpan w:val="2"/>
            <w:shd w:val="clear" w:color="auto" w:fill="00558C"/>
          </w:tcPr>
          <w:p>
            <w:pPr>
              <w:jc w:val="right"/>
              <w:ind w:right="88"/>
              <w:spacing w:after="0"/>
              <w:rPr>
                <w:sz w:val="20"/>
                <w:szCs w:val="20"/>
                <w:color w:val="auto"/>
              </w:rPr>
            </w:pPr>
            <w:r>
              <w:rPr>
                <w:rFonts w:ascii="Arial" w:cs="Arial" w:eastAsia="Arial" w:hAnsi="Arial"/>
                <w:sz w:val="13"/>
                <w:szCs w:val="13"/>
                <w:b w:val="1"/>
                <w:bCs w:val="1"/>
                <w:color w:val="FFFFFF"/>
              </w:rPr>
              <w:t>Shares or</w:t>
            </w:r>
          </w:p>
        </w:tc>
        <w:tc>
          <w:tcPr>
            <w:tcW w:w="800" w:type="dxa"/>
            <w:vAlign w:val="bottom"/>
            <w:shd w:val="clear" w:color="auto" w:fill="00558C"/>
          </w:tcPr>
          <w:p>
            <w:pPr>
              <w:jc w:val="right"/>
              <w:ind w:right="13"/>
              <w:spacing w:after="0"/>
              <w:rPr>
                <w:sz w:val="20"/>
                <w:szCs w:val="20"/>
                <w:color w:val="auto"/>
              </w:rPr>
            </w:pPr>
            <w:r>
              <w:rPr>
                <w:rFonts w:ascii="Arial" w:cs="Arial" w:eastAsia="Arial" w:hAnsi="Arial"/>
                <w:sz w:val="13"/>
                <w:szCs w:val="13"/>
                <w:b w:val="1"/>
                <w:bCs w:val="1"/>
                <w:color w:val="FFFFFF"/>
              </w:rPr>
              <w:t>Shares</w:t>
            </w:r>
          </w:p>
        </w:tc>
        <w:tc>
          <w:tcPr>
            <w:tcW w:w="920" w:type="dxa"/>
            <w:vAlign w:val="bottom"/>
            <w:shd w:val="clear" w:color="auto" w:fill="00558C"/>
          </w:tcPr>
          <w:p>
            <w:pPr>
              <w:jc w:val="right"/>
              <w:ind w:right="12"/>
              <w:spacing w:after="0"/>
              <w:rPr>
                <w:sz w:val="20"/>
                <w:szCs w:val="20"/>
                <w:color w:val="auto"/>
              </w:rPr>
            </w:pPr>
            <w:r>
              <w:rPr>
                <w:rFonts w:ascii="Arial" w:cs="Arial" w:eastAsia="Arial" w:hAnsi="Arial"/>
                <w:sz w:val="13"/>
                <w:szCs w:val="13"/>
                <w:b w:val="1"/>
                <w:bCs w:val="1"/>
                <w:color w:val="FFFFFF"/>
              </w:rPr>
              <w:t>Shares,</w:t>
            </w:r>
          </w:p>
        </w:tc>
        <w:tc>
          <w:tcPr>
            <w:tcW w:w="1120" w:type="dxa"/>
            <w:vAlign w:val="bottom"/>
            <w:shd w:val="clear" w:color="auto" w:fill="00558C"/>
          </w:tcPr>
          <w:p>
            <w:pPr>
              <w:jc w:val="right"/>
              <w:ind w:right="173"/>
              <w:spacing w:after="0"/>
              <w:rPr>
                <w:sz w:val="20"/>
                <w:szCs w:val="20"/>
                <w:color w:val="auto"/>
              </w:rPr>
            </w:pPr>
            <w:r>
              <w:rPr>
                <w:rFonts w:ascii="Arial" w:cs="Arial" w:eastAsia="Arial" w:hAnsi="Arial"/>
                <w:sz w:val="13"/>
                <w:szCs w:val="13"/>
                <w:b w:val="1"/>
                <w:bCs w:val="1"/>
                <w:color w:val="FFFFFF"/>
              </w:rPr>
              <w:t>Unearned</w:t>
            </w:r>
          </w:p>
        </w:tc>
        <w:tc>
          <w:tcPr>
            <w:tcW w:w="0" w:type="dxa"/>
            <w:vAlign w:val="bottom"/>
          </w:tcPr>
          <w:p>
            <w:pPr>
              <w:spacing w:after="0"/>
              <w:rPr>
                <w:sz w:val="1"/>
                <w:szCs w:val="1"/>
                <w:color w:val="auto"/>
              </w:rPr>
            </w:pPr>
          </w:p>
        </w:tc>
      </w:tr>
      <w:tr>
        <w:trPr>
          <w:trHeight w:val="162"/>
        </w:trPr>
        <w:tc>
          <w:tcPr>
            <w:tcW w:w="820" w:type="dxa"/>
            <w:vAlign w:val="bottom"/>
            <w:shd w:val="clear" w:color="auto" w:fill="00558C"/>
          </w:tcPr>
          <w:p>
            <w:pPr>
              <w:spacing w:after="0"/>
              <w:rPr>
                <w:sz w:val="14"/>
                <w:szCs w:val="14"/>
                <w:color w:val="auto"/>
              </w:rPr>
            </w:pPr>
          </w:p>
        </w:tc>
        <w:tc>
          <w:tcPr>
            <w:tcW w:w="640" w:type="dxa"/>
            <w:vAlign w:val="bottom"/>
            <w:shd w:val="clear" w:color="auto" w:fill="00558C"/>
          </w:tcPr>
          <w:p>
            <w:pPr>
              <w:spacing w:after="0"/>
              <w:rPr>
                <w:sz w:val="14"/>
                <w:szCs w:val="14"/>
                <w:color w:val="auto"/>
              </w:rPr>
            </w:pPr>
          </w:p>
        </w:tc>
        <w:tc>
          <w:tcPr>
            <w:tcW w:w="1000" w:type="dxa"/>
            <w:vAlign w:val="bottom"/>
            <w:shd w:val="clear" w:color="auto" w:fill="00558C"/>
          </w:tcPr>
          <w:p>
            <w:pPr>
              <w:jc w:val="right"/>
              <w:ind w:right="53"/>
              <w:spacing w:after="0"/>
              <w:rPr>
                <w:sz w:val="20"/>
                <w:szCs w:val="20"/>
                <w:color w:val="auto"/>
              </w:rPr>
            </w:pPr>
            <w:r>
              <w:rPr>
                <w:rFonts w:ascii="Arial" w:cs="Arial" w:eastAsia="Arial" w:hAnsi="Arial"/>
                <w:sz w:val="13"/>
                <w:szCs w:val="13"/>
                <w:b w:val="1"/>
                <w:bCs w:val="1"/>
                <w:color w:val="FFFFFF"/>
              </w:rPr>
              <w:t>Number of</w:t>
            </w:r>
          </w:p>
        </w:tc>
        <w:tc>
          <w:tcPr>
            <w:tcW w:w="1160" w:type="dxa"/>
            <w:vAlign w:val="bottom"/>
            <w:shd w:val="clear" w:color="auto" w:fill="00558C"/>
          </w:tcPr>
          <w:p>
            <w:pPr>
              <w:jc w:val="right"/>
              <w:ind w:right="73"/>
              <w:spacing w:after="0"/>
              <w:rPr>
                <w:sz w:val="20"/>
                <w:szCs w:val="20"/>
                <w:color w:val="auto"/>
              </w:rPr>
            </w:pPr>
            <w:r>
              <w:rPr>
                <w:rFonts w:ascii="Arial" w:cs="Arial" w:eastAsia="Arial" w:hAnsi="Arial"/>
                <w:sz w:val="13"/>
                <w:szCs w:val="13"/>
                <w:b w:val="1"/>
                <w:bCs w:val="1"/>
                <w:color w:val="FFFFFF"/>
              </w:rPr>
              <w:t>Number of</w:t>
            </w:r>
          </w:p>
        </w:tc>
        <w:tc>
          <w:tcPr>
            <w:tcW w:w="740" w:type="dxa"/>
            <w:vAlign w:val="bottom"/>
            <w:shd w:val="clear" w:color="auto" w:fill="00558C"/>
          </w:tcPr>
          <w:p>
            <w:pPr>
              <w:spacing w:after="0"/>
              <w:rPr>
                <w:sz w:val="14"/>
                <w:szCs w:val="14"/>
                <w:color w:val="auto"/>
              </w:rPr>
            </w:pPr>
          </w:p>
        </w:tc>
        <w:tc>
          <w:tcPr>
            <w:tcW w:w="860" w:type="dxa"/>
            <w:vAlign w:val="bottom"/>
            <w:shd w:val="clear" w:color="auto" w:fill="00558C"/>
          </w:tcPr>
          <w:p>
            <w:pPr>
              <w:spacing w:after="0"/>
              <w:rPr>
                <w:sz w:val="14"/>
                <w:szCs w:val="14"/>
                <w:color w:val="auto"/>
              </w:rPr>
            </w:pPr>
          </w:p>
        </w:tc>
        <w:tc>
          <w:tcPr>
            <w:tcW w:w="1020" w:type="dxa"/>
            <w:vAlign w:val="bottom"/>
            <w:gridSpan w:val="2"/>
            <w:shd w:val="clear" w:color="auto" w:fill="00558C"/>
          </w:tcPr>
          <w:p>
            <w:pPr>
              <w:jc w:val="right"/>
              <w:ind w:right="68"/>
              <w:spacing w:after="0"/>
              <w:rPr>
                <w:sz w:val="20"/>
                <w:szCs w:val="20"/>
                <w:color w:val="auto"/>
              </w:rPr>
            </w:pPr>
            <w:r>
              <w:rPr>
                <w:rFonts w:ascii="Arial" w:cs="Arial" w:eastAsia="Arial" w:hAnsi="Arial"/>
                <w:sz w:val="13"/>
                <w:szCs w:val="13"/>
                <w:b w:val="1"/>
                <w:bCs w:val="1"/>
                <w:color w:val="FFFFFF"/>
              </w:rPr>
              <w:t>Units</w:t>
            </w:r>
          </w:p>
        </w:tc>
        <w:tc>
          <w:tcPr>
            <w:tcW w:w="800" w:type="dxa"/>
            <w:vAlign w:val="bottom"/>
            <w:shd w:val="clear" w:color="auto" w:fill="00558C"/>
          </w:tcPr>
          <w:p>
            <w:pPr>
              <w:jc w:val="right"/>
              <w:ind w:right="33"/>
              <w:spacing w:after="0"/>
              <w:rPr>
                <w:sz w:val="20"/>
                <w:szCs w:val="20"/>
                <w:color w:val="auto"/>
              </w:rPr>
            </w:pPr>
            <w:r>
              <w:rPr>
                <w:rFonts w:ascii="Arial" w:cs="Arial" w:eastAsia="Arial" w:hAnsi="Arial"/>
                <w:sz w:val="13"/>
                <w:szCs w:val="13"/>
                <w:b w:val="1"/>
                <w:bCs w:val="1"/>
                <w:color w:val="FFFFFF"/>
              </w:rPr>
              <w:t>or Units</w:t>
            </w:r>
          </w:p>
        </w:tc>
        <w:tc>
          <w:tcPr>
            <w:tcW w:w="920" w:type="dxa"/>
            <w:vAlign w:val="bottom"/>
            <w:shd w:val="clear" w:color="auto" w:fill="00558C"/>
          </w:tcPr>
          <w:p>
            <w:pPr>
              <w:jc w:val="right"/>
              <w:ind w:right="32"/>
              <w:spacing w:after="0"/>
              <w:rPr>
                <w:sz w:val="20"/>
                <w:szCs w:val="20"/>
                <w:color w:val="auto"/>
              </w:rPr>
            </w:pPr>
            <w:r>
              <w:rPr>
                <w:rFonts w:ascii="Arial" w:cs="Arial" w:eastAsia="Arial" w:hAnsi="Arial"/>
                <w:sz w:val="13"/>
                <w:szCs w:val="13"/>
                <w:b w:val="1"/>
                <w:bCs w:val="1"/>
                <w:color w:val="FFFFFF"/>
              </w:rPr>
              <w:t>Units or</w:t>
            </w:r>
          </w:p>
        </w:tc>
        <w:tc>
          <w:tcPr>
            <w:tcW w:w="1120" w:type="dxa"/>
            <w:vAlign w:val="bottom"/>
            <w:shd w:val="clear" w:color="auto" w:fill="00558C"/>
          </w:tcPr>
          <w:p>
            <w:pPr>
              <w:jc w:val="right"/>
              <w:ind w:right="153"/>
              <w:spacing w:after="0"/>
              <w:rPr>
                <w:sz w:val="20"/>
                <w:szCs w:val="20"/>
                <w:color w:val="auto"/>
              </w:rPr>
            </w:pPr>
            <w:r>
              <w:rPr>
                <w:rFonts w:ascii="Arial" w:cs="Arial" w:eastAsia="Arial" w:hAnsi="Arial"/>
                <w:sz w:val="13"/>
                <w:szCs w:val="13"/>
                <w:b w:val="1"/>
                <w:bCs w:val="1"/>
                <w:color w:val="FFFFFF"/>
              </w:rPr>
              <w:t>Shares, Units</w:t>
            </w:r>
          </w:p>
        </w:tc>
        <w:tc>
          <w:tcPr>
            <w:tcW w:w="0" w:type="dxa"/>
            <w:vAlign w:val="bottom"/>
          </w:tcPr>
          <w:p>
            <w:pPr>
              <w:spacing w:after="0"/>
              <w:rPr>
                <w:sz w:val="1"/>
                <w:szCs w:val="1"/>
                <w:color w:val="auto"/>
              </w:rPr>
            </w:pPr>
          </w:p>
        </w:tc>
      </w:tr>
      <w:tr>
        <w:trPr>
          <w:trHeight w:val="162"/>
        </w:trPr>
        <w:tc>
          <w:tcPr>
            <w:tcW w:w="820" w:type="dxa"/>
            <w:vAlign w:val="bottom"/>
            <w:shd w:val="clear" w:color="auto" w:fill="00558C"/>
          </w:tcPr>
          <w:p>
            <w:pPr>
              <w:spacing w:after="0"/>
              <w:rPr>
                <w:sz w:val="14"/>
                <w:szCs w:val="14"/>
                <w:color w:val="auto"/>
              </w:rPr>
            </w:pPr>
          </w:p>
        </w:tc>
        <w:tc>
          <w:tcPr>
            <w:tcW w:w="640" w:type="dxa"/>
            <w:vAlign w:val="bottom"/>
            <w:shd w:val="clear" w:color="auto" w:fill="00558C"/>
          </w:tcPr>
          <w:p>
            <w:pPr>
              <w:spacing w:after="0"/>
              <w:rPr>
                <w:sz w:val="14"/>
                <w:szCs w:val="14"/>
                <w:color w:val="auto"/>
              </w:rPr>
            </w:pPr>
          </w:p>
        </w:tc>
        <w:tc>
          <w:tcPr>
            <w:tcW w:w="1000" w:type="dxa"/>
            <w:vAlign w:val="bottom"/>
            <w:shd w:val="clear" w:color="auto" w:fill="00558C"/>
          </w:tcPr>
          <w:p>
            <w:pPr>
              <w:jc w:val="right"/>
              <w:ind w:right="33"/>
              <w:spacing w:after="0"/>
              <w:rPr>
                <w:sz w:val="20"/>
                <w:szCs w:val="20"/>
                <w:color w:val="auto"/>
              </w:rPr>
            </w:pPr>
            <w:r>
              <w:rPr>
                <w:rFonts w:ascii="Arial" w:cs="Arial" w:eastAsia="Arial" w:hAnsi="Arial"/>
                <w:sz w:val="13"/>
                <w:szCs w:val="13"/>
                <w:b w:val="1"/>
                <w:bCs w:val="1"/>
                <w:color w:val="FFFFFF"/>
              </w:rPr>
              <w:t>Securities</w:t>
            </w:r>
          </w:p>
        </w:tc>
        <w:tc>
          <w:tcPr>
            <w:tcW w:w="1160" w:type="dxa"/>
            <w:vAlign w:val="bottom"/>
            <w:shd w:val="clear" w:color="auto" w:fill="00558C"/>
          </w:tcPr>
          <w:p>
            <w:pPr>
              <w:ind w:left="400"/>
              <w:spacing w:after="0"/>
              <w:rPr>
                <w:sz w:val="20"/>
                <w:szCs w:val="20"/>
                <w:color w:val="auto"/>
              </w:rPr>
            </w:pPr>
            <w:r>
              <w:rPr>
                <w:rFonts w:ascii="Arial" w:cs="Arial" w:eastAsia="Arial" w:hAnsi="Arial"/>
                <w:sz w:val="13"/>
                <w:szCs w:val="13"/>
                <w:b w:val="1"/>
                <w:bCs w:val="1"/>
                <w:color w:val="FFFFFF"/>
              </w:rPr>
              <w:t>Securities</w:t>
            </w:r>
          </w:p>
        </w:tc>
        <w:tc>
          <w:tcPr>
            <w:tcW w:w="740" w:type="dxa"/>
            <w:vAlign w:val="bottom"/>
            <w:shd w:val="clear" w:color="auto" w:fill="00558C"/>
          </w:tcPr>
          <w:p>
            <w:pPr>
              <w:spacing w:after="0"/>
              <w:rPr>
                <w:sz w:val="14"/>
                <w:szCs w:val="14"/>
                <w:color w:val="auto"/>
              </w:rPr>
            </w:pPr>
          </w:p>
        </w:tc>
        <w:tc>
          <w:tcPr>
            <w:tcW w:w="860" w:type="dxa"/>
            <w:vAlign w:val="bottom"/>
            <w:shd w:val="clear" w:color="auto" w:fill="00558C"/>
          </w:tcPr>
          <w:p>
            <w:pPr>
              <w:spacing w:after="0"/>
              <w:rPr>
                <w:sz w:val="14"/>
                <w:szCs w:val="14"/>
                <w:color w:val="auto"/>
              </w:rPr>
            </w:pPr>
          </w:p>
        </w:tc>
        <w:tc>
          <w:tcPr>
            <w:tcW w:w="1020" w:type="dxa"/>
            <w:vAlign w:val="bottom"/>
            <w:gridSpan w:val="2"/>
            <w:shd w:val="clear" w:color="auto" w:fill="00558C"/>
          </w:tcPr>
          <w:p>
            <w:pPr>
              <w:jc w:val="right"/>
              <w:ind w:right="88"/>
              <w:spacing w:after="0"/>
              <w:rPr>
                <w:sz w:val="20"/>
                <w:szCs w:val="20"/>
                <w:color w:val="auto"/>
              </w:rPr>
            </w:pPr>
            <w:r>
              <w:rPr>
                <w:rFonts w:ascii="Arial" w:cs="Arial" w:eastAsia="Arial" w:hAnsi="Arial"/>
                <w:sz w:val="13"/>
                <w:szCs w:val="13"/>
                <w:b w:val="1"/>
                <w:bCs w:val="1"/>
                <w:color w:val="FFFFFF"/>
              </w:rPr>
              <w:t>of Stock</w:t>
            </w:r>
          </w:p>
        </w:tc>
        <w:tc>
          <w:tcPr>
            <w:tcW w:w="800" w:type="dxa"/>
            <w:vAlign w:val="bottom"/>
            <w:shd w:val="clear" w:color="auto" w:fill="00558C"/>
          </w:tcPr>
          <w:p>
            <w:pPr>
              <w:jc w:val="right"/>
              <w:ind w:right="33"/>
              <w:spacing w:after="0"/>
              <w:rPr>
                <w:sz w:val="20"/>
                <w:szCs w:val="20"/>
                <w:color w:val="auto"/>
              </w:rPr>
            </w:pPr>
            <w:r>
              <w:rPr>
                <w:rFonts w:ascii="Arial" w:cs="Arial" w:eastAsia="Arial" w:hAnsi="Arial"/>
                <w:sz w:val="13"/>
                <w:szCs w:val="13"/>
                <w:b w:val="1"/>
                <w:bCs w:val="1"/>
                <w:color w:val="FFFFFF"/>
              </w:rPr>
              <w:t>of Stock</w:t>
            </w:r>
          </w:p>
        </w:tc>
        <w:tc>
          <w:tcPr>
            <w:tcW w:w="920" w:type="dxa"/>
            <w:vAlign w:val="bottom"/>
            <w:shd w:val="clear" w:color="auto" w:fill="00558C"/>
          </w:tcPr>
          <w:p>
            <w:pPr>
              <w:jc w:val="right"/>
              <w:ind w:right="52"/>
              <w:spacing w:after="0"/>
              <w:rPr>
                <w:sz w:val="20"/>
                <w:szCs w:val="20"/>
                <w:color w:val="auto"/>
              </w:rPr>
            </w:pPr>
            <w:r>
              <w:rPr>
                <w:rFonts w:ascii="Arial" w:cs="Arial" w:eastAsia="Arial" w:hAnsi="Arial"/>
                <w:sz w:val="13"/>
                <w:szCs w:val="13"/>
                <w:b w:val="1"/>
                <w:bCs w:val="1"/>
                <w:color w:val="FFFFFF"/>
              </w:rPr>
              <w:t>Other</w:t>
            </w:r>
          </w:p>
        </w:tc>
        <w:tc>
          <w:tcPr>
            <w:tcW w:w="1120" w:type="dxa"/>
            <w:vAlign w:val="bottom"/>
            <w:shd w:val="clear" w:color="auto" w:fill="00558C"/>
          </w:tcPr>
          <w:p>
            <w:pPr>
              <w:jc w:val="right"/>
              <w:ind w:right="153"/>
              <w:spacing w:after="0"/>
              <w:rPr>
                <w:sz w:val="20"/>
                <w:szCs w:val="20"/>
                <w:color w:val="auto"/>
              </w:rPr>
            </w:pPr>
            <w:r>
              <w:rPr>
                <w:rFonts w:ascii="Arial" w:cs="Arial" w:eastAsia="Arial" w:hAnsi="Arial"/>
                <w:sz w:val="13"/>
                <w:szCs w:val="13"/>
                <w:b w:val="1"/>
                <w:bCs w:val="1"/>
                <w:color w:val="FFFFFF"/>
              </w:rPr>
              <w:t>or Other</w:t>
            </w:r>
          </w:p>
        </w:tc>
        <w:tc>
          <w:tcPr>
            <w:tcW w:w="0" w:type="dxa"/>
            <w:vAlign w:val="bottom"/>
          </w:tcPr>
          <w:p>
            <w:pPr>
              <w:spacing w:after="0"/>
              <w:rPr>
                <w:sz w:val="1"/>
                <w:szCs w:val="1"/>
                <w:color w:val="auto"/>
              </w:rPr>
            </w:pPr>
          </w:p>
        </w:tc>
      </w:tr>
      <w:tr>
        <w:trPr>
          <w:trHeight w:val="162"/>
        </w:trPr>
        <w:tc>
          <w:tcPr>
            <w:tcW w:w="820" w:type="dxa"/>
            <w:vAlign w:val="bottom"/>
            <w:shd w:val="clear" w:color="auto" w:fill="00558C"/>
          </w:tcPr>
          <w:p>
            <w:pPr>
              <w:spacing w:after="0"/>
              <w:rPr>
                <w:sz w:val="14"/>
                <w:szCs w:val="14"/>
                <w:color w:val="auto"/>
              </w:rPr>
            </w:pPr>
          </w:p>
        </w:tc>
        <w:tc>
          <w:tcPr>
            <w:tcW w:w="640" w:type="dxa"/>
            <w:vAlign w:val="bottom"/>
            <w:shd w:val="clear" w:color="auto" w:fill="00558C"/>
          </w:tcPr>
          <w:p>
            <w:pPr>
              <w:spacing w:after="0"/>
              <w:rPr>
                <w:sz w:val="14"/>
                <w:szCs w:val="14"/>
                <w:color w:val="auto"/>
              </w:rPr>
            </w:pPr>
          </w:p>
        </w:tc>
        <w:tc>
          <w:tcPr>
            <w:tcW w:w="1000" w:type="dxa"/>
            <w:vAlign w:val="bottom"/>
            <w:shd w:val="clear" w:color="auto" w:fill="00558C"/>
          </w:tcPr>
          <w:p>
            <w:pPr>
              <w:jc w:val="right"/>
              <w:ind w:right="53"/>
              <w:spacing w:after="0"/>
              <w:rPr>
                <w:sz w:val="20"/>
                <w:szCs w:val="20"/>
                <w:color w:val="auto"/>
              </w:rPr>
            </w:pPr>
            <w:r>
              <w:rPr>
                <w:rFonts w:ascii="Arial" w:cs="Arial" w:eastAsia="Arial" w:hAnsi="Arial"/>
                <w:sz w:val="13"/>
                <w:szCs w:val="13"/>
                <w:b w:val="1"/>
                <w:bCs w:val="1"/>
                <w:color w:val="FFFFFF"/>
              </w:rPr>
              <w:t>Underlying</w:t>
            </w:r>
          </w:p>
        </w:tc>
        <w:tc>
          <w:tcPr>
            <w:tcW w:w="1160" w:type="dxa"/>
            <w:vAlign w:val="bottom"/>
            <w:shd w:val="clear" w:color="auto" w:fill="00558C"/>
          </w:tcPr>
          <w:p>
            <w:pPr>
              <w:jc w:val="right"/>
              <w:ind w:right="73"/>
              <w:spacing w:after="0"/>
              <w:rPr>
                <w:sz w:val="20"/>
                <w:szCs w:val="20"/>
                <w:color w:val="auto"/>
              </w:rPr>
            </w:pPr>
            <w:r>
              <w:rPr>
                <w:rFonts w:ascii="Arial" w:cs="Arial" w:eastAsia="Arial" w:hAnsi="Arial"/>
                <w:sz w:val="13"/>
                <w:szCs w:val="13"/>
                <w:b w:val="1"/>
                <w:bCs w:val="1"/>
                <w:color w:val="FFFFFF"/>
              </w:rPr>
              <w:t>Underlying</w:t>
            </w:r>
          </w:p>
        </w:tc>
        <w:tc>
          <w:tcPr>
            <w:tcW w:w="740" w:type="dxa"/>
            <w:vAlign w:val="bottom"/>
            <w:shd w:val="clear" w:color="auto" w:fill="00558C"/>
          </w:tcPr>
          <w:p>
            <w:pPr>
              <w:jc w:val="right"/>
              <w:ind w:right="33"/>
              <w:spacing w:after="0"/>
              <w:rPr>
                <w:sz w:val="20"/>
                <w:szCs w:val="20"/>
                <w:color w:val="auto"/>
              </w:rPr>
            </w:pPr>
            <w:r>
              <w:rPr>
                <w:rFonts w:ascii="Arial" w:cs="Arial" w:eastAsia="Arial" w:hAnsi="Arial"/>
                <w:sz w:val="13"/>
                <w:szCs w:val="13"/>
                <w:b w:val="1"/>
                <w:bCs w:val="1"/>
                <w:color w:val="FFFFFF"/>
              </w:rPr>
              <w:t>Option</w:t>
            </w:r>
          </w:p>
        </w:tc>
        <w:tc>
          <w:tcPr>
            <w:tcW w:w="860" w:type="dxa"/>
            <w:vAlign w:val="bottom"/>
            <w:shd w:val="clear" w:color="auto" w:fill="00558C"/>
          </w:tcPr>
          <w:p>
            <w:pPr>
              <w:spacing w:after="0"/>
              <w:rPr>
                <w:sz w:val="14"/>
                <w:szCs w:val="14"/>
                <w:color w:val="auto"/>
              </w:rPr>
            </w:pPr>
          </w:p>
        </w:tc>
        <w:tc>
          <w:tcPr>
            <w:tcW w:w="1020" w:type="dxa"/>
            <w:vAlign w:val="bottom"/>
            <w:gridSpan w:val="2"/>
            <w:shd w:val="clear" w:color="auto" w:fill="00558C"/>
          </w:tcPr>
          <w:p>
            <w:pPr>
              <w:jc w:val="right"/>
              <w:ind w:right="88"/>
              <w:spacing w:after="0"/>
              <w:rPr>
                <w:sz w:val="20"/>
                <w:szCs w:val="20"/>
                <w:color w:val="auto"/>
              </w:rPr>
            </w:pPr>
            <w:r>
              <w:rPr>
                <w:rFonts w:ascii="Arial" w:cs="Arial" w:eastAsia="Arial" w:hAnsi="Arial"/>
                <w:sz w:val="13"/>
                <w:szCs w:val="13"/>
                <w:b w:val="1"/>
                <w:bCs w:val="1"/>
                <w:color w:val="FFFFFF"/>
              </w:rPr>
              <w:t>that</w:t>
            </w:r>
          </w:p>
        </w:tc>
        <w:tc>
          <w:tcPr>
            <w:tcW w:w="800" w:type="dxa"/>
            <w:vAlign w:val="bottom"/>
            <w:shd w:val="clear" w:color="auto" w:fill="00558C"/>
          </w:tcPr>
          <w:p>
            <w:pPr>
              <w:jc w:val="right"/>
              <w:ind w:right="33"/>
              <w:spacing w:after="0"/>
              <w:rPr>
                <w:sz w:val="20"/>
                <w:szCs w:val="20"/>
                <w:color w:val="auto"/>
              </w:rPr>
            </w:pPr>
            <w:r>
              <w:rPr>
                <w:rFonts w:ascii="Arial" w:cs="Arial" w:eastAsia="Arial" w:hAnsi="Arial"/>
                <w:sz w:val="13"/>
                <w:szCs w:val="13"/>
                <w:b w:val="1"/>
                <w:bCs w:val="1"/>
                <w:color w:val="FFFFFF"/>
              </w:rPr>
              <w:t>that</w:t>
            </w:r>
          </w:p>
        </w:tc>
        <w:tc>
          <w:tcPr>
            <w:tcW w:w="920" w:type="dxa"/>
            <w:vAlign w:val="bottom"/>
            <w:shd w:val="clear" w:color="auto" w:fill="00558C"/>
          </w:tcPr>
          <w:p>
            <w:pPr>
              <w:jc w:val="right"/>
              <w:ind w:right="72"/>
              <w:spacing w:after="0"/>
              <w:rPr>
                <w:sz w:val="20"/>
                <w:szCs w:val="20"/>
                <w:color w:val="auto"/>
              </w:rPr>
            </w:pPr>
            <w:r>
              <w:rPr>
                <w:rFonts w:ascii="Arial" w:cs="Arial" w:eastAsia="Arial" w:hAnsi="Arial"/>
                <w:sz w:val="13"/>
                <w:szCs w:val="13"/>
                <w:b w:val="1"/>
                <w:bCs w:val="1"/>
                <w:color w:val="FFFFFF"/>
              </w:rPr>
              <w:t>Rights that</w:t>
            </w:r>
          </w:p>
        </w:tc>
        <w:tc>
          <w:tcPr>
            <w:tcW w:w="1120" w:type="dxa"/>
            <w:vAlign w:val="bottom"/>
            <w:shd w:val="clear" w:color="auto" w:fill="00558C"/>
          </w:tcPr>
          <w:p>
            <w:pPr>
              <w:jc w:val="right"/>
              <w:ind w:right="173"/>
              <w:spacing w:after="0"/>
              <w:rPr>
                <w:sz w:val="20"/>
                <w:szCs w:val="20"/>
                <w:color w:val="auto"/>
              </w:rPr>
            </w:pPr>
            <w:r>
              <w:rPr>
                <w:rFonts w:ascii="Arial" w:cs="Arial" w:eastAsia="Arial" w:hAnsi="Arial"/>
                <w:sz w:val="13"/>
                <w:szCs w:val="13"/>
                <w:b w:val="1"/>
                <w:bCs w:val="1"/>
                <w:color w:val="FFFFFF"/>
              </w:rPr>
              <w:t>Rights that</w:t>
            </w:r>
          </w:p>
        </w:tc>
        <w:tc>
          <w:tcPr>
            <w:tcW w:w="0" w:type="dxa"/>
            <w:vAlign w:val="bottom"/>
          </w:tcPr>
          <w:p>
            <w:pPr>
              <w:spacing w:after="0"/>
              <w:rPr>
                <w:sz w:val="1"/>
                <w:szCs w:val="1"/>
                <w:color w:val="auto"/>
              </w:rPr>
            </w:pPr>
          </w:p>
        </w:tc>
      </w:tr>
      <w:tr>
        <w:trPr>
          <w:trHeight w:val="162"/>
        </w:trPr>
        <w:tc>
          <w:tcPr>
            <w:tcW w:w="820" w:type="dxa"/>
            <w:vAlign w:val="bottom"/>
            <w:shd w:val="clear" w:color="auto" w:fill="00558C"/>
          </w:tcPr>
          <w:p>
            <w:pPr>
              <w:spacing w:after="0"/>
              <w:rPr>
                <w:sz w:val="14"/>
                <w:szCs w:val="14"/>
                <w:color w:val="auto"/>
              </w:rPr>
            </w:pPr>
          </w:p>
        </w:tc>
        <w:tc>
          <w:tcPr>
            <w:tcW w:w="640" w:type="dxa"/>
            <w:vAlign w:val="bottom"/>
            <w:shd w:val="clear" w:color="auto" w:fill="00558C"/>
          </w:tcPr>
          <w:p>
            <w:pPr>
              <w:spacing w:after="0"/>
              <w:rPr>
                <w:sz w:val="14"/>
                <w:szCs w:val="14"/>
                <w:color w:val="auto"/>
              </w:rPr>
            </w:pPr>
          </w:p>
        </w:tc>
        <w:tc>
          <w:tcPr>
            <w:tcW w:w="1000" w:type="dxa"/>
            <w:vAlign w:val="bottom"/>
            <w:shd w:val="clear" w:color="auto" w:fill="00558C"/>
          </w:tcPr>
          <w:p>
            <w:pPr>
              <w:jc w:val="right"/>
              <w:ind w:right="53"/>
              <w:spacing w:after="0"/>
              <w:rPr>
                <w:sz w:val="20"/>
                <w:szCs w:val="20"/>
                <w:color w:val="auto"/>
              </w:rPr>
            </w:pPr>
            <w:r>
              <w:rPr>
                <w:rFonts w:ascii="Arial" w:cs="Arial" w:eastAsia="Arial" w:hAnsi="Arial"/>
                <w:sz w:val="13"/>
                <w:szCs w:val="13"/>
                <w:b w:val="1"/>
                <w:bCs w:val="1"/>
                <w:color w:val="FFFFFF"/>
              </w:rPr>
              <w:t>Unexercised</w:t>
            </w:r>
          </w:p>
        </w:tc>
        <w:tc>
          <w:tcPr>
            <w:tcW w:w="1160" w:type="dxa"/>
            <w:vAlign w:val="bottom"/>
            <w:shd w:val="clear" w:color="auto" w:fill="00558C"/>
          </w:tcPr>
          <w:p>
            <w:pPr>
              <w:jc w:val="right"/>
              <w:ind w:right="73"/>
              <w:spacing w:after="0"/>
              <w:rPr>
                <w:sz w:val="20"/>
                <w:szCs w:val="20"/>
                <w:color w:val="auto"/>
              </w:rPr>
            </w:pPr>
            <w:r>
              <w:rPr>
                <w:rFonts w:ascii="Arial" w:cs="Arial" w:eastAsia="Arial" w:hAnsi="Arial"/>
                <w:sz w:val="13"/>
                <w:szCs w:val="13"/>
                <w:b w:val="1"/>
                <w:bCs w:val="1"/>
                <w:color w:val="FFFFFF"/>
              </w:rPr>
              <w:t>Unexercised</w:t>
            </w:r>
          </w:p>
        </w:tc>
        <w:tc>
          <w:tcPr>
            <w:tcW w:w="740" w:type="dxa"/>
            <w:vAlign w:val="bottom"/>
            <w:shd w:val="clear" w:color="auto" w:fill="00558C"/>
          </w:tcPr>
          <w:p>
            <w:pPr>
              <w:jc w:val="right"/>
              <w:ind w:right="13"/>
              <w:spacing w:after="0"/>
              <w:rPr>
                <w:sz w:val="20"/>
                <w:szCs w:val="20"/>
                <w:color w:val="auto"/>
              </w:rPr>
            </w:pPr>
            <w:r>
              <w:rPr>
                <w:rFonts w:ascii="Arial" w:cs="Arial" w:eastAsia="Arial" w:hAnsi="Arial"/>
                <w:sz w:val="13"/>
                <w:szCs w:val="13"/>
                <w:b w:val="1"/>
                <w:bCs w:val="1"/>
                <w:color w:val="FFFFFF"/>
              </w:rPr>
              <w:t>Exercise</w:t>
            </w:r>
          </w:p>
        </w:tc>
        <w:tc>
          <w:tcPr>
            <w:tcW w:w="860" w:type="dxa"/>
            <w:vAlign w:val="bottom"/>
            <w:shd w:val="clear" w:color="auto" w:fill="00558C"/>
          </w:tcPr>
          <w:p>
            <w:pPr>
              <w:ind w:left="180"/>
              <w:spacing w:after="0"/>
              <w:rPr>
                <w:sz w:val="20"/>
                <w:szCs w:val="20"/>
                <w:color w:val="auto"/>
              </w:rPr>
            </w:pPr>
            <w:r>
              <w:rPr>
                <w:rFonts w:ascii="Arial" w:cs="Arial" w:eastAsia="Arial" w:hAnsi="Arial"/>
                <w:sz w:val="13"/>
                <w:szCs w:val="13"/>
                <w:b w:val="1"/>
                <w:bCs w:val="1"/>
                <w:color w:val="FFFFFF"/>
              </w:rPr>
              <w:t>Option</w:t>
            </w:r>
          </w:p>
        </w:tc>
        <w:tc>
          <w:tcPr>
            <w:tcW w:w="1020" w:type="dxa"/>
            <w:vAlign w:val="bottom"/>
            <w:gridSpan w:val="2"/>
            <w:shd w:val="clear" w:color="auto" w:fill="00558C"/>
          </w:tcPr>
          <w:p>
            <w:pPr>
              <w:jc w:val="right"/>
              <w:ind w:right="108"/>
              <w:spacing w:after="0"/>
              <w:rPr>
                <w:sz w:val="20"/>
                <w:szCs w:val="20"/>
                <w:color w:val="auto"/>
              </w:rPr>
            </w:pPr>
            <w:r>
              <w:rPr>
                <w:rFonts w:ascii="Arial" w:cs="Arial" w:eastAsia="Arial" w:hAnsi="Arial"/>
                <w:sz w:val="13"/>
                <w:szCs w:val="13"/>
                <w:b w:val="1"/>
                <w:bCs w:val="1"/>
                <w:color w:val="FFFFFF"/>
              </w:rPr>
              <w:t>Have Not</w:t>
            </w:r>
          </w:p>
        </w:tc>
        <w:tc>
          <w:tcPr>
            <w:tcW w:w="800" w:type="dxa"/>
            <w:vAlign w:val="bottom"/>
            <w:shd w:val="clear" w:color="auto" w:fill="00558C"/>
          </w:tcPr>
          <w:p>
            <w:pPr>
              <w:jc w:val="right"/>
              <w:ind w:right="53"/>
              <w:spacing w:after="0"/>
              <w:rPr>
                <w:sz w:val="20"/>
                <w:szCs w:val="20"/>
                <w:color w:val="auto"/>
              </w:rPr>
            </w:pPr>
            <w:r>
              <w:rPr>
                <w:rFonts w:ascii="Arial" w:cs="Arial" w:eastAsia="Arial" w:hAnsi="Arial"/>
                <w:sz w:val="13"/>
                <w:szCs w:val="13"/>
                <w:b w:val="1"/>
                <w:bCs w:val="1"/>
                <w:color w:val="FFFFFF"/>
              </w:rPr>
              <w:t>Have Not</w:t>
            </w:r>
          </w:p>
        </w:tc>
        <w:tc>
          <w:tcPr>
            <w:tcW w:w="920" w:type="dxa"/>
            <w:vAlign w:val="bottom"/>
            <w:shd w:val="clear" w:color="auto" w:fill="00558C"/>
          </w:tcPr>
          <w:p>
            <w:pPr>
              <w:jc w:val="center"/>
              <w:ind w:left="12"/>
              <w:spacing w:after="0"/>
              <w:rPr>
                <w:sz w:val="20"/>
                <w:szCs w:val="20"/>
                <w:color w:val="auto"/>
              </w:rPr>
            </w:pPr>
            <w:r>
              <w:rPr>
                <w:rFonts w:ascii="Arial" w:cs="Arial" w:eastAsia="Arial" w:hAnsi="Arial"/>
                <w:sz w:val="13"/>
                <w:szCs w:val="13"/>
                <w:b w:val="1"/>
                <w:bCs w:val="1"/>
                <w:color w:val="FFFFFF"/>
              </w:rPr>
              <w:t>Have Not</w:t>
            </w:r>
          </w:p>
        </w:tc>
        <w:tc>
          <w:tcPr>
            <w:tcW w:w="1120" w:type="dxa"/>
            <w:vAlign w:val="bottom"/>
            <w:shd w:val="clear" w:color="auto" w:fill="00558C"/>
          </w:tcPr>
          <w:p>
            <w:pPr>
              <w:jc w:val="right"/>
              <w:ind w:right="153"/>
              <w:spacing w:after="0"/>
              <w:rPr>
                <w:sz w:val="20"/>
                <w:szCs w:val="20"/>
                <w:color w:val="auto"/>
              </w:rPr>
            </w:pPr>
            <w:r>
              <w:rPr>
                <w:rFonts w:ascii="Arial" w:cs="Arial" w:eastAsia="Arial" w:hAnsi="Arial"/>
                <w:sz w:val="13"/>
                <w:szCs w:val="13"/>
                <w:b w:val="1"/>
                <w:bCs w:val="1"/>
                <w:color w:val="FFFFFF"/>
              </w:rPr>
              <w:t>Have Not</w:t>
            </w:r>
          </w:p>
        </w:tc>
        <w:tc>
          <w:tcPr>
            <w:tcW w:w="0" w:type="dxa"/>
            <w:vAlign w:val="bottom"/>
          </w:tcPr>
          <w:p>
            <w:pPr>
              <w:spacing w:after="0"/>
              <w:rPr>
                <w:sz w:val="1"/>
                <w:szCs w:val="1"/>
                <w:color w:val="auto"/>
              </w:rPr>
            </w:pPr>
          </w:p>
        </w:tc>
      </w:tr>
      <w:tr>
        <w:trPr>
          <w:trHeight w:val="162"/>
        </w:trPr>
        <w:tc>
          <w:tcPr>
            <w:tcW w:w="820" w:type="dxa"/>
            <w:vAlign w:val="bottom"/>
            <w:shd w:val="clear" w:color="auto" w:fill="00558C"/>
          </w:tcPr>
          <w:p>
            <w:pPr>
              <w:spacing w:after="0"/>
              <w:rPr>
                <w:sz w:val="14"/>
                <w:szCs w:val="14"/>
                <w:color w:val="auto"/>
              </w:rPr>
            </w:pPr>
          </w:p>
        </w:tc>
        <w:tc>
          <w:tcPr>
            <w:tcW w:w="640" w:type="dxa"/>
            <w:vAlign w:val="bottom"/>
            <w:shd w:val="clear" w:color="auto" w:fill="00558C"/>
          </w:tcPr>
          <w:p>
            <w:pPr>
              <w:jc w:val="center"/>
              <w:spacing w:after="0"/>
              <w:rPr>
                <w:sz w:val="20"/>
                <w:szCs w:val="20"/>
                <w:color w:val="auto"/>
              </w:rPr>
            </w:pPr>
            <w:r>
              <w:rPr>
                <w:rFonts w:ascii="Arial" w:cs="Arial" w:eastAsia="Arial" w:hAnsi="Arial"/>
                <w:sz w:val="13"/>
                <w:szCs w:val="13"/>
                <w:b w:val="1"/>
                <w:bCs w:val="1"/>
                <w:color w:val="FFFFFF"/>
              </w:rPr>
              <w:t>Grant</w:t>
            </w:r>
          </w:p>
        </w:tc>
        <w:tc>
          <w:tcPr>
            <w:tcW w:w="1000" w:type="dxa"/>
            <w:vAlign w:val="bottom"/>
            <w:shd w:val="clear" w:color="auto" w:fill="00558C"/>
          </w:tcPr>
          <w:p>
            <w:pPr>
              <w:jc w:val="right"/>
              <w:ind w:right="53"/>
              <w:spacing w:after="0"/>
              <w:rPr>
                <w:sz w:val="20"/>
                <w:szCs w:val="20"/>
                <w:color w:val="auto"/>
              </w:rPr>
            </w:pPr>
            <w:r>
              <w:rPr>
                <w:rFonts w:ascii="Arial" w:cs="Arial" w:eastAsia="Arial" w:hAnsi="Arial"/>
                <w:sz w:val="13"/>
                <w:szCs w:val="13"/>
                <w:b w:val="1"/>
                <w:bCs w:val="1"/>
                <w:color w:val="FFFFFF"/>
              </w:rPr>
              <w:t>Options (#)</w:t>
            </w:r>
          </w:p>
        </w:tc>
        <w:tc>
          <w:tcPr>
            <w:tcW w:w="1160" w:type="dxa"/>
            <w:vAlign w:val="bottom"/>
            <w:shd w:val="clear" w:color="auto" w:fill="00558C"/>
          </w:tcPr>
          <w:p>
            <w:pPr>
              <w:jc w:val="right"/>
              <w:ind w:right="73"/>
              <w:spacing w:after="0"/>
              <w:rPr>
                <w:sz w:val="20"/>
                <w:szCs w:val="20"/>
                <w:color w:val="auto"/>
              </w:rPr>
            </w:pPr>
            <w:r>
              <w:rPr>
                <w:rFonts w:ascii="Arial" w:cs="Arial" w:eastAsia="Arial" w:hAnsi="Arial"/>
                <w:sz w:val="13"/>
                <w:szCs w:val="13"/>
                <w:b w:val="1"/>
                <w:bCs w:val="1"/>
                <w:color w:val="FFFFFF"/>
              </w:rPr>
              <w:t>Options (#)</w:t>
            </w:r>
          </w:p>
        </w:tc>
        <w:tc>
          <w:tcPr>
            <w:tcW w:w="740" w:type="dxa"/>
            <w:vAlign w:val="bottom"/>
            <w:shd w:val="clear" w:color="auto" w:fill="00558C"/>
          </w:tcPr>
          <w:p>
            <w:pPr>
              <w:jc w:val="right"/>
              <w:ind w:right="13"/>
              <w:spacing w:after="0"/>
              <w:rPr>
                <w:sz w:val="20"/>
                <w:szCs w:val="20"/>
                <w:color w:val="auto"/>
              </w:rPr>
            </w:pPr>
            <w:r>
              <w:rPr>
                <w:rFonts w:ascii="Arial" w:cs="Arial" w:eastAsia="Arial" w:hAnsi="Arial"/>
                <w:sz w:val="13"/>
                <w:szCs w:val="13"/>
                <w:b w:val="1"/>
                <w:bCs w:val="1"/>
                <w:color w:val="FFFFFF"/>
              </w:rPr>
              <w:t>Price</w:t>
            </w:r>
          </w:p>
        </w:tc>
        <w:tc>
          <w:tcPr>
            <w:tcW w:w="860" w:type="dxa"/>
            <w:vAlign w:val="bottom"/>
            <w:shd w:val="clear" w:color="auto" w:fill="00558C"/>
          </w:tcPr>
          <w:p>
            <w:pPr>
              <w:ind w:left="80"/>
              <w:spacing w:after="0"/>
              <w:rPr>
                <w:sz w:val="20"/>
                <w:szCs w:val="20"/>
                <w:color w:val="auto"/>
              </w:rPr>
            </w:pPr>
            <w:r>
              <w:rPr>
                <w:rFonts w:ascii="Arial" w:cs="Arial" w:eastAsia="Arial" w:hAnsi="Arial"/>
                <w:sz w:val="13"/>
                <w:szCs w:val="13"/>
                <w:b w:val="1"/>
                <w:bCs w:val="1"/>
                <w:color w:val="FFFFFF"/>
              </w:rPr>
              <w:t>Expiration</w:t>
            </w:r>
          </w:p>
        </w:tc>
        <w:tc>
          <w:tcPr>
            <w:tcW w:w="1020" w:type="dxa"/>
            <w:vAlign w:val="bottom"/>
            <w:gridSpan w:val="2"/>
            <w:shd w:val="clear" w:color="auto" w:fill="00558C"/>
          </w:tcPr>
          <w:p>
            <w:pPr>
              <w:jc w:val="right"/>
              <w:ind w:right="108"/>
              <w:spacing w:after="0"/>
              <w:rPr>
                <w:sz w:val="20"/>
                <w:szCs w:val="20"/>
                <w:color w:val="auto"/>
              </w:rPr>
            </w:pPr>
            <w:r>
              <w:rPr>
                <w:rFonts w:ascii="Arial" w:cs="Arial" w:eastAsia="Arial" w:hAnsi="Arial"/>
                <w:sz w:val="13"/>
                <w:szCs w:val="13"/>
                <w:b w:val="1"/>
                <w:bCs w:val="1"/>
                <w:color w:val="FFFFFF"/>
              </w:rPr>
              <w:t>Vested</w:t>
            </w:r>
          </w:p>
        </w:tc>
        <w:tc>
          <w:tcPr>
            <w:tcW w:w="800" w:type="dxa"/>
            <w:vAlign w:val="bottom"/>
            <w:shd w:val="clear" w:color="auto" w:fill="00558C"/>
          </w:tcPr>
          <w:p>
            <w:pPr>
              <w:jc w:val="right"/>
              <w:ind w:right="53"/>
              <w:spacing w:after="0"/>
              <w:rPr>
                <w:sz w:val="20"/>
                <w:szCs w:val="20"/>
                <w:color w:val="auto"/>
              </w:rPr>
            </w:pPr>
            <w:r>
              <w:rPr>
                <w:rFonts w:ascii="Arial" w:cs="Arial" w:eastAsia="Arial" w:hAnsi="Arial"/>
                <w:sz w:val="13"/>
                <w:szCs w:val="13"/>
                <w:b w:val="1"/>
                <w:bCs w:val="1"/>
                <w:color w:val="FFFFFF"/>
              </w:rPr>
              <w:t>Vested</w:t>
            </w:r>
          </w:p>
        </w:tc>
        <w:tc>
          <w:tcPr>
            <w:tcW w:w="920" w:type="dxa"/>
            <w:vAlign w:val="bottom"/>
            <w:shd w:val="clear" w:color="auto" w:fill="00558C"/>
          </w:tcPr>
          <w:p>
            <w:pPr>
              <w:jc w:val="right"/>
              <w:ind w:right="52"/>
              <w:spacing w:after="0"/>
              <w:rPr>
                <w:sz w:val="20"/>
                <w:szCs w:val="20"/>
                <w:color w:val="auto"/>
              </w:rPr>
            </w:pPr>
            <w:r>
              <w:rPr>
                <w:rFonts w:ascii="Arial" w:cs="Arial" w:eastAsia="Arial" w:hAnsi="Arial"/>
                <w:sz w:val="13"/>
                <w:szCs w:val="13"/>
                <w:b w:val="1"/>
                <w:bCs w:val="1"/>
                <w:color w:val="FFFFFF"/>
              </w:rPr>
              <w:t>Vested</w:t>
            </w:r>
          </w:p>
        </w:tc>
        <w:tc>
          <w:tcPr>
            <w:tcW w:w="1120" w:type="dxa"/>
            <w:vAlign w:val="bottom"/>
            <w:shd w:val="clear" w:color="auto" w:fill="00558C"/>
          </w:tcPr>
          <w:p>
            <w:pPr>
              <w:jc w:val="right"/>
              <w:ind w:right="153"/>
              <w:spacing w:after="0"/>
              <w:rPr>
                <w:sz w:val="20"/>
                <w:szCs w:val="20"/>
                <w:color w:val="auto"/>
              </w:rPr>
            </w:pPr>
            <w:r>
              <w:rPr>
                <w:rFonts w:ascii="Arial" w:cs="Arial" w:eastAsia="Arial" w:hAnsi="Arial"/>
                <w:sz w:val="13"/>
                <w:szCs w:val="13"/>
                <w:b w:val="1"/>
                <w:bCs w:val="1"/>
                <w:color w:val="FFFFFF"/>
              </w:rPr>
              <w:t>Vested</w:t>
            </w:r>
          </w:p>
        </w:tc>
        <w:tc>
          <w:tcPr>
            <w:tcW w:w="0" w:type="dxa"/>
            <w:vAlign w:val="bottom"/>
          </w:tcPr>
          <w:p>
            <w:pPr>
              <w:spacing w:after="0"/>
              <w:rPr>
                <w:sz w:val="1"/>
                <w:szCs w:val="1"/>
                <w:color w:val="auto"/>
              </w:rPr>
            </w:pPr>
          </w:p>
        </w:tc>
      </w:tr>
      <w:tr>
        <w:trPr>
          <w:trHeight w:val="186"/>
        </w:trPr>
        <w:tc>
          <w:tcPr>
            <w:tcW w:w="820" w:type="dxa"/>
            <w:vAlign w:val="bottom"/>
            <w:shd w:val="clear" w:color="auto" w:fill="00558C"/>
          </w:tcPr>
          <w:p>
            <w:pPr>
              <w:ind w:left="140"/>
              <w:spacing w:after="0"/>
              <w:rPr>
                <w:sz w:val="20"/>
                <w:szCs w:val="20"/>
                <w:color w:val="auto"/>
              </w:rPr>
            </w:pPr>
            <w:r>
              <w:rPr>
                <w:rFonts w:ascii="Arial" w:cs="Arial" w:eastAsia="Arial" w:hAnsi="Arial"/>
                <w:sz w:val="13"/>
                <w:szCs w:val="13"/>
                <w:b w:val="1"/>
                <w:bCs w:val="1"/>
                <w:color w:val="FFFFFF"/>
              </w:rPr>
              <w:t>Name</w:t>
            </w:r>
          </w:p>
        </w:tc>
        <w:tc>
          <w:tcPr>
            <w:tcW w:w="640" w:type="dxa"/>
            <w:vAlign w:val="bottom"/>
            <w:shd w:val="clear" w:color="auto" w:fill="00558C"/>
          </w:tcPr>
          <w:p>
            <w:pPr>
              <w:jc w:val="center"/>
              <w:spacing w:after="0"/>
              <w:rPr>
                <w:sz w:val="20"/>
                <w:szCs w:val="20"/>
                <w:color w:val="auto"/>
              </w:rPr>
            </w:pPr>
            <w:r>
              <w:rPr>
                <w:rFonts w:ascii="Arial" w:cs="Arial" w:eastAsia="Arial" w:hAnsi="Arial"/>
                <w:sz w:val="13"/>
                <w:szCs w:val="13"/>
                <w:b w:val="1"/>
                <w:bCs w:val="1"/>
                <w:color w:val="FFFFFF"/>
              </w:rPr>
              <w:t>Date</w:t>
            </w:r>
          </w:p>
        </w:tc>
        <w:tc>
          <w:tcPr>
            <w:tcW w:w="1000" w:type="dxa"/>
            <w:vAlign w:val="bottom"/>
            <w:shd w:val="clear" w:color="auto" w:fill="00558C"/>
          </w:tcPr>
          <w:p>
            <w:pPr>
              <w:jc w:val="right"/>
              <w:ind w:right="33"/>
              <w:spacing w:after="0"/>
              <w:rPr>
                <w:sz w:val="20"/>
                <w:szCs w:val="20"/>
                <w:color w:val="auto"/>
              </w:rPr>
            </w:pPr>
            <w:r>
              <w:rPr>
                <w:rFonts w:ascii="Arial" w:cs="Arial" w:eastAsia="Arial" w:hAnsi="Arial"/>
                <w:sz w:val="13"/>
                <w:szCs w:val="13"/>
                <w:b w:val="1"/>
                <w:bCs w:val="1"/>
                <w:color w:val="FFFFFF"/>
              </w:rPr>
              <w:t>Exercisable</w:t>
            </w:r>
          </w:p>
        </w:tc>
        <w:tc>
          <w:tcPr>
            <w:tcW w:w="1160" w:type="dxa"/>
            <w:vAlign w:val="bottom"/>
            <w:shd w:val="clear" w:color="auto" w:fill="00558C"/>
          </w:tcPr>
          <w:p>
            <w:pPr>
              <w:jc w:val="right"/>
              <w:ind w:right="73"/>
              <w:spacing w:after="0"/>
              <w:rPr>
                <w:sz w:val="20"/>
                <w:szCs w:val="20"/>
                <w:color w:val="auto"/>
              </w:rPr>
            </w:pPr>
            <w:r>
              <w:rPr>
                <w:rFonts w:ascii="Arial" w:cs="Arial" w:eastAsia="Arial" w:hAnsi="Arial"/>
                <w:sz w:val="13"/>
                <w:szCs w:val="13"/>
                <w:b w:val="1"/>
                <w:bCs w:val="1"/>
                <w:color w:val="FFFFFF"/>
              </w:rPr>
              <w:t>Unexercisable</w:t>
            </w:r>
          </w:p>
        </w:tc>
        <w:tc>
          <w:tcPr>
            <w:tcW w:w="740" w:type="dxa"/>
            <w:vAlign w:val="bottom"/>
            <w:shd w:val="clear" w:color="auto" w:fill="00558C"/>
          </w:tcPr>
          <w:p>
            <w:pPr>
              <w:jc w:val="right"/>
              <w:spacing w:after="0"/>
              <w:rPr>
                <w:sz w:val="20"/>
                <w:szCs w:val="20"/>
                <w:color w:val="auto"/>
              </w:rPr>
            </w:pPr>
            <w:r>
              <w:rPr>
                <w:rFonts w:ascii="Arial" w:cs="Arial" w:eastAsia="Arial" w:hAnsi="Arial"/>
                <w:sz w:val="13"/>
                <w:szCs w:val="13"/>
                <w:b w:val="1"/>
                <w:bCs w:val="1"/>
                <w:color w:val="FFFFFF"/>
              </w:rPr>
              <w:t>($)</w:t>
            </w:r>
          </w:p>
        </w:tc>
        <w:tc>
          <w:tcPr>
            <w:tcW w:w="860" w:type="dxa"/>
            <w:vAlign w:val="bottom"/>
            <w:shd w:val="clear" w:color="auto" w:fill="00558C"/>
          </w:tcPr>
          <w:p>
            <w:pPr>
              <w:ind w:left="280"/>
              <w:spacing w:after="0"/>
              <w:rPr>
                <w:sz w:val="20"/>
                <w:szCs w:val="20"/>
                <w:color w:val="auto"/>
              </w:rPr>
            </w:pPr>
            <w:r>
              <w:rPr>
                <w:rFonts w:ascii="Arial" w:cs="Arial" w:eastAsia="Arial" w:hAnsi="Arial"/>
                <w:sz w:val="13"/>
                <w:szCs w:val="13"/>
                <w:b w:val="1"/>
                <w:bCs w:val="1"/>
                <w:color w:val="FFFFFF"/>
              </w:rPr>
              <w:t>Date</w:t>
            </w:r>
          </w:p>
        </w:tc>
        <w:tc>
          <w:tcPr>
            <w:tcW w:w="1020" w:type="dxa"/>
            <w:vAlign w:val="bottom"/>
            <w:gridSpan w:val="2"/>
            <w:shd w:val="clear" w:color="auto" w:fill="00558C"/>
          </w:tcPr>
          <w:p>
            <w:pPr>
              <w:jc w:val="right"/>
              <w:ind w:right="68"/>
              <w:spacing w:after="0"/>
              <w:rPr>
                <w:sz w:val="20"/>
                <w:szCs w:val="20"/>
                <w:color w:val="auto"/>
              </w:rPr>
            </w:pPr>
            <w:r>
              <w:rPr>
                <w:rFonts w:ascii="Arial" w:cs="Arial" w:eastAsia="Arial" w:hAnsi="Arial"/>
                <w:sz w:val="13"/>
                <w:szCs w:val="13"/>
                <w:b w:val="1"/>
                <w:bCs w:val="1"/>
                <w:color w:val="FFFFFF"/>
              </w:rPr>
              <w:t>(#)</w:t>
            </w:r>
          </w:p>
        </w:tc>
        <w:tc>
          <w:tcPr>
            <w:tcW w:w="800" w:type="dxa"/>
            <w:vAlign w:val="bottom"/>
            <w:shd w:val="clear" w:color="auto" w:fill="00558C"/>
          </w:tcPr>
          <w:p>
            <w:pPr>
              <w:jc w:val="right"/>
              <w:ind w:right="13"/>
              <w:spacing w:after="0"/>
              <w:rPr>
                <w:sz w:val="20"/>
                <w:szCs w:val="20"/>
                <w:color w:val="auto"/>
              </w:rPr>
            </w:pPr>
            <w:r>
              <w:rPr>
                <w:rFonts w:ascii="Arial" w:cs="Arial" w:eastAsia="Arial" w:hAnsi="Arial"/>
                <w:sz w:val="13"/>
                <w:szCs w:val="13"/>
                <w:b w:val="1"/>
                <w:bCs w:val="1"/>
                <w:color w:val="FFFFFF"/>
              </w:rPr>
              <w:t>($)</w:t>
            </w:r>
          </w:p>
        </w:tc>
        <w:tc>
          <w:tcPr>
            <w:tcW w:w="920" w:type="dxa"/>
            <w:vAlign w:val="bottom"/>
            <w:shd w:val="clear" w:color="auto" w:fill="00558C"/>
          </w:tcPr>
          <w:p>
            <w:pPr>
              <w:jc w:val="right"/>
              <w:ind w:right="12"/>
              <w:spacing w:after="0"/>
              <w:rPr>
                <w:sz w:val="20"/>
                <w:szCs w:val="20"/>
                <w:color w:val="auto"/>
              </w:rPr>
            </w:pPr>
            <w:r>
              <w:rPr>
                <w:rFonts w:ascii="Arial" w:cs="Arial" w:eastAsia="Arial" w:hAnsi="Arial"/>
                <w:sz w:val="13"/>
                <w:szCs w:val="13"/>
                <w:b w:val="1"/>
                <w:bCs w:val="1"/>
                <w:color w:val="FFFFFF"/>
              </w:rPr>
              <w:t>(#)</w:t>
            </w:r>
          </w:p>
        </w:tc>
        <w:tc>
          <w:tcPr>
            <w:tcW w:w="1120" w:type="dxa"/>
            <w:vAlign w:val="bottom"/>
            <w:shd w:val="clear" w:color="auto" w:fill="00558C"/>
          </w:tcPr>
          <w:p>
            <w:pPr>
              <w:jc w:val="right"/>
              <w:ind w:right="113"/>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98"/>
        </w:trPr>
        <w:tc>
          <w:tcPr>
            <w:tcW w:w="820" w:type="dxa"/>
            <w:vAlign w:val="bottom"/>
            <w:shd w:val="clear" w:color="auto" w:fill="00558C"/>
          </w:tcPr>
          <w:p>
            <w:pPr>
              <w:spacing w:after="0"/>
              <w:rPr>
                <w:sz w:val="8"/>
                <w:szCs w:val="8"/>
                <w:color w:val="auto"/>
              </w:rPr>
            </w:pPr>
          </w:p>
        </w:tc>
        <w:tc>
          <w:tcPr>
            <w:tcW w:w="640" w:type="dxa"/>
            <w:vAlign w:val="bottom"/>
            <w:shd w:val="clear" w:color="auto" w:fill="00558C"/>
          </w:tcPr>
          <w:p>
            <w:pPr>
              <w:spacing w:after="0"/>
              <w:rPr>
                <w:sz w:val="8"/>
                <w:szCs w:val="8"/>
                <w:color w:val="auto"/>
              </w:rPr>
            </w:pPr>
          </w:p>
        </w:tc>
        <w:tc>
          <w:tcPr>
            <w:tcW w:w="1000" w:type="dxa"/>
            <w:vAlign w:val="bottom"/>
            <w:shd w:val="clear" w:color="auto" w:fill="00558C"/>
          </w:tcPr>
          <w:p>
            <w:pPr>
              <w:spacing w:after="0"/>
              <w:rPr>
                <w:sz w:val="8"/>
                <w:szCs w:val="8"/>
                <w:color w:val="auto"/>
              </w:rPr>
            </w:pPr>
          </w:p>
        </w:tc>
        <w:tc>
          <w:tcPr>
            <w:tcW w:w="1160" w:type="dxa"/>
            <w:vAlign w:val="bottom"/>
            <w:shd w:val="clear" w:color="auto" w:fill="00558C"/>
          </w:tcPr>
          <w:p>
            <w:pPr>
              <w:spacing w:after="0"/>
              <w:rPr>
                <w:sz w:val="8"/>
                <w:szCs w:val="8"/>
                <w:color w:val="auto"/>
              </w:rPr>
            </w:pPr>
          </w:p>
        </w:tc>
        <w:tc>
          <w:tcPr>
            <w:tcW w:w="740" w:type="dxa"/>
            <w:vAlign w:val="bottom"/>
            <w:shd w:val="clear" w:color="auto" w:fill="00558C"/>
          </w:tcPr>
          <w:p>
            <w:pPr>
              <w:spacing w:after="0"/>
              <w:rPr>
                <w:sz w:val="8"/>
                <w:szCs w:val="8"/>
                <w:color w:val="auto"/>
              </w:rPr>
            </w:pPr>
          </w:p>
        </w:tc>
        <w:tc>
          <w:tcPr>
            <w:tcW w:w="860" w:type="dxa"/>
            <w:vAlign w:val="bottom"/>
            <w:shd w:val="clear" w:color="auto" w:fill="00558C"/>
          </w:tcPr>
          <w:p>
            <w:pPr>
              <w:spacing w:after="0"/>
              <w:rPr>
                <w:sz w:val="8"/>
                <w:szCs w:val="8"/>
                <w:color w:val="auto"/>
              </w:rPr>
            </w:pPr>
          </w:p>
        </w:tc>
        <w:tc>
          <w:tcPr>
            <w:tcW w:w="780" w:type="dxa"/>
            <w:vAlign w:val="bottom"/>
            <w:shd w:val="clear" w:color="auto" w:fill="00558C"/>
          </w:tcPr>
          <w:p>
            <w:pPr>
              <w:spacing w:after="0"/>
              <w:rPr>
                <w:sz w:val="8"/>
                <w:szCs w:val="8"/>
                <w:color w:val="auto"/>
              </w:rPr>
            </w:pPr>
          </w:p>
        </w:tc>
        <w:tc>
          <w:tcPr>
            <w:tcW w:w="240" w:type="dxa"/>
            <w:vAlign w:val="bottom"/>
            <w:shd w:val="clear" w:color="auto" w:fill="00558C"/>
          </w:tcPr>
          <w:p>
            <w:pPr>
              <w:spacing w:after="0"/>
              <w:rPr>
                <w:sz w:val="8"/>
                <w:szCs w:val="8"/>
                <w:color w:val="auto"/>
              </w:rPr>
            </w:pPr>
          </w:p>
        </w:tc>
        <w:tc>
          <w:tcPr>
            <w:tcW w:w="800" w:type="dxa"/>
            <w:vAlign w:val="bottom"/>
            <w:shd w:val="clear" w:color="auto" w:fill="00558C"/>
          </w:tcPr>
          <w:p>
            <w:pPr>
              <w:spacing w:after="0"/>
              <w:rPr>
                <w:sz w:val="8"/>
                <w:szCs w:val="8"/>
                <w:color w:val="auto"/>
              </w:rPr>
            </w:pPr>
          </w:p>
        </w:tc>
        <w:tc>
          <w:tcPr>
            <w:tcW w:w="920" w:type="dxa"/>
            <w:vAlign w:val="bottom"/>
            <w:shd w:val="clear" w:color="auto" w:fill="00558C"/>
          </w:tcPr>
          <w:p>
            <w:pPr>
              <w:spacing w:after="0"/>
              <w:rPr>
                <w:sz w:val="8"/>
                <w:szCs w:val="8"/>
                <w:color w:val="auto"/>
              </w:rPr>
            </w:pPr>
          </w:p>
        </w:tc>
        <w:tc>
          <w:tcPr>
            <w:tcW w:w="1120" w:type="dxa"/>
            <w:vAlign w:val="bottom"/>
            <w:shd w:val="clear" w:color="auto" w:fill="00558C"/>
          </w:tcPr>
          <w:p>
            <w:pPr>
              <w:spacing w:after="0"/>
              <w:rPr>
                <w:sz w:val="8"/>
                <w:szCs w:val="8"/>
                <w:color w:val="auto"/>
              </w:rPr>
            </w:pPr>
          </w:p>
        </w:tc>
        <w:tc>
          <w:tcPr>
            <w:tcW w:w="0" w:type="dxa"/>
            <w:vAlign w:val="bottom"/>
          </w:tcPr>
          <w:p>
            <w:pPr>
              <w:spacing w:after="0"/>
              <w:rPr>
                <w:sz w:val="1"/>
                <w:szCs w:val="1"/>
                <w:color w:val="auto"/>
              </w:rPr>
            </w:pPr>
          </w:p>
        </w:tc>
      </w:tr>
      <w:tr>
        <w:trPr>
          <w:trHeight w:val="343"/>
        </w:trPr>
        <w:tc>
          <w:tcPr>
            <w:tcW w:w="820" w:type="dxa"/>
            <w:vAlign w:val="bottom"/>
            <w:shd w:val="clear" w:color="auto" w:fill="F2F3F2"/>
          </w:tcPr>
          <w:p>
            <w:pPr>
              <w:spacing w:after="0"/>
              <w:rPr>
                <w:sz w:val="24"/>
                <w:szCs w:val="24"/>
                <w:color w:val="auto"/>
              </w:rPr>
            </w:pPr>
          </w:p>
        </w:tc>
        <w:tc>
          <w:tcPr>
            <w:tcW w:w="640" w:type="dxa"/>
            <w:vAlign w:val="bottom"/>
            <w:shd w:val="clear" w:color="auto" w:fill="F2F3F2"/>
          </w:tcPr>
          <w:p>
            <w:pPr>
              <w:jc w:val="center"/>
              <w:spacing w:after="0"/>
              <w:rPr>
                <w:sz w:val="20"/>
                <w:szCs w:val="20"/>
                <w:color w:val="auto"/>
              </w:rPr>
            </w:pPr>
            <w:r>
              <w:rPr>
                <w:rFonts w:ascii="Arial" w:cs="Arial" w:eastAsia="Arial" w:hAnsi="Arial"/>
                <w:sz w:val="13"/>
                <w:szCs w:val="13"/>
                <w:color w:val="auto"/>
              </w:rPr>
              <w:t>3/1/2022</w:t>
            </w:r>
          </w:p>
        </w:tc>
        <w:tc>
          <w:tcPr>
            <w:tcW w:w="1000" w:type="dxa"/>
            <w:vAlign w:val="bottom"/>
            <w:shd w:val="clear" w:color="auto" w:fill="F2F3F2"/>
          </w:tcPr>
          <w:p>
            <w:pPr>
              <w:ind w:left="820"/>
              <w:spacing w:after="0"/>
              <w:rPr>
                <w:sz w:val="20"/>
                <w:szCs w:val="20"/>
                <w:color w:val="auto"/>
              </w:rPr>
            </w:pPr>
            <w:r>
              <w:rPr>
                <w:rFonts w:ascii="Arial" w:cs="Arial" w:eastAsia="Arial" w:hAnsi="Arial"/>
                <w:sz w:val="13"/>
                <w:szCs w:val="13"/>
                <w:color w:val="auto"/>
              </w:rPr>
              <w:t>—</w:t>
            </w:r>
          </w:p>
        </w:tc>
        <w:tc>
          <w:tcPr>
            <w:tcW w:w="1160" w:type="dxa"/>
            <w:vAlign w:val="bottom"/>
            <w:shd w:val="clear" w:color="auto" w:fill="F2F3F2"/>
          </w:tcPr>
          <w:p>
            <w:pPr>
              <w:ind w:left="960"/>
              <w:spacing w:after="0"/>
              <w:rPr>
                <w:sz w:val="20"/>
                <w:szCs w:val="20"/>
                <w:color w:val="auto"/>
              </w:rPr>
            </w:pPr>
            <w:r>
              <w:rPr>
                <w:rFonts w:ascii="Arial" w:cs="Arial" w:eastAsia="Arial" w:hAnsi="Arial"/>
                <w:sz w:val="13"/>
                <w:szCs w:val="13"/>
                <w:color w:val="auto"/>
              </w:rPr>
              <w:t>—</w:t>
            </w:r>
          </w:p>
        </w:tc>
        <w:tc>
          <w:tcPr>
            <w:tcW w:w="740" w:type="dxa"/>
            <w:vAlign w:val="bottom"/>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F2F3F2"/>
          </w:tcPr>
          <w:p>
            <w:pPr>
              <w:ind w:left="660"/>
              <w:spacing w:after="0"/>
              <w:rPr>
                <w:sz w:val="20"/>
                <w:szCs w:val="20"/>
                <w:color w:val="auto"/>
              </w:rPr>
            </w:pPr>
            <w:r>
              <w:rPr>
                <w:rFonts w:ascii="Arial" w:cs="Arial" w:eastAsia="Arial" w:hAnsi="Arial"/>
                <w:sz w:val="14"/>
                <w:szCs w:val="14"/>
                <w:color w:val="auto"/>
              </w:rPr>
              <w:t>—</w:t>
            </w:r>
          </w:p>
        </w:tc>
        <w:tc>
          <w:tcPr>
            <w:tcW w:w="780" w:type="dxa"/>
            <w:vAlign w:val="bottom"/>
            <w:shd w:val="clear" w:color="auto" w:fill="F2F3F2"/>
          </w:tcPr>
          <w:p>
            <w:pPr>
              <w:jc w:val="right"/>
              <w:spacing w:after="0"/>
              <w:rPr>
                <w:sz w:val="20"/>
                <w:szCs w:val="20"/>
                <w:color w:val="auto"/>
              </w:rPr>
            </w:pPr>
            <w:r>
              <w:rPr>
                <w:rFonts w:ascii="Arial" w:cs="Arial" w:eastAsia="Arial" w:hAnsi="Arial"/>
                <w:sz w:val="13"/>
                <w:szCs w:val="13"/>
                <w:color w:val="auto"/>
              </w:rPr>
              <w:t>2,904</w:t>
            </w:r>
          </w:p>
        </w:tc>
        <w:tc>
          <w:tcPr>
            <w:tcW w:w="240" w:type="dxa"/>
            <w:vAlign w:val="bottom"/>
            <w:shd w:val="clear" w:color="auto" w:fill="F2F3F2"/>
          </w:tcPr>
          <w:p>
            <w:pPr>
              <w:jc w:val="right"/>
              <w:ind w:right="48"/>
              <w:spacing w:after="0"/>
              <w:rPr>
                <w:sz w:val="20"/>
                <w:szCs w:val="20"/>
                <w:color w:val="auto"/>
              </w:rPr>
            </w:pPr>
            <w:r>
              <w:rPr>
                <w:rFonts w:ascii="Arial" w:cs="Arial" w:eastAsia="Arial" w:hAnsi="Arial"/>
                <w:sz w:val="9"/>
                <w:szCs w:val="9"/>
                <w:color w:val="auto"/>
              </w:rPr>
              <w:t>(1)</w:t>
            </w:r>
          </w:p>
        </w:tc>
        <w:tc>
          <w:tcPr>
            <w:tcW w:w="800" w:type="dxa"/>
            <w:vAlign w:val="bottom"/>
            <w:shd w:val="clear" w:color="auto" w:fill="F2F3F2"/>
          </w:tcPr>
          <w:p>
            <w:pPr>
              <w:jc w:val="right"/>
              <w:ind w:right="13"/>
              <w:spacing w:after="0"/>
              <w:rPr>
                <w:sz w:val="20"/>
                <w:szCs w:val="20"/>
                <w:color w:val="auto"/>
              </w:rPr>
            </w:pPr>
            <w:r>
              <w:rPr>
                <w:rFonts w:ascii="Arial" w:cs="Arial" w:eastAsia="Arial" w:hAnsi="Arial"/>
                <w:sz w:val="13"/>
                <w:szCs w:val="13"/>
                <w:color w:val="auto"/>
              </w:rPr>
              <w:t>360,851</w:t>
            </w:r>
          </w:p>
        </w:tc>
        <w:tc>
          <w:tcPr>
            <w:tcW w:w="920" w:type="dxa"/>
            <w:vAlign w:val="bottom"/>
            <w:shd w:val="clear" w:color="auto" w:fill="F2F3F2"/>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F2F3F2"/>
          </w:tcPr>
          <w:p>
            <w:pPr>
              <w:jc w:val="right"/>
              <w:ind w:right="9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03"/>
        </w:trPr>
        <w:tc>
          <w:tcPr>
            <w:tcW w:w="820" w:type="dxa"/>
            <w:vAlign w:val="bottom"/>
            <w:tcBorders>
              <w:bottom w:val="single" w:sz="8" w:color="F2F3F2"/>
            </w:tcBorders>
            <w:shd w:val="clear" w:color="auto" w:fill="F2F3F2"/>
          </w:tcPr>
          <w:p>
            <w:pPr>
              <w:spacing w:after="0"/>
              <w:rPr>
                <w:sz w:val="8"/>
                <w:szCs w:val="8"/>
                <w:color w:val="auto"/>
              </w:rPr>
            </w:pPr>
          </w:p>
        </w:tc>
        <w:tc>
          <w:tcPr>
            <w:tcW w:w="640" w:type="dxa"/>
            <w:vAlign w:val="bottom"/>
            <w:tcBorders>
              <w:bottom w:val="single" w:sz="8" w:color="B2B3B6"/>
            </w:tcBorders>
            <w:shd w:val="clear" w:color="auto" w:fill="F2F3F2"/>
          </w:tcPr>
          <w:p>
            <w:pPr>
              <w:spacing w:after="0"/>
              <w:rPr>
                <w:sz w:val="8"/>
                <w:szCs w:val="8"/>
                <w:color w:val="auto"/>
              </w:rPr>
            </w:pPr>
          </w:p>
        </w:tc>
        <w:tc>
          <w:tcPr>
            <w:tcW w:w="1000" w:type="dxa"/>
            <w:vAlign w:val="bottom"/>
            <w:tcBorders>
              <w:bottom w:val="single" w:sz="8" w:color="B2B3B6"/>
            </w:tcBorders>
            <w:shd w:val="clear" w:color="auto" w:fill="F2F3F2"/>
          </w:tcPr>
          <w:p>
            <w:pPr>
              <w:spacing w:after="0"/>
              <w:rPr>
                <w:sz w:val="8"/>
                <w:szCs w:val="8"/>
                <w:color w:val="auto"/>
              </w:rPr>
            </w:pPr>
          </w:p>
        </w:tc>
        <w:tc>
          <w:tcPr>
            <w:tcW w:w="1160" w:type="dxa"/>
            <w:vAlign w:val="bottom"/>
            <w:tcBorders>
              <w:bottom w:val="single" w:sz="8" w:color="B2B3B6"/>
            </w:tcBorders>
            <w:shd w:val="clear" w:color="auto" w:fill="F2F3F2"/>
          </w:tcPr>
          <w:p>
            <w:pPr>
              <w:spacing w:after="0"/>
              <w:rPr>
                <w:sz w:val="8"/>
                <w:szCs w:val="8"/>
                <w:color w:val="auto"/>
              </w:rPr>
            </w:pPr>
          </w:p>
        </w:tc>
        <w:tc>
          <w:tcPr>
            <w:tcW w:w="740" w:type="dxa"/>
            <w:vAlign w:val="bottom"/>
            <w:tcBorders>
              <w:bottom w:val="single" w:sz="8" w:color="B2B3B6"/>
            </w:tcBorders>
            <w:shd w:val="clear" w:color="auto" w:fill="F2F3F2"/>
          </w:tcPr>
          <w:p>
            <w:pPr>
              <w:spacing w:after="0"/>
              <w:rPr>
                <w:sz w:val="8"/>
                <w:szCs w:val="8"/>
                <w:color w:val="auto"/>
              </w:rPr>
            </w:pPr>
          </w:p>
        </w:tc>
        <w:tc>
          <w:tcPr>
            <w:tcW w:w="860" w:type="dxa"/>
            <w:vAlign w:val="bottom"/>
            <w:tcBorders>
              <w:bottom w:val="single" w:sz="8" w:color="B2B3B6"/>
            </w:tcBorders>
            <w:shd w:val="clear" w:color="auto" w:fill="F2F3F2"/>
          </w:tcPr>
          <w:p>
            <w:pPr>
              <w:spacing w:after="0"/>
              <w:rPr>
                <w:sz w:val="8"/>
                <w:szCs w:val="8"/>
                <w:color w:val="auto"/>
              </w:rPr>
            </w:pPr>
          </w:p>
        </w:tc>
        <w:tc>
          <w:tcPr>
            <w:tcW w:w="780" w:type="dxa"/>
            <w:vAlign w:val="bottom"/>
            <w:tcBorders>
              <w:bottom w:val="single" w:sz="8" w:color="B2B3B6"/>
            </w:tcBorders>
            <w:shd w:val="clear" w:color="auto" w:fill="F2F3F2"/>
          </w:tcPr>
          <w:p>
            <w:pPr>
              <w:spacing w:after="0"/>
              <w:rPr>
                <w:sz w:val="8"/>
                <w:szCs w:val="8"/>
                <w:color w:val="auto"/>
              </w:rPr>
            </w:pPr>
          </w:p>
        </w:tc>
        <w:tc>
          <w:tcPr>
            <w:tcW w:w="240" w:type="dxa"/>
            <w:vAlign w:val="bottom"/>
            <w:tcBorders>
              <w:bottom w:val="single" w:sz="8" w:color="B2B3B6"/>
            </w:tcBorders>
            <w:shd w:val="clear" w:color="auto" w:fill="F2F3F2"/>
          </w:tcPr>
          <w:p>
            <w:pPr>
              <w:spacing w:after="0"/>
              <w:rPr>
                <w:sz w:val="8"/>
                <w:szCs w:val="8"/>
                <w:color w:val="auto"/>
              </w:rPr>
            </w:pPr>
          </w:p>
        </w:tc>
        <w:tc>
          <w:tcPr>
            <w:tcW w:w="800" w:type="dxa"/>
            <w:vAlign w:val="bottom"/>
            <w:tcBorders>
              <w:bottom w:val="single" w:sz="8" w:color="B2B3B6"/>
            </w:tcBorders>
            <w:shd w:val="clear" w:color="auto" w:fill="F2F3F2"/>
          </w:tcPr>
          <w:p>
            <w:pPr>
              <w:spacing w:after="0"/>
              <w:rPr>
                <w:sz w:val="8"/>
                <w:szCs w:val="8"/>
                <w:color w:val="auto"/>
              </w:rPr>
            </w:pPr>
          </w:p>
        </w:tc>
        <w:tc>
          <w:tcPr>
            <w:tcW w:w="920" w:type="dxa"/>
            <w:vAlign w:val="bottom"/>
            <w:tcBorders>
              <w:bottom w:val="single" w:sz="8" w:color="B2B3B6"/>
            </w:tcBorders>
            <w:shd w:val="clear" w:color="auto" w:fill="F2F3F2"/>
          </w:tcPr>
          <w:p>
            <w:pPr>
              <w:spacing w:after="0"/>
              <w:rPr>
                <w:sz w:val="8"/>
                <w:szCs w:val="8"/>
                <w:color w:val="auto"/>
              </w:rPr>
            </w:pPr>
          </w:p>
        </w:tc>
        <w:tc>
          <w:tcPr>
            <w:tcW w:w="1120" w:type="dxa"/>
            <w:vAlign w:val="bottom"/>
            <w:tcBorders>
              <w:bottom w:val="single" w:sz="8" w:color="B2B3B6"/>
            </w:tcBorders>
            <w:shd w:val="clear" w:color="auto" w:fill="F2F3F2"/>
          </w:tcPr>
          <w:p>
            <w:pPr>
              <w:spacing w:after="0"/>
              <w:rPr>
                <w:sz w:val="8"/>
                <w:szCs w:val="8"/>
                <w:color w:val="auto"/>
              </w:rPr>
            </w:pPr>
          </w:p>
        </w:tc>
        <w:tc>
          <w:tcPr>
            <w:tcW w:w="0" w:type="dxa"/>
            <w:vAlign w:val="bottom"/>
          </w:tcPr>
          <w:p>
            <w:pPr>
              <w:spacing w:after="0"/>
              <w:rPr>
                <w:sz w:val="1"/>
                <w:szCs w:val="1"/>
                <w:color w:val="auto"/>
              </w:rPr>
            </w:pPr>
          </w:p>
        </w:tc>
      </w:tr>
      <w:tr>
        <w:trPr>
          <w:trHeight w:val="323"/>
        </w:trPr>
        <w:tc>
          <w:tcPr>
            <w:tcW w:w="820" w:type="dxa"/>
            <w:vAlign w:val="bottom"/>
            <w:shd w:val="clear" w:color="auto" w:fill="F2F3F2"/>
          </w:tcPr>
          <w:p>
            <w:pPr>
              <w:spacing w:after="0"/>
              <w:rPr>
                <w:sz w:val="24"/>
                <w:szCs w:val="24"/>
                <w:color w:val="auto"/>
              </w:rPr>
            </w:pPr>
          </w:p>
        </w:tc>
        <w:tc>
          <w:tcPr>
            <w:tcW w:w="640" w:type="dxa"/>
            <w:vAlign w:val="bottom"/>
            <w:shd w:val="clear" w:color="auto" w:fill="F2F3F2"/>
          </w:tcPr>
          <w:p>
            <w:pPr>
              <w:jc w:val="center"/>
              <w:spacing w:after="0"/>
              <w:rPr>
                <w:sz w:val="20"/>
                <w:szCs w:val="20"/>
                <w:color w:val="auto"/>
              </w:rPr>
            </w:pPr>
            <w:r>
              <w:rPr>
                <w:rFonts w:ascii="Arial" w:cs="Arial" w:eastAsia="Arial" w:hAnsi="Arial"/>
                <w:sz w:val="13"/>
                <w:szCs w:val="13"/>
                <w:color w:val="auto"/>
              </w:rPr>
              <w:t>3/1/2022</w:t>
            </w:r>
          </w:p>
        </w:tc>
        <w:tc>
          <w:tcPr>
            <w:tcW w:w="1000" w:type="dxa"/>
            <w:vAlign w:val="bottom"/>
            <w:shd w:val="clear" w:color="auto" w:fill="F2F3F2"/>
          </w:tcPr>
          <w:p>
            <w:pPr>
              <w:ind w:left="820"/>
              <w:spacing w:after="0"/>
              <w:rPr>
                <w:sz w:val="20"/>
                <w:szCs w:val="20"/>
                <w:color w:val="auto"/>
              </w:rPr>
            </w:pPr>
            <w:r>
              <w:rPr>
                <w:rFonts w:ascii="Arial" w:cs="Arial" w:eastAsia="Arial" w:hAnsi="Arial"/>
                <w:sz w:val="13"/>
                <w:szCs w:val="13"/>
                <w:color w:val="auto"/>
              </w:rPr>
              <w:t>—</w:t>
            </w:r>
          </w:p>
        </w:tc>
        <w:tc>
          <w:tcPr>
            <w:tcW w:w="1160" w:type="dxa"/>
            <w:vAlign w:val="bottom"/>
            <w:shd w:val="clear" w:color="auto" w:fill="F2F3F2"/>
          </w:tcPr>
          <w:p>
            <w:pPr>
              <w:ind w:left="960"/>
              <w:spacing w:after="0"/>
              <w:rPr>
                <w:sz w:val="20"/>
                <w:szCs w:val="20"/>
                <w:color w:val="auto"/>
              </w:rPr>
            </w:pPr>
            <w:r>
              <w:rPr>
                <w:rFonts w:ascii="Arial" w:cs="Arial" w:eastAsia="Arial" w:hAnsi="Arial"/>
                <w:sz w:val="13"/>
                <w:szCs w:val="13"/>
                <w:color w:val="auto"/>
              </w:rPr>
              <w:t>—</w:t>
            </w:r>
          </w:p>
        </w:tc>
        <w:tc>
          <w:tcPr>
            <w:tcW w:w="740" w:type="dxa"/>
            <w:vAlign w:val="bottom"/>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F2F3F2"/>
          </w:tcPr>
          <w:p>
            <w:pPr>
              <w:ind w:left="660"/>
              <w:spacing w:after="0"/>
              <w:rPr>
                <w:sz w:val="20"/>
                <w:szCs w:val="20"/>
                <w:color w:val="auto"/>
              </w:rPr>
            </w:pPr>
            <w:r>
              <w:rPr>
                <w:rFonts w:ascii="Arial" w:cs="Arial" w:eastAsia="Arial" w:hAnsi="Arial"/>
                <w:sz w:val="14"/>
                <w:szCs w:val="14"/>
                <w:color w:val="auto"/>
              </w:rPr>
              <w:t>—</w:t>
            </w:r>
          </w:p>
        </w:tc>
        <w:tc>
          <w:tcPr>
            <w:tcW w:w="780" w:type="dxa"/>
            <w:vAlign w:val="bottom"/>
            <w:shd w:val="clear" w:color="auto" w:fill="F2F3F2"/>
          </w:tcPr>
          <w:p>
            <w:pPr>
              <w:jc w:val="right"/>
              <w:spacing w:after="0"/>
              <w:rPr>
                <w:sz w:val="20"/>
                <w:szCs w:val="20"/>
                <w:color w:val="auto"/>
              </w:rPr>
            </w:pPr>
            <w:r>
              <w:rPr>
                <w:rFonts w:ascii="Arial" w:cs="Arial" w:eastAsia="Arial" w:hAnsi="Arial"/>
                <w:sz w:val="13"/>
                <w:szCs w:val="13"/>
                <w:color w:val="auto"/>
              </w:rPr>
              <w:t>40,648</w:t>
            </w:r>
          </w:p>
        </w:tc>
        <w:tc>
          <w:tcPr>
            <w:tcW w:w="240" w:type="dxa"/>
            <w:vAlign w:val="bottom"/>
            <w:shd w:val="clear" w:color="auto" w:fill="F2F3F2"/>
          </w:tcPr>
          <w:p>
            <w:pPr>
              <w:jc w:val="right"/>
              <w:ind w:right="48"/>
              <w:spacing w:after="0"/>
              <w:rPr>
                <w:sz w:val="20"/>
                <w:szCs w:val="20"/>
                <w:color w:val="auto"/>
              </w:rPr>
            </w:pPr>
            <w:r>
              <w:rPr>
                <w:rFonts w:ascii="Arial" w:cs="Arial" w:eastAsia="Arial" w:hAnsi="Arial"/>
                <w:sz w:val="9"/>
                <w:szCs w:val="9"/>
                <w:color w:val="auto"/>
              </w:rPr>
              <w:t>(2)</w:t>
            </w:r>
          </w:p>
        </w:tc>
        <w:tc>
          <w:tcPr>
            <w:tcW w:w="800" w:type="dxa"/>
            <w:vAlign w:val="bottom"/>
            <w:shd w:val="clear" w:color="auto" w:fill="F2F3F2"/>
          </w:tcPr>
          <w:p>
            <w:pPr>
              <w:jc w:val="right"/>
              <w:ind w:right="13"/>
              <w:spacing w:after="0"/>
              <w:rPr>
                <w:sz w:val="20"/>
                <w:szCs w:val="20"/>
                <w:color w:val="auto"/>
              </w:rPr>
            </w:pPr>
            <w:r>
              <w:rPr>
                <w:rFonts w:ascii="Arial" w:cs="Arial" w:eastAsia="Arial" w:hAnsi="Arial"/>
                <w:sz w:val="13"/>
                <w:szCs w:val="13"/>
                <w:color w:val="auto"/>
              </w:rPr>
              <w:t>5,050,920</w:t>
            </w:r>
          </w:p>
        </w:tc>
        <w:tc>
          <w:tcPr>
            <w:tcW w:w="920" w:type="dxa"/>
            <w:vAlign w:val="bottom"/>
            <w:shd w:val="clear" w:color="auto" w:fill="F2F3F2"/>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F2F3F2"/>
          </w:tcPr>
          <w:p>
            <w:pPr>
              <w:jc w:val="right"/>
              <w:ind w:right="9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03"/>
        </w:trPr>
        <w:tc>
          <w:tcPr>
            <w:tcW w:w="820" w:type="dxa"/>
            <w:vAlign w:val="bottom"/>
            <w:tcBorders>
              <w:bottom w:val="single" w:sz="8" w:color="F2F3F2"/>
            </w:tcBorders>
            <w:shd w:val="clear" w:color="auto" w:fill="F2F3F2"/>
          </w:tcPr>
          <w:p>
            <w:pPr>
              <w:spacing w:after="0"/>
              <w:rPr>
                <w:sz w:val="8"/>
                <w:szCs w:val="8"/>
                <w:color w:val="auto"/>
              </w:rPr>
            </w:pPr>
          </w:p>
        </w:tc>
        <w:tc>
          <w:tcPr>
            <w:tcW w:w="640" w:type="dxa"/>
            <w:vAlign w:val="bottom"/>
            <w:tcBorders>
              <w:bottom w:val="single" w:sz="8" w:color="B2B3B6"/>
            </w:tcBorders>
            <w:shd w:val="clear" w:color="auto" w:fill="F2F3F2"/>
          </w:tcPr>
          <w:p>
            <w:pPr>
              <w:spacing w:after="0"/>
              <w:rPr>
                <w:sz w:val="8"/>
                <w:szCs w:val="8"/>
                <w:color w:val="auto"/>
              </w:rPr>
            </w:pPr>
          </w:p>
        </w:tc>
        <w:tc>
          <w:tcPr>
            <w:tcW w:w="1000" w:type="dxa"/>
            <w:vAlign w:val="bottom"/>
            <w:tcBorders>
              <w:bottom w:val="single" w:sz="8" w:color="B2B3B6"/>
            </w:tcBorders>
            <w:shd w:val="clear" w:color="auto" w:fill="F2F3F2"/>
          </w:tcPr>
          <w:p>
            <w:pPr>
              <w:spacing w:after="0"/>
              <w:rPr>
                <w:sz w:val="8"/>
                <w:szCs w:val="8"/>
                <w:color w:val="auto"/>
              </w:rPr>
            </w:pPr>
          </w:p>
        </w:tc>
        <w:tc>
          <w:tcPr>
            <w:tcW w:w="1160" w:type="dxa"/>
            <w:vAlign w:val="bottom"/>
            <w:tcBorders>
              <w:bottom w:val="single" w:sz="8" w:color="B2B3B6"/>
            </w:tcBorders>
            <w:shd w:val="clear" w:color="auto" w:fill="F2F3F2"/>
          </w:tcPr>
          <w:p>
            <w:pPr>
              <w:spacing w:after="0"/>
              <w:rPr>
                <w:sz w:val="8"/>
                <w:szCs w:val="8"/>
                <w:color w:val="auto"/>
              </w:rPr>
            </w:pPr>
          </w:p>
        </w:tc>
        <w:tc>
          <w:tcPr>
            <w:tcW w:w="740" w:type="dxa"/>
            <w:vAlign w:val="bottom"/>
            <w:tcBorders>
              <w:bottom w:val="single" w:sz="8" w:color="B2B3B6"/>
            </w:tcBorders>
            <w:shd w:val="clear" w:color="auto" w:fill="F2F3F2"/>
          </w:tcPr>
          <w:p>
            <w:pPr>
              <w:spacing w:after="0"/>
              <w:rPr>
                <w:sz w:val="8"/>
                <w:szCs w:val="8"/>
                <w:color w:val="auto"/>
              </w:rPr>
            </w:pPr>
          </w:p>
        </w:tc>
        <w:tc>
          <w:tcPr>
            <w:tcW w:w="860" w:type="dxa"/>
            <w:vAlign w:val="bottom"/>
            <w:tcBorders>
              <w:bottom w:val="single" w:sz="8" w:color="B2B3B6"/>
            </w:tcBorders>
            <w:shd w:val="clear" w:color="auto" w:fill="F2F3F2"/>
          </w:tcPr>
          <w:p>
            <w:pPr>
              <w:spacing w:after="0"/>
              <w:rPr>
                <w:sz w:val="8"/>
                <w:szCs w:val="8"/>
                <w:color w:val="auto"/>
              </w:rPr>
            </w:pPr>
          </w:p>
        </w:tc>
        <w:tc>
          <w:tcPr>
            <w:tcW w:w="780" w:type="dxa"/>
            <w:vAlign w:val="bottom"/>
            <w:tcBorders>
              <w:bottom w:val="single" w:sz="8" w:color="B2B3B6"/>
            </w:tcBorders>
            <w:shd w:val="clear" w:color="auto" w:fill="F2F3F2"/>
          </w:tcPr>
          <w:p>
            <w:pPr>
              <w:spacing w:after="0"/>
              <w:rPr>
                <w:sz w:val="8"/>
                <w:szCs w:val="8"/>
                <w:color w:val="auto"/>
              </w:rPr>
            </w:pPr>
          </w:p>
        </w:tc>
        <w:tc>
          <w:tcPr>
            <w:tcW w:w="240" w:type="dxa"/>
            <w:vAlign w:val="bottom"/>
            <w:tcBorders>
              <w:bottom w:val="single" w:sz="8" w:color="B2B3B6"/>
            </w:tcBorders>
            <w:shd w:val="clear" w:color="auto" w:fill="F2F3F2"/>
          </w:tcPr>
          <w:p>
            <w:pPr>
              <w:spacing w:after="0"/>
              <w:rPr>
                <w:sz w:val="8"/>
                <w:szCs w:val="8"/>
                <w:color w:val="auto"/>
              </w:rPr>
            </w:pPr>
          </w:p>
        </w:tc>
        <w:tc>
          <w:tcPr>
            <w:tcW w:w="800" w:type="dxa"/>
            <w:vAlign w:val="bottom"/>
            <w:tcBorders>
              <w:bottom w:val="single" w:sz="8" w:color="B2B3B6"/>
            </w:tcBorders>
            <w:shd w:val="clear" w:color="auto" w:fill="F2F3F2"/>
          </w:tcPr>
          <w:p>
            <w:pPr>
              <w:spacing w:after="0"/>
              <w:rPr>
                <w:sz w:val="8"/>
                <w:szCs w:val="8"/>
                <w:color w:val="auto"/>
              </w:rPr>
            </w:pPr>
          </w:p>
        </w:tc>
        <w:tc>
          <w:tcPr>
            <w:tcW w:w="920" w:type="dxa"/>
            <w:vAlign w:val="bottom"/>
            <w:tcBorders>
              <w:bottom w:val="single" w:sz="8" w:color="B2B3B6"/>
            </w:tcBorders>
            <w:shd w:val="clear" w:color="auto" w:fill="F2F3F2"/>
          </w:tcPr>
          <w:p>
            <w:pPr>
              <w:spacing w:after="0"/>
              <w:rPr>
                <w:sz w:val="8"/>
                <w:szCs w:val="8"/>
                <w:color w:val="auto"/>
              </w:rPr>
            </w:pPr>
          </w:p>
        </w:tc>
        <w:tc>
          <w:tcPr>
            <w:tcW w:w="1120" w:type="dxa"/>
            <w:vAlign w:val="bottom"/>
            <w:tcBorders>
              <w:bottom w:val="single" w:sz="8" w:color="B2B3B6"/>
            </w:tcBorders>
            <w:shd w:val="clear" w:color="auto" w:fill="F2F3F2"/>
          </w:tcPr>
          <w:p>
            <w:pPr>
              <w:spacing w:after="0"/>
              <w:rPr>
                <w:sz w:val="8"/>
                <w:szCs w:val="8"/>
                <w:color w:val="auto"/>
              </w:rPr>
            </w:pPr>
          </w:p>
        </w:tc>
        <w:tc>
          <w:tcPr>
            <w:tcW w:w="0" w:type="dxa"/>
            <w:vAlign w:val="bottom"/>
          </w:tcPr>
          <w:p>
            <w:pPr>
              <w:spacing w:after="0"/>
              <w:rPr>
                <w:sz w:val="1"/>
                <w:szCs w:val="1"/>
                <w:color w:val="auto"/>
              </w:rPr>
            </w:pPr>
          </w:p>
        </w:tc>
      </w:tr>
      <w:tr>
        <w:trPr>
          <w:trHeight w:val="323"/>
        </w:trPr>
        <w:tc>
          <w:tcPr>
            <w:tcW w:w="820" w:type="dxa"/>
            <w:vAlign w:val="bottom"/>
            <w:vMerge w:val="restart"/>
            <w:shd w:val="clear" w:color="auto" w:fill="F2F3F2"/>
          </w:tcPr>
          <w:p>
            <w:pPr>
              <w:ind w:left="140"/>
              <w:spacing w:after="0"/>
              <w:rPr>
                <w:sz w:val="20"/>
                <w:szCs w:val="20"/>
                <w:color w:val="auto"/>
              </w:rPr>
            </w:pPr>
            <w:r>
              <w:rPr>
                <w:rFonts w:ascii="Arial" w:cs="Arial" w:eastAsia="Arial" w:hAnsi="Arial"/>
                <w:sz w:val="13"/>
                <w:szCs w:val="13"/>
                <w:b w:val="1"/>
                <w:bCs w:val="1"/>
                <w:color w:val="00558C"/>
              </w:rPr>
              <w:t>C. Mark</w:t>
            </w:r>
          </w:p>
        </w:tc>
        <w:tc>
          <w:tcPr>
            <w:tcW w:w="640" w:type="dxa"/>
            <w:vAlign w:val="bottom"/>
            <w:shd w:val="clear" w:color="auto" w:fill="F2F3F2"/>
          </w:tcPr>
          <w:p>
            <w:pPr>
              <w:jc w:val="center"/>
              <w:spacing w:after="0"/>
              <w:rPr>
                <w:sz w:val="20"/>
                <w:szCs w:val="20"/>
                <w:color w:val="auto"/>
              </w:rPr>
            </w:pPr>
            <w:r>
              <w:rPr>
                <w:rFonts w:ascii="Arial" w:cs="Arial" w:eastAsia="Arial" w:hAnsi="Arial"/>
                <w:sz w:val="13"/>
                <w:szCs w:val="13"/>
                <w:color w:val="auto"/>
              </w:rPr>
              <w:t>3/1/2023</w:t>
            </w:r>
          </w:p>
        </w:tc>
        <w:tc>
          <w:tcPr>
            <w:tcW w:w="1000" w:type="dxa"/>
            <w:vAlign w:val="bottom"/>
            <w:shd w:val="clear" w:color="auto" w:fill="F2F3F2"/>
          </w:tcPr>
          <w:p>
            <w:pPr>
              <w:ind w:left="820"/>
              <w:spacing w:after="0"/>
              <w:rPr>
                <w:sz w:val="20"/>
                <w:szCs w:val="20"/>
                <w:color w:val="auto"/>
              </w:rPr>
            </w:pPr>
            <w:r>
              <w:rPr>
                <w:rFonts w:ascii="Arial" w:cs="Arial" w:eastAsia="Arial" w:hAnsi="Arial"/>
                <w:sz w:val="13"/>
                <w:szCs w:val="13"/>
                <w:color w:val="auto"/>
              </w:rPr>
              <w:t>—</w:t>
            </w:r>
          </w:p>
        </w:tc>
        <w:tc>
          <w:tcPr>
            <w:tcW w:w="1160" w:type="dxa"/>
            <w:vAlign w:val="bottom"/>
            <w:shd w:val="clear" w:color="auto" w:fill="F2F3F2"/>
          </w:tcPr>
          <w:p>
            <w:pPr>
              <w:ind w:left="960"/>
              <w:spacing w:after="0"/>
              <w:rPr>
                <w:sz w:val="20"/>
                <w:szCs w:val="20"/>
                <w:color w:val="auto"/>
              </w:rPr>
            </w:pPr>
            <w:r>
              <w:rPr>
                <w:rFonts w:ascii="Arial" w:cs="Arial" w:eastAsia="Arial" w:hAnsi="Arial"/>
                <w:sz w:val="13"/>
                <w:szCs w:val="13"/>
                <w:color w:val="auto"/>
              </w:rPr>
              <w:t>—</w:t>
            </w:r>
          </w:p>
        </w:tc>
        <w:tc>
          <w:tcPr>
            <w:tcW w:w="740" w:type="dxa"/>
            <w:vAlign w:val="bottom"/>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F2F3F2"/>
          </w:tcPr>
          <w:p>
            <w:pPr>
              <w:ind w:left="660"/>
              <w:spacing w:after="0"/>
              <w:rPr>
                <w:sz w:val="20"/>
                <w:szCs w:val="20"/>
                <w:color w:val="auto"/>
              </w:rPr>
            </w:pPr>
            <w:r>
              <w:rPr>
                <w:rFonts w:ascii="Arial" w:cs="Arial" w:eastAsia="Arial" w:hAnsi="Arial"/>
                <w:sz w:val="14"/>
                <w:szCs w:val="14"/>
                <w:color w:val="auto"/>
              </w:rPr>
              <w:t>—</w:t>
            </w:r>
          </w:p>
        </w:tc>
        <w:tc>
          <w:tcPr>
            <w:tcW w:w="780" w:type="dxa"/>
            <w:vAlign w:val="bottom"/>
            <w:shd w:val="clear" w:color="auto" w:fill="F2F3F2"/>
          </w:tcPr>
          <w:p>
            <w:pPr>
              <w:jc w:val="right"/>
              <w:spacing w:after="0"/>
              <w:rPr>
                <w:sz w:val="20"/>
                <w:szCs w:val="20"/>
                <w:color w:val="auto"/>
              </w:rPr>
            </w:pPr>
            <w:r>
              <w:rPr>
                <w:rFonts w:ascii="Arial" w:cs="Arial" w:eastAsia="Arial" w:hAnsi="Arial"/>
                <w:sz w:val="13"/>
                <w:szCs w:val="13"/>
                <w:color w:val="auto"/>
              </w:rPr>
              <w:t>5,105</w:t>
            </w:r>
          </w:p>
        </w:tc>
        <w:tc>
          <w:tcPr>
            <w:tcW w:w="240" w:type="dxa"/>
            <w:vAlign w:val="bottom"/>
            <w:shd w:val="clear" w:color="auto" w:fill="F2F3F2"/>
          </w:tcPr>
          <w:p>
            <w:pPr>
              <w:jc w:val="right"/>
              <w:ind w:right="48"/>
              <w:spacing w:after="0"/>
              <w:rPr>
                <w:sz w:val="20"/>
                <w:szCs w:val="20"/>
                <w:color w:val="auto"/>
              </w:rPr>
            </w:pPr>
            <w:r>
              <w:rPr>
                <w:rFonts w:ascii="Arial" w:cs="Arial" w:eastAsia="Arial" w:hAnsi="Arial"/>
                <w:sz w:val="9"/>
                <w:szCs w:val="9"/>
                <w:color w:val="auto"/>
              </w:rPr>
              <w:t>(1)</w:t>
            </w:r>
          </w:p>
        </w:tc>
        <w:tc>
          <w:tcPr>
            <w:tcW w:w="800" w:type="dxa"/>
            <w:vAlign w:val="bottom"/>
            <w:shd w:val="clear" w:color="auto" w:fill="F2F3F2"/>
          </w:tcPr>
          <w:p>
            <w:pPr>
              <w:jc w:val="right"/>
              <w:ind w:right="13"/>
              <w:spacing w:after="0"/>
              <w:rPr>
                <w:sz w:val="20"/>
                <w:szCs w:val="20"/>
                <w:color w:val="auto"/>
              </w:rPr>
            </w:pPr>
            <w:r>
              <w:rPr>
                <w:rFonts w:ascii="Arial" w:cs="Arial" w:eastAsia="Arial" w:hAnsi="Arial"/>
                <w:sz w:val="13"/>
                <w:szCs w:val="13"/>
                <w:color w:val="auto"/>
              </w:rPr>
              <w:t>634,347</w:t>
            </w:r>
          </w:p>
        </w:tc>
        <w:tc>
          <w:tcPr>
            <w:tcW w:w="920" w:type="dxa"/>
            <w:vAlign w:val="bottom"/>
            <w:shd w:val="clear" w:color="auto" w:fill="F2F3F2"/>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F2F3F2"/>
          </w:tcPr>
          <w:p>
            <w:pPr>
              <w:jc w:val="right"/>
              <w:ind w:right="9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03"/>
        </w:trPr>
        <w:tc>
          <w:tcPr>
            <w:tcW w:w="820" w:type="dxa"/>
            <w:vAlign w:val="bottom"/>
            <w:tcBorders>
              <w:bottom w:val="single" w:sz="8" w:color="F2F3F2"/>
            </w:tcBorders>
            <w:vMerge w:val="continue"/>
            <w:shd w:val="clear" w:color="auto" w:fill="F2F3F2"/>
          </w:tcPr>
          <w:p>
            <w:pPr>
              <w:spacing w:after="0"/>
              <w:rPr>
                <w:sz w:val="8"/>
                <w:szCs w:val="8"/>
                <w:color w:val="auto"/>
              </w:rPr>
            </w:pPr>
          </w:p>
        </w:tc>
        <w:tc>
          <w:tcPr>
            <w:tcW w:w="640" w:type="dxa"/>
            <w:vAlign w:val="bottom"/>
            <w:tcBorders>
              <w:bottom w:val="single" w:sz="8" w:color="B2B3B6"/>
            </w:tcBorders>
            <w:shd w:val="clear" w:color="auto" w:fill="F2F3F2"/>
          </w:tcPr>
          <w:p>
            <w:pPr>
              <w:spacing w:after="0"/>
              <w:rPr>
                <w:sz w:val="8"/>
                <w:szCs w:val="8"/>
                <w:color w:val="auto"/>
              </w:rPr>
            </w:pPr>
          </w:p>
        </w:tc>
        <w:tc>
          <w:tcPr>
            <w:tcW w:w="1000" w:type="dxa"/>
            <w:vAlign w:val="bottom"/>
            <w:tcBorders>
              <w:bottom w:val="single" w:sz="8" w:color="B2B3B6"/>
            </w:tcBorders>
            <w:shd w:val="clear" w:color="auto" w:fill="F2F3F2"/>
          </w:tcPr>
          <w:p>
            <w:pPr>
              <w:spacing w:after="0"/>
              <w:rPr>
                <w:sz w:val="8"/>
                <w:szCs w:val="8"/>
                <w:color w:val="auto"/>
              </w:rPr>
            </w:pPr>
          </w:p>
        </w:tc>
        <w:tc>
          <w:tcPr>
            <w:tcW w:w="1160" w:type="dxa"/>
            <w:vAlign w:val="bottom"/>
            <w:tcBorders>
              <w:bottom w:val="single" w:sz="8" w:color="B2B3B6"/>
            </w:tcBorders>
            <w:shd w:val="clear" w:color="auto" w:fill="F2F3F2"/>
          </w:tcPr>
          <w:p>
            <w:pPr>
              <w:spacing w:after="0"/>
              <w:rPr>
                <w:sz w:val="8"/>
                <w:szCs w:val="8"/>
                <w:color w:val="auto"/>
              </w:rPr>
            </w:pPr>
          </w:p>
        </w:tc>
        <w:tc>
          <w:tcPr>
            <w:tcW w:w="740" w:type="dxa"/>
            <w:vAlign w:val="bottom"/>
            <w:tcBorders>
              <w:bottom w:val="single" w:sz="8" w:color="B2B3B6"/>
            </w:tcBorders>
            <w:shd w:val="clear" w:color="auto" w:fill="F2F3F2"/>
          </w:tcPr>
          <w:p>
            <w:pPr>
              <w:spacing w:after="0"/>
              <w:rPr>
                <w:sz w:val="8"/>
                <w:szCs w:val="8"/>
                <w:color w:val="auto"/>
              </w:rPr>
            </w:pPr>
          </w:p>
        </w:tc>
        <w:tc>
          <w:tcPr>
            <w:tcW w:w="860" w:type="dxa"/>
            <w:vAlign w:val="bottom"/>
            <w:tcBorders>
              <w:bottom w:val="single" w:sz="8" w:color="B2B3B6"/>
            </w:tcBorders>
            <w:shd w:val="clear" w:color="auto" w:fill="F2F3F2"/>
          </w:tcPr>
          <w:p>
            <w:pPr>
              <w:spacing w:after="0"/>
              <w:rPr>
                <w:sz w:val="8"/>
                <w:szCs w:val="8"/>
                <w:color w:val="auto"/>
              </w:rPr>
            </w:pPr>
          </w:p>
        </w:tc>
        <w:tc>
          <w:tcPr>
            <w:tcW w:w="780" w:type="dxa"/>
            <w:vAlign w:val="bottom"/>
            <w:tcBorders>
              <w:bottom w:val="single" w:sz="8" w:color="B2B3B6"/>
            </w:tcBorders>
            <w:shd w:val="clear" w:color="auto" w:fill="F2F3F2"/>
          </w:tcPr>
          <w:p>
            <w:pPr>
              <w:spacing w:after="0"/>
              <w:rPr>
                <w:sz w:val="8"/>
                <w:szCs w:val="8"/>
                <w:color w:val="auto"/>
              </w:rPr>
            </w:pPr>
          </w:p>
        </w:tc>
        <w:tc>
          <w:tcPr>
            <w:tcW w:w="240" w:type="dxa"/>
            <w:vAlign w:val="bottom"/>
            <w:tcBorders>
              <w:bottom w:val="single" w:sz="8" w:color="B2B3B6"/>
            </w:tcBorders>
            <w:shd w:val="clear" w:color="auto" w:fill="F2F3F2"/>
          </w:tcPr>
          <w:p>
            <w:pPr>
              <w:spacing w:after="0"/>
              <w:rPr>
                <w:sz w:val="8"/>
                <w:szCs w:val="8"/>
                <w:color w:val="auto"/>
              </w:rPr>
            </w:pPr>
          </w:p>
        </w:tc>
        <w:tc>
          <w:tcPr>
            <w:tcW w:w="800" w:type="dxa"/>
            <w:vAlign w:val="bottom"/>
            <w:tcBorders>
              <w:bottom w:val="single" w:sz="8" w:color="B2B3B6"/>
            </w:tcBorders>
            <w:shd w:val="clear" w:color="auto" w:fill="F2F3F2"/>
          </w:tcPr>
          <w:p>
            <w:pPr>
              <w:spacing w:after="0"/>
              <w:rPr>
                <w:sz w:val="8"/>
                <w:szCs w:val="8"/>
                <w:color w:val="auto"/>
              </w:rPr>
            </w:pPr>
          </w:p>
        </w:tc>
        <w:tc>
          <w:tcPr>
            <w:tcW w:w="920" w:type="dxa"/>
            <w:vAlign w:val="bottom"/>
            <w:tcBorders>
              <w:bottom w:val="single" w:sz="8" w:color="B2B3B6"/>
            </w:tcBorders>
            <w:shd w:val="clear" w:color="auto" w:fill="F2F3F2"/>
          </w:tcPr>
          <w:p>
            <w:pPr>
              <w:spacing w:after="0"/>
              <w:rPr>
                <w:sz w:val="8"/>
                <w:szCs w:val="8"/>
                <w:color w:val="auto"/>
              </w:rPr>
            </w:pPr>
          </w:p>
        </w:tc>
        <w:tc>
          <w:tcPr>
            <w:tcW w:w="1120" w:type="dxa"/>
            <w:vAlign w:val="bottom"/>
            <w:tcBorders>
              <w:bottom w:val="single" w:sz="8" w:color="B2B3B6"/>
            </w:tcBorders>
            <w:shd w:val="clear" w:color="auto" w:fill="F2F3F2"/>
          </w:tcPr>
          <w:p>
            <w:pPr>
              <w:spacing w:after="0"/>
              <w:rPr>
                <w:sz w:val="8"/>
                <w:szCs w:val="8"/>
                <w:color w:val="auto"/>
              </w:rPr>
            </w:pPr>
          </w:p>
        </w:tc>
        <w:tc>
          <w:tcPr>
            <w:tcW w:w="0" w:type="dxa"/>
            <w:vAlign w:val="bottom"/>
          </w:tcPr>
          <w:p>
            <w:pPr>
              <w:spacing w:after="0"/>
              <w:rPr>
                <w:sz w:val="1"/>
                <w:szCs w:val="1"/>
                <w:color w:val="auto"/>
              </w:rPr>
            </w:pPr>
          </w:p>
        </w:tc>
      </w:tr>
      <w:tr>
        <w:trPr>
          <w:trHeight w:val="166"/>
        </w:trPr>
        <w:tc>
          <w:tcPr>
            <w:tcW w:w="820" w:type="dxa"/>
            <w:vAlign w:val="bottom"/>
            <w:shd w:val="clear" w:color="auto" w:fill="F2F3F2"/>
          </w:tcPr>
          <w:p>
            <w:pPr>
              <w:ind w:left="140"/>
              <w:spacing w:after="0"/>
              <w:rPr>
                <w:sz w:val="20"/>
                <w:szCs w:val="20"/>
                <w:color w:val="auto"/>
              </w:rPr>
            </w:pPr>
            <w:r>
              <w:rPr>
                <w:rFonts w:ascii="Arial" w:cs="Arial" w:eastAsia="Arial" w:hAnsi="Arial"/>
                <w:sz w:val="13"/>
                <w:szCs w:val="13"/>
                <w:b w:val="1"/>
                <w:bCs w:val="1"/>
                <w:color w:val="00558C"/>
              </w:rPr>
              <w:t>Hussey</w:t>
            </w:r>
          </w:p>
        </w:tc>
        <w:tc>
          <w:tcPr>
            <w:tcW w:w="640" w:type="dxa"/>
            <w:vAlign w:val="bottom"/>
            <w:vMerge w:val="restart"/>
            <w:shd w:val="clear" w:color="auto" w:fill="F2F3F2"/>
          </w:tcPr>
          <w:p>
            <w:pPr>
              <w:jc w:val="center"/>
              <w:spacing w:after="0"/>
              <w:rPr>
                <w:sz w:val="20"/>
                <w:szCs w:val="20"/>
                <w:color w:val="auto"/>
              </w:rPr>
            </w:pPr>
            <w:r>
              <w:rPr>
                <w:rFonts w:ascii="Arial" w:cs="Arial" w:eastAsia="Arial" w:hAnsi="Arial"/>
                <w:sz w:val="13"/>
                <w:szCs w:val="13"/>
                <w:color w:val="auto"/>
              </w:rPr>
              <w:t>3/1/2023</w:t>
            </w:r>
          </w:p>
        </w:tc>
        <w:tc>
          <w:tcPr>
            <w:tcW w:w="1000" w:type="dxa"/>
            <w:vAlign w:val="bottom"/>
            <w:vMerge w:val="restart"/>
            <w:shd w:val="clear" w:color="auto" w:fill="F2F3F2"/>
          </w:tcPr>
          <w:p>
            <w:pPr>
              <w:ind w:left="820"/>
              <w:spacing w:after="0"/>
              <w:rPr>
                <w:sz w:val="20"/>
                <w:szCs w:val="20"/>
                <w:color w:val="auto"/>
              </w:rPr>
            </w:pPr>
            <w:r>
              <w:rPr>
                <w:rFonts w:ascii="Arial" w:cs="Arial" w:eastAsia="Arial" w:hAnsi="Arial"/>
                <w:sz w:val="13"/>
                <w:szCs w:val="13"/>
                <w:color w:val="auto"/>
              </w:rPr>
              <w:t>—</w:t>
            </w:r>
          </w:p>
        </w:tc>
        <w:tc>
          <w:tcPr>
            <w:tcW w:w="1160" w:type="dxa"/>
            <w:vAlign w:val="bottom"/>
            <w:vMerge w:val="restart"/>
            <w:shd w:val="clear" w:color="auto" w:fill="F2F3F2"/>
          </w:tcPr>
          <w:p>
            <w:pPr>
              <w:ind w:left="960"/>
              <w:spacing w:after="0"/>
              <w:rPr>
                <w:sz w:val="20"/>
                <w:szCs w:val="20"/>
                <w:color w:val="auto"/>
              </w:rPr>
            </w:pPr>
            <w:r>
              <w:rPr>
                <w:rFonts w:ascii="Arial" w:cs="Arial" w:eastAsia="Arial" w:hAnsi="Arial"/>
                <w:sz w:val="13"/>
                <w:szCs w:val="13"/>
                <w:color w:val="auto"/>
              </w:rPr>
              <w:t>—</w:t>
            </w:r>
          </w:p>
        </w:tc>
        <w:tc>
          <w:tcPr>
            <w:tcW w:w="740" w:type="dxa"/>
            <w:vAlign w:val="bottom"/>
            <w:vMerge w:val="restart"/>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860" w:type="dxa"/>
            <w:vAlign w:val="bottom"/>
            <w:vMerge w:val="restart"/>
            <w:shd w:val="clear" w:color="auto" w:fill="F2F3F2"/>
          </w:tcPr>
          <w:p>
            <w:pPr>
              <w:ind w:left="660"/>
              <w:spacing w:after="0"/>
              <w:rPr>
                <w:sz w:val="20"/>
                <w:szCs w:val="20"/>
                <w:color w:val="auto"/>
              </w:rPr>
            </w:pPr>
            <w:r>
              <w:rPr>
                <w:rFonts w:ascii="Arial" w:cs="Arial" w:eastAsia="Arial" w:hAnsi="Arial"/>
                <w:sz w:val="14"/>
                <w:szCs w:val="14"/>
                <w:color w:val="auto"/>
              </w:rPr>
              <w:t>—</w:t>
            </w:r>
          </w:p>
        </w:tc>
        <w:tc>
          <w:tcPr>
            <w:tcW w:w="780" w:type="dxa"/>
            <w:vAlign w:val="bottom"/>
            <w:shd w:val="clear" w:color="auto" w:fill="F2F3F2"/>
          </w:tcPr>
          <w:p>
            <w:pPr>
              <w:spacing w:after="0"/>
              <w:rPr>
                <w:sz w:val="14"/>
                <w:szCs w:val="14"/>
                <w:color w:val="auto"/>
              </w:rPr>
            </w:pPr>
          </w:p>
        </w:tc>
        <w:tc>
          <w:tcPr>
            <w:tcW w:w="240" w:type="dxa"/>
            <w:vAlign w:val="bottom"/>
            <w:vMerge w:val="restart"/>
            <w:shd w:val="clear" w:color="auto" w:fill="F2F3F2"/>
          </w:tcPr>
          <w:p>
            <w:pPr>
              <w:jc w:val="right"/>
              <w:ind w:right="48"/>
              <w:spacing w:after="0"/>
              <w:rPr>
                <w:sz w:val="20"/>
                <w:szCs w:val="20"/>
                <w:color w:val="auto"/>
              </w:rPr>
            </w:pPr>
            <w:r>
              <w:rPr>
                <w:rFonts w:ascii="Arial" w:cs="Arial" w:eastAsia="Arial" w:hAnsi="Arial"/>
                <w:sz w:val="13"/>
                <w:szCs w:val="13"/>
                <w:color w:val="auto"/>
                <w:w w:val="91"/>
              </w:rPr>
              <w:t>—</w:t>
            </w:r>
          </w:p>
        </w:tc>
        <w:tc>
          <w:tcPr>
            <w:tcW w:w="800" w:type="dxa"/>
            <w:vAlign w:val="bottom"/>
            <w:vMerge w:val="restart"/>
            <w:shd w:val="clear" w:color="auto" w:fill="F2F3F2"/>
          </w:tcPr>
          <w:p>
            <w:pPr>
              <w:jc w:val="right"/>
              <w:ind w:right="13"/>
              <w:spacing w:after="0"/>
              <w:rPr>
                <w:sz w:val="20"/>
                <w:szCs w:val="20"/>
                <w:color w:val="auto"/>
              </w:rPr>
            </w:pPr>
            <w:r>
              <w:rPr>
                <w:rFonts w:ascii="Arial" w:cs="Arial" w:eastAsia="Arial" w:hAnsi="Arial"/>
                <w:sz w:val="13"/>
                <w:szCs w:val="13"/>
                <w:color w:val="auto"/>
              </w:rPr>
              <w:t>—</w:t>
            </w:r>
          </w:p>
        </w:tc>
        <w:tc>
          <w:tcPr>
            <w:tcW w:w="920" w:type="dxa"/>
            <w:vAlign w:val="bottom"/>
            <w:vMerge w:val="restart"/>
            <w:shd w:val="clear" w:color="auto" w:fill="F2F3F2"/>
          </w:tcPr>
          <w:p>
            <w:pPr>
              <w:jc w:val="right"/>
              <w:spacing w:after="0"/>
              <w:rPr>
                <w:sz w:val="20"/>
                <w:szCs w:val="20"/>
                <w:color w:val="auto"/>
              </w:rPr>
            </w:pPr>
            <w:r>
              <w:rPr>
                <w:rFonts w:ascii="Arial" w:cs="Arial" w:eastAsia="Arial" w:hAnsi="Arial"/>
                <w:sz w:val="13"/>
                <w:szCs w:val="13"/>
                <w:color w:val="auto"/>
              </w:rPr>
              <w:t xml:space="preserve">35,734 </w:t>
            </w:r>
            <w:r>
              <w:rPr>
                <w:rFonts w:ascii="Arial" w:cs="Arial" w:eastAsia="Arial" w:hAnsi="Arial"/>
                <w:sz w:val="17"/>
                <w:szCs w:val="17"/>
                <w:color w:val="auto"/>
                <w:vertAlign w:val="superscript"/>
              </w:rPr>
              <w:t>(3)</w:t>
            </w:r>
          </w:p>
        </w:tc>
        <w:tc>
          <w:tcPr>
            <w:tcW w:w="1120" w:type="dxa"/>
            <w:vAlign w:val="bottom"/>
            <w:vMerge w:val="restart"/>
            <w:shd w:val="clear" w:color="auto" w:fill="F2F3F2"/>
          </w:tcPr>
          <w:p>
            <w:pPr>
              <w:jc w:val="right"/>
              <w:ind w:right="93"/>
              <w:spacing w:after="0"/>
              <w:rPr>
                <w:sz w:val="20"/>
                <w:szCs w:val="20"/>
                <w:color w:val="auto"/>
              </w:rPr>
            </w:pPr>
            <w:r>
              <w:rPr>
                <w:rFonts w:ascii="Arial" w:cs="Arial" w:eastAsia="Arial" w:hAnsi="Arial"/>
                <w:sz w:val="13"/>
                <w:szCs w:val="13"/>
                <w:color w:val="auto"/>
              </w:rPr>
              <w:t>4,440,307</w:t>
            </w:r>
          </w:p>
        </w:tc>
        <w:tc>
          <w:tcPr>
            <w:tcW w:w="0" w:type="dxa"/>
            <w:vAlign w:val="bottom"/>
          </w:tcPr>
          <w:p>
            <w:pPr>
              <w:spacing w:after="0"/>
              <w:rPr>
                <w:sz w:val="1"/>
                <w:szCs w:val="1"/>
                <w:color w:val="auto"/>
              </w:rPr>
            </w:pPr>
          </w:p>
        </w:tc>
      </w:tr>
      <w:tr>
        <w:trPr>
          <w:trHeight w:val="190"/>
        </w:trPr>
        <w:tc>
          <w:tcPr>
            <w:tcW w:w="820" w:type="dxa"/>
            <w:vAlign w:val="bottom"/>
            <w:shd w:val="clear" w:color="auto" w:fill="F2F3F2"/>
          </w:tcPr>
          <w:p>
            <w:pPr>
              <w:spacing w:after="0"/>
              <w:rPr>
                <w:sz w:val="16"/>
                <w:szCs w:val="16"/>
                <w:color w:val="auto"/>
              </w:rPr>
            </w:pPr>
          </w:p>
        </w:tc>
        <w:tc>
          <w:tcPr>
            <w:tcW w:w="640" w:type="dxa"/>
            <w:vAlign w:val="bottom"/>
            <w:vMerge w:val="continue"/>
            <w:shd w:val="clear" w:color="auto" w:fill="F2F3F2"/>
          </w:tcPr>
          <w:p>
            <w:pPr>
              <w:spacing w:after="0"/>
              <w:rPr>
                <w:sz w:val="16"/>
                <w:szCs w:val="16"/>
                <w:color w:val="auto"/>
              </w:rPr>
            </w:pPr>
          </w:p>
        </w:tc>
        <w:tc>
          <w:tcPr>
            <w:tcW w:w="1000" w:type="dxa"/>
            <w:vAlign w:val="bottom"/>
            <w:vMerge w:val="continue"/>
            <w:shd w:val="clear" w:color="auto" w:fill="F2F3F2"/>
          </w:tcPr>
          <w:p>
            <w:pPr>
              <w:spacing w:after="0"/>
              <w:rPr>
                <w:sz w:val="16"/>
                <w:szCs w:val="16"/>
                <w:color w:val="auto"/>
              </w:rPr>
            </w:pPr>
          </w:p>
        </w:tc>
        <w:tc>
          <w:tcPr>
            <w:tcW w:w="1160" w:type="dxa"/>
            <w:vAlign w:val="bottom"/>
            <w:vMerge w:val="continue"/>
            <w:shd w:val="clear" w:color="auto" w:fill="F2F3F2"/>
          </w:tcPr>
          <w:p>
            <w:pPr>
              <w:spacing w:after="0"/>
              <w:rPr>
                <w:sz w:val="16"/>
                <w:szCs w:val="16"/>
                <w:color w:val="auto"/>
              </w:rPr>
            </w:pPr>
          </w:p>
        </w:tc>
        <w:tc>
          <w:tcPr>
            <w:tcW w:w="740" w:type="dxa"/>
            <w:vAlign w:val="bottom"/>
            <w:vMerge w:val="continue"/>
            <w:shd w:val="clear" w:color="auto" w:fill="F2F3F2"/>
          </w:tcPr>
          <w:p>
            <w:pPr>
              <w:spacing w:after="0"/>
              <w:rPr>
                <w:sz w:val="16"/>
                <w:szCs w:val="16"/>
                <w:color w:val="auto"/>
              </w:rPr>
            </w:pPr>
          </w:p>
        </w:tc>
        <w:tc>
          <w:tcPr>
            <w:tcW w:w="860" w:type="dxa"/>
            <w:vAlign w:val="bottom"/>
            <w:vMerge w:val="continue"/>
            <w:shd w:val="clear" w:color="auto" w:fill="F2F3F2"/>
          </w:tcPr>
          <w:p>
            <w:pPr>
              <w:spacing w:after="0"/>
              <w:rPr>
                <w:sz w:val="16"/>
                <w:szCs w:val="16"/>
                <w:color w:val="auto"/>
              </w:rPr>
            </w:pPr>
          </w:p>
        </w:tc>
        <w:tc>
          <w:tcPr>
            <w:tcW w:w="780" w:type="dxa"/>
            <w:vAlign w:val="bottom"/>
            <w:shd w:val="clear" w:color="auto" w:fill="F2F3F2"/>
          </w:tcPr>
          <w:p>
            <w:pPr>
              <w:spacing w:after="0"/>
              <w:rPr>
                <w:sz w:val="16"/>
                <w:szCs w:val="16"/>
                <w:color w:val="auto"/>
              </w:rPr>
            </w:pPr>
          </w:p>
        </w:tc>
        <w:tc>
          <w:tcPr>
            <w:tcW w:w="240" w:type="dxa"/>
            <w:vAlign w:val="bottom"/>
            <w:vMerge w:val="continue"/>
            <w:shd w:val="clear" w:color="auto" w:fill="F2F3F2"/>
          </w:tcPr>
          <w:p>
            <w:pPr>
              <w:spacing w:after="0"/>
              <w:rPr>
                <w:sz w:val="16"/>
                <w:szCs w:val="16"/>
                <w:color w:val="auto"/>
              </w:rPr>
            </w:pPr>
          </w:p>
        </w:tc>
        <w:tc>
          <w:tcPr>
            <w:tcW w:w="800" w:type="dxa"/>
            <w:vAlign w:val="bottom"/>
            <w:vMerge w:val="continue"/>
            <w:shd w:val="clear" w:color="auto" w:fill="F2F3F2"/>
          </w:tcPr>
          <w:p>
            <w:pPr>
              <w:spacing w:after="0"/>
              <w:rPr>
                <w:sz w:val="16"/>
                <w:szCs w:val="16"/>
                <w:color w:val="auto"/>
              </w:rPr>
            </w:pPr>
          </w:p>
        </w:tc>
        <w:tc>
          <w:tcPr>
            <w:tcW w:w="920" w:type="dxa"/>
            <w:vAlign w:val="bottom"/>
            <w:vMerge w:val="continue"/>
            <w:shd w:val="clear" w:color="auto" w:fill="F2F3F2"/>
          </w:tcPr>
          <w:p>
            <w:pPr>
              <w:spacing w:after="0"/>
              <w:rPr>
                <w:sz w:val="16"/>
                <w:szCs w:val="16"/>
                <w:color w:val="auto"/>
              </w:rPr>
            </w:pPr>
          </w:p>
        </w:tc>
        <w:tc>
          <w:tcPr>
            <w:tcW w:w="1120" w:type="dxa"/>
            <w:vAlign w:val="bottom"/>
            <w:vMerge w:val="continue"/>
            <w:shd w:val="clear" w:color="auto" w:fill="F2F3F2"/>
          </w:tcPr>
          <w:p>
            <w:pPr>
              <w:spacing w:after="0"/>
              <w:rPr>
                <w:sz w:val="16"/>
                <w:szCs w:val="16"/>
                <w:color w:val="auto"/>
              </w:rPr>
            </w:pPr>
          </w:p>
        </w:tc>
        <w:tc>
          <w:tcPr>
            <w:tcW w:w="0" w:type="dxa"/>
            <w:vAlign w:val="bottom"/>
          </w:tcPr>
          <w:p>
            <w:pPr>
              <w:spacing w:after="0"/>
              <w:rPr>
                <w:sz w:val="1"/>
                <w:szCs w:val="1"/>
                <w:color w:val="auto"/>
              </w:rPr>
            </w:pPr>
          </w:p>
        </w:tc>
      </w:tr>
      <w:tr>
        <w:trPr>
          <w:trHeight w:val="69"/>
        </w:trPr>
        <w:tc>
          <w:tcPr>
            <w:tcW w:w="820" w:type="dxa"/>
            <w:vAlign w:val="bottom"/>
            <w:tcBorders>
              <w:bottom w:val="single" w:sz="8" w:color="F2F3F2"/>
            </w:tcBorders>
            <w:shd w:val="clear" w:color="auto" w:fill="F2F3F2"/>
          </w:tcPr>
          <w:p>
            <w:pPr>
              <w:spacing w:after="0"/>
              <w:rPr>
                <w:sz w:val="5"/>
                <w:szCs w:val="5"/>
                <w:color w:val="auto"/>
              </w:rPr>
            </w:pPr>
          </w:p>
        </w:tc>
        <w:tc>
          <w:tcPr>
            <w:tcW w:w="640" w:type="dxa"/>
            <w:vAlign w:val="bottom"/>
            <w:tcBorders>
              <w:bottom w:val="single" w:sz="8" w:color="B2B3B6"/>
            </w:tcBorders>
            <w:shd w:val="clear" w:color="auto" w:fill="F2F3F2"/>
          </w:tcPr>
          <w:p>
            <w:pPr>
              <w:spacing w:after="0"/>
              <w:rPr>
                <w:sz w:val="5"/>
                <w:szCs w:val="5"/>
                <w:color w:val="auto"/>
              </w:rPr>
            </w:pPr>
          </w:p>
        </w:tc>
        <w:tc>
          <w:tcPr>
            <w:tcW w:w="1000" w:type="dxa"/>
            <w:vAlign w:val="bottom"/>
            <w:tcBorders>
              <w:bottom w:val="single" w:sz="8" w:color="B2B3B6"/>
            </w:tcBorders>
            <w:shd w:val="clear" w:color="auto" w:fill="F2F3F2"/>
          </w:tcPr>
          <w:p>
            <w:pPr>
              <w:spacing w:after="0"/>
              <w:rPr>
                <w:sz w:val="5"/>
                <w:szCs w:val="5"/>
                <w:color w:val="auto"/>
              </w:rPr>
            </w:pPr>
          </w:p>
        </w:tc>
        <w:tc>
          <w:tcPr>
            <w:tcW w:w="1160" w:type="dxa"/>
            <w:vAlign w:val="bottom"/>
            <w:tcBorders>
              <w:bottom w:val="single" w:sz="8" w:color="B2B3B6"/>
            </w:tcBorders>
            <w:shd w:val="clear" w:color="auto" w:fill="F2F3F2"/>
          </w:tcPr>
          <w:p>
            <w:pPr>
              <w:spacing w:after="0"/>
              <w:rPr>
                <w:sz w:val="5"/>
                <w:szCs w:val="5"/>
                <w:color w:val="auto"/>
              </w:rPr>
            </w:pPr>
          </w:p>
        </w:tc>
        <w:tc>
          <w:tcPr>
            <w:tcW w:w="740" w:type="dxa"/>
            <w:vAlign w:val="bottom"/>
            <w:tcBorders>
              <w:bottom w:val="single" w:sz="8" w:color="B2B3B6"/>
            </w:tcBorders>
            <w:shd w:val="clear" w:color="auto" w:fill="F2F3F2"/>
          </w:tcPr>
          <w:p>
            <w:pPr>
              <w:spacing w:after="0"/>
              <w:rPr>
                <w:sz w:val="5"/>
                <w:szCs w:val="5"/>
                <w:color w:val="auto"/>
              </w:rPr>
            </w:pPr>
          </w:p>
        </w:tc>
        <w:tc>
          <w:tcPr>
            <w:tcW w:w="860" w:type="dxa"/>
            <w:vAlign w:val="bottom"/>
            <w:tcBorders>
              <w:bottom w:val="single" w:sz="8" w:color="B2B3B6"/>
            </w:tcBorders>
            <w:shd w:val="clear" w:color="auto" w:fill="F2F3F2"/>
          </w:tcPr>
          <w:p>
            <w:pPr>
              <w:spacing w:after="0"/>
              <w:rPr>
                <w:sz w:val="5"/>
                <w:szCs w:val="5"/>
                <w:color w:val="auto"/>
              </w:rPr>
            </w:pPr>
          </w:p>
        </w:tc>
        <w:tc>
          <w:tcPr>
            <w:tcW w:w="780" w:type="dxa"/>
            <w:vAlign w:val="bottom"/>
            <w:tcBorders>
              <w:bottom w:val="single" w:sz="8" w:color="B2B3B6"/>
            </w:tcBorders>
            <w:shd w:val="clear" w:color="auto" w:fill="F2F3F2"/>
          </w:tcPr>
          <w:p>
            <w:pPr>
              <w:spacing w:after="0"/>
              <w:rPr>
                <w:sz w:val="5"/>
                <w:szCs w:val="5"/>
                <w:color w:val="auto"/>
              </w:rPr>
            </w:pPr>
          </w:p>
        </w:tc>
        <w:tc>
          <w:tcPr>
            <w:tcW w:w="240" w:type="dxa"/>
            <w:vAlign w:val="bottom"/>
            <w:tcBorders>
              <w:bottom w:val="single" w:sz="8" w:color="B2B3B6"/>
            </w:tcBorders>
            <w:shd w:val="clear" w:color="auto" w:fill="F2F3F2"/>
          </w:tcPr>
          <w:p>
            <w:pPr>
              <w:spacing w:after="0"/>
              <w:rPr>
                <w:sz w:val="5"/>
                <w:szCs w:val="5"/>
                <w:color w:val="auto"/>
              </w:rPr>
            </w:pPr>
          </w:p>
        </w:tc>
        <w:tc>
          <w:tcPr>
            <w:tcW w:w="800" w:type="dxa"/>
            <w:vAlign w:val="bottom"/>
            <w:tcBorders>
              <w:bottom w:val="single" w:sz="8" w:color="B2B3B6"/>
            </w:tcBorders>
            <w:shd w:val="clear" w:color="auto" w:fill="F2F3F2"/>
          </w:tcPr>
          <w:p>
            <w:pPr>
              <w:spacing w:after="0"/>
              <w:rPr>
                <w:sz w:val="5"/>
                <w:szCs w:val="5"/>
                <w:color w:val="auto"/>
              </w:rPr>
            </w:pPr>
          </w:p>
        </w:tc>
        <w:tc>
          <w:tcPr>
            <w:tcW w:w="920" w:type="dxa"/>
            <w:vAlign w:val="bottom"/>
            <w:tcBorders>
              <w:bottom w:val="single" w:sz="8" w:color="B2B3B6"/>
            </w:tcBorders>
            <w:shd w:val="clear" w:color="auto" w:fill="F2F3F2"/>
          </w:tcPr>
          <w:p>
            <w:pPr>
              <w:spacing w:after="0"/>
              <w:rPr>
                <w:sz w:val="5"/>
                <w:szCs w:val="5"/>
                <w:color w:val="auto"/>
              </w:rPr>
            </w:pPr>
          </w:p>
        </w:tc>
        <w:tc>
          <w:tcPr>
            <w:tcW w:w="1120" w:type="dxa"/>
            <w:vAlign w:val="bottom"/>
            <w:tcBorders>
              <w:bottom w:val="single" w:sz="8" w:color="B2B3B6"/>
            </w:tcBorders>
            <w:shd w:val="clear" w:color="auto" w:fill="F2F3F2"/>
          </w:tcPr>
          <w:p>
            <w:pPr>
              <w:spacing w:after="0"/>
              <w:rPr>
                <w:sz w:val="5"/>
                <w:szCs w:val="5"/>
                <w:color w:val="auto"/>
              </w:rPr>
            </w:pPr>
          </w:p>
        </w:tc>
        <w:tc>
          <w:tcPr>
            <w:tcW w:w="0" w:type="dxa"/>
            <w:vAlign w:val="bottom"/>
          </w:tcPr>
          <w:p>
            <w:pPr>
              <w:spacing w:after="0"/>
              <w:rPr>
                <w:sz w:val="1"/>
                <w:szCs w:val="1"/>
                <w:color w:val="auto"/>
              </w:rPr>
            </w:pPr>
          </w:p>
        </w:tc>
      </w:tr>
      <w:tr>
        <w:trPr>
          <w:trHeight w:val="323"/>
        </w:trPr>
        <w:tc>
          <w:tcPr>
            <w:tcW w:w="820" w:type="dxa"/>
            <w:vAlign w:val="bottom"/>
            <w:shd w:val="clear" w:color="auto" w:fill="F2F3F2"/>
          </w:tcPr>
          <w:p>
            <w:pPr>
              <w:spacing w:after="0"/>
              <w:rPr>
                <w:sz w:val="24"/>
                <w:szCs w:val="24"/>
                <w:color w:val="auto"/>
              </w:rPr>
            </w:pPr>
          </w:p>
        </w:tc>
        <w:tc>
          <w:tcPr>
            <w:tcW w:w="640" w:type="dxa"/>
            <w:vAlign w:val="bottom"/>
            <w:shd w:val="clear" w:color="auto" w:fill="F2F3F2"/>
          </w:tcPr>
          <w:p>
            <w:pPr>
              <w:jc w:val="center"/>
              <w:spacing w:after="0"/>
              <w:rPr>
                <w:sz w:val="20"/>
                <w:szCs w:val="20"/>
                <w:color w:val="auto"/>
              </w:rPr>
            </w:pPr>
            <w:r>
              <w:rPr>
                <w:rFonts w:ascii="Arial" w:cs="Arial" w:eastAsia="Arial" w:hAnsi="Arial"/>
                <w:sz w:val="13"/>
                <w:szCs w:val="13"/>
                <w:color w:val="auto"/>
              </w:rPr>
              <w:t>3/1/2024</w:t>
            </w:r>
          </w:p>
        </w:tc>
        <w:tc>
          <w:tcPr>
            <w:tcW w:w="1000" w:type="dxa"/>
            <w:vAlign w:val="bottom"/>
            <w:shd w:val="clear" w:color="auto" w:fill="F2F3F2"/>
          </w:tcPr>
          <w:p>
            <w:pPr>
              <w:ind w:left="820"/>
              <w:spacing w:after="0"/>
              <w:rPr>
                <w:sz w:val="20"/>
                <w:szCs w:val="20"/>
                <w:color w:val="auto"/>
              </w:rPr>
            </w:pPr>
            <w:r>
              <w:rPr>
                <w:rFonts w:ascii="Arial" w:cs="Arial" w:eastAsia="Arial" w:hAnsi="Arial"/>
                <w:sz w:val="13"/>
                <w:szCs w:val="13"/>
                <w:color w:val="auto"/>
              </w:rPr>
              <w:t>—</w:t>
            </w:r>
          </w:p>
        </w:tc>
        <w:tc>
          <w:tcPr>
            <w:tcW w:w="1160" w:type="dxa"/>
            <w:vAlign w:val="bottom"/>
            <w:shd w:val="clear" w:color="auto" w:fill="F2F3F2"/>
          </w:tcPr>
          <w:p>
            <w:pPr>
              <w:ind w:left="960"/>
              <w:spacing w:after="0"/>
              <w:rPr>
                <w:sz w:val="20"/>
                <w:szCs w:val="20"/>
                <w:color w:val="auto"/>
              </w:rPr>
            </w:pPr>
            <w:r>
              <w:rPr>
                <w:rFonts w:ascii="Arial" w:cs="Arial" w:eastAsia="Arial" w:hAnsi="Arial"/>
                <w:sz w:val="13"/>
                <w:szCs w:val="13"/>
                <w:color w:val="auto"/>
              </w:rPr>
              <w:t>—</w:t>
            </w:r>
          </w:p>
        </w:tc>
        <w:tc>
          <w:tcPr>
            <w:tcW w:w="740" w:type="dxa"/>
            <w:vAlign w:val="bottom"/>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F2F3F2"/>
          </w:tcPr>
          <w:p>
            <w:pPr>
              <w:ind w:left="660"/>
              <w:spacing w:after="0"/>
              <w:rPr>
                <w:sz w:val="20"/>
                <w:szCs w:val="20"/>
                <w:color w:val="auto"/>
              </w:rPr>
            </w:pPr>
            <w:r>
              <w:rPr>
                <w:rFonts w:ascii="Arial" w:cs="Arial" w:eastAsia="Arial" w:hAnsi="Arial"/>
                <w:sz w:val="14"/>
                <w:szCs w:val="14"/>
                <w:color w:val="auto"/>
              </w:rPr>
              <w:t>—</w:t>
            </w:r>
          </w:p>
        </w:tc>
        <w:tc>
          <w:tcPr>
            <w:tcW w:w="780" w:type="dxa"/>
            <w:vAlign w:val="bottom"/>
            <w:shd w:val="clear" w:color="auto" w:fill="F2F3F2"/>
          </w:tcPr>
          <w:p>
            <w:pPr>
              <w:jc w:val="right"/>
              <w:spacing w:after="0"/>
              <w:rPr>
                <w:sz w:val="20"/>
                <w:szCs w:val="20"/>
                <w:color w:val="auto"/>
              </w:rPr>
            </w:pPr>
            <w:r>
              <w:rPr>
                <w:rFonts w:ascii="Arial" w:cs="Arial" w:eastAsia="Arial" w:hAnsi="Arial"/>
                <w:sz w:val="13"/>
                <w:szCs w:val="13"/>
                <w:color w:val="auto"/>
              </w:rPr>
              <w:t>10,752</w:t>
            </w:r>
          </w:p>
        </w:tc>
        <w:tc>
          <w:tcPr>
            <w:tcW w:w="240" w:type="dxa"/>
            <w:vAlign w:val="bottom"/>
            <w:shd w:val="clear" w:color="auto" w:fill="F2F3F2"/>
          </w:tcPr>
          <w:p>
            <w:pPr>
              <w:jc w:val="right"/>
              <w:ind w:right="48"/>
              <w:spacing w:after="0"/>
              <w:rPr>
                <w:sz w:val="20"/>
                <w:szCs w:val="20"/>
                <w:color w:val="auto"/>
              </w:rPr>
            </w:pPr>
            <w:r>
              <w:rPr>
                <w:rFonts w:ascii="Arial" w:cs="Arial" w:eastAsia="Arial" w:hAnsi="Arial"/>
                <w:sz w:val="9"/>
                <w:szCs w:val="9"/>
                <w:color w:val="auto"/>
              </w:rPr>
              <w:t>(1)</w:t>
            </w:r>
          </w:p>
        </w:tc>
        <w:tc>
          <w:tcPr>
            <w:tcW w:w="800" w:type="dxa"/>
            <w:vAlign w:val="bottom"/>
            <w:shd w:val="clear" w:color="auto" w:fill="F2F3F2"/>
          </w:tcPr>
          <w:p>
            <w:pPr>
              <w:jc w:val="right"/>
              <w:ind w:right="13"/>
              <w:spacing w:after="0"/>
              <w:rPr>
                <w:sz w:val="20"/>
                <w:szCs w:val="20"/>
                <w:color w:val="auto"/>
              </w:rPr>
            </w:pPr>
            <w:r>
              <w:rPr>
                <w:rFonts w:ascii="Arial" w:cs="Arial" w:eastAsia="Arial" w:hAnsi="Arial"/>
                <w:sz w:val="13"/>
                <w:szCs w:val="13"/>
                <w:color w:val="auto"/>
              </w:rPr>
              <w:t>1,336,044</w:t>
            </w:r>
          </w:p>
        </w:tc>
        <w:tc>
          <w:tcPr>
            <w:tcW w:w="920" w:type="dxa"/>
            <w:vAlign w:val="bottom"/>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1120" w:type="dxa"/>
            <w:vAlign w:val="bottom"/>
            <w:shd w:val="clear" w:color="auto" w:fill="F2F3F2"/>
          </w:tcPr>
          <w:p>
            <w:pPr>
              <w:jc w:val="right"/>
              <w:ind w:right="9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02"/>
        </w:trPr>
        <w:tc>
          <w:tcPr>
            <w:tcW w:w="820" w:type="dxa"/>
            <w:vAlign w:val="bottom"/>
            <w:tcBorders>
              <w:bottom w:val="single" w:sz="8" w:color="F2F3F2"/>
            </w:tcBorders>
            <w:shd w:val="clear" w:color="auto" w:fill="F2F3F2"/>
          </w:tcPr>
          <w:p>
            <w:pPr>
              <w:spacing w:after="0"/>
              <w:rPr>
                <w:sz w:val="8"/>
                <w:szCs w:val="8"/>
                <w:color w:val="auto"/>
              </w:rPr>
            </w:pPr>
          </w:p>
        </w:tc>
        <w:tc>
          <w:tcPr>
            <w:tcW w:w="640" w:type="dxa"/>
            <w:vAlign w:val="bottom"/>
            <w:tcBorders>
              <w:bottom w:val="single" w:sz="8" w:color="B2B3B6"/>
            </w:tcBorders>
            <w:shd w:val="clear" w:color="auto" w:fill="F2F3F2"/>
          </w:tcPr>
          <w:p>
            <w:pPr>
              <w:spacing w:after="0"/>
              <w:rPr>
                <w:sz w:val="8"/>
                <w:szCs w:val="8"/>
                <w:color w:val="auto"/>
              </w:rPr>
            </w:pPr>
          </w:p>
        </w:tc>
        <w:tc>
          <w:tcPr>
            <w:tcW w:w="1000" w:type="dxa"/>
            <w:vAlign w:val="bottom"/>
            <w:tcBorders>
              <w:bottom w:val="single" w:sz="8" w:color="B2B3B6"/>
            </w:tcBorders>
            <w:shd w:val="clear" w:color="auto" w:fill="F2F3F2"/>
          </w:tcPr>
          <w:p>
            <w:pPr>
              <w:spacing w:after="0"/>
              <w:rPr>
                <w:sz w:val="8"/>
                <w:szCs w:val="8"/>
                <w:color w:val="auto"/>
              </w:rPr>
            </w:pPr>
          </w:p>
        </w:tc>
        <w:tc>
          <w:tcPr>
            <w:tcW w:w="1160" w:type="dxa"/>
            <w:vAlign w:val="bottom"/>
            <w:tcBorders>
              <w:bottom w:val="single" w:sz="8" w:color="B2B3B6"/>
            </w:tcBorders>
            <w:shd w:val="clear" w:color="auto" w:fill="F2F3F2"/>
          </w:tcPr>
          <w:p>
            <w:pPr>
              <w:spacing w:after="0"/>
              <w:rPr>
                <w:sz w:val="8"/>
                <w:szCs w:val="8"/>
                <w:color w:val="auto"/>
              </w:rPr>
            </w:pPr>
          </w:p>
        </w:tc>
        <w:tc>
          <w:tcPr>
            <w:tcW w:w="740" w:type="dxa"/>
            <w:vAlign w:val="bottom"/>
            <w:tcBorders>
              <w:bottom w:val="single" w:sz="8" w:color="B2B3B6"/>
            </w:tcBorders>
            <w:shd w:val="clear" w:color="auto" w:fill="F2F3F2"/>
          </w:tcPr>
          <w:p>
            <w:pPr>
              <w:spacing w:after="0"/>
              <w:rPr>
                <w:sz w:val="8"/>
                <w:szCs w:val="8"/>
                <w:color w:val="auto"/>
              </w:rPr>
            </w:pPr>
          </w:p>
        </w:tc>
        <w:tc>
          <w:tcPr>
            <w:tcW w:w="860" w:type="dxa"/>
            <w:vAlign w:val="bottom"/>
            <w:tcBorders>
              <w:bottom w:val="single" w:sz="8" w:color="B2B3B6"/>
            </w:tcBorders>
            <w:shd w:val="clear" w:color="auto" w:fill="F2F3F2"/>
          </w:tcPr>
          <w:p>
            <w:pPr>
              <w:spacing w:after="0"/>
              <w:rPr>
                <w:sz w:val="8"/>
                <w:szCs w:val="8"/>
                <w:color w:val="auto"/>
              </w:rPr>
            </w:pPr>
          </w:p>
        </w:tc>
        <w:tc>
          <w:tcPr>
            <w:tcW w:w="780" w:type="dxa"/>
            <w:vAlign w:val="bottom"/>
            <w:tcBorders>
              <w:bottom w:val="single" w:sz="8" w:color="B2B3B6"/>
            </w:tcBorders>
            <w:shd w:val="clear" w:color="auto" w:fill="F2F3F2"/>
          </w:tcPr>
          <w:p>
            <w:pPr>
              <w:spacing w:after="0"/>
              <w:rPr>
                <w:sz w:val="8"/>
                <w:szCs w:val="8"/>
                <w:color w:val="auto"/>
              </w:rPr>
            </w:pPr>
          </w:p>
        </w:tc>
        <w:tc>
          <w:tcPr>
            <w:tcW w:w="240" w:type="dxa"/>
            <w:vAlign w:val="bottom"/>
            <w:tcBorders>
              <w:bottom w:val="single" w:sz="8" w:color="B2B3B6"/>
            </w:tcBorders>
            <w:shd w:val="clear" w:color="auto" w:fill="F2F3F2"/>
          </w:tcPr>
          <w:p>
            <w:pPr>
              <w:spacing w:after="0"/>
              <w:rPr>
                <w:sz w:val="8"/>
                <w:szCs w:val="8"/>
                <w:color w:val="auto"/>
              </w:rPr>
            </w:pPr>
          </w:p>
        </w:tc>
        <w:tc>
          <w:tcPr>
            <w:tcW w:w="800" w:type="dxa"/>
            <w:vAlign w:val="bottom"/>
            <w:tcBorders>
              <w:bottom w:val="single" w:sz="8" w:color="B2B3B6"/>
            </w:tcBorders>
            <w:shd w:val="clear" w:color="auto" w:fill="F2F3F2"/>
          </w:tcPr>
          <w:p>
            <w:pPr>
              <w:spacing w:after="0"/>
              <w:rPr>
                <w:sz w:val="8"/>
                <w:szCs w:val="8"/>
                <w:color w:val="auto"/>
              </w:rPr>
            </w:pPr>
          </w:p>
        </w:tc>
        <w:tc>
          <w:tcPr>
            <w:tcW w:w="920" w:type="dxa"/>
            <w:vAlign w:val="bottom"/>
            <w:tcBorders>
              <w:bottom w:val="single" w:sz="8" w:color="B2B3B6"/>
            </w:tcBorders>
            <w:shd w:val="clear" w:color="auto" w:fill="F2F3F2"/>
          </w:tcPr>
          <w:p>
            <w:pPr>
              <w:spacing w:after="0"/>
              <w:rPr>
                <w:sz w:val="8"/>
                <w:szCs w:val="8"/>
                <w:color w:val="auto"/>
              </w:rPr>
            </w:pPr>
          </w:p>
        </w:tc>
        <w:tc>
          <w:tcPr>
            <w:tcW w:w="1120" w:type="dxa"/>
            <w:vAlign w:val="bottom"/>
            <w:tcBorders>
              <w:bottom w:val="single" w:sz="8" w:color="B2B3B6"/>
            </w:tcBorders>
            <w:shd w:val="clear" w:color="auto" w:fill="F2F3F2"/>
          </w:tcPr>
          <w:p>
            <w:pPr>
              <w:spacing w:after="0"/>
              <w:rPr>
                <w:sz w:val="8"/>
                <w:szCs w:val="8"/>
                <w:color w:val="auto"/>
              </w:rPr>
            </w:pPr>
          </w:p>
        </w:tc>
        <w:tc>
          <w:tcPr>
            <w:tcW w:w="0" w:type="dxa"/>
            <w:vAlign w:val="bottom"/>
          </w:tcPr>
          <w:p>
            <w:pPr>
              <w:spacing w:after="0"/>
              <w:rPr>
                <w:sz w:val="1"/>
                <w:szCs w:val="1"/>
                <w:color w:val="auto"/>
              </w:rPr>
            </w:pPr>
          </w:p>
        </w:tc>
      </w:tr>
      <w:tr>
        <w:trPr>
          <w:trHeight w:val="357"/>
        </w:trPr>
        <w:tc>
          <w:tcPr>
            <w:tcW w:w="820" w:type="dxa"/>
            <w:vAlign w:val="bottom"/>
            <w:shd w:val="clear" w:color="auto" w:fill="F2F3F2"/>
          </w:tcPr>
          <w:p>
            <w:pPr>
              <w:spacing w:after="0"/>
              <w:rPr>
                <w:sz w:val="24"/>
                <w:szCs w:val="24"/>
                <w:color w:val="auto"/>
              </w:rPr>
            </w:pPr>
          </w:p>
        </w:tc>
        <w:tc>
          <w:tcPr>
            <w:tcW w:w="640" w:type="dxa"/>
            <w:vAlign w:val="bottom"/>
            <w:shd w:val="clear" w:color="auto" w:fill="F2F3F2"/>
          </w:tcPr>
          <w:p>
            <w:pPr>
              <w:jc w:val="center"/>
              <w:spacing w:after="0"/>
              <w:rPr>
                <w:sz w:val="20"/>
                <w:szCs w:val="20"/>
                <w:color w:val="auto"/>
              </w:rPr>
            </w:pPr>
            <w:r>
              <w:rPr>
                <w:rFonts w:ascii="Arial" w:cs="Arial" w:eastAsia="Arial" w:hAnsi="Arial"/>
                <w:sz w:val="13"/>
                <w:szCs w:val="13"/>
                <w:color w:val="auto"/>
              </w:rPr>
              <w:t>3/1/2024</w:t>
            </w:r>
          </w:p>
        </w:tc>
        <w:tc>
          <w:tcPr>
            <w:tcW w:w="1000" w:type="dxa"/>
            <w:vAlign w:val="bottom"/>
            <w:shd w:val="clear" w:color="auto" w:fill="F2F3F2"/>
          </w:tcPr>
          <w:p>
            <w:pPr>
              <w:ind w:left="820"/>
              <w:spacing w:after="0"/>
              <w:rPr>
                <w:sz w:val="20"/>
                <w:szCs w:val="20"/>
                <w:color w:val="auto"/>
              </w:rPr>
            </w:pPr>
            <w:r>
              <w:rPr>
                <w:rFonts w:ascii="Arial" w:cs="Arial" w:eastAsia="Arial" w:hAnsi="Arial"/>
                <w:sz w:val="13"/>
                <w:szCs w:val="13"/>
                <w:color w:val="auto"/>
              </w:rPr>
              <w:t>—</w:t>
            </w:r>
          </w:p>
        </w:tc>
        <w:tc>
          <w:tcPr>
            <w:tcW w:w="1160" w:type="dxa"/>
            <w:vAlign w:val="bottom"/>
            <w:shd w:val="clear" w:color="auto" w:fill="F2F3F2"/>
          </w:tcPr>
          <w:p>
            <w:pPr>
              <w:ind w:left="960"/>
              <w:spacing w:after="0"/>
              <w:rPr>
                <w:sz w:val="20"/>
                <w:szCs w:val="20"/>
                <w:color w:val="auto"/>
              </w:rPr>
            </w:pPr>
            <w:r>
              <w:rPr>
                <w:rFonts w:ascii="Arial" w:cs="Arial" w:eastAsia="Arial" w:hAnsi="Arial"/>
                <w:sz w:val="13"/>
                <w:szCs w:val="13"/>
                <w:color w:val="auto"/>
              </w:rPr>
              <w:t>—</w:t>
            </w:r>
          </w:p>
        </w:tc>
        <w:tc>
          <w:tcPr>
            <w:tcW w:w="740" w:type="dxa"/>
            <w:vAlign w:val="bottom"/>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F2F3F2"/>
          </w:tcPr>
          <w:p>
            <w:pPr>
              <w:ind w:left="660"/>
              <w:spacing w:after="0"/>
              <w:rPr>
                <w:sz w:val="20"/>
                <w:szCs w:val="20"/>
                <w:color w:val="auto"/>
              </w:rPr>
            </w:pPr>
            <w:r>
              <w:rPr>
                <w:rFonts w:ascii="Arial" w:cs="Arial" w:eastAsia="Arial" w:hAnsi="Arial"/>
                <w:sz w:val="14"/>
                <w:szCs w:val="14"/>
                <w:color w:val="auto"/>
              </w:rPr>
              <w:t>—</w:t>
            </w:r>
          </w:p>
        </w:tc>
        <w:tc>
          <w:tcPr>
            <w:tcW w:w="780" w:type="dxa"/>
            <w:vAlign w:val="bottom"/>
            <w:shd w:val="clear" w:color="auto" w:fill="F2F3F2"/>
          </w:tcPr>
          <w:p>
            <w:pPr>
              <w:spacing w:after="0"/>
              <w:rPr>
                <w:sz w:val="24"/>
                <w:szCs w:val="24"/>
                <w:color w:val="auto"/>
              </w:rPr>
            </w:pPr>
          </w:p>
        </w:tc>
        <w:tc>
          <w:tcPr>
            <w:tcW w:w="240" w:type="dxa"/>
            <w:vAlign w:val="bottom"/>
            <w:shd w:val="clear" w:color="auto" w:fill="F2F3F2"/>
          </w:tcPr>
          <w:p>
            <w:pPr>
              <w:jc w:val="right"/>
              <w:ind w:right="48"/>
              <w:spacing w:after="0"/>
              <w:rPr>
                <w:sz w:val="20"/>
                <w:szCs w:val="20"/>
                <w:color w:val="auto"/>
              </w:rPr>
            </w:pPr>
            <w:r>
              <w:rPr>
                <w:rFonts w:ascii="Arial" w:cs="Arial" w:eastAsia="Arial" w:hAnsi="Arial"/>
                <w:sz w:val="13"/>
                <w:szCs w:val="13"/>
                <w:color w:val="auto"/>
                <w:w w:val="91"/>
              </w:rPr>
              <w:t>—</w:t>
            </w:r>
          </w:p>
        </w:tc>
        <w:tc>
          <w:tcPr>
            <w:tcW w:w="800" w:type="dxa"/>
            <w:vAlign w:val="bottom"/>
            <w:shd w:val="clear" w:color="auto" w:fill="F2F3F2"/>
          </w:tcPr>
          <w:p>
            <w:pPr>
              <w:jc w:val="right"/>
              <w:ind w:right="13"/>
              <w:spacing w:after="0"/>
              <w:rPr>
                <w:sz w:val="20"/>
                <w:szCs w:val="20"/>
                <w:color w:val="auto"/>
              </w:rPr>
            </w:pPr>
            <w:r>
              <w:rPr>
                <w:rFonts w:ascii="Arial" w:cs="Arial" w:eastAsia="Arial" w:hAnsi="Arial"/>
                <w:sz w:val="13"/>
                <w:szCs w:val="13"/>
                <w:color w:val="auto"/>
              </w:rPr>
              <w:t>—</w:t>
            </w:r>
          </w:p>
        </w:tc>
        <w:tc>
          <w:tcPr>
            <w:tcW w:w="920" w:type="dxa"/>
            <w:vAlign w:val="bottom"/>
            <w:shd w:val="clear" w:color="auto" w:fill="F2F3F2"/>
          </w:tcPr>
          <w:p>
            <w:pPr>
              <w:jc w:val="right"/>
              <w:spacing w:after="0"/>
              <w:rPr>
                <w:sz w:val="20"/>
                <w:szCs w:val="20"/>
                <w:color w:val="auto"/>
              </w:rPr>
            </w:pPr>
            <w:r>
              <w:rPr>
                <w:rFonts w:ascii="Arial" w:cs="Arial" w:eastAsia="Arial" w:hAnsi="Arial"/>
                <w:sz w:val="13"/>
                <w:szCs w:val="13"/>
                <w:color w:val="auto"/>
              </w:rPr>
              <w:t xml:space="preserve">25,088 </w:t>
            </w:r>
            <w:r>
              <w:rPr>
                <w:rFonts w:ascii="Arial" w:cs="Arial" w:eastAsia="Arial" w:hAnsi="Arial"/>
                <w:sz w:val="17"/>
                <w:szCs w:val="17"/>
                <w:color w:val="auto"/>
                <w:vertAlign w:val="superscript"/>
              </w:rPr>
              <w:t>(4)</w:t>
            </w:r>
          </w:p>
        </w:tc>
        <w:tc>
          <w:tcPr>
            <w:tcW w:w="1120" w:type="dxa"/>
            <w:vAlign w:val="bottom"/>
            <w:shd w:val="clear" w:color="auto" w:fill="F2F3F2"/>
          </w:tcPr>
          <w:p>
            <w:pPr>
              <w:jc w:val="right"/>
              <w:ind w:right="113"/>
              <w:spacing w:after="0"/>
              <w:rPr>
                <w:sz w:val="20"/>
                <w:szCs w:val="20"/>
                <w:color w:val="auto"/>
              </w:rPr>
            </w:pPr>
            <w:r>
              <w:rPr>
                <w:rFonts w:ascii="Arial" w:cs="Arial" w:eastAsia="Arial" w:hAnsi="Arial"/>
                <w:sz w:val="13"/>
                <w:szCs w:val="13"/>
                <w:color w:val="auto"/>
              </w:rPr>
              <w:t>3,117,435</w:t>
            </w:r>
          </w:p>
        </w:tc>
        <w:tc>
          <w:tcPr>
            <w:tcW w:w="0" w:type="dxa"/>
            <w:vAlign w:val="bottom"/>
          </w:tcPr>
          <w:p>
            <w:pPr>
              <w:spacing w:after="0"/>
              <w:rPr>
                <w:sz w:val="1"/>
                <w:szCs w:val="1"/>
                <w:color w:val="auto"/>
              </w:rPr>
            </w:pPr>
          </w:p>
        </w:tc>
      </w:tr>
      <w:tr>
        <w:trPr>
          <w:trHeight w:val="69"/>
        </w:trPr>
        <w:tc>
          <w:tcPr>
            <w:tcW w:w="820" w:type="dxa"/>
            <w:vAlign w:val="bottom"/>
            <w:shd w:val="clear" w:color="auto" w:fill="F2F3F2"/>
          </w:tcPr>
          <w:p>
            <w:pPr>
              <w:spacing w:after="0"/>
              <w:rPr>
                <w:sz w:val="5"/>
                <w:szCs w:val="5"/>
                <w:color w:val="auto"/>
              </w:rPr>
            </w:pPr>
          </w:p>
        </w:tc>
        <w:tc>
          <w:tcPr>
            <w:tcW w:w="640" w:type="dxa"/>
            <w:vAlign w:val="bottom"/>
            <w:shd w:val="clear" w:color="auto" w:fill="F2F3F2"/>
          </w:tcPr>
          <w:p>
            <w:pPr>
              <w:spacing w:after="0"/>
              <w:rPr>
                <w:sz w:val="5"/>
                <w:szCs w:val="5"/>
                <w:color w:val="auto"/>
              </w:rPr>
            </w:pPr>
          </w:p>
        </w:tc>
        <w:tc>
          <w:tcPr>
            <w:tcW w:w="1000" w:type="dxa"/>
            <w:vAlign w:val="bottom"/>
            <w:shd w:val="clear" w:color="auto" w:fill="F2F3F2"/>
          </w:tcPr>
          <w:p>
            <w:pPr>
              <w:spacing w:after="0"/>
              <w:rPr>
                <w:sz w:val="5"/>
                <w:szCs w:val="5"/>
                <w:color w:val="auto"/>
              </w:rPr>
            </w:pPr>
          </w:p>
        </w:tc>
        <w:tc>
          <w:tcPr>
            <w:tcW w:w="1160" w:type="dxa"/>
            <w:vAlign w:val="bottom"/>
            <w:shd w:val="clear" w:color="auto" w:fill="F2F3F2"/>
          </w:tcPr>
          <w:p>
            <w:pPr>
              <w:spacing w:after="0"/>
              <w:rPr>
                <w:sz w:val="5"/>
                <w:szCs w:val="5"/>
                <w:color w:val="auto"/>
              </w:rPr>
            </w:pPr>
          </w:p>
        </w:tc>
        <w:tc>
          <w:tcPr>
            <w:tcW w:w="740" w:type="dxa"/>
            <w:vAlign w:val="bottom"/>
            <w:shd w:val="clear" w:color="auto" w:fill="F2F3F2"/>
          </w:tcPr>
          <w:p>
            <w:pPr>
              <w:spacing w:after="0"/>
              <w:rPr>
                <w:sz w:val="5"/>
                <w:szCs w:val="5"/>
                <w:color w:val="auto"/>
              </w:rPr>
            </w:pPr>
          </w:p>
        </w:tc>
        <w:tc>
          <w:tcPr>
            <w:tcW w:w="860" w:type="dxa"/>
            <w:vAlign w:val="bottom"/>
            <w:shd w:val="clear" w:color="auto" w:fill="F2F3F2"/>
          </w:tcPr>
          <w:p>
            <w:pPr>
              <w:spacing w:after="0"/>
              <w:rPr>
                <w:sz w:val="5"/>
                <w:szCs w:val="5"/>
                <w:color w:val="auto"/>
              </w:rPr>
            </w:pPr>
          </w:p>
        </w:tc>
        <w:tc>
          <w:tcPr>
            <w:tcW w:w="780" w:type="dxa"/>
            <w:vAlign w:val="bottom"/>
            <w:shd w:val="clear" w:color="auto" w:fill="F2F3F2"/>
          </w:tcPr>
          <w:p>
            <w:pPr>
              <w:spacing w:after="0"/>
              <w:rPr>
                <w:sz w:val="5"/>
                <w:szCs w:val="5"/>
                <w:color w:val="auto"/>
              </w:rPr>
            </w:pPr>
          </w:p>
        </w:tc>
        <w:tc>
          <w:tcPr>
            <w:tcW w:w="240" w:type="dxa"/>
            <w:vAlign w:val="bottom"/>
            <w:shd w:val="clear" w:color="auto" w:fill="F2F3F2"/>
          </w:tcPr>
          <w:p>
            <w:pPr>
              <w:spacing w:after="0"/>
              <w:rPr>
                <w:sz w:val="5"/>
                <w:szCs w:val="5"/>
                <w:color w:val="auto"/>
              </w:rPr>
            </w:pPr>
          </w:p>
        </w:tc>
        <w:tc>
          <w:tcPr>
            <w:tcW w:w="800" w:type="dxa"/>
            <w:vAlign w:val="bottom"/>
            <w:shd w:val="clear" w:color="auto" w:fill="F2F3F2"/>
          </w:tcPr>
          <w:p>
            <w:pPr>
              <w:spacing w:after="0"/>
              <w:rPr>
                <w:sz w:val="5"/>
                <w:szCs w:val="5"/>
                <w:color w:val="auto"/>
              </w:rPr>
            </w:pPr>
          </w:p>
        </w:tc>
        <w:tc>
          <w:tcPr>
            <w:tcW w:w="920" w:type="dxa"/>
            <w:vAlign w:val="bottom"/>
            <w:shd w:val="clear" w:color="auto" w:fill="F2F3F2"/>
          </w:tcPr>
          <w:p>
            <w:pPr>
              <w:spacing w:after="0"/>
              <w:rPr>
                <w:sz w:val="5"/>
                <w:szCs w:val="5"/>
                <w:color w:val="auto"/>
              </w:rPr>
            </w:pPr>
          </w:p>
        </w:tc>
        <w:tc>
          <w:tcPr>
            <w:tcW w:w="1120" w:type="dxa"/>
            <w:vAlign w:val="bottom"/>
            <w:shd w:val="clear" w:color="auto" w:fill="F2F3F2"/>
          </w:tcPr>
          <w:p>
            <w:pPr>
              <w:spacing w:after="0"/>
              <w:rPr>
                <w:sz w:val="5"/>
                <w:szCs w:val="5"/>
                <w:color w:val="auto"/>
              </w:rPr>
            </w:pPr>
          </w:p>
        </w:tc>
        <w:tc>
          <w:tcPr>
            <w:tcW w:w="0" w:type="dxa"/>
            <w:vAlign w:val="bottom"/>
          </w:tcPr>
          <w:p>
            <w:pPr>
              <w:spacing w:after="0"/>
              <w:rPr>
                <w:sz w:val="1"/>
                <w:szCs w:val="1"/>
                <w:color w:val="auto"/>
              </w:rPr>
            </w:pPr>
          </w:p>
        </w:tc>
      </w:tr>
      <w:tr>
        <w:trPr>
          <w:trHeight w:val="343"/>
        </w:trPr>
        <w:tc>
          <w:tcPr>
            <w:tcW w:w="82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3"/>
                <w:szCs w:val="13"/>
                <w:color w:val="auto"/>
              </w:rPr>
              <w:t>3/1/2022</w:t>
            </w:r>
          </w:p>
        </w:tc>
        <w:tc>
          <w:tcPr>
            <w:tcW w:w="1000" w:type="dxa"/>
            <w:vAlign w:val="bottom"/>
          </w:tcPr>
          <w:p>
            <w:pPr>
              <w:ind w:left="820"/>
              <w:spacing w:after="0"/>
              <w:rPr>
                <w:sz w:val="20"/>
                <w:szCs w:val="20"/>
                <w:color w:val="auto"/>
              </w:rPr>
            </w:pPr>
            <w:r>
              <w:rPr>
                <w:rFonts w:ascii="Arial" w:cs="Arial" w:eastAsia="Arial" w:hAnsi="Arial"/>
                <w:sz w:val="13"/>
                <w:szCs w:val="13"/>
                <w:color w:val="auto"/>
              </w:rPr>
              <w:t>—</w:t>
            </w:r>
          </w:p>
        </w:tc>
        <w:tc>
          <w:tcPr>
            <w:tcW w:w="1160" w:type="dxa"/>
            <w:vAlign w:val="bottom"/>
          </w:tcPr>
          <w:p>
            <w:pPr>
              <w:ind w:left="96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ind w:left="66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1,852</w:t>
            </w:r>
          </w:p>
        </w:tc>
        <w:tc>
          <w:tcPr>
            <w:tcW w:w="240" w:type="dxa"/>
            <w:vAlign w:val="bottom"/>
          </w:tcPr>
          <w:p>
            <w:pPr>
              <w:jc w:val="right"/>
              <w:ind w:right="48"/>
              <w:spacing w:after="0"/>
              <w:rPr>
                <w:sz w:val="20"/>
                <w:szCs w:val="20"/>
                <w:color w:val="auto"/>
              </w:rPr>
            </w:pPr>
            <w:r>
              <w:rPr>
                <w:rFonts w:ascii="Arial" w:cs="Arial" w:eastAsia="Arial" w:hAnsi="Arial"/>
                <w:sz w:val="9"/>
                <w:szCs w:val="9"/>
                <w:color w:val="auto"/>
              </w:rPr>
              <w:t>(1)</w:t>
            </w: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230,130</w:t>
            </w: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03"/>
        </w:trPr>
        <w:tc>
          <w:tcPr>
            <w:tcW w:w="820" w:type="dxa"/>
            <w:vAlign w:val="bottom"/>
          </w:tcPr>
          <w:p>
            <w:pPr>
              <w:spacing w:after="0"/>
              <w:rPr>
                <w:sz w:val="8"/>
                <w:szCs w:val="8"/>
                <w:color w:val="auto"/>
              </w:rPr>
            </w:pPr>
          </w:p>
        </w:tc>
        <w:tc>
          <w:tcPr>
            <w:tcW w:w="640" w:type="dxa"/>
            <w:vAlign w:val="bottom"/>
            <w:tcBorders>
              <w:bottom w:val="single" w:sz="8" w:color="B2B3B6"/>
            </w:tcBorders>
          </w:tcPr>
          <w:p>
            <w:pPr>
              <w:spacing w:after="0"/>
              <w:rPr>
                <w:sz w:val="8"/>
                <w:szCs w:val="8"/>
                <w:color w:val="auto"/>
              </w:rPr>
            </w:pPr>
          </w:p>
        </w:tc>
        <w:tc>
          <w:tcPr>
            <w:tcW w:w="1000" w:type="dxa"/>
            <w:vAlign w:val="bottom"/>
            <w:tcBorders>
              <w:bottom w:val="single" w:sz="8" w:color="B2B3B6"/>
            </w:tcBorders>
          </w:tcPr>
          <w:p>
            <w:pPr>
              <w:spacing w:after="0"/>
              <w:rPr>
                <w:sz w:val="8"/>
                <w:szCs w:val="8"/>
                <w:color w:val="auto"/>
              </w:rPr>
            </w:pPr>
          </w:p>
        </w:tc>
        <w:tc>
          <w:tcPr>
            <w:tcW w:w="1160" w:type="dxa"/>
            <w:vAlign w:val="bottom"/>
            <w:tcBorders>
              <w:bottom w:val="single" w:sz="8" w:color="B2B3B6"/>
            </w:tcBorders>
          </w:tcPr>
          <w:p>
            <w:pPr>
              <w:spacing w:after="0"/>
              <w:rPr>
                <w:sz w:val="8"/>
                <w:szCs w:val="8"/>
                <w:color w:val="auto"/>
              </w:rPr>
            </w:pPr>
          </w:p>
        </w:tc>
        <w:tc>
          <w:tcPr>
            <w:tcW w:w="740" w:type="dxa"/>
            <w:vAlign w:val="bottom"/>
            <w:tcBorders>
              <w:bottom w:val="single" w:sz="8" w:color="B2B3B6"/>
            </w:tcBorders>
          </w:tcPr>
          <w:p>
            <w:pPr>
              <w:spacing w:after="0"/>
              <w:rPr>
                <w:sz w:val="8"/>
                <w:szCs w:val="8"/>
                <w:color w:val="auto"/>
              </w:rPr>
            </w:pPr>
          </w:p>
        </w:tc>
        <w:tc>
          <w:tcPr>
            <w:tcW w:w="860" w:type="dxa"/>
            <w:vAlign w:val="bottom"/>
            <w:tcBorders>
              <w:bottom w:val="single" w:sz="8" w:color="B2B3B6"/>
            </w:tcBorders>
          </w:tcPr>
          <w:p>
            <w:pPr>
              <w:spacing w:after="0"/>
              <w:rPr>
                <w:sz w:val="8"/>
                <w:szCs w:val="8"/>
                <w:color w:val="auto"/>
              </w:rPr>
            </w:pPr>
          </w:p>
        </w:tc>
        <w:tc>
          <w:tcPr>
            <w:tcW w:w="780" w:type="dxa"/>
            <w:vAlign w:val="bottom"/>
            <w:tcBorders>
              <w:bottom w:val="single" w:sz="8" w:color="B2B3B6"/>
            </w:tcBorders>
          </w:tcPr>
          <w:p>
            <w:pPr>
              <w:spacing w:after="0"/>
              <w:rPr>
                <w:sz w:val="8"/>
                <w:szCs w:val="8"/>
                <w:color w:val="auto"/>
              </w:rPr>
            </w:pPr>
          </w:p>
        </w:tc>
        <w:tc>
          <w:tcPr>
            <w:tcW w:w="240" w:type="dxa"/>
            <w:vAlign w:val="bottom"/>
            <w:tcBorders>
              <w:bottom w:val="single" w:sz="8" w:color="B2B3B6"/>
            </w:tcBorders>
          </w:tcPr>
          <w:p>
            <w:pPr>
              <w:spacing w:after="0"/>
              <w:rPr>
                <w:sz w:val="8"/>
                <w:szCs w:val="8"/>
                <w:color w:val="auto"/>
              </w:rPr>
            </w:pPr>
          </w:p>
        </w:tc>
        <w:tc>
          <w:tcPr>
            <w:tcW w:w="800" w:type="dxa"/>
            <w:vAlign w:val="bottom"/>
            <w:tcBorders>
              <w:bottom w:val="single" w:sz="8" w:color="B2B3B6"/>
            </w:tcBorders>
          </w:tcPr>
          <w:p>
            <w:pPr>
              <w:spacing w:after="0"/>
              <w:rPr>
                <w:sz w:val="8"/>
                <w:szCs w:val="8"/>
                <w:color w:val="auto"/>
              </w:rPr>
            </w:pPr>
          </w:p>
        </w:tc>
        <w:tc>
          <w:tcPr>
            <w:tcW w:w="920" w:type="dxa"/>
            <w:vAlign w:val="bottom"/>
            <w:tcBorders>
              <w:bottom w:val="single" w:sz="8" w:color="B2B3B6"/>
            </w:tcBorders>
          </w:tcPr>
          <w:p>
            <w:pPr>
              <w:spacing w:after="0"/>
              <w:rPr>
                <w:sz w:val="8"/>
                <w:szCs w:val="8"/>
                <w:color w:val="auto"/>
              </w:rPr>
            </w:pPr>
          </w:p>
        </w:tc>
        <w:tc>
          <w:tcPr>
            <w:tcW w:w="1120" w:type="dxa"/>
            <w:vAlign w:val="bottom"/>
            <w:tcBorders>
              <w:bottom w:val="single" w:sz="8" w:color="B2B3B6"/>
            </w:tcBorders>
          </w:tcPr>
          <w:p>
            <w:pPr>
              <w:spacing w:after="0"/>
              <w:rPr>
                <w:sz w:val="8"/>
                <w:szCs w:val="8"/>
                <w:color w:val="auto"/>
              </w:rPr>
            </w:pPr>
          </w:p>
        </w:tc>
        <w:tc>
          <w:tcPr>
            <w:tcW w:w="0" w:type="dxa"/>
            <w:vAlign w:val="bottom"/>
          </w:tcPr>
          <w:p>
            <w:pPr>
              <w:spacing w:after="0"/>
              <w:rPr>
                <w:sz w:val="1"/>
                <w:szCs w:val="1"/>
                <w:color w:val="auto"/>
              </w:rPr>
            </w:pPr>
          </w:p>
        </w:tc>
      </w:tr>
      <w:tr>
        <w:trPr>
          <w:trHeight w:val="323"/>
        </w:trPr>
        <w:tc>
          <w:tcPr>
            <w:tcW w:w="82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3"/>
                <w:szCs w:val="13"/>
                <w:color w:val="auto"/>
              </w:rPr>
              <w:t>3/1/2022</w:t>
            </w:r>
          </w:p>
        </w:tc>
        <w:tc>
          <w:tcPr>
            <w:tcW w:w="1000" w:type="dxa"/>
            <w:vAlign w:val="bottom"/>
          </w:tcPr>
          <w:p>
            <w:pPr>
              <w:ind w:left="820"/>
              <w:spacing w:after="0"/>
              <w:rPr>
                <w:sz w:val="20"/>
                <w:szCs w:val="20"/>
                <w:color w:val="auto"/>
              </w:rPr>
            </w:pPr>
            <w:r>
              <w:rPr>
                <w:rFonts w:ascii="Arial" w:cs="Arial" w:eastAsia="Arial" w:hAnsi="Arial"/>
                <w:sz w:val="13"/>
                <w:szCs w:val="13"/>
                <w:color w:val="auto"/>
              </w:rPr>
              <w:t>—</w:t>
            </w:r>
          </w:p>
        </w:tc>
        <w:tc>
          <w:tcPr>
            <w:tcW w:w="1160" w:type="dxa"/>
            <w:vAlign w:val="bottom"/>
          </w:tcPr>
          <w:p>
            <w:pPr>
              <w:ind w:left="96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ind w:left="66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25,912</w:t>
            </w:r>
          </w:p>
        </w:tc>
        <w:tc>
          <w:tcPr>
            <w:tcW w:w="240" w:type="dxa"/>
            <w:vAlign w:val="bottom"/>
          </w:tcPr>
          <w:p>
            <w:pPr>
              <w:jc w:val="right"/>
              <w:ind w:right="48"/>
              <w:spacing w:after="0"/>
              <w:rPr>
                <w:sz w:val="20"/>
                <w:szCs w:val="20"/>
                <w:color w:val="auto"/>
              </w:rPr>
            </w:pPr>
            <w:r>
              <w:rPr>
                <w:rFonts w:ascii="Arial" w:cs="Arial" w:eastAsia="Arial" w:hAnsi="Arial"/>
                <w:sz w:val="9"/>
                <w:szCs w:val="9"/>
                <w:color w:val="auto"/>
              </w:rPr>
              <w:t>(2)</w:t>
            </w: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3,219,825</w:t>
            </w: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03"/>
        </w:trPr>
        <w:tc>
          <w:tcPr>
            <w:tcW w:w="820" w:type="dxa"/>
            <w:vAlign w:val="bottom"/>
          </w:tcPr>
          <w:p>
            <w:pPr>
              <w:spacing w:after="0"/>
              <w:rPr>
                <w:sz w:val="8"/>
                <w:szCs w:val="8"/>
                <w:color w:val="auto"/>
              </w:rPr>
            </w:pPr>
          </w:p>
        </w:tc>
        <w:tc>
          <w:tcPr>
            <w:tcW w:w="640" w:type="dxa"/>
            <w:vAlign w:val="bottom"/>
            <w:tcBorders>
              <w:bottom w:val="single" w:sz="8" w:color="B2B3B6"/>
            </w:tcBorders>
          </w:tcPr>
          <w:p>
            <w:pPr>
              <w:spacing w:after="0"/>
              <w:rPr>
                <w:sz w:val="8"/>
                <w:szCs w:val="8"/>
                <w:color w:val="auto"/>
              </w:rPr>
            </w:pPr>
          </w:p>
        </w:tc>
        <w:tc>
          <w:tcPr>
            <w:tcW w:w="1000" w:type="dxa"/>
            <w:vAlign w:val="bottom"/>
            <w:tcBorders>
              <w:bottom w:val="single" w:sz="8" w:color="B2B3B6"/>
            </w:tcBorders>
          </w:tcPr>
          <w:p>
            <w:pPr>
              <w:spacing w:after="0"/>
              <w:rPr>
                <w:sz w:val="8"/>
                <w:szCs w:val="8"/>
                <w:color w:val="auto"/>
              </w:rPr>
            </w:pPr>
          </w:p>
        </w:tc>
        <w:tc>
          <w:tcPr>
            <w:tcW w:w="1160" w:type="dxa"/>
            <w:vAlign w:val="bottom"/>
            <w:tcBorders>
              <w:bottom w:val="single" w:sz="8" w:color="B2B3B6"/>
            </w:tcBorders>
          </w:tcPr>
          <w:p>
            <w:pPr>
              <w:spacing w:after="0"/>
              <w:rPr>
                <w:sz w:val="8"/>
                <w:szCs w:val="8"/>
                <w:color w:val="auto"/>
              </w:rPr>
            </w:pPr>
          </w:p>
        </w:tc>
        <w:tc>
          <w:tcPr>
            <w:tcW w:w="740" w:type="dxa"/>
            <w:vAlign w:val="bottom"/>
            <w:tcBorders>
              <w:bottom w:val="single" w:sz="8" w:color="B2B3B6"/>
            </w:tcBorders>
          </w:tcPr>
          <w:p>
            <w:pPr>
              <w:spacing w:after="0"/>
              <w:rPr>
                <w:sz w:val="8"/>
                <w:szCs w:val="8"/>
                <w:color w:val="auto"/>
              </w:rPr>
            </w:pPr>
          </w:p>
        </w:tc>
        <w:tc>
          <w:tcPr>
            <w:tcW w:w="860" w:type="dxa"/>
            <w:vAlign w:val="bottom"/>
            <w:tcBorders>
              <w:bottom w:val="single" w:sz="8" w:color="B2B3B6"/>
            </w:tcBorders>
          </w:tcPr>
          <w:p>
            <w:pPr>
              <w:spacing w:after="0"/>
              <w:rPr>
                <w:sz w:val="8"/>
                <w:szCs w:val="8"/>
                <w:color w:val="auto"/>
              </w:rPr>
            </w:pPr>
          </w:p>
        </w:tc>
        <w:tc>
          <w:tcPr>
            <w:tcW w:w="1020" w:type="dxa"/>
            <w:vAlign w:val="bottom"/>
            <w:tcBorders>
              <w:bottom w:val="single" w:sz="8" w:color="B2B3B6"/>
            </w:tcBorders>
            <w:gridSpan w:val="2"/>
          </w:tcPr>
          <w:p>
            <w:pPr>
              <w:spacing w:after="0"/>
              <w:rPr>
                <w:sz w:val="8"/>
                <w:szCs w:val="8"/>
                <w:color w:val="auto"/>
              </w:rPr>
            </w:pPr>
          </w:p>
        </w:tc>
        <w:tc>
          <w:tcPr>
            <w:tcW w:w="800" w:type="dxa"/>
            <w:vAlign w:val="bottom"/>
            <w:tcBorders>
              <w:bottom w:val="single" w:sz="8" w:color="B2B3B6"/>
            </w:tcBorders>
          </w:tcPr>
          <w:p>
            <w:pPr>
              <w:spacing w:after="0"/>
              <w:rPr>
                <w:sz w:val="8"/>
                <w:szCs w:val="8"/>
                <w:color w:val="auto"/>
              </w:rPr>
            </w:pPr>
          </w:p>
        </w:tc>
        <w:tc>
          <w:tcPr>
            <w:tcW w:w="920" w:type="dxa"/>
            <w:vAlign w:val="bottom"/>
            <w:tcBorders>
              <w:bottom w:val="single" w:sz="8" w:color="B2B3B6"/>
            </w:tcBorders>
          </w:tcPr>
          <w:p>
            <w:pPr>
              <w:spacing w:after="0"/>
              <w:rPr>
                <w:sz w:val="8"/>
                <w:szCs w:val="8"/>
                <w:color w:val="auto"/>
              </w:rPr>
            </w:pPr>
          </w:p>
        </w:tc>
        <w:tc>
          <w:tcPr>
            <w:tcW w:w="1120" w:type="dxa"/>
            <w:vAlign w:val="bottom"/>
            <w:tcBorders>
              <w:bottom w:val="single" w:sz="8" w:color="B2B3B6"/>
            </w:tcBorders>
          </w:tcPr>
          <w:p>
            <w:pPr>
              <w:spacing w:after="0"/>
              <w:rPr>
                <w:sz w:val="8"/>
                <w:szCs w:val="8"/>
                <w:color w:val="auto"/>
              </w:rPr>
            </w:pPr>
          </w:p>
        </w:tc>
        <w:tc>
          <w:tcPr>
            <w:tcW w:w="0" w:type="dxa"/>
            <w:vAlign w:val="bottom"/>
          </w:tcPr>
          <w:p>
            <w:pPr>
              <w:spacing w:after="0"/>
              <w:rPr>
                <w:sz w:val="1"/>
                <w:szCs w:val="1"/>
                <w:color w:val="auto"/>
              </w:rPr>
            </w:pPr>
          </w:p>
        </w:tc>
      </w:tr>
      <w:tr>
        <w:trPr>
          <w:trHeight w:val="357"/>
        </w:trPr>
        <w:tc>
          <w:tcPr>
            <w:tcW w:w="820" w:type="dxa"/>
            <w:vAlign w:val="bottom"/>
            <w:vMerge w:val="restart"/>
          </w:tcPr>
          <w:p>
            <w:pPr>
              <w:ind w:left="140"/>
              <w:spacing w:after="0"/>
              <w:rPr>
                <w:sz w:val="20"/>
                <w:szCs w:val="20"/>
                <w:color w:val="auto"/>
              </w:rPr>
            </w:pPr>
            <w:r>
              <w:rPr>
                <w:rFonts w:ascii="Arial" w:cs="Arial" w:eastAsia="Arial" w:hAnsi="Arial"/>
                <w:sz w:val="13"/>
                <w:szCs w:val="13"/>
                <w:b w:val="1"/>
                <w:bCs w:val="1"/>
                <w:color w:val="00558C"/>
              </w:rPr>
              <w:t>John D.</w:t>
            </w:r>
          </w:p>
        </w:tc>
        <w:tc>
          <w:tcPr>
            <w:tcW w:w="640" w:type="dxa"/>
            <w:vAlign w:val="bottom"/>
          </w:tcPr>
          <w:p>
            <w:pPr>
              <w:jc w:val="center"/>
              <w:spacing w:after="0"/>
              <w:rPr>
                <w:sz w:val="20"/>
                <w:szCs w:val="20"/>
                <w:color w:val="auto"/>
              </w:rPr>
            </w:pPr>
            <w:r>
              <w:rPr>
                <w:rFonts w:ascii="Arial" w:cs="Arial" w:eastAsia="Arial" w:hAnsi="Arial"/>
                <w:sz w:val="13"/>
                <w:szCs w:val="13"/>
                <w:color w:val="auto"/>
              </w:rPr>
              <w:t>3/1/2023</w:t>
            </w:r>
          </w:p>
        </w:tc>
        <w:tc>
          <w:tcPr>
            <w:tcW w:w="1000" w:type="dxa"/>
            <w:vAlign w:val="bottom"/>
          </w:tcPr>
          <w:p>
            <w:pPr>
              <w:ind w:left="820"/>
              <w:spacing w:after="0"/>
              <w:rPr>
                <w:sz w:val="20"/>
                <w:szCs w:val="20"/>
                <w:color w:val="auto"/>
              </w:rPr>
            </w:pPr>
            <w:r>
              <w:rPr>
                <w:rFonts w:ascii="Arial" w:cs="Arial" w:eastAsia="Arial" w:hAnsi="Arial"/>
                <w:sz w:val="13"/>
                <w:szCs w:val="13"/>
                <w:color w:val="auto"/>
              </w:rPr>
              <w:t>—</w:t>
            </w:r>
          </w:p>
        </w:tc>
        <w:tc>
          <w:tcPr>
            <w:tcW w:w="1160" w:type="dxa"/>
            <w:vAlign w:val="bottom"/>
          </w:tcPr>
          <w:p>
            <w:pPr>
              <w:ind w:left="96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ind w:left="66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48"/>
              <w:spacing w:after="0"/>
              <w:rPr>
                <w:sz w:val="20"/>
                <w:szCs w:val="20"/>
                <w:color w:val="auto"/>
              </w:rPr>
            </w:pPr>
            <w:r>
              <w:rPr>
                <w:rFonts w:ascii="Arial" w:cs="Arial" w:eastAsia="Arial" w:hAnsi="Arial"/>
                <w:sz w:val="13"/>
                <w:szCs w:val="13"/>
                <w:color w:val="auto"/>
              </w:rPr>
              <w:t xml:space="preserve">2,469 </w:t>
            </w:r>
            <w:r>
              <w:rPr>
                <w:rFonts w:ascii="Arial" w:cs="Arial" w:eastAsia="Arial" w:hAnsi="Arial"/>
                <w:sz w:val="17"/>
                <w:szCs w:val="17"/>
                <w:color w:val="auto"/>
                <w:vertAlign w:val="superscript"/>
              </w:rPr>
              <w:t>(1)</w:t>
            </w: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306,798</w:t>
            </w: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69"/>
        </w:trPr>
        <w:tc>
          <w:tcPr>
            <w:tcW w:w="820" w:type="dxa"/>
            <w:vAlign w:val="bottom"/>
            <w:vMerge w:val="continue"/>
          </w:tcPr>
          <w:p>
            <w:pPr>
              <w:spacing w:after="0"/>
              <w:rPr>
                <w:sz w:val="5"/>
                <w:szCs w:val="5"/>
                <w:color w:val="auto"/>
              </w:rPr>
            </w:pPr>
          </w:p>
        </w:tc>
        <w:tc>
          <w:tcPr>
            <w:tcW w:w="640" w:type="dxa"/>
            <w:vAlign w:val="bottom"/>
            <w:tcBorders>
              <w:bottom w:val="single" w:sz="8" w:color="B2B3B6"/>
            </w:tcBorders>
          </w:tcPr>
          <w:p>
            <w:pPr>
              <w:spacing w:after="0"/>
              <w:rPr>
                <w:sz w:val="5"/>
                <w:szCs w:val="5"/>
                <w:color w:val="auto"/>
              </w:rPr>
            </w:pPr>
          </w:p>
        </w:tc>
        <w:tc>
          <w:tcPr>
            <w:tcW w:w="1000" w:type="dxa"/>
            <w:vAlign w:val="bottom"/>
            <w:tcBorders>
              <w:bottom w:val="single" w:sz="8" w:color="B2B3B6"/>
            </w:tcBorders>
          </w:tcPr>
          <w:p>
            <w:pPr>
              <w:spacing w:after="0"/>
              <w:rPr>
                <w:sz w:val="5"/>
                <w:szCs w:val="5"/>
                <w:color w:val="auto"/>
              </w:rPr>
            </w:pPr>
          </w:p>
        </w:tc>
        <w:tc>
          <w:tcPr>
            <w:tcW w:w="1160" w:type="dxa"/>
            <w:vAlign w:val="bottom"/>
            <w:tcBorders>
              <w:bottom w:val="single" w:sz="8" w:color="B2B3B6"/>
            </w:tcBorders>
          </w:tcPr>
          <w:p>
            <w:pPr>
              <w:spacing w:after="0"/>
              <w:rPr>
                <w:sz w:val="5"/>
                <w:szCs w:val="5"/>
                <w:color w:val="auto"/>
              </w:rPr>
            </w:pPr>
          </w:p>
        </w:tc>
        <w:tc>
          <w:tcPr>
            <w:tcW w:w="740" w:type="dxa"/>
            <w:vAlign w:val="bottom"/>
            <w:tcBorders>
              <w:bottom w:val="single" w:sz="8" w:color="B2B3B6"/>
            </w:tcBorders>
          </w:tcPr>
          <w:p>
            <w:pPr>
              <w:spacing w:after="0"/>
              <w:rPr>
                <w:sz w:val="5"/>
                <w:szCs w:val="5"/>
                <w:color w:val="auto"/>
              </w:rPr>
            </w:pPr>
          </w:p>
        </w:tc>
        <w:tc>
          <w:tcPr>
            <w:tcW w:w="860" w:type="dxa"/>
            <w:vAlign w:val="bottom"/>
            <w:tcBorders>
              <w:bottom w:val="single" w:sz="8" w:color="B2B3B6"/>
            </w:tcBorders>
          </w:tcPr>
          <w:p>
            <w:pPr>
              <w:spacing w:after="0"/>
              <w:rPr>
                <w:sz w:val="5"/>
                <w:szCs w:val="5"/>
                <w:color w:val="auto"/>
              </w:rPr>
            </w:pPr>
          </w:p>
        </w:tc>
        <w:tc>
          <w:tcPr>
            <w:tcW w:w="780" w:type="dxa"/>
            <w:vAlign w:val="bottom"/>
            <w:tcBorders>
              <w:bottom w:val="single" w:sz="8" w:color="B2B3B6"/>
            </w:tcBorders>
          </w:tcPr>
          <w:p>
            <w:pPr>
              <w:spacing w:after="0"/>
              <w:rPr>
                <w:sz w:val="5"/>
                <w:szCs w:val="5"/>
                <w:color w:val="auto"/>
              </w:rPr>
            </w:pPr>
          </w:p>
        </w:tc>
        <w:tc>
          <w:tcPr>
            <w:tcW w:w="240" w:type="dxa"/>
            <w:vAlign w:val="bottom"/>
            <w:tcBorders>
              <w:bottom w:val="single" w:sz="8" w:color="B2B3B6"/>
            </w:tcBorders>
          </w:tcPr>
          <w:p>
            <w:pPr>
              <w:spacing w:after="0"/>
              <w:rPr>
                <w:sz w:val="5"/>
                <w:szCs w:val="5"/>
                <w:color w:val="auto"/>
              </w:rPr>
            </w:pPr>
          </w:p>
        </w:tc>
        <w:tc>
          <w:tcPr>
            <w:tcW w:w="800" w:type="dxa"/>
            <w:vAlign w:val="bottom"/>
            <w:tcBorders>
              <w:bottom w:val="single" w:sz="8" w:color="B2B3B6"/>
            </w:tcBorders>
          </w:tcPr>
          <w:p>
            <w:pPr>
              <w:spacing w:after="0"/>
              <w:rPr>
                <w:sz w:val="5"/>
                <w:szCs w:val="5"/>
                <w:color w:val="auto"/>
              </w:rPr>
            </w:pPr>
          </w:p>
        </w:tc>
        <w:tc>
          <w:tcPr>
            <w:tcW w:w="920" w:type="dxa"/>
            <w:vAlign w:val="bottom"/>
            <w:tcBorders>
              <w:bottom w:val="single" w:sz="8" w:color="B2B3B6"/>
            </w:tcBorders>
          </w:tcPr>
          <w:p>
            <w:pPr>
              <w:spacing w:after="0"/>
              <w:rPr>
                <w:sz w:val="5"/>
                <w:szCs w:val="5"/>
                <w:color w:val="auto"/>
              </w:rPr>
            </w:pPr>
          </w:p>
        </w:tc>
        <w:tc>
          <w:tcPr>
            <w:tcW w:w="1120" w:type="dxa"/>
            <w:vAlign w:val="bottom"/>
            <w:tcBorders>
              <w:bottom w:val="single" w:sz="8" w:color="B2B3B6"/>
            </w:tcBorders>
          </w:tcPr>
          <w:p>
            <w:pPr>
              <w:spacing w:after="0"/>
              <w:rPr>
                <w:sz w:val="5"/>
                <w:szCs w:val="5"/>
                <w:color w:val="auto"/>
              </w:rPr>
            </w:pPr>
          </w:p>
        </w:tc>
        <w:tc>
          <w:tcPr>
            <w:tcW w:w="0" w:type="dxa"/>
            <w:vAlign w:val="bottom"/>
          </w:tcPr>
          <w:p>
            <w:pPr>
              <w:spacing w:after="0"/>
              <w:rPr>
                <w:sz w:val="1"/>
                <w:szCs w:val="1"/>
                <w:color w:val="auto"/>
              </w:rPr>
            </w:pPr>
          </w:p>
        </w:tc>
      </w:tr>
      <w:tr>
        <w:trPr>
          <w:trHeight w:val="166"/>
        </w:trPr>
        <w:tc>
          <w:tcPr>
            <w:tcW w:w="820" w:type="dxa"/>
            <w:vAlign w:val="bottom"/>
          </w:tcPr>
          <w:p>
            <w:pPr>
              <w:ind w:left="140"/>
              <w:spacing w:after="0"/>
              <w:rPr>
                <w:sz w:val="20"/>
                <w:szCs w:val="20"/>
                <w:color w:val="auto"/>
              </w:rPr>
            </w:pPr>
            <w:r>
              <w:rPr>
                <w:rFonts w:ascii="Arial" w:cs="Arial" w:eastAsia="Arial" w:hAnsi="Arial"/>
                <w:sz w:val="13"/>
                <w:szCs w:val="13"/>
                <w:b w:val="1"/>
                <w:bCs w:val="1"/>
                <w:color w:val="00558C"/>
              </w:rPr>
              <w:t>Kelly</w:t>
            </w:r>
          </w:p>
        </w:tc>
        <w:tc>
          <w:tcPr>
            <w:tcW w:w="640" w:type="dxa"/>
            <w:vAlign w:val="bottom"/>
            <w:vMerge w:val="restart"/>
          </w:tcPr>
          <w:p>
            <w:pPr>
              <w:jc w:val="center"/>
              <w:spacing w:after="0"/>
              <w:rPr>
                <w:sz w:val="20"/>
                <w:szCs w:val="20"/>
                <w:color w:val="auto"/>
              </w:rPr>
            </w:pPr>
            <w:r>
              <w:rPr>
                <w:rFonts w:ascii="Arial" w:cs="Arial" w:eastAsia="Arial" w:hAnsi="Arial"/>
                <w:sz w:val="13"/>
                <w:szCs w:val="13"/>
                <w:color w:val="auto"/>
              </w:rPr>
              <w:t>3/1/2023</w:t>
            </w:r>
          </w:p>
        </w:tc>
        <w:tc>
          <w:tcPr>
            <w:tcW w:w="1000" w:type="dxa"/>
            <w:vAlign w:val="bottom"/>
            <w:vMerge w:val="restart"/>
          </w:tcPr>
          <w:p>
            <w:pPr>
              <w:ind w:left="820"/>
              <w:spacing w:after="0"/>
              <w:rPr>
                <w:sz w:val="20"/>
                <w:szCs w:val="20"/>
                <w:color w:val="auto"/>
              </w:rPr>
            </w:pPr>
            <w:r>
              <w:rPr>
                <w:rFonts w:ascii="Arial" w:cs="Arial" w:eastAsia="Arial" w:hAnsi="Arial"/>
                <w:sz w:val="13"/>
                <w:szCs w:val="13"/>
                <w:color w:val="auto"/>
              </w:rPr>
              <w:t>—</w:t>
            </w:r>
          </w:p>
        </w:tc>
        <w:tc>
          <w:tcPr>
            <w:tcW w:w="1160" w:type="dxa"/>
            <w:vAlign w:val="bottom"/>
            <w:vMerge w:val="restart"/>
          </w:tcPr>
          <w:p>
            <w:pPr>
              <w:ind w:left="960"/>
              <w:spacing w:after="0"/>
              <w:rPr>
                <w:sz w:val="20"/>
                <w:szCs w:val="20"/>
                <w:color w:val="auto"/>
              </w:rPr>
            </w:pPr>
            <w:r>
              <w:rPr>
                <w:rFonts w:ascii="Arial" w:cs="Arial" w:eastAsia="Arial" w:hAnsi="Arial"/>
                <w:sz w:val="13"/>
                <w:szCs w:val="13"/>
                <w:color w:val="auto"/>
              </w:rPr>
              <w:t>—</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60" w:type="dxa"/>
            <w:vAlign w:val="bottom"/>
            <w:vMerge w:val="restart"/>
          </w:tcPr>
          <w:p>
            <w:pPr>
              <w:ind w:left="66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4"/>
                <w:szCs w:val="14"/>
                <w:color w:val="auto"/>
              </w:rPr>
            </w:pPr>
          </w:p>
        </w:tc>
        <w:tc>
          <w:tcPr>
            <w:tcW w:w="240" w:type="dxa"/>
            <w:vAlign w:val="bottom"/>
            <w:vMerge w:val="restart"/>
          </w:tcPr>
          <w:p>
            <w:pPr>
              <w:jc w:val="right"/>
              <w:ind w:right="48"/>
              <w:spacing w:after="0"/>
              <w:rPr>
                <w:sz w:val="20"/>
                <w:szCs w:val="20"/>
                <w:color w:val="auto"/>
              </w:rPr>
            </w:pPr>
            <w:r>
              <w:rPr>
                <w:rFonts w:ascii="Arial" w:cs="Arial" w:eastAsia="Arial" w:hAnsi="Arial"/>
                <w:sz w:val="13"/>
                <w:szCs w:val="13"/>
                <w:color w:val="auto"/>
                <w:w w:val="91"/>
              </w:rPr>
              <w:t>—</w:t>
            </w:r>
          </w:p>
        </w:tc>
        <w:tc>
          <w:tcPr>
            <w:tcW w:w="800" w:type="dxa"/>
            <w:vAlign w:val="bottom"/>
            <w:vMerge w:val="restart"/>
          </w:tcPr>
          <w:p>
            <w:pPr>
              <w:jc w:val="right"/>
              <w:ind w:right="13"/>
              <w:spacing w:after="0"/>
              <w:rPr>
                <w:sz w:val="20"/>
                <w:szCs w:val="20"/>
                <w:color w:val="auto"/>
              </w:rPr>
            </w:pPr>
            <w:r>
              <w:rPr>
                <w:rFonts w:ascii="Arial" w:cs="Arial" w:eastAsia="Arial" w:hAnsi="Arial"/>
                <w:sz w:val="13"/>
                <w:szCs w:val="13"/>
                <w:color w:val="auto"/>
              </w:rPr>
              <w:t>—</w:t>
            </w: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 xml:space="preserve">17,276 </w:t>
            </w:r>
            <w:r>
              <w:rPr>
                <w:rFonts w:ascii="Arial" w:cs="Arial" w:eastAsia="Arial" w:hAnsi="Arial"/>
                <w:sz w:val="17"/>
                <w:szCs w:val="17"/>
                <w:color w:val="auto"/>
                <w:vertAlign w:val="superscript"/>
              </w:rPr>
              <w:t>(3)</w:t>
            </w:r>
          </w:p>
        </w:tc>
        <w:tc>
          <w:tcPr>
            <w:tcW w:w="1120" w:type="dxa"/>
            <w:vAlign w:val="bottom"/>
            <w:vMerge w:val="restart"/>
          </w:tcPr>
          <w:p>
            <w:pPr>
              <w:jc w:val="right"/>
              <w:ind w:right="93"/>
              <w:spacing w:after="0"/>
              <w:rPr>
                <w:sz w:val="20"/>
                <w:szCs w:val="20"/>
                <w:color w:val="auto"/>
              </w:rPr>
            </w:pPr>
            <w:r>
              <w:rPr>
                <w:rFonts w:ascii="Arial" w:cs="Arial" w:eastAsia="Arial" w:hAnsi="Arial"/>
                <w:sz w:val="13"/>
                <w:szCs w:val="13"/>
                <w:color w:val="auto"/>
              </w:rPr>
              <w:t>2,146,716</w:t>
            </w:r>
          </w:p>
        </w:tc>
        <w:tc>
          <w:tcPr>
            <w:tcW w:w="0" w:type="dxa"/>
            <w:vAlign w:val="bottom"/>
          </w:tcPr>
          <w:p>
            <w:pPr>
              <w:spacing w:after="0"/>
              <w:rPr>
                <w:sz w:val="1"/>
                <w:szCs w:val="1"/>
                <w:color w:val="auto"/>
              </w:rPr>
            </w:pPr>
          </w:p>
        </w:tc>
      </w:tr>
      <w:tr>
        <w:trPr>
          <w:trHeight w:val="190"/>
        </w:trPr>
        <w:tc>
          <w:tcPr>
            <w:tcW w:w="8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9"/>
        </w:trPr>
        <w:tc>
          <w:tcPr>
            <w:tcW w:w="820" w:type="dxa"/>
            <w:vAlign w:val="bottom"/>
          </w:tcPr>
          <w:p>
            <w:pPr>
              <w:spacing w:after="0"/>
              <w:rPr>
                <w:sz w:val="5"/>
                <w:szCs w:val="5"/>
                <w:color w:val="auto"/>
              </w:rPr>
            </w:pPr>
          </w:p>
        </w:tc>
        <w:tc>
          <w:tcPr>
            <w:tcW w:w="640" w:type="dxa"/>
            <w:vAlign w:val="bottom"/>
            <w:tcBorders>
              <w:bottom w:val="single" w:sz="8" w:color="B2B3B6"/>
            </w:tcBorders>
          </w:tcPr>
          <w:p>
            <w:pPr>
              <w:spacing w:after="0"/>
              <w:rPr>
                <w:sz w:val="5"/>
                <w:szCs w:val="5"/>
                <w:color w:val="auto"/>
              </w:rPr>
            </w:pPr>
          </w:p>
        </w:tc>
        <w:tc>
          <w:tcPr>
            <w:tcW w:w="1000" w:type="dxa"/>
            <w:vAlign w:val="bottom"/>
            <w:tcBorders>
              <w:bottom w:val="single" w:sz="8" w:color="B2B3B6"/>
            </w:tcBorders>
          </w:tcPr>
          <w:p>
            <w:pPr>
              <w:spacing w:after="0"/>
              <w:rPr>
                <w:sz w:val="5"/>
                <w:szCs w:val="5"/>
                <w:color w:val="auto"/>
              </w:rPr>
            </w:pPr>
          </w:p>
        </w:tc>
        <w:tc>
          <w:tcPr>
            <w:tcW w:w="1160" w:type="dxa"/>
            <w:vAlign w:val="bottom"/>
            <w:tcBorders>
              <w:bottom w:val="single" w:sz="8" w:color="B2B3B6"/>
            </w:tcBorders>
          </w:tcPr>
          <w:p>
            <w:pPr>
              <w:spacing w:after="0"/>
              <w:rPr>
                <w:sz w:val="5"/>
                <w:szCs w:val="5"/>
                <w:color w:val="auto"/>
              </w:rPr>
            </w:pPr>
          </w:p>
        </w:tc>
        <w:tc>
          <w:tcPr>
            <w:tcW w:w="740" w:type="dxa"/>
            <w:vAlign w:val="bottom"/>
            <w:tcBorders>
              <w:bottom w:val="single" w:sz="8" w:color="B2B3B6"/>
            </w:tcBorders>
          </w:tcPr>
          <w:p>
            <w:pPr>
              <w:spacing w:after="0"/>
              <w:rPr>
                <w:sz w:val="5"/>
                <w:szCs w:val="5"/>
                <w:color w:val="auto"/>
              </w:rPr>
            </w:pPr>
          </w:p>
        </w:tc>
        <w:tc>
          <w:tcPr>
            <w:tcW w:w="860" w:type="dxa"/>
            <w:vAlign w:val="bottom"/>
            <w:tcBorders>
              <w:bottom w:val="single" w:sz="8" w:color="B2B3B6"/>
            </w:tcBorders>
          </w:tcPr>
          <w:p>
            <w:pPr>
              <w:spacing w:after="0"/>
              <w:rPr>
                <w:sz w:val="5"/>
                <w:szCs w:val="5"/>
                <w:color w:val="auto"/>
              </w:rPr>
            </w:pPr>
          </w:p>
        </w:tc>
        <w:tc>
          <w:tcPr>
            <w:tcW w:w="780" w:type="dxa"/>
            <w:vAlign w:val="bottom"/>
            <w:tcBorders>
              <w:bottom w:val="single" w:sz="8" w:color="B2B3B6"/>
            </w:tcBorders>
          </w:tcPr>
          <w:p>
            <w:pPr>
              <w:spacing w:after="0"/>
              <w:rPr>
                <w:sz w:val="5"/>
                <w:szCs w:val="5"/>
                <w:color w:val="auto"/>
              </w:rPr>
            </w:pPr>
          </w:p>
        </w:tc>
        <w:tc>
          <w:tcPr>
            <w:tcW w:w="240" w:type="dxa"/>
            <w:vAlign w:val="bottom"/>
            <w:tcBorders>
              <w:bottom w:val="single" w:sz="8" w:color="B2B3B6"/>
            </w:tcBorders>
          </w:tcPr>
          <w:p>
            <w:pPr>
              <w:spacing w:after="0"/>
              <w:rPr>
                <w:sz w:val="5"/>
                <w:szCs w:val="5"/>
                <w:color w:val="auto"/>
              </w:rPr>
            </w:pPr>
          </w:p>
        </w:tc>
        <w:tc>
          <w:tcPr>
            <w:tcW w:w="800" w:type="dxa"/>
            <w:vAlign w:val="bottom"/>
            <w:tcBorders>
              <w:bottom w:val="single" w:sz="8" w:color="B2B3B6"/>
            </w:tcBorders>
          </w:tcPr>
          <w:p>
            <w:pPr>
              <w:spacing w:after="0"/>
              <w:rPr>
                <w:sz w:val="5"/>
                <w:szCs w:val="5"/>
                <w:color w:val="auto"/>
              </w:rPr>
            </w:pPr>
          </w:p>
        </w:tc>
        <w:tc>
          <w:tcPr>
            <w:tcW w:w="920" w:type="dxa"/>
            <w:vAlign w:val="bottom"/>
            <w:tcBorders>
              <w:bottom w:val="single" w:sz="8" w:color="B2B3B6"/>
            </w:tcBorders>
          </w:tcPr>
          <w:p>
            <w:pPr>
              <w:spacing w:after="0"/>
              <w:rPr>
                <w:sz w:val="5"/>
                <w:szCs w:val="5"/>
                <w:color w:val="auto"/>
              </w:rPr>
            </w:pPr>
          </w:p>
        </w:tc>
        <w:tc>
          <w:tcPr>
            <w:tcW w:w="1120" w:type="dxa"/>
            <w:vAlign w:val="bottom"/>
            <w:tcBorders>
              <w:bottom w:val="single" w:sz="8" w:color="B2B3B6"/>
            </w:tcBorders>
          </w:tcPr>
          <w:p>
            <w:pPr>
              <w:spacing w:after="0"/>
              <w:rPr>
                <w:sz w:val="5"/>
                <w:szCs w:val="5"/>
                <w:color w:val="auto"/>
              </w:rPr>
            </w:pPr>
          </w:p>
        </w:tc>
        <w:tc>
          <w:tcPr>
            <w:tcW w:w="0" w:type="dxa"/>
            <w:vAlign w:val="bottom"/>
          </w:tcPr>
          <w:p>
            <w:pPr>
              <w:spacing w:after="0"/>
              <w:rPr>
                <w:sz w:val="1"/>
                <w:szCs w:val="1"/>
                <w:color w:val="auto"/>
              </w:rPr>
            </w:pPr>
          </w:p>
        </w:tc>
      </w:tr>
      <w:tr>
        <w:trPr>
          <w:trHeight w:val="323"/>
        </w:trPr>
        <w:tc>
          <w:tcPr>
            <w:tcW w:w="82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3"/>
                <w:szCs w:val="13"/>
                <w:color w:val="auto"/>
              </w:rPr>
              <w:t>3/1/2024</w:t>
            </w:r>
          </w:p>
        </w:tc>
        <w:tc>
          <w:tcPr>
            <w:tcW w:w="1000" w:type="dxa"/>
            <w:vAlign w:val="bottom"/>
          </w:tcPr>
          <w:p>
            <w:pPr>
              <w:ind w:left="820"/>
              <w:spacing w:after="0"/>
              <w:rPr>
                <w:sz w:val="20"/>
                <w:szCs w:val="20"/>
                <w:color w:val="auto"/>
              </w:rPr>
            </w:pPr>
            <w:r>
              <w:rPr>
                <w:rFonts w:ascii="Arial" w:cs="Arial" w:eastAsia="Arial" w:hAnsi="Arial"/>
                <w:sz w:val="13"/>
                <w:szCs w:val="13"/>
                <w:color w:val="auto"/>
              </w:rPr>
              <w:t>—</w:t>
            </w:r>
          </w:p>
        </w:tc>
        <w:tc>
          <w:tcPr>
            <w:tcW w:w="1160" w:type="dxa"/>
            <w:vAlign w:val="bottom"/>
          </w:tcPr>
          <w:p>
            <w:pPr>
              <w:ind w:left="96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ind w:left="66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3,984</w:t>
            </w:r>
          </w:p>
        </w:tc>
        <w:tc>
          <w:tcPr>
            <w:tcW w:w="240" w:type="dxa"/>
            <w:vAlign w:val="bottom"/>
          </w:tcPr>
          <w:p>
            <w:pPr>
              <w:jc w:val="right"/>
              <w:ind w:right="48"/>
              <w:spacing w:after="0"/>
              <w:rPr>
                <w:sz w:val="20"/>
                <w:szCs w:val="20"/>
                <w:color w:val="auto"/>
              </w:rPr>
            </w:pPr>
            <w:r>
              <w:rPr>
                <w:rFonts w:ascii="Arial" w:cs="Arial" w:eastAsia="Arial" w:hAnsi="Arial"/>
                <w:sz w:val="9"/>
                <w:szCs w:val="9"/>
                <w:color w:val="auto"/>
              </w:rPr>
              <w:t>(1)</w:t>
            </w: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495,052</w:t>
            </w: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02"/>
        </w:trPr>
        <w:tc>
          <w:tcPr>
            <w:tcW w:w="820" w:type="dxa"/>
            <w:vAlign w:val="bottom"/>
          </w:tcPr>
          <w:p>
            <w:pPr>
              <w:spacing w:after="0"/>
              <w:rPr>
                <w:sz w:val="8"/>
                <w:szCs w:val="8"/>
                <w:color w:val="auto"/>
              </w:rPr>
            </w:pPr>
          </w:p>
        </w:tc>
        <w:tc>
          <w:tcPr>
            <w:tcW w:w="640" w:type="dxa"/>
            <w:vAlign w:val="bottom"/>
            <w:tcBorders>
              <w:bottom w:val="single" w:sz="8" w:color="B2B3B6"/>
            </w:tcBorders>
          </w:tcPr>
          <w:p>
            <w:pPr>
              <w:spacing w:after="0"/>
              <w:rPr>
                <w:sz w:val="8"/>
                <w:szCs w:val="8"/>
                <w:color w:val="auto"/>
              </w:rPr>
            </w:pPr>
          </w:p>
        </w:tc>
        <w:tc>
          <w:tcPr>
            <w:tcW w:w="1000" w:type="dxa"/>
            <w:vAlign w:val="bottom"/>
            <w:tcBorders>
              <w:bottom w:val="single" w:sz="8" w:color="B2B3B6"/>
            </w:tcBorders>
          </w:tcPr>
          <w:p>
            <w:pPr>
              <w:spacing w:after="0"/>
              <w:rPr>
                <w:sz w:val="8"/>
                <w:szCs w:val="8"/>
                <w:color w:val="auto"/>
              </w:rPr>
            </w:pPr>
          </w:p>
        </w:tc>
        <w:tc>
          <w:tcPr>
            <w:tcW w:w="1160" w:type="dxa"/>
            <w:vAlign w:val="bottom"/>
            <w:tcBorders>
              <w:bottom w:val="single" w:sz="8" w:color="B2B3B6"/>
            </w:tcBorders>
          </w:tcPr>
          <w:p>
            <w:pPr>
              <w:spacing w:after="0"/>
              <w:rPr>
                <w:sz w:val="8"/>
                <w:szCs w:val="8"/>
                <w:color w:val="auto"/>
              </w:rPr>
            </w:pPr>
          </w:p>
        </w:tc>
        <w:tc>
          <w:tcPr>
            <w:tcW w:w="740" w:type="dxa"/>
            <w:vAlign w:val="bottom"/>
            <w:tcBorders>
              <w:bottom w:val="single" w:sz="8" w:color="B2B3B6"/>
            </w:tcBorders>
          </w:tcPr>
          <w:p>
            <w:pPr>
              <w:spacing w:after="0"/>
              <w:rPr>
                <w:sz w:val="8"/>
                <w:szCs w:val="8"/>
                <w:color w:val="auto"/>
              </w:rPr>
            </w:pPr>
          </w:p>
        </w:tc>
        <w:tc>
          <w:tcPr>
            <w:tcW w:w="860" w:type="dxa"/>
            <w:vAlign w:val="bottom"/>
            <w:tcBorders>
              <w:bottom w:val="single" w:sz="8" w:color="B2B3B6"/>
            </w:tcBorders>
          </w:tcPr>
          <w:p>
            <w:pPr>
              <w:spacing w:after="0"/>
              <w:rPr>
                <w:sz w:val="8"/>
                <w:szCs w:val="8"/>
                <w:color w:val="auto"/>
              </w:rPr>
            </w:pPr>
          </w:p>
        </w:tc>
        <w:tc>
          <w:tcPr>
            <w:tcW w:w="780" w:type="dxa"/>
            <w:vAlign w:val="bottom"/>
            <w:tcBorders>
              <w:bottom w:val="single" w:sz="8" w:color="B2B3B6"/>
            </w:tcBorders>
          </w:tcPr>
          <w:p>
            <w:pPr>
              <w:spacing w:after="0"/>
              <w:rPr>
                <w:sz w:val="8"/>
                <w:szCs w:val="8"/>
                <w:color w:val="auto"/>
              </w:rPr>
            </w:pPr>
          </w:p>
        </w:tc>
        <w:tc>
          <w:tcPr>
            <w:tcW w:w="240" w:type="dxa"/>
            <w:vAlign w:val="bottom"/>
            <w:tcBorders>
              <w:bottom w:val="single" w:sz="8" w:color="B2B3B6"/>
            </w:tcBorders>
          </w:tcPr>
          <w:p>
            <w:pPr>
              <w:spacing w:after="0"/>
              <w:rPr>
                <w:sz w:val="8"/>
                <w:szCs w:val="8"/>
                <w:color w:val="auto"/>
              </w:rPr>
            </w:pPr>
          </w:p>
        </w:tc>
        <w:tc>
          <w:tcPr>
            <w:tcW w:w="800" w:type="dxa"/>
            <w:vAlign w:val="bottom"/>
            <w:tcBorders>
              <w:bottom w:val="single" w:sz="8" w:color="B2B3B6"/>
            </w:tcBorders>
          </w:tcPr>
          <w:p>
            <w:pPr>
              <w:spacing w:after="0"/>
              <w:rPr>
                <w:sz w:val="8"/>
                <w:szCs w:val="8"/>
                <w:color w:val="auto"/>
              </w:rPr>
            </w:pPr>
          </w:p>
        </w:tc>
        <w:tc>
          <w:tcPr>
            <w:tcW w:w="920" w:type="dxa"/>
            <w:vAlign w:val="bottom"/>
            <w:tcBorders>
              <w:bottom w:val="single" w:sz="8" w:color="B2B3B6"/>
            </w:tcBorders>
          </w:tcPr>
          <w:p>
            <w:pPr>
              <w:spacing w:after="0"/>
              <w:rPr>
                <w:sz w:val="8"/>
                <w:szCs w:val="8"/>
                <w:color w:val="auto"/>
              </w:rPr>
            </w:pPr>
          </w:p>
        </w:tc>
        <w:tc>
          <w:tcPr>
            <w:tcW w:w="1120" w:type="dxa"/>
            <w:vAlign w:val="bottom"/>
            <w:tcBorders>
              <w:bottom w:val="single" w:sz="8" w:color="B2B3B6"/>
            </w:tcBorders>
          </w:tcPr>
          <w:p>
            <w:pPr>
              <w:spacing w:after="0"/>
              <w:rPr>
                <w:sz w:val="8"/>
                <w:szCs w:val="8"/>
                <w:color w:val="auto"/>
              </w:rPr>
            </w:pPr>
          </w:p>
        </w:tc>
        <w:tc>
          <w:tcPr>
            <w:tcW w:w="0" w:type="dxa"/>
            <w:vAlign w:val="bottom"/>
          </w:tcPr>
          <w:p>
            <w:pPr>
              <w:spacing w:after="0"/>
              <w:rPr>
                <w:sz w:val="1"/>
                <w:szCs w:val="1"/>
                <w:color w:val="auto"/>
              </w:rPr>
            </w:pPr>
          </w:p>
        </w:tc>
      </w:tr>
      <w:tr>
        <w:trPr>
          <w:trHeight w:val="357"/>
        </w:trPr>
        <w:tc>
          <w:tcPr>
            <w:tcW w:w="82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3"/>
                <w:szCs w:val="13"/>
                <w:color w:val="auto"/>
              </w:rPr>
              <w:t>3/1/2024</w:t>
            </w:r>
          </w:p>
        </w:tc>
        <w:tc>
          <w:tcPr>
            <w:tcW w:w="1000" w:type="dxa"/>
            <w:vAlign w:val="bottom"/>
          </w:tcPr>
          <w:p>
            <w:pPr>
              <w:ind w:left="820"/>
              <w:spacing w:after="0"/>
              <w:rPr>
                <w:sz w:val="20"/>
                <w:szCs w:val="20"/>
                <w:color w:val="auto"/>
              </w:rPr>
            </w:pPr>
            <w:r>
              <w:rPr>
                <w:rFonts w:ascii="Arial" w:cs="Arial" w:eastAsia="Arial" w:hAnsi="Arial"/>
                <w:sz w:val="13"/>
                <w:szCs w:val="13"/>
                <w:color w:val="auto"/>
              </w:rPr>
              <w:t>—</w:t>
            </w:r>
          </w:p>
        </w:tc>
        <w:tc>
          <w:tcPr>
            <w:tcW w:w="1160" w:type="dxa"/>
            <w:vAlign w:val="bottom"/>
          </w:tcPr>
          <w:p>
            <w:pPr>
              <w:ind w:left="96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ind w:left="66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24"/>
                <w:szCs w:val="24"/>
                <w:color w:val="auto"/>
              </w:rPr>
            </w:pPr>
          </w:p>
        </w:tc>
        <w:tc>
          <w:tcPr>
            <w:tcW w:w="240" w:type="dxa"/>
            <w:vAlign w:val="bottom"/>
          </w:tcPr>
          <w:p>
            <w:pPr>
              <w:jc w:val="right"/>
              <w:ind w:right="48"/>
              <w:spacing w:after="0"/>
              <w:rPr>
                <w:sz w:val="20"/>
                <w:szCs w:val="20"/>
                <w:color w:val="auto"/>
              </w:rPr>
            </w:pPr>
            <w:r>
              <w:rPr>
                <w:rFonts w:ascii="Arial" w:cs="Arial" w:eastAsia="Arial" w:hAnsi="Arial"/>
                <w:sz w:val="13"/>
                <w:szCs w:val="13"/>
                <w:color w:val="auto"/>
                <w:w w:val="91"/>
              </w:rPr>
              <w:t>—</w:t>
            </w: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 xml:space="preserve">9,296 </w:t>
            </w:r>
            <w:r>
              <w:rPr>
                <w:rFonts w:ascii="Arial" w:cs="Arial" w:eastAsia="Arial" w:hAnsi="Arial"/>
                <w:sz w:val="17"/>
                <w:szCs w:val="17"/>
                <w:color w:val="auto"/>
                <w:vertAlign w:val="superscript"/>
              </w:rPr>
              <w:t>(4)</w:t>
            </w:r>
          </w:p>
        </w:tc>
        <w:tc>
          <w:tcPr>
            <w:tcW w:w="1120" w:type="dxa"/>
            <w:vAlign w:val="bottom"/>
          </w:tcPr>
          <w:p>
            <w:pPr>
              <w:jc w:val="right"/>
              <w:ind w:right="93"/>
              <w:spacing w:after="0"/>
              <w:rPr>
                <w:sz w:val="20"/>
                <w:szCs w:val="20"/>
                <w:color w:val="auto"/>
              </w:rPr>
            </w:pPr>
            <w:r>
              <w:rPr>
                <w:rFonts w:ascii="Arial" w:cs="Arial" w:eastAsia="Arial" w:hAnsi="Arial"/>
                <w:sz w:val="13"/>
                <w:szCs w:val="13"/>
                <w:color w:val="auto"/>
              </w:rPr>
              <w:t>1,155,121</w:t>
            </w:r>
          </w:p>
        </w:tc>
        <w:tc>
          <w:tcPr>
            <w:tcW w:w="0" w:type="dxa"/>
            <w:vAlign w:val="bottom"/>
          </w:tcPr>
          <w:p>
            <w:pPr>
              <w:spacing w:after="0"/>
              <w:rPr>
                <w:sz w:val="1"/>
                <w:szCs w:val="1"/>
                <w:color w:val="auto"/>
              </w:rPr>
            </w:pPr>
          </w:p>
        </w:tc>
      </w:tr>
    </w:tbl>
    <w:p>
      <w:pPr>
        <w:sectPr>
          <w:pgSz w:w="11900" w:h="16838" w:orient="portrait"/>
          <w:cols w:equalWidth="0" w:num="1">
            <w:col w:w="9080"/>
          </w:cols>
          <w:pgMar w:left="1400" w:top="130" w:right="1419" w:bottom="1440" w:gutter="0" w:footer="0" w:header="0"/>
          <w:type w:val="continuous"/>
        </w:sectPr>
      </w:pPr>
    </w:p>
    <w:bookmarkStart w:id="56" w:name="page57"/>
    <w:bookmarkEnd w:id="56"/>
    <w:p>
      <w:pPr>
        <w:ind w:left="60"/>
        <w:spacing w:after="0"/>
        <w:tabs>
          <w:tab w:leader="none" w:pos="4440" w:val="left"/>
          <w:tab w:leader="none" w:pos="776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11677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10375" cy="1167765"/>
                    </a:xfrm>
                    <a:prstGeom prst="rect">
                      <a:avLst/>
                    </a:prstGeom>
                    <a:noFill/>
                  </pic:spPr>
                </pic:pic>
              </a:graphicData>
            </a:graphic>
          </wp:anchor>
        </w:drawing>
        <w:t>Huron Consulting Group Inc.</w:t>
      </w:r>
      <w:r>
        <w:rPr>
          <w:sz w:val="20"/>
          <w:szCs w:val="20"/>
          <w:color w:val="auto"/>
        </w:rPr>
        <w:tab/>
      </w:r>
      <w:r>
        <w:rPr>
          <w:rFonts w:ascii="Arial" w:cs="Arial" w:eastAsia="Arial" w:hAnsi="Arial"/>
          <w:sz w:val="13"/>
          <w:szCs w:val="13"/>
          <w:b w:val="1"/>
          <w:bCs w:val="1"/>
          <w:color w:val="00558C"/>
        </w:rPr>
        <w:t>53</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420370</wp:posOffset>
            </wp:positionV>
            <wp:extent cx="6810375" cy="886777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540" w:val="left"/>
          <w:tab w:leader="none" w:pos="7360" w:val="left"/>
          <w:tab w:leader="none" w:pos="8400" w:val="left"/>
        </w:tabs>
        <w:rPr>
          <w:sz w:val="20"/>
          <w:szCs w:val="20"/>
          <w:color w:val="auto"/>
        </w:rPr>
      </w:pPr>
      <w:r>
        <w:rPr>
          <w:rFonts w:ascii="Arial" w:cs="Arial" w:eastAsia="Arial" w:hAnsi="Arial"/>
          <w:sz w:val="13"/>
          <w:szCs w:val="13"/>
          <w:b w:val="1"/>
          <w:bCs w:val="1"/>
          <w:color w:val="B2B3B6"/>
        </w:rPr>
        <w:t>General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Corporate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6AAA37"/>
        </w:rPr>
        <w:t>Executive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Stockholder</w:t>
      </w:r>
      <w:r>
        <w:rPr>
          <w:sz w:val="20"/>
          <w:szCs w:val="20"/>
          <w:color w:val="auto"/>
        </w:rPr>
        <w:tab/>
      </w:r>
      <w:r>
        <w:rPr>
          <w:rFonts w:ascii="Arial" w:cs="Arial" w:eastAsia="Arial" w:hAnsi="Arial"/>
          <w:sz w:val="12"/>
          <w:szCs w:val="12"/>
          <w:b w:val="1"/>
          <w:bCs w:val="1"/>
          <w:color w:val="B2B3B6"/>
        </w:rPr>
        <w:t>Other</w:t>
      </w:r>
    </w:p>
    <w:p>
      <w:pPr>
        <w:spacing w:after="0" w:line="11"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540" w:val="left"/>
          <w:tab w:leader="none" w:pos="7360" w:val="left"/>
          <w:tab w:leader="none" w:pos="8400" w:val="left"/>
        </w:tabs>
        <w:rPr>
          <w:sz w:val="20"/>
          <w:szCs w:val="20"/>
          <w:color w:val="auto"/>
        </w:rPr>
      </w:pPr>
      <w:r>
        <w:rPr>
          <w:rFonts w:ascii="Arial" w:cs="Arial" w:eastAsia="Arial" w:hAnsi="Arial"/>
          <w:sz w:val="13"/>
          <w:szCs w:val="13"/>
          <w:b w:val="1"/>
          <w:bCs w:val="1"/>
          <w:color w:val="B2B3B6"/>
        </w:rPr>
        <w:t>Information</w:t>
      </w:r>
      <w:r>
        <w:rPr>
          <w:sz w:val="20"/>
          <w:szCs w:val="20"/>
          <w:color w:val="auto"/>
        </w:rPr>
        <w:tab/>
      </w:r>
      <w:r>
        <w:rPr>
          <w:rFonts w:ascii="Arial" w:cs="Arial" w:eastAsia="Arial" w:hAnsi="Arial"/>
          <w:sz w:val="13"/>
          <w:szCs w:val="13"/>
          <w:b w:val="1"/>
          <w:bCs w:val="1"/>
          <w:color w:val="B2B3B6"/>
        </w:rPr>
        <w:t>One</w:t>
      </w:r>
      <w:r>
        <w:rPr>
          <w:sz w:val="20"/>
          <w:szCs w:val="20"/>
          <w:color w:val="auto"/>
        </w:rPr>
        <w:tab/>
      </w:r>
      <w:r>
        <w:rPr>
          <w:rFonts w:ascii="Arial" w:cs="Arial" w:eastAsia="Arial" w:hAnsi="Arial"/>
          <w:sz w:val="13"/>
          <w:szCs w:val="13"/>
          <w:b w:val="1"/>
          <w:bCs w:val="1"/>
          <w:color w:val="B2B3B6"/>
        </w:rPr>
        <w:t>Governance</w:t>
      </w:r>
      <w:r>
        <w:rPr>
          <w:sz w:val="20"/>
          <w:szCs w:val="20"/>
          <w:color w:val="auto"/>
        </w:rPr>
        <w:tab/>
      </w:r>
      <w:r>
        <w:rPr>
          <w:rFonts w:ascii="Arial" w:cs="Arial" w:eastAsia="Arial" w:hAnsi="Arial"/>
          <w:sz w:val="13"/>
          <w:szCs w:val="13"/>
          <w:b w:val="1"/>
          <w:bCs w:val="1"/>
          <w:color w:val="B2B3B6"/>
        </w:rPr>
        <w:t>Two</w:t>
      </w:r>
      <w:r>
        <w:rPr>
          <w:sz w:val="20"/>
          <w:szCs w:val="20"/>
          <w:color w:val="auto"/>
        </w:rPr>
        <w:tab/>
      </w:r>
      <w:r>
        <w:rPr>
          <w:rFonts w:ascii="Arial" w:cs="Arial" w:eastAsia="Arial" w:hAnsi="Arial"/>
          <w:sz w:val="13"/>
          <w:szCs w:val="13"/>
          <w:b w:val="1"/>
          <w:bCs w:val="1"/>
          <w:color w:val="6AAA37"/>
        </w:rPr>
        <w:t>Compensation</w:t>
      </w:r>
      <w:r>
        <w:rPr>
          <w:sz w:val="20"/>
          <w:szCs w:val="20"/>
          <w:color w:val="auto"/>
        </w:rPr>
        <w:tab/>
      </w:r>
      <w:r>
        <w:rPr>
          <w:rFonts w:ascii="Arial" w:cs="Arial" w:eastAsia="Arial" w:hAnsi="Arial"/>
          <w:sz w:val="13"/>
          <w:szCs w:val="13"/>
          <w:b w:val="1"/>
          <w:bCs w:val="1"/>
          <w:color w:val="B2B3B6"/>
        </w:rPr>
        <w:t>Three</w:t>
      </w:r>
      <w:r>
        <w:rPr>
          <w:sz w:val="20"/>
          <w:szCs w:val="20"/>
          <w:color w:val="auto"/>
        </w:rPr>
        <w:tab/>
      </w:r>
      <w:r>
        <w:rPr>
          <w:rFonts w:ascii="Arial" w:cs="Arial" w:eastAsia="Arial" w:hAnsi="Arial"/>
          <w:sz w:val="13"/>
          <w:szCs w:val="13"/>
          <w:b w:val="1"/>
          <w:bCs w:val="1"/>
          <w:color w:val="B2B3B6"/>
        </w:rPr>
        <w:t>Four</w:t>
      </w:r>
      <w:r>
        <w:rPr>
          <w:sz w:val="20"/>
          <w:szCs w:val="20"/>
          <w:color w:val="auto"/>
        </w:rPr>
        <w:tab/>
      </w:r>
      <w:r>
        <w:rPr>
          <w:rFonts w:ascii="Arial" w:cs="Arial" w:eastAsia="Arial" w:hAnsi="Arial"/>
          <w:sz w:val="13"/>
          <w:szCs w:val="13"/>
          <w:b w:val="1"/>
          <w:bCs w:val="1"/>
          <w:color w:val="B2B3B6"/>
        </w:rPr>
        <w:t>Five</w:t>
      </w:r>
      <w:r>
        <w:rPr>
          <w:sz w:val="20"/>
          <w:szCs w:val="20"/>
          <w:color w:val="auto"/>
        </w:rPr>
        <w:tab/>
      </w:r>
      <w:r>
        <w:rPr>
          <w:rFonts w:ascii="Arial" w:cs="Arial" w:eastAsia="Arial" w:hAnsi="Arial"/>
          <w:sz w:val="13"/>
          <w:szCs w:val="13"/>
          <w:b w:val="1"/>
          <w:bCs w:val="1"/>
          <w:color w:val="B2B3B6"/>
        </w:rPr>
        <w:t>Proposals</w:t>
      </w:r>
      <w:r>
        <w:rPr>
          <w:sz w:val="20"/>
          <w:szCs w:val="20"/>
          <w:color w:val="auto"/>
        </w:rPr>
        <w:tab/>
      </w:r>
      <w:r>
        <w:rPr>
          <w:rFonts w:ascii="Arial" w:cs="Arial" w:eastAsia="Arial" w:hAnsi="Arial"/>
          <w:sz w:val="12"/>
          <w:szCs w:val="12"/>
          <w:b w:val="1"/>
          <w:bCs w:val="1"/>
          <w:color w:val="B2B3B6"/>
        </w:rPr>
        <w:t>Matters</w:t>
      </w:r>
    </w:p>
    <w:p>
      <w:pPr>
        <w:sectPr>
          <w:pgSz w:w="11900" w:h="16838" w:orient="portrait"/>
          <w:cols w:equalWidth="0" w:num="1">
            <w:col w:w="9080"/>
          </w:cols>
          <w:pgMar w:left="1400" w:top="1296" w:right="1419" w:bottom="7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40"/>
        <w:spacing w:after="0"/>
        <w:rPr>
          <w:sz w:val="20"/>
          <w:szCs w:val="20"/>
          <w:color w:val="auto"/>
        </w:rPr>
      </w:pPr>
      <w:r>
        <w:rPr>
          <w:rFonts w:ascii="Arial" w:cs="Arial" w:eastAsia="Arial" w:hAnsi="Arial"/>
          <w:sz w:val="13"/>
          <w:szCs w:val="13"/>
          <w:b w:val="1"/>
          <w:bCs w:val="1"/>
          <w:color w:val="FFFFFF"/>
        </w:rPr>
        <w:t>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40" w:hanging="4"/>
        <w:spacing w:after="0" w:line="318" w:lineRule="auto"/>
        <w:tabs>
          <w:tab w:leader="none" w:pos="290" w:val="left"/>
        </w:tabs>
        <w:numPr>
          <w:ilvl w:val="0"/>
          <w:numId w:val="86"/>
        </w:numPr>
        <w:rPr>
          <w:rFonts w:ascii="Arial" w:cs="Arial" w:eastAsia="Arial" w:hAnsi="Arial"/>
          <w:sz w:val="13"/>
          <w:szCs w:val="13"/>
          <w:b w:val="1"/>
          <w:bCs w:val="1"/>
          <w:color w:val="00558C"/>
        </w:rPr>
      </w:pPr>
      <w:r>
        <w:rPr>
          <w:rFonts w:ascii="Arial" w:cs="Arial" w:eastAsia="Arial" w:hAnsi="Arial"/>
          <w:sz w:val="13"/>
          <w:szCs w:val="13"/>
          <w:b w:val="1"/>
          <w:bCs w:val="1"/>
          <w:color w:val="00558C"/>
        </w:rPr>
        <w:t>Ronald Dail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6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900" w:type="dxa"/>
            <w:vAlign w:val="bottom"/>
            <w:gridSpan w:val="2"/>
          </w:tcPr>
          <w:p>
            <w:pPr>
              <w:jc w:val="right"/>
              <w:ind w:right="533"/>
              <w:spacing w:after="0"/>
              <w:rPr>
                <w:sz w:val="20"/>
                <w:szCs w:val="20"/>
                <w:color w:val="auto"/>
              </w:rPr>
            </w:pPr>
            <w:r>
              <w:rPr>
                <w:rFonts w:ascii="Arial" w:cs="Arial" w:eastAsia="Arial" w:hAnsi="Arial"/>
                <w:sz w:val="13"/>
                <w:szCs w:val="13"/>
                <w:b w:val="1"/>
                <w:bCs w:val="1"/>
                <w:color w:val="FFFFFF"/>
              </w:rPr>
              <w:t>Option Awards</w:t>
            </w:r>
          </w:p>
        </w:tc>
        <w:tc>
          <w:tcPr>
            <w:tcW w:w="8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gridSpan w:val="2"/>
          </w:tcPr>
          <w:p>
            <w:pPr>
              <w:jc w:val="right"/>
              <w:ind w:right="313"/>
              <w:spacing w:after="0"/>
              <w:rPr>
                <w:sz w:val="20"/>
                <w:szCs w:val="20"/>
                <w:color w:val="auto"/>
              </w:rPr>
            </w:pPr>
            <w:r>
              <w:rPr>
                <w:rFonts w:ascii="Arial" w:cs="Arial" w:eastAsia="Arial" w:hAnsi="Arial"/>
                <w:sz w:val="13"/>
                <w:szCs w:val="13"/>
                <w:b w:val="1"/>
                <w:bCs w:val="1"/>
                <w:color w:val="FFFFFF"/>
              </w:rPr>
              <w:t>Stock Awards</w:t>
            </w:r>
          </w:p>
        </w:tc>
        <w:tc>
          <w:tcPr>
            <w:tcW w:w="1140" w:type="dxa"/>
            <w:vAlign w:val="bottom"/>
          </w:tcPr>
          <w:p>
            <w:pPr>
              <w:spacing w:after="0"/>
              <w:rPr>
                <w:sz w:val="16"/>
                <w:szCs w:val="16"/>
                <w:color w:val="auto"/>
              </w:rPr>
            </w:pPr>
          </w:p>
        </w:tc>
      </w:tr>
      <w:tr>
        <w:trPr>
          <w:trHeight w:val="372"/>
        </w:trPr>
        <w:tc>
          <w:tcPr>
            <w:tcW w:w="640" w:type="dxa"/>
            <w:vAlign w:val="bottom"/>
            <w:shd w:val="clear" w:color="auto" w:fill="00558C"/>
          </w:tcPr>
          <w:p>
            <w:pPr>
              <w:spacing w:after="0"/>
              <w:rPr>
                <w:sz w:val="24"/>
                <w:szCs w:val="24"/>
                <w:color w:val="auto"/>
              </w:rPr>
            </w:pPr>
          </w:p>
        </w:tc>
        <w:tc>
          <w:tcPr>
            <w:tcW w:w="1000" w:type="dxa"/>
            <w:vAlign w:val="bottom"/>
            <w:shd w:val="clear" w:color="auto" w:fill="00558C"/>
          </w:tcPr>
          <w:p>
            <w:pPr>
              <w:spacing w:after="0"/>
              <w:rPr>
                <w:sz w:val="24"/>
                <w:szCs w:val="24"/>
                <w:color w:val="auto"/>
              </w:rPr>
            </w:pPr>
          </w:p>
        </w:tc>
        <w:tc>
          <w:tcPr>
            <w:tcW w:w="1160" w:type="dxa"/>
            <w:vAlign w:val="bottom"/>
            <w:shd w:val="clear" w:color="auto" w:fill="00558C"/>
          </w:tcPr>
          <w:p>
            <w:pPr>
              <w:spacing w:after="0"/>
              <w:rPr>
                <w:sz w:val="24"/>
                <w:szCs w:val="24"/>
                <w:color w:val="auto"/>
              </w:rPr>
            </w:pPr>
          </w:p>
        </w:tc>
        <w:tc>
          <w:tcPr>
            <w:tcW w:w="740" w:type="dxa"/>
            <w:vAlign w:val="bottom"/>
            <w:shd w:val="clear" w:color="auto" w:fill="00558C"/>
          </w:tcPr>
          <w:p>
            <w:pPr>
              <w:spacing w:after="0"/>
              <w:rPr>
                <w:sz w:val="24"/>
                <w:szCs w:val="24"/>
                <w:color w:val="auto"/>
              </w:rPr>
            </w:pPr>
          </w:p>
        </w:tc>
        <w:tc>
          <w:tcPr>
            <w:tcW w:w="860" w:type="dxa"/>
            <w:vAlign w:val="bottom"/>
            <w:shd w:val="clear" w:color="auto" w:fill="00558C"/>
          </w:tcPr>
          <w:p>
            <w:pPr>
              <w:spacing w:after="0"/>
              <w:rPr>
                <w:sz w:val="24"/>
                <w:szCs w:val="24"/>
                <w:color w:val="auto"/>
              </w:rPr>
            </w:pPr>
          </w:p>
        </w:tc>
        <w:tc>
          <w:tcPr>
            <w:tcW w:w="780" w:type="dxa"/>
            <w:vAlign w:val="bottom"/>
            <w:shd w:val="clear" w:color="auto" w:fill="00558C"/>
          </w:tcPr>
          <w:p>
            <w:pPr>
              <w:spacing w:after="0"/>
              <w:rPr>
                <w:sz w:val="24"/>
                <w:szCs w:val="24"/>
                <w:color w:val="auto"/>
              </w:rPr>
            </w:pPr>
          </w:p>
        </w:tc>
        <w:tc>
          <w:tcPr>
            <w:tcW w:w="200" w:type="dxa"/>
            <w:vAlign w:val="bottom"/>
            <w:shd w:val="clear" w:color="auto" w:fill="00558C"/>
          </w:tcPr>
          <w:p>
            <w:pPr>
              <w:spacing w:after="0"/>
              <w:rPr>
                <w:sz w:val="24"/>
                <w:szCs w:val="24"/>
                <w:color w:val="auto"/>
              </w:rPr>
            </w:pPr>
          </w:p>
        </w:tc>
        <w:tc>
          <w:tcPr>
            <w:tcW w:w="820" w:type="dxa"/>
            <w:vAlign w:val="bottom"/>
            <w:shd w:val="clear" w:color="auto" w:fill="00558C"/>
          </w:tcPr>
          <w:p>
            <w:pPr>
              <w:spacing w:after="0"/>
              <w:rPr>
                <w:sz w:val="24"/>
                <w:szCs w:val="24"/>
                <w:color w:val="auto"/>
              </w:rPr>
            </w:pPr>
          </w:p>
        </w:tc>
        <w:tc>
          <w:tcPr>
            <w:tcW w:w="920" w:type="dxa"/>
            <w:vAlign w:val="bottom"/>
            <w:shd w:val="clear" w:color="auto" w:fill="00558C"/>
          </w:tcPr>
          <w:p>
            <w:pPr>
              <w:jc w:val="right"/>
              <w:ind w:right="13"/>
              <w:spacing w:after="0"/>
              <w:rPr>
                <w:sz w:val="20"/>
                <w:szCs w:val="20"/>
                <w:color w:val="auto"/>
              </w:rPr>
            </w:pPr>
            <w:r>
              <w:rPr>
                <w:rFonts w:ascii="Arial" w:cs="Arial" w:eastAsia="Arial" w:hAnsi="Arial"/>
                <w:sz w:val="13"/>
                <w:szCs w:val="13"/>
                <w:b w:val="1"/>
                <w:bCs w:val="1"/>
                <w:color w:val="FFFFFF"/>
              </w:rPr>
              <w:t>Equity</w:t>
            </w:r>
          </w:p>
        </w:tc>
        <w:tc>
          <w:tcPr>
            <w:tcW w:w="1140" w:type="dxa"/>
            <w:vAlign w:val="bottom"/>
            <w:shd w:val="clear" w:color="auto" w:fill="00558C"/>
          </w:tcPr>
          <w:p>
            <w:pPr>
              <w:jc w:val="right"/>
              <w:ind w:right="133"/>
              <w:spacing w:after="0"/>
              <w:rPr>
                <w:sz w:val="20"/>
                <w:szCs w:val="20"/>
                <w:color w:val="auto"/>
              </w:rPr>
            </w:pPr>
            <w:r>
              <w:rPr>
                <w:rFonts w:ascii="Arial" w:cs="Arial" w:eastAsia="Arial" w:hAnsi="Arial"/>
                <w:sz w:val="13"/>
                <w:szCs w:val="13"/>
                <w:b w:val="1"/>
                <w:bCs w:val="1"/>
                <w:color w:val="FFFFFF"/>
              </w:rPr>
              <w:t>Equity</w:t>
            </w:r>
          </w:p>
        </w:tc>
      </w:tr>
      <w:tr>
        <w:trPr>
          <w:trHeight w:val="162"/>
        </w:trPr>
        <w:tc>
          <w:tcPr>
            <w:tcW w:w="640" w:type="dxa"/>
            <w:vAlign w:val="bottom"/>
            <w:shd w:val="clear" w:color="auto" w:fill="00558C"/>
          </w:tcPr>
          <w:p>
            <w:pPr>
              <w:spacing w:after="0"/>
              <w:rPr>
                <w:sz w:val="14"/>
                <w:szCs w:val="14"/>
                <w:color w:val="auto"/>
              </w:rPr>
            </w:pPr>
          </w:p>
        </w:tc>
        <w:tc>
          <w:tcPr>
            <w:tcW w:w="1000" w:type="dxa"/>
            <w:vAlign w:val="bottom"/>
            <w:shd w:val="clear" w:color="auto" w:fill="00558C"/>
          </w:tcPr>
          <w:p>
            <w:pPr>
              <w:spacing w:after="0"/>
              <w:rPr>
                <w:sz w:val="14"/>
                <w:szCs w:val="14"/>
                <w:color w:val="auto"/>
              </w:rPr>
            </w:pPr>
          </w:p>
        </w:tc>
        <w:tc>
          <w:tcPr>
            <w:tcW w:w="1160" w:type="dxa"/>
            <w:vAlign w:val="bottom"/>
            <w:shd w:val="clear" w:color="auto" w:fill="00558C"/>
          </w:tcPr>
          <w:p>
            <w:pPr>
              <w:spacing w:after="0"/>
              <w:rPr>
                <w:sz w:val="14"/>
                <w:szCs w:val="14"/>
                <w:color w:val="auto"/>
              </w:rPr>
            </w:pPr>
          </w:p>
        </w:tc>
        <w:tc>
          <w:tcPr>
            <w:tcW w:w="740" w:type="dxa"/>
            <w:vAlign w:val="bottom"/>
            <w:shd w:val="clear" w:color="auto" w:fill="00558C"/>
          </w:tcPr>
          <w:p>
            <w:pPr>
              <w:spacing w:after="0"/>
              <w:rPr>
                <w:sz w:val="14"/>
                <w:szCs w:val="14"/>
                <w:color w:val="auto"/>
              </w:rPr>
            </w:pPr>
          </w:p>
        </w:tc>
        <w:tc>
          <w:tcPr>
            <w:tcW w:w="860" w:type="dxa"/>
            <w:vAlign w:val="bottom"/>
            <w:shd w:val="clear" w:color="auto" w:fill="00558C"/>
          </w:tcPr>
          <w:p>
            <w:pPr>
              <w:spacing w:after="0"/>
              <w:rPr>
                <w:sz w:val="14"/>
                <w:szCs w:val="14"/>
                <w:color w:val="auto"/>
              </w:rPr>
            </w:pPr>
          </w:p>
        </w:tc>
        <w:tc>
          <w:tcPr>
            <w:tcW w:w="780" w:type="dxa"/>
            <w:vAlign w:val="bottom"/>
            <w:shd w:val="clear" w:color="auto" w:fill="00558C"/>
          </w:tcPr>
          <w:p>
            <w:pPr>
              <w:spacing w:after="0"/>
              <w:rPr>
                <w:sz w:val="14"/>
                <w:szCs w:val="14"/>
                <w:color w:val="auto"/>
              </w:rPr>
            </w:pPr>
          </w:p>
        </w:tc>
        <w:tc>
          <w:tcPr>
            <w:tcW w:w="200" w:type="dxa"/>
            <w:vAlign w:val="bottom"/>
            <w:shd w:val="clear" w:color="auto" w:fill="00558C"/>
          </w:tcPr>
          <w:p>
            <w:pPr>
              <w:spacing w:after="0"/>
              <w:rPr>
                <w:sz w:val="14"/>
                <w:szCs w:val="14"/>
                <w:color w:val="auto"/>
              </w:rPr>
            </w:pPr>
          </w:p>
        </w:tc>
        <w:tc>
          <w:tcPr>
            <w:tcW w:w="820" w:type="dxa"/>
            <w:vAlign w:val="bottom"/>
            <w:shd w:val="clear" w:color="auto" w:fill="00558C"/>
          </w:tcPr>
          <w:p>
            <w:pPr>
              <w:spacing w:after="0"/>
              <w:rPr>
                <w:sz w:val="14"/>
                <w:szCs w:val="14"/>
                <w:color w:val="auto"/>
              </w:rPr>
            </w:pPr>
          </w:p>
        </w:tc>
        <w:tc>
          <w:tcPr>
            <w:tcW w:w="920" w:type="dxa"/>
            <w:vAlign w:val="bottom"/>
            <w:shd w:val="clear" w:color="auto" w:fill="00558C"/>
          </w:tcPr>
          <w:p>
            <w:pPr>
              <w:jc w:val="center"/>
              <w:ind w:left="33"/>
              <w:spacing w:after="0"/>
              <w:rPr>
                <w:sz w:val="20"/>
                <w:szCs w:val="20"/>
                <w:color w:val="auto"/>
              </w:rPr>
            </w:pPr>
            <w:r>
              <w:rPr>
                <w:rFonts w:ascii="Arial" w:cs="Arial" w:eastAsia="Arial" w:hAnsi="Arial"/>
                <w:sz w:val="13"/>
                <w:szCs w:val="13"/>
                <w:b w:val="1"/>
                <w:bCs w:val="1"/>
                <w:color w:val="FFFFFF"/>
              </w:rPr>
              <w:t>Incentive</w:t>
            </w:r>
          </w:p>
        </w:tc>
        <w:tc>
          <w:tcPr>
            <w:tcW w:w="1140" w:type="dxa"/>
            <w:vAlign w:val="bottom"/>
            <w:shd w:val="clear" w:color="auto" w:fill="00558C"/>
          </w:tcPr>
          <w:p>
            <w:pPr>
              <w:jc w:val="right"/>
              <w:ind w:right="173"/>
              <w:spacing w:after="0"/>
              <w:rPr>
                <w:sz w:val="20"/>
                <w:szCs w:val="20"/>
                <w:color w:val="auto"/>
              </w:rPr>
            </w:pPr>
            <w:r>
              <w:rPr>
                <w:rFonts w:ascii="Arial" w:cs="Arial" w:eastAsia="Arial" w:hAnsi="Arial"/>
                <w:sz w:val="13"/>
                <w:szCs w:val="13"/>
                <w:b w:val="1"/>
                <w:bCs w:val="1"/>
                <w:color w:val="FFFFFF"/>
              </w:rPr>
              <w:t>Incentive</w:t>
            </w:r>
          </w:p>
        </w:tc>
      </w:tr>
      <w:tr>
        <w:trPr>
          <w:trHeight w:val="162"/>
        </w:trPr>
        <w:tc>
          <w:tcPr>
            <w:tcW w:w="640" w:type="dxa"/>
            <w:vAlign w:val="bottom"/>
            <w:shd w:val="clear" w:color="auto" w:fill="00558C"/>
          </w:tcPr>
          <w:p>
            <w:pPr>
              <w:spacing w:after="0"/>
              <w:rPr>
                <w:sz w:val="14"/>
                <w:szCs w:val="14"/>
                <w:color w:val="auto"/>
              </w:rPr>
            </w:pPr>
          </w:p>
        </w:tc>
        <w:tc>
          <w:tcPr>
            <w:tcW w:w="1000" w:type="dxa"/>
            <w:vAlign w:val="bottom"/>
            <w:shd w:val="clear" w:color="auto" w:fill="00558C"/>
          </w:tcPr>
          <w:p>
            <w:pPr>
              <w:spacing w:after="0"/>
              <w:rPr>
                <w:sz w:val="14"/>
                <w:szCs w:val="14"/>
                <w:color w:val="auto"/>
              </w:rPr>
            </w:pPr>
          </w:p>
        </w:tc>
        <w:tc>
          <w:tcPr>
            <w:tcW w:w="1160" w:type="dxa"/>
            <w:vAlign w:val="bottom"/>
            <w:shd w:val="clear" w:color="auto" w:fill="00558C"/>
          </w:tcPr>
          <w:p>
            <w:pPr>
              <w:spacing w:after="0"/>
              <w:rPr>
                <w:sz w:val="14"/>
                <w:szCs w:val="14"/>
                <w:color w:val="auto"/>
              </w:rPr>
            </w:pPr>
          </w:p>
        </w:tc>
        <w:tc>
          <w:tcPr>
            <w:tcW w:w="740" w:type="dxa"/>
            <w:vAlign w:val="bottom"/>
            <w:shd w:val="clear" w:color="auto" w:fill="00558C"/>
          </w:tcPr>
          <w:p>
            <w:pPr>
              <w:spacing w:after="0"/>
              <w:rPr>
                <w:sz w:val="14"/>
                <w:szCs w:val="14"/>
                <w:color w:val="auto"/>
              </w:rPr>
            </w:pPr>
          </w:p>
        </w:tc>
        <w:tc>
          <w:tcPr>
            <w:tcW w:w="860" w:type="dxa"/>
            <w:vAlign w:val="bottom"/>
            <w:shd w:val="clear" w:color="auto" w:fill="00558C"/>
          </w:tcPr>
          <w:p>
            <w:pPr>
              <w:spacing w:after="0"/>
              <w:rPr>
                <w:sz w:val="14"/>
                <w:szCs w:val="14"/>
                <w:color w:val="auto"/>
              </w:rPr>
            </w:pPr>
          </w:p>
        </w:tc>
        <w:tc>
          <w:tcPr>
            <w:tcW w:w="780" w:type="dxa"/>
            <w:vAlign w:val="bottom"/>
            <w:shd w:val="clear" w:color="auto" w:fill="00558C"/>
          </w:tcPr>
          <w:p>
            <w:pPr>
              <w:spacing w:after="0"/>
              <w:rPr>
                <w:sz w:val="14"/>
                <w:szCs w:val="14"/>
                <w:color w:val="auto"/>
              </w:rPr>
            </w:pPr>
          </w:p>
        </w:tc>
        <w:tc>
          <w:tcPr>
            <w:tcW w:w="200" w:type="dxa"/>
            <w:vAlign w:val="bottom"/>
            <w:shd w:val="clear" w:color="auto" w:fill="00558C"/>
          </w:tcPr>
          <w:p>
            <w:pPr>
              <w:spacing w:after="0"/>
              <w:rPr>
                <w:sz w:val="14"/>
                <w:szCs w:val="14"/>
                <w:color w:val="auto"/>
              </w:rPr>
            </w:pPr>
          </w:p>
        </w:tc>
        <w:tc>
          <w:tcPr>
            <w:tcW w:w="820" w:type="dxa"/>
            <w:vAlign w:val="bottom"/>
            <w:shd w:val="clear" w:color="auto" w:fill="00558C"/>
          </w:tcPr>
          <w:p>
            <w:pPr>
              <w:spacing w:after="0"/>
              <w:rPr>
                <w:sz w:val="14"/>
                <w:szCs w:val="14"/>
                <w:color w:val="auto"/>
              </w:rPr>
            </w:pPr>
          </w:p>
        </w:tc>
        <w:tc>
          <w:tcPr>
            <w:tcW w:w="920" w:type="dxa"/>
            <w:vAlign w:val="bottom"/>
            <w:shd w:val="clear" w:color="auto" w:fill="00558C"/>
          </w:tcPr>
          <w:p>
            <w:pPr>
              <w:jc w:val="right"/>
              <w:ind w:right="13"/>
              <w:spacing w:after="0"/>
              <w:rPr>
                <w:sz w:val="20"/>
                <w:szCs w:val="20"/>
                <w:color w:val="auto"/>
              </w:rPr>
            </w:pPr>
            <w:r>
              <w:rPr>
                <w:rFonts w:ascii="Arial" w:cs="Arial" w:eastAsia="Arial" w:hAnsi="Arial"/>
                <w:sz w:val="13"/>
                <w:szCs w:val="13"/>
                <w:b w:val="1"/>
                <w:bCs w:val="1"/>
                <w:color w:val="FFFFFF"/>
              </w:rPr>
              <w:t>Plan</w:t>
            </w:r>
          </w:p>
        </w:tc>
        <w:tc>
          <w:tcPr>
            <w:tcW w:w="1140" w:type="dxa"/>
            <w:vAlign w:val="bottom"/>
            <w:shd w:val="clear" w:color="auto" w:fill="00558C"/>
          </w:tcPr>
          <w:p>
            <w:pPr>
              <w:jc w:val="right"/>
              <w:ind w:right="153"/>
              <w:spacing w:after="0"/>
              <w:rPr>
                <w:sz w:val="20"/>
                <w:szCs w:val="20"/>
                <w:color w:val="auto"/>
              </w:rPr>
            </w:pPr>
            <w:r>
              <w:rPr>
                <w:rFonts w:ascii="Arial" w:cs="Arial" w:eastAsia="Arial" w:hAnsi="Arial"/>
                <w:sz w:val="13"/>
                <w:szCs w:val="13"/>
                <w:b w:val="1"/>
                <w:bCs w:val="1"/>
                <w:color w:val="FFFFFF"/>
              </w:rPr>
              <w:t>Plan Awards:</w:t>
            </w:r>
          </w:p>
        </w:tc>
      </w:tr>
      <w:tr>
        <w:trPr>
          <w:trHeight w:val="162"/>
        </w:trPr>
        <w:tc>
          <w:tcPr>
            <w:tcW w:w="640" w:type="dxa"/>
            <w:vAlign w:val="bottom"/>
            <w:shd w:val="clear" w:color="auto" w:fill="00558C"/>
          </w:tcPr>
          <w:p>
            <w:pPr>
              <w:spacing w:after="0"/>
              <w:rPr>
                <w:sz w:val="14"/>
                <w:szCs w:val="14"/>
                <w:color w:val="auto"/>
              </w:rPr>
            </w:pPr>
          </w:p>
        </w:tc>
        <w:tc>
          <w:tcPr>
            <w:tcW w:w="1000" w:type="dxa"/>
            <w:vAlign w:val="bottom"/>
            <w:shd w:val="clear" w:color="auto" w:fill="00558C"/>
          </w:tcPr>
          <w:p>
            <w:pPr>
              <w:spacing w:after="0"/>
              <w:rPr>
                <w:sz w:val="14"/>
                <w:szCs w:val="14"/>
                <w:color w:val="auto"/>
              </w:rPr>
            </w:pPr>
          </w:p>
        </w:tc>
        <w:tc>
          <w:tcPr>
            <w:tcW w:w="1160" w:type="dxa"/>
            <w:vAlign w:val="bottom"/>
            <w:shd w:val="clear" w:color="auto" w:fill="00558C"/>
          </w:tcPr>
          <w:p>
            <w:pPr>
              <w:spacing w:after="0"/>
              <w:rPr>
                <w:sz w:val="14"/>
                <w:szCs w:val="14"/>
                <w:color w:val="auto"/>
              </w:rPr>
            </w:pPr>
          </w:p>
        </w:tc>
        <w:tc>
          <w:tcPr>
            <w:tcW w:w="740" w:type="dxa"/>
            <w:vAlign w:val="bottom"/>
            <w:shd w:val="clear" w:color="auto" w:fill="00558C"/>
          </w:tcPr>
          <w:p>
            <w:pPr>
              <w:spacing w:after="0"/>
              <w:rPr>
                <w:sz w:val="14"/>
                <w:szCs w:val="14"/>
                <w:color w:val="auto"/>
              </w:rPr>
            </w:pPr>
          </w:p>
        </w:tc>
        <w:tc>
          <w:tcPr>
            <w:tcW w:w="860" w:type="dxa"/>
            <w:vAlign w:val="bottom"/>
            <w:shd w:val="clear" w:color="auto" w:fill="00558C"/>
          </w:tcPr>
          <w:p>
            <w:pPr>
              <w:spacing w:after="0"/>
              <w:rPr>
                <w:sz w:val="14"/>
                <w:szCs w:val="14"/>
                <w:color w:val="auto"/>
              </w:rPr>
            </w:pPr>
          </w:p>
        </w:tc>
        <w:tc>
          <w:tcPr>
            <w:tcW w:w="780" w:type="dxa"/>
            <w:vAlign w:val="bottom"/>
            <w:shd w:val="clear" w:color="auto" w:fill="00558C"/>
          </w:tcPr>
          <w:p>
            <w:pPr>
              <w:spacing w:after="0"/>
              <w:rPr>
                <w:sz w:val="14"/>
                <w:szCs w:val="14"/>
                <w:color w:val="auto"/>
              </w:rPr>
            </w:pPr>
          </w:p>
        </w:tc>
        <w:tc>
          <w:tcPr>
            <w:tcW w:w="200" w:type="dxa"/>
            <w:vAlign w:val="bottom"/>
            <w:shd w:val="clear" w:color="auto" w:fill="00558C"/>
          </w:tcPr>
          <w:p>
            <w:pPr>
              <w:spacing w:after="0"/>
              <w:rPr>
                <w:sz w:val="14"/>
                <w:szCs w:val="14"/>
                <w:color w:val="auto"/>
              </w:rPr>
            </w:pPr>
          </w:p>
        </w:tc>
        <w:tc>
          <w:tcPr>
            <w:tcW w:w="820" w:type="dxa"/>
            <w:vAlign w:val="bottom"/>
            <w:shd w:val="clear" w:color="auto" w:fill="00558C"/>
          </w:tcPr>
          <w:p>
            <w:pPr>
              <w:spacing w:after="0"/>
              <w:rPr>
                <w:sz w:val="14"/>
                <w:szCs w:val="14"/>
                <w:color w:val="auto"/>
              </w:rPr>
            </w:pPr>
          </w:p>
        </w:tc>
        <w:tc>
          <w:tcPr>
            <w:tcW w:w="920" w:type="dxa"/>
            <w:vAlign w:val="bottom"/>
            <w:shd w:val="clear" w:color="auto" w:fill="00558C"/>
          </w:tcPr>
          <w:p>
            <w:pPr>
              <w:jc w:val="right"/>
              <w:ind w:right="13"/>
              <w:spacing w:after="0"/>
              <w:rPr>
                <w:sz w:val="20"/>
                <w:szCs w:val="20"/>
                <w:color w:val="auto"/>
              </w:rPr>
            </w:pPr>
            <w:r>
              <w:rPr>
                <w:rFonts w:ascii="Arial" w:cs="Arial" w:eastAsia="Arial" w:hAnsi="Arial"/>
                <w:sz w:val="13"/>
                <w:szCs w:val="13"/>
                <w:b w:val="1"/>
                <w:bCs w:val="1"/>
                <w:color w:val="FFFFFF"/>
              </w:rPr>
              <w:t>Awards:</w:t>
            </w:r>
          </w:p>
        </w:tc>
        <w:tc>
          <w:tcPr>
            <w:tcW w:w="1140" w:type="dxa"/>
            <w:vAlign w:val="bottom"/>
            <w:shd w:val="clear" w:color="auto" w:fill="00558C"/>
          </w:tcPr>
          <w:p>
            <w:pPr>
              <w:jc w:val="right"/>
              <w:ind w:right="173"/>
              <w:spacing w:after="0"/>
              <w:rPr>
                <w:sz w:val="20"/>
                <w:szCs w:val="20"/>
                <w:color w:val="auto"/>
              </w:rPr>
            </w:pPr>
            <w:r>
              <w:rPr>
                <w:rFonts w:ascii="Arial" w:cs="Arial" w:eastAsia="Arial" w:hAnsi="Arial"/>
                <w:sz w:val="13"/>
                <w:szCs w:val="13"/>
                <w:b w:val="1"/>
                <w:bCs w:val="1"/>
                <w:color w:val="FFFFFF"/>
              </w:rPr>
              <w:t>Market or</w:t>
            </w:r>
          </w:p>
        </w:tc>
      </w:tr>
      <w:tr>
        <w:trPr>
          <w:trHeight w:val="162"/>
        </w:trPr>
        <w:tc>
          <w:tcPr>
            <w:tcW w:w="640" w:type="dxa"/>
            <w:vAlign w:val="bottom"/>
            <w:shd w:val="clear" w:color="auto" w:fill="00558C"/>
          </w:tcPr>
          <w:p>
            <w:pPr>
              <w:spacing w:after="0"/>
              <w:rPr>
                <w:sz w:val="14"/>
                <w:szCs w:val="14"/>
                <w:color w:val="auto"/>
              </w:rPr>
            </w:pPr>
          </w:p>
        </w:tc>
        <w:tc>
          <w:tcPr>
            <w:tcW w:w="1000" w:type="dxa"/>
            <w:vAlign w:val="bottom"/>
            <w:shd w:val="clear" w:color="auto" w:fill="00558C"/>
          </w:tcPr>
          <w:p>
            <w:pPr>
              <w:spacing w:after="0"/>
              <w:rPr>
                <w:sz w:val="14"/>
                <w:szCs w:val="14"/>
                <w:color w:val="auto"/>
              </w:rPr>
            </w:pPr>
          </w:p>
        </w:tc>
        <w:tc>
          <w:tcPr>
            <w:tcW w:w="1160" w:type="dxa"/>
            <w:vAlign w:val="bottom"/>
            <w:shd w:val="clear" w:color="auto" w:fill="00558C"/>
          </w:tcPr>
          <w:p>
            <w:pPr>
              <w:spacing w:after="0"/>
              <w:rPr>
                <w:sz w:val="14"/>
                <w:szCs w:val="14"/>
                <w:color w:val="auto"/>
              </w:rPr>
            </w:pPr>
          </w:p>
        </w:tc>
        <w:tc>
          <w:tcPr>
            <w:tcW w:w="740" w:type="dxa"/>
            <w:vAlign w:val="bottom"/>
            <w:shd w:val="clear" w:color="auto" w:fill="00558C"/>
          </w:tcPr>
          <w:p>
            <w:pPr>
              <w:spacing w:after="0"/>
              <w:rPr>
                <w:sz w:val="14"/>
                <w:szCs w:val="14"/>
                <w:color w:val="auto"/>
              </w:rPr>
            </w:pPr>
          </w:p>
        </w:tc>
        <w:tc>
          <w:tcPr>
            <w:tcW w:w="860" w:type="dxa"/>
            <w:vAlign w:val="bottom"/>
            <w:shd w:val="clear" w:color="auto" w:fill="00558C"/>
          </w:tcPr>
          <w:p>
            <w:pPr>
              <w:spacing w:after="0"/>
              <w:rPr>
                <w:sz w:val="14"/>
                <w:szCs w:val="14"/>
                <w:color w:val="auto"/>
              </w:rPr>
            </w:pPr>
          </w:p>
        </w:tc>
        <w:tc>
          <w:tcPr>
            <w:tcW w:w="780" w:type="dxa"/>
            <w:vAlign w:val="bottom"/>
            <w:shd w:val="clear" w:color="auto" w:fill="00558C"/>
          </w:tcPr>
          <w:p>
            <w:pPr>
              <w:spacing w:after="0"/>
              <w:rPr>
                <w:sz w:val="14"/>
                <w:szCs w:val="14"/>
                <w:color w:val="auto"/>
              </w:rPr>
            </w:pPr>
          </w:p>
        </w:tc>
        <w:tc>
          <w:tcPr>
            <w:tcW w:w="200" w:type="dxa"/>
            <w:vAlign w:val="bottom"/>
            <w:shd w:val="clear" w:color="auto" w:fill="00558C"/>
          </w:tcPr>
          <w:p>
            <w:pPr>
              <w:spacing w:after="0"/>
              <w:rPr>
                <w:sz w:val="14"/>
                <w:szCs w:val="14"/>
                <w:color w:val="auto"/>
              </w:rPr>
            </w:pPr>
          </w:p>
        </w:tc>
        <w:tc>
          <w:tcPr>
            <w:tcW w:w="820" w:type="dxa"/>
            <w:vAlign w:val="bottom"/>
            <w:shd w:val="clear" w:color="auto" w:fill="00558C"/>
          </w:tcPr>
          <w:p>
            <w:pPr>
              <w:jc w:val="right"/>
              <w:ind w:right="33"/>
              <w:spacing w:after="0"/>
              <w:rPr>
                <w:sz w:val="20"/>
                <w:szCs w:val="20"/>
                <w:color w:val="auto"/>
              </w:rPr>
            </w:pPr>
            <w:r>
              <w:rPr>
                <w:rFonts w:ascii="Arial" w:cs="Arial" w:eastAsia="Arial" w:hAnsi="Arial"/>
                <w:sz w:val="13"/>
                <w:szCs w:val="13"/>
                <w:b w:val="1"/>
                <w:bCs w:val="1"/>
                <w:color w:val="FFFFFF"/>
              </w:rPr>
              <w:t>Market</w:t>
            </w:r>
          </w:p>
        </w:tc>
        <w:tc>
          <w:tcPr>
            <w:tcW w:w="920" w:type="dxa"/>
            <w:vAlign w:val="bottom"/>
            <w:shd w:val="clear" w:color="auto" w:fill="00558C"/>
          </w:tcPr>
          <w:p>
            <w:pPr>
              <w:jc w:val="right"/>
              <w:ind w:right="53"/>
              <w:spacing w:after="0"/>
              <w:rPr>
                <w:sz w:val="20"/>
                <w:szCs w:val="20"/>
                <w:color w:val="auto"/>
              </w:rPr>
            </w:pPr>
            <w:r>
              <w:rPr>
                <w:rFonts w:ascii="Arial" w:cs="Arial" w:eastAsia="Arial" w:hAnsi="Arial"/>
                <w:sz w:val="13"/>
                <w:szCs w:val="13"/>
                <w:b w:val="1"/>
                <w:bCs w:val="1"/>
                <w:color w:val="FFFFFF"/>
              </w:rPr>
              <w:t>Number of</w:t>
            </w:r>
          </w:p>
        </w:tc>
        <w:tc>
          <w:tcPr>
            <w:tcW w:w="1140" w:type="dxa"/>
            <w:vAlign w:val="bottom"/>
            <w:shd w:val="clear" w:color="auto" w:fill="00558C"/>
          </w:tcPr>
          <w:p>
            <w:pPr>
              <w:jc w:val="right"/>
              <w:ind w:right="133"/>
              <w:spacing w:after="0"/>
              <w:rPr>
                <w:sz w:val="20"/>
                <w:szCs w:val="20"/>
                <w:color w:val="auto"/>
              </w:rPr>
            </w:pPr>
            <w:r>
              <w:rPr>
                <w:rFonts w:ascii="Arial" w:cs="Arial" w:eastAsia="Arial" w:hAnsi="Arial"/>
                <w:sz w:val="13"/>
                <w:szCs w:val="13"/>
                <w:b w:val="1"/>
                <w:bCs w:val="1"/>
                <w:color w:val="FFFFFF"/>
              </w:rPr>
              <w:t>Payout</w:t>
            </w:r>
          </w:p>
        </w:tc>
      </w:tr>
      <w:tr>
        <w:trPr>
          <w:trHeight w:val="162"/>
        </w:trPr>
        <w:tc>
          <w:tcPr>
            <w:tcW w:w="640" w:type="dxa"/>
            <w:vAlign w:val="bottom"/>
            <w:shd w:val="clear" w:color="auto" w:fill="00558C"/>
          </w:tcPr>
          <w:p>
            <w:pPr>
              <w:spacing w:after="0"/>
              <w:rPr>
                <w:sz w:val="14"/>
                <w:szCs w:val="14"/>
                <w:color w:val="auto"/>
              </w:rPr>
            </w:pPr>
          </w:p>
        </w:tc>
        <w:tc>
          <w:tcPr>
            <w:tcW w:w="1000" w:type="dxa"/>
            <w:vAlign w:val="bottom"/>
            <w:shd w:val="clear" w:color="auto" w:fill="00558C"/>
          </w:tcPr>
          <w:p>
            <w:pPr>
              <w:spacing w:after="0"/>
              <w:rPr>
                <w:sz w:val="14"/>
                <w:szCs w:val="14"/>
                <w:color w:val="auto"/>
              </w:rPr>
            </w:pPr>
          </w:p>
        </w:tc>
        <w:tc>
          <w:tcPr>
            <w:tcW w:w="1160" w:type="dxa"/>
            <w:vAlign w:val="bottom"/>
            <w:shd w:val="clear" w:color="auto" w:fill="00558C"/>
          </w:tcPr>
          <w:p>
            <w:pPr>
              <w:spacing w:after="0"/>
              <w:rPr>
                <w:sz w:val="14"/>
                <w:szCs w:val="14"/>
                <w:color w:val="auto"/>
              </w:rPr>
            </w:pPr>
          </w:p>
        </w:tc>
        <w:tc>
          <w:tcPr>
            <w:tcW w:w="740" w:type="dxa"/>
            <w:vAlign w:val="bottom"/>
            <w:shd w:val="clear" w:color="auto" w:fill="00558C"/>
          </w:tcPr>
          <w:p>
            <w:pPr>
              <w:spacing w:after="0"/>
              <w:rPr>
                <w:sz w:val="14"/>
                <w:szCs w:val="14"/>
                <w:color w:val="auto"/>
              </w:rPr>
            </w:pPr>
          </w:p>
        </w:tc>
        <w:tc>
          <w:tcPr>
            <w:tcW w:w="860" w:type="dxa"/>
            <w:vAlign w:val="bottom"/>
            <w:shd w:val="clear" w:color="auto" w:fill="00558C"/>
          </w:tcPr>
          <w:p>
            <w:pPr>
              <w:spacing w:after="0"/>
              <w:rPr>
                <w:sz w:val="14"/>
                <w:szCs w:val="14"/>
                <w:color w:val="auto"/>
              </w:rPr>
            </w:pPr>
          </w:p>
        </w:tc>
        <w:tc>
          <w:tcPr>
            <w:tcW w:w="980" w:type="dxa"/>
            <w:vAlign w:val="bottom"/>
            <w:gridSpan w:val="2"/>
            <w:shd w:val="clear" w:color="auto" w:fill="00558C"/>
          </w:tcPr>
          <w:p>
            <w:pPr>
              <w:jc w:val="right"/>
              <w:ind w:right="89"/>
              <w:spacing w:after="0"/>
              <w:rPr>
                <w:sz w:val="20"/>
                <w:szCs w:val="20"/>
                <w:color w:val="auto"/>
              </w:rPr>
            </w:pPr>
            <w:r>
              <w:rPr>
                <w:rFonts w:ascii="Arial" w:cs="Arial" w:eastAsia="Arial" w:hAnsi="Arial"/>
                <w:sz w:val="13"/>
                <w:szCs w:val="13"/>
                <w:b w:val="1"/>
                <w:bCs w:val="1"/>
                <w:color w:val="FFFFFF"/>
              </w:rPr>
              <w:t>Number of</w:t>
            </w:r>
          </w:p>
        </w:tc>
        <w:tc>
          <w:tcPr>
            <w:tcW w:w="820" w:type="dxa"/>
            <w:vAlign w:val="bottom"/>
            <w:shd w:val="clear" w:color="auto" w:fill="00558C"/>
          </w:tcPr>
          <w:p>
            <w:pPr>
              <w:jc w:val="right"/>
              <w:ind w:right="33"/>
              <w:spacing w:after="0"/>
              <w:rPr>
                <w:sz w:val="20"/>
                <w:szCs w:val="20"/>
                <w:color w:val="auto"/>
              </w:rPr>
            </w:pPr>
            <w:r>
              <w:rPr>
                <w:rFonts w:ascii="Arial" w:cs="Arial" w:eastAsia="Arial" w:hAnsi="Arial"/>
                <w:sz w:val="13"/>
                <w:szCs w:val="13"/>
                <w:b w:val="1"/>
                <w:bCs w:val="1"/>
                <w:color w:val="FFFFFF"/>
              </w:rPr>
              <w:t>Value of</w:t>
            </w:r>
          </w:p>
        </w:tc>
        <w:tc>
          <w:tcPr>
            <w:tcW w:w="920" w:type="dxa"/>
            <w:vAlign w:val="bottom"/>
            <w:shd w:val="clear" w:color="auto" w:fill="00558C"/>
          </w:tcPr>
          <w:p>
            <w:pPr>
              <w:jc w:val="center"/>
              <w:spacing w:after="0"/>
              <w:rPr>
                <w:sz w:val="20"/>
                <w:szCs w:val="20"/>
                <w:color w:val="auto"/>
              </w:rPr>
            </w:pPr>
            <w:r>
              <w:rPr>
                <w:rFonts w:ascii="Arial" w:cs="Arial" w:eastAsia="Arial" w:hAnsi="Arial"/>
                <w:sz w:val="13"/>
                <w:szCs w:val="13"/>
                <w:b w:val="1"/>
                <w:bCs w:val="1"/>
                <w:color w:val="FFFFFF"/>
              </w:rPr>
              <w:t>Unearned</w:t>
            </w:r>
          </w:p>
        </w:tc>
        <w:tc>
          <w:tcPr>
            <w:tcW w:w="1140" w:type="dxa"/>
            <w:vAlign w:val="bottom"/>
            <w:shd w:val="clear" w:color="auto" w:fill="00558C"/>
          </w:tcPr>
          <w:p>
            <w:pPr>
              <w:jc w:val="right"/>
              <w:ind w:right="153"/>
              <w:spacing w:after="0"/>
              <w:rPr>
                <w:sz w:val="20"/>
                <w:szCs w:val="20"/>
                <w:color w:val="auto"/>
              </w:rPr>
            </w:pPr>
            <w:r>
              <w:rPr>
                <w:rFonts w:ascii="Arial" w:cs="Arial" w:eastAsia="Arial" w:hAnsi="Arial"/>
                <w:sz w:val="13"/>
                <w:szCs w:val="13"/>
                <w:b w:val="1"/>
                <w:bCs w:val="1"/>
                <w:color w:val="FFFFFF"/>
              </w:rPr>
              <w:t>Value of</w:t>
            </w:r>
          </w:p>
        </w:tc>
      </w:tr>
      <w:tr>
        <w:trPr>
          <w:trHeight w:val="162"/>
        </w:trPr>
        <w:tc>
          <w:tcPr>
            <w:tcW w:w="640" w:type="dxa"/>
            <w:vAlign w:val="bottom"/>
            <w:shd w:val="clear" w:color="auto" w:fill="00558C"/>
          </w:tcPr>
          <w:p>
            <w:pPr>
              <w:spacing w:after="0"/>
              <w:rPr>
                <w:sz w:val="14"/>
                <w:szCs w:val="14"/>
                <w:color w:val="auto"/>
              </w:rPr>
            </w:pPr>
          </w:p>
        </w:tc>
        <w:tc>
          <w:tcPr>
            <w:tcW w:w="1000" w:type="dxa"/>
            <w:vAlign w:val="bottom"/>
            <w:shd w:val="clear" w:color="auto" w:fill="00558C"/>
          </w:tcPr>
          <w:p>
            <w:pPr>
              <w:spacing w:after="0"/>
              <w:rPr>
                <w:sz w:val="14"/>
                <w:szCs w:val="14"/>
                <w:color w:val="auto"/>
              </w:rPr>
            </w:pPr>
          </w:p>
        </w:tc>
        <w:tc>
          <w:tcPr>
            <w:tcW w:w="1160" w:type="dxa"/>
            <w:vAlign w:val="bottom"/>
            <w:shd w:val="clear" w:color="auto" w:fill="00558C"/>
          </w:tcPr>
          <w:p>
            <w:pPr>
              <w:spacing w:after="0"/>
              <w:rPr>
                <w:sz w:val="14"/>
                <w:szCs w:val="14"/>
                <w:color w:val="auto"/>
              </w:rPr>
            </w:pPr>
          </w:p>
        </w:tc>
        <w:tc>
          <w:tcPr>
            <w:tcW w:w="740" w:type="dxa"/>
            <w:vAlign w:val="bottom"/>
            <w:shd w:val="clear" w:color="auto" w:fill="00558C"/>
          </w:tcPr>
          <w:p>
            <w:pPr>
              <w:spacing w:after="0"/>
              <w:rPr>
                <w:sz w:val="14"/>
                <w:szCs w:val="14"/>
                <w:color w:val="auto"/>
              </w:rPr>
            </w:pPr>
          </w:p>
        </w:tc>
        <w:tc>
          <w:tcPr>
            <w:tcW w:w="860" w:type="dxa"/>
            <w:vAlign w:val="bottom"/>
            <w:shd w:val="clear" w:color="auto" w:fill="00558C"/>
          </w:tcPr>
          <w:p>
            <w:pPr>
              <w:spacing w:after="0"/>
              <w:rPr>
                <w:sz w:val="14"/>
                <w:szCs w:val="14"/>
                <w:color w:val="auto"/>
              </w:rPr>
            </w:pPr>
          </w:p>
        </w:tc>
        <w:tc>
          <w:tcPr>
            <w:tcW w:w="980" w:type="dxa"/>
            <w:vAlign w:val="bottom"/>
            <w:gridSpan w:val="2"/>
            <w:shd w:val="clear" w:color="auto" w:fill="00558C"/>
          </w:tcPr>
          <w:p>
            <w:pPr>
              <w:jc w:val="right"/>
              <w:ind w:right="49"/>
              <w:spacing w:after="0"/>
              <w:rPr>
                <w:sz w:val="20"/>
                <w:szCs w:val="20"/>
                <w:color w:val="auto"/>
              </w:rPr>
            </w:pPr>
            <w:r>
              <w:rPr>
                <w:rFonts w:ascii="Arial" w:cs="Arial" w:eastAsia="Arial" w:hAnsi="Arial"/>
                <w:sz w:val="13"/>
                <w:szCs w:val="13"/>
                <w:b w:val="1"/>
                <w:bCs w:val="1"/>
                <w:color w:val="FFFFFF"/>
              </w:rPr>
              <w:t>Shares or</w:t>
            </w:r>
          </w:p>
        </w:tc>
        <w:tc>
          <w:tcPr>
            <w:tcW w:w="820" w:type="dxa"/>
            <w:vAlign w:val="bottom"/>
            <w:shd w:val="clear" w:color="auto" w:fill="00558C"/>
          </w:tcPr>
          <w:p>
            <w:pPr>
              <w:jc w:val="right"/>
              <w:spacing w:after="0"/>
              <w:rPr>
                <w:sz w:val="20"/>
                <w:szCs w:val="20"/>
                <w:color w:val="auto"/>
              </w:rPr>
            </w:pPr>
            <w:r>
              <w:rPr>
                <w:rFonts w:ascii="Arial" w:cs="Arial" w:eastAsia="Arial" w:hAnsi="Arial"/>
                <w:sz w:val="13"/>
                <w:szCs w:val="13"/>
                <w:b w:val="1"/>
                <w:bCs w:val="1"/>
                <w:color w:val="FFFFFF"/>
              </w:rPr>
              <w:t>Shares</w:t>
            </w:r>
          </w:p>
        </w:tc>
        <w:tc>
          <w:tcPr>
            <w:tcW w:w="920" w:type="dxa"/>
            <w:vAlign w:val="bottom"/>
            <w:shd w:val="clear" w:color="auto" w:fill="00558C"/>
          </w:tcPr>
          <w:p>
            <w:pPr>
              <w:jc w:val="right"/>
              <w:spacing w:after="0"/>
              <w:rPr>
                <w:sz w:val="20"/>
                <w:szCs w:val="20"/>
                <w:color w:val="auto"/>
              </w:rPr>
            </w:pPr>
            <w:r>
              <w:rPr>
                <w:rFonts w:ascii="Arial" w:cs="Arial" w:eastAsia="Arial" w:hAnsi="Arial"/>
                <w:sz w:val="13"/>
                <w:szCs w:val="13"/>
                <w:b w:val="1"/>
                <w:bCs w:val="1"/>
                <w:color w:val="FFFFFF"/>
              </w:rPr>
              <w:t>Shares,</w:t>
            </w:r>
          </w:p>
        </w:tc>
        <w:tc>
          <w:tcPr>
            <w:tcW w:w="1140" w:type="dxa"/>
            <w:vAlign w:val="bottom"/>
            <w:shd w:val="clear" w:color="auto" w:fill="00558C"/>
          </w:tcPr>
          <w:p>
            <w:pPr>
              <w:jc w:val="right"/>
              <w:ind w:right="173"/>
              <w:spacing w:after="0"/>
              <w:rPr>
                <w:sz w:val="20"/>
                <w:szCs w:val="20"/>
                <w:color w:val="auto"/>
              </w:rPr>
            </w:pPr>
            <w:r>
              <w:rPr>
                <w:rFonts w:ascii="Arial" w:cs="Arial" w:eastAsia="Arial" w:hAnsi="Arial"/>
                <w:sz w:val="13"/>
                <w:szCs w:val="13"/>
                <w:b w:val="1"/>
                <w:bCs w:val="1"/>
                <w:color w:val="FFFFFF"/>
              </w:rPr>
              <w:t>Unearned</w:t>
            </w:r>
          </w:p>
        </w:tc>
      </w:tr>
      <w:tr>
        <w:trPr>
          <w:trHeight w:val="162"/>
        </w:trPr>
        <w:tc>
          <w:tcPr>
            <w:tcW w:w="640" w:type="dxa"/>
            <w:vAlign w:val="bottom"/>
            <w:shd w:val="clear" w:color="auto" w:fill="00558C"/>
          </w:tcPr>
          <w:p>
            <w:pPr>
              <w:spacing w:after="0"/>
              <w:rPr>
                <w:sz w:val="14"/>
                <w:szCs w:val="14"/>
                <w:color w:val="auto"/>
              </w:rPr>
            </w:pPr>
          </w:p>
        </w:tc>
        <w:tc>
          <w:tcPr>
            <w:tcW w:w="1000" w:type="dxa"/>
            <w:vAlign w:val="bottom"/>
            <w:shd w:val="clear" w:color="auto" w:fill="00558C"/>
          </w:tcPr>
          <w:p>
            <w:pPr>
              <w:jc w:val="right"/>
              <w:ind w:right="53"/>
              <w:spacing w:after="0"/>
              <w:rPr>
                <w:sz w:val="20"/>
                <w:szCs w:val="20"/>
                <w:color w:val="auto"/>
              </w:rPr>
            </w:pPr>
            <w:r>
              <w:rPr>
                <w:rFonts w:ascii="Arial" w:cs="Arial" w:eastAsia="Arial" w:hAnsi="Arial"/>
                <w:sz w:val="13"/>
                <w:szCs w:val="13"/>
                <w:b w:val="1"/>
                <w:bCs w:val="1"/>
                <w:color w:val="FFFFFF"/>
              </w:rPr>
              <w:t>Number of</w:t>
            </w:r>
          </w:p>
        </w:tc>
        <w:tc>
          <w:tcPr>
            <w:tcW w:w="1160" w:type="dxa"/>
            <w:vAlign w:val="bottom"/>
            <w:shd w:val="clear" w:color="auto" w:fill="00558C"/>
          </w:tcPr>
          <w:p>
            <w:pPr>
              <w:jc w:val="right"/>
              <w:ind w:right="73"/>
              <w:spacing w:after="0"/>
              <w:rPr>
                <w:sz w:val="20"/>
                <w:szCs w:val="20"/>
                <w:color w:val="auto"/>
              </w:rPr>
            </w:pPr>
            <w:r>
              <w:rPr>
                <w:rFonts w:ascii="Arial" w:cs="Arial" w:eastAsia="Arial" w:hAnsi="Arial"/>
                <w:sz w:val="13"/>
                <w:szCs w:val="13"/>
                <w:b w:val="1"/>
                <w:bCs w:val="1"/>
                <w:color w:val="FFFFFF"/>
              </w:rPr>
              <w:t>Number of</w:t>
            </w:r>
          </w:p>
        </w:tc>
        <w:tc>
          <w:tcPr>
            <w:tcW w:w="740" w:type="dxa"/>
            <w:vAlign w:val="bottom"/>
            <w:shd w:val="clear" w:color="auto" w:fill="00558C"/>
          </w:tcPr>
          <w:p>
            <w:pPr>
              <w:spacing w:after="0"/>
              <w:rPr>
                <w:sz w:val="14"/>
                <w:szCs w:val="14"/>
                <w:color w:val="auto"/>
              </w:rPr>
            </w:pPr>
          </w:p>
        </w:tc>
        <w:tc>
          <w:tcPr>
            <w:tcW w:w="860" w:type="dxa"/>
            <w:vAlign w:val="bottom"/>
            <w:shd w:val="clear" w:color="auto" w:fill="00558C"/>
          </w:tcPr>
          <w:p>
            <w:pPr>
              <w:spacing w:after="0"/>
              <w:rPr>
                <w:sz w:val="14"/>
                <w:szCs w:val="14"/>
                <w:color w:val="auto"/>
              </w:rPr>
            </w:pPr>
          </w:p>
        </w:tc>
        <w:tc>
          <w:tcPr>
            <w:tcW w:w="980" w:type="dxa"/>
            <w:vAlign w:val="bottom"/>
            <w:gridSpan w:val="2"/>
            <w:shd w:val="clear" w:color="auto" w:fill="00558C"/>
          </w:tcPr>
          <w:p>
            <w:pPr>
              <w:jc w:val="right"/>
              <w:ind w:right="29"/>
              <w:spacing w:after="0"/>
              <w:rPr>
                <w:sz w:val="20"/>
                <w:szCs w:val="20"/>
                <w:color w:val="auto"/>
              </w:rPr>
            </w:pPr>
            <w:r>
              <w:rPr>
                <w:rFonts w:ascii="Arial" w:cs="Arial" w:eastAsia="Arial" w:hAnsi="Arial"/>
                <w:sz w:val="13"/>
                <w:szCs w:val="13"/>
                <w:b w:val="1"/>
                <w:bCs w:val="1"/>
                <w:color w:val="FFFFFF"/>
              </w:rPr>
              <w:t>Units</w:t>
            </w:r>
          </w:p>
        </w:tc>
        <w:tc>
          <w:tcPr>
            <w:tcW w:w="820" w:type="dxa"/>
            <w:vAlign w:val="bottom"/>
            <w:shd w:val="clear" w:color="auto" w:fill="00558C"/>
          </w:tcPr>
          <w:p>
            <w:pPr>
              <w:jc w:val="right"/>
              <w:ind w:right="13"/>
              <w:spacing w:after="0"/>
              <w:rPr>
                <w:sz w:val="20"/>
                <w:szCs w:val="20"/>
                <w:color w:val="auto"/>
              </w:rPr>
            </w:pPr>
            <w:r>
              <w:rPr>
                <w:rFonts w:ascii="Arial" w:cs="Arial" w:eastAsia="Arial" w:hAnsi="Arial"/>
                <w:sz w:val="13"/>
                <w:szCs w:val="13"/>
                <w:b w:val="1"/>
                <w:bCs w:val="1"/>
                <w:color w:val="FFFFFF"/>
              </w:rPr>
              <w:t>or Units</w:t>
            </w:r>
          </w:p>
        </w:tc>
        <w:tc>
          <w:tcPr>
            <w:tcW w:w="920" w:type="dxa"/>
            <w:vAlign w:val="bottom"/>
            <w:shd w:val="clear" w:color="auto" w:fill="00558C"/>
          </w:tcPr>
          <w:p>
            <w:pPr>
              <w:jc w:val="right"/>
              <w:ind w:right="13"/>
              <w:spacing w:after="0"/>
              <w:rPr>
                <w:sz w:val="20"/>
                <w:szCs w:val="20"/>
                <w:color w:val="auto"/>
              </w:rPr>
            </w:pPr>
            <w:r>
              <w:rPr>
                <w:rFonts w:ascii="Arial" w:cs="Arial" w:eastAsia="Arial" w:hAnsi="Arial"/>
                <w:sz w:val="13"/>
                <w:szCs w:val="13"/>
                <w:b w:val="1"/>
                <w:bCs w:val="1"/>
                <w:color w:val="FFFFFF"/>
              </w:rPr>
              <w:t>Units or</w:t>
            </w:r>
          </w:p>
        </w:tc>
        <w:tc>
          <w:tcPr>
            <w:tcW w:w="1140" w:type="dxa"/>
            <w:vAlign w:val="bottom"/>
            <w:shd w:val="clear" w:color="auto" w:fill="00558C"/>
          </w:tcPr>
          <w:p>
            <w:pPr>
              <w:jc w:val="right"/>
              <w:ind w:right="153"/>
              <w:spacing w:after="0"/>
              <w:rPr>
                <w:sz w:val="20"/>
                <w:szCs w:val="20"/>
                <w:color w:val="auto"/>
              </w:rPr>
            </w:pPr>
            <w:r>
              <w:rPr>
                <w:rFonts w:ascii="Arial" w:cs="Arial" w:eastAsia="Arial" w:hAnsi="Arial"/>
                <w:sz w:val="13"/>
                <w:szCs w:val="13"/>
                <w:b w:val="1"/>
                <w:bCs w:val="1"/>
                <w:color w:val="FFFFFF"/>
              </w:rPr>
              <w:t>Shares, Units</w:t>
            </w:r>
          </w:p>
        </w:tc>
      </w:tr>
      <w:tr>
        <w:trPr>
          <w:trHeight w:val="162"/>
        </w:trPr>
        <w:tc>
          <w:tcPr>
            <w:tcW w:w="640" w:type="dxa"/>
            <w:vAlign w:val="bottom"/>
            <w:shd w:val="clear" w:color="auto" w:fill="00558C"/>
          </w:tcPr>
          <w:p>
            <w:pPr>
              <w:spacing w:after="0"/>
              <w:rPr>
                <w:sz w:val="14"/>
                <w:szCs w:val="14"/>
                <w:color w:val="auto"/>
              </w:rPr>
            </w:pPr>
          </w:p>
        </w:tc>
        <w:tc>
          <w:tcPr>
            <w:tcW w:w="1000" w:type="dxa"/>
            <w:vAlign w:val="bottom"/>
            <w:shd w:val="clear" w:color="auto" w:fill="00558C"/>
          </w:tcPr>
          <w:p>
            <w:pPr>
              <w:jc w:val="right"/>
              <w:ind w:right="33"/>
              <w:spacing w:after="0"/>
              <w:rPr>
                <w:sz w:val="20"/>
                <w:szCs w:val="20"/>
                <w:color w:val="auto"/>
              </w:rPr>
            </w:pPr>
            <w:r>
              <w:rPr>
                <w:rFonts w:ascii="Arial" w:cs="Arial" w:eastAsia="Arial" w:hAnsi="Arial"/>
                <w:sz w:val="13"/>
                <w:szCs w:val="13"/>
                <w:b w:val="1"/>
                <w:bCs w:val="1"/>
                <w:color w:val="FFFFFF"/>
              </w:rPr>
              <w:t>Securities</w:t>
            </w:r>
          </w:p>
        </w:tc>
        <w:tc>
          <w:tcPr>
            <w:tcW w:w="1160" w:type="dxa"/>
            <w:vAlign w:val="bottom"/>
            <w:shd w:val="clear" w:color="auto" w:fill="00558C"/>
          </w:tcPr>
          <w:p>
            <w:pPr>
              <w:jc w:val="right"/>
              <w:ind w:right="33"/>
              <w:spacing w:after="0"/>
              <w:rPr>
                <w:sz w:val="20"/>
                <w:szCs w:val="20"/>
                <w:color w:val="auto"/>
              </w:rPr>
            </w:pPr>
            <w:r>
              <w:rPr>
                <w:rFonts w:ascii="Arial" w:cs="Arial" w:eastAsia="Arial" w:hAnsi="Arial"/>
                <w:sz w:val="13"/>
                <w:szCs w:val="13"/>
                <w:b w:val="1"/>
                <w:bCs w:val="1"/>
                <w:color w:val="FFFFFF"/>
              </w:rPr>
              <w:t>Securities</w:t>
            </w:r>
          </w:p>
        </w:tc>
        <w:tc>
          <w:tcPr>
            <w:tcW w:w="740" w:type="dxa"/>
            <w:vAlign w:val="bottom"/>
            <w:shd w:val="clear" w:color="auto" w:fill="00558C"/>
          </w:tcPr>
          <w:p>
            <w:pPr>
              <w:spacing w:after="0"/>
              <w:rPr>
                <w:sz w:val="14"/>
                <w:szCs w:val="14"/>
                <w:color w:val="auto"/>
              </w:rPr>
            </w:pPr>
          </w:p>
        </w:tc>
        <w:tc>
          <w:tcPr>
            <w:tcW w:w="860" w:type="dxa"/>
            <w:vAlign w:val="bottom"/>
            <w:shd w:val="clear" w:color="auto" w:fill="00558C"/>
          </w:tcPr>
          <w:p>
            <w:pPr>
              <w:spacing w:after="0"/>
              <w:rPr>
                <w:sz w:val="14"/>
                <w:szCs w:val="14"/>
                <w:color w:val="auto"/>
              </w:rPr>
            </w:pPr>
          </w:p>
        </w:tc>
        <w:tc>
          <w:tcPr>
            <w:tcW w:w="980" w:type="dxa"/>
            <w:vAlign w:val="bottom"/>
            <w:gridSpan w:val="2"/>
            <w:shd w:val="clear" w:color="auto" w:fill="00558C"/>
          </w:tcPr>
          <w:p>
            <w:pPr>
              <w:jc w:val="right"/>
              <w:ind w:right="49"/>
              <w:spacing w:after="0"/>
              <w:rPr>
                <w:sz w:val="20"/>
                <w:szCs w:val="20"/>
                <w:color w:val="auto"/>
              </w:rPr>
            </w:pPr>
            <w:r>
              <w:rPr>
                <w:rFonts w:ascii="Arial" w:cs="Arial" w:eastAsia="Arial" w:hAnsi="Arial"/>
                <w:sz w:val="13"/>
                <w:szCs w:val="13"/>
                <w:b w:val="1"/>
                <w:bCs w:val="1"/>
                <w:color w:val="FFFFFF"/>
              </w:rPr>
              <w:t>of Stock</w:t>
            </w:r>
          </w:p>
        </w:tc>
        <w:tc>
          <w:tcPr>
            <w:tcW w:w="820" w:type="dxa"/>
            <w:vAlign w:val="bottom"/>
            <w:shd w:val="clear" w:color="auto" w:fill="00558C"/>
          </w:tcPr>
          <w:p>
            <w:pPr>
              <w:jc w:val="right"/>
              <w:ind w:right="13"/>
              <w:spacing w:after="0"/>
              <w:rPr>
                <w:sz w:val="20"/>
                <w:szCs w:val="20"/>
                <w:color w:val="auto"/>
              </w:rPr>
            </w:pPr>
            <w:r>
              <w:rPr>
                <w:rFonts w:ascii="Arial" w:cs="Arial" w:eastAsia="Arial" w:hAnsi="Arial"/>
                <w:sz w:val="13"/>
                <w:szCs w:val="13"/>
                <w:b w:val="1"/>
                <w:bCs w:val="1"/>
                <w:color w:val="FFFFFF"/>
              </w:rPr>
              <w:t>of Stock</w:t>
            </w:r>
          </w:p>
        </w:tc>
        <w:tc>
          <w:tcPr>
            <w:tcW w:w="920" w:type="dxa"/>
            <w:vAlign w:val="bottom"/>
            <w:shd w:val="clear" w:color="auto" w:fill="00558C"/>
          </w:tcPr>
          <w:p>
            <w:pPr>
              <w:jc w:val="right"/>
              <w:ind w:right="33"/>
              <w:spacing w:after="0"/>
              <w:rPr>
                <w:sz w:val="20"/>
                <w:szCs w:val="20"/>
                <w:color w:val="auto"/>
              </w:rPr>
            </w:pPr>
            <w:r>
              <w:rPr>
                <w:rFonts w:ascii="Arial" w:cs="Arial" w:eastAsia="Arial" w:hAnsi="Arial"/>
                <w:sz w:val="13"/>
                <w:szCs w:val="13"/>
                <w:b w:val="1"/>
                <w:bCs w:val="1"/>
                <w:color w:val="FFFFFF"/>
              </w:rPr>
              <w:t>Other</w:t>
            </w:r>
          </w:p>
        </w:tc>
        <w:tc>
          <w:tcPr>
            <w:tcW w:w="1140" w:type="dxa"/>
            <w:vAlign w:val="bottom"/>
            <w:shd w:val="clear" w:color="auto" w:fill="00558C"/>
          </w:tcPr>
          <w:p>
            <w:pPr>
              <w:jc w:val="right"/>
              <w:ind w:right="153"/>
              <w:spacing w:after="0"/>
              <w:rPr>
                <w:sz w:val="20"/>
                <w:szCs w:val="20"/>
                <w:color w:val="auto"/>
              </w:rPr>
            </w:pPr>
            <w:r>
              <w:rPr>
                <w:rFonts w:ascii="Arial" w:cs="Arial" w:eastAsia="Arial" w:hAnsi="Arial"/>
                <w:sz w:val="13"/>
                <w:szCs w:val="13"/>
                <w:b w:val="1"/>
                <w:bCs w:val="1"/>
                <w:color w:val="FFFFFF"/>
              </w:rPr>
              <w:t>or Other</w:t>
            </w:r>
          </w:p>
        </w:tc>
      </w:tr>
      <w:tr>
        <w:trPr>
          <w:trHeight w:val="162"/>
        </w:trPr>
        <w:tc>
          <w:tcPr>
            <w:tcW w:w="640" w:type="dxa"/>
            <w:vAlign w:val="bottom"/>
            <w:shd w:val="clear" w:color="auto" w:fill="00558C"/>
          </w:tcPr>
          <w:p>
            <w:pPr>
              <w:spacing w:after="0"/>
              <w:rPr>
                <w:sz w:val="14"/>
                <w:szCs w:val="14"/>
                <w:color w:val="auto"/>
              </w:rPr>
            </w:pPr>
          </w:p>
        </w:tc>
        <w:tc>
          <w:tcPr>
            <w:tcW w:w="1000" w:type="dxa"/>
            <w:vAlign w:val="bottom"/>
            <w:shd w:val="clear" w:color="auto" w:fill="00558C"/>
          </w:tcPr>
          <w:p>
            <w:pPr>
              <w:jc w:val="right"/>
              <w:ind w:right="53"/>
              <w:spacing w:after="0"/>
              <w:rPr>
                <w:sz w:val="20"/>
                <w:szCs w:val="20"/>
                <w:color w:val="auto"/>
              </w:rPr>
            </w:pPr>
            <w:r>
              <w:rPr>
                <w:rFonts w:ascii="Arial" w:cs="Arial" w:eastAsia="Arial" w:hAnsi="Arial"/>
                <w:sz w:val="13"/>
                <w:szCs w:val="13"/>
                <w:b w:val="1"/>
                <w:bCs w:val="1"/>
                <w:color w:val="FFFFFF"/>
              </w:rPr>
              <w:t>Underlying</w:t>
            </w:r>
          </w:p>
        </w:tc>
        <w:tc>
          <w:tcPr>
            <w:tcW w:w="1160" w:type="dxa"/>
            <w:vAlign w:val="bottom"/>
            <w:shd w:val="clear" w:color="auto" w:fill="00558C"/>
          </w:tcPr>
          <w:p>
            <w:pPr>
              <w:jc w:val="right"/>
              <w:ind w:right="73"/>
              <w:spacing w:after="0"/>
              <w:rPr>
                <w:sz w:val="20"/>
                <w:szCs w:val="20"/>
                <w:color w:val="auto"/>
              </w:rPr>
            </w:pPr>
            <w:r>
              <w:rPr>
                <w:rFonts w:ascii="Arial" w:cs="Arial" w:eastAsia="Arial" w:hAnsi="Arial"/>
                <w:sz w:val="13"/>
                <w:szCs w:val="13"/>
                <w:b w:val="1"/>
                <w:bCs w:val="1"/>
                <w:color w:val="FFFFFF"/>
              </w:rPr>
              <w:t>Underlying</w:t>
            </w:r>
          </w:p>
        </w:tc>
        <w:tc>
          <w:tcPr>
            <w:tcW w:w="740" w:type="dxa"/>
            <w:vAlign w:val="bottom"/>
            <w:shd w:val="clear" w:color="auto" w:fill="00558C"/>
          </w:tcPr>
          <w:p>
            <w:pPr>
              <w:jc w:val="right"/>
              <w:ind w:right="33"/>
              <w:spacing w:after="0"/>
              <w:rPr>
                <w:sz w:val="20"/>
                <w:szCs w:val="20"/>
                <w:color w:val="auto"/>
              </w:rPr>
            </w:pPr>
            <w:r>
              <w:rPr>
                <w:rFonts w:ascii="Arial" w:cs="Arial" w:eastAsia="Arial" w:hAnsi="Arial"/>
                <w:sz w:val="13"/>
                <w:szCs w:val="13"/>
                <w:b w:val="1"/>
                <w:bCs w:val="1"/>
                <w:color w:val="FFFFFF"/>
              </w:rPr>
              <w:t>Option</w:t>
            </w:r>
          </w:p>
        </w:tc>
        <w:tc>
          <w:tcPr>
            <w:tcW w:w="860" w:type="dxa"/>
            <w:vAlign w:val="bottom"/>
            <w:shd w:val="clear" w:color="auto" w:fill="00558C"/>
          </w:tcPr>
          <w:p>
            <w:pPr>
              <w:spacing w:after="0"/>
              <w:rPr>
                <w:sz w:val="14"/>
                <w:szCs w:val="14"/>
                <w:color w:val="auto"/>
              </w:rPr>
            </w:pPr>
          </w:p>
        </w:tc>
        <w:tc>
          <w:tcPr>
            <w:tcW w:w="980" w:type="dxa"/>
            <w:vAlign w:val="bottom"/>
            <w:gridSpan w:val="2"/>
            <w:shd w:val="clear" w:color="auto" w:fill="00558C"/>
          </w:tcPr>
          <w:p>
            <w:pPr>
              <w:jc w:val="right"/>
              <w:ind w:right="49"/>
              <w:spacing w:after="0"/>
              <w:rPr>
                <w:sz w:val="20"/>
                <w:szCs w:val="20"/>
                <w:color w:val="auto"/>
              </w:rPr>
            </w:pPr>
            <w:r>
              <w:rPr>
                <w:rFonts w:ascii="Arial" w:cs="Arial" w:eastAsia="Arial" w:hAnsi="Arial"/>
                <w:sz w:val="13"/>
                <w:szCs w:val="13"/>
                <w:b w:val="1"/>
                <w:bCs w:val="1"/>
                <w:color w:val="FFFFFF"/>
              </w:rPr>
              <w:t>that</w:t>
            </w:r>
          </w:p>
        </w:tc>
        <w:tc>
          <w:tcPr>
            <w:tcW w:w="820" w:type="dxa"/>
            <w:vAlign w:val="bottom"/>
            <w:shd w:val="clear" w:color="auto" w:fill="00558C"/>
          </w:tcPr>
          <w:p>
            <w:pPr>
              <w:jc w:val="right"/>
              <w:ind w:right="13"/>
              <w:spacing w:after="0"/>
              <w:rPr>
                <w:sz w:val="20"/>
                <w:szCs w:val="20"/>
                <w:color w:val="auto"/>
              </w:rPr>
            </w:pPr>
            <w:r>
              <w:rPr>
                <w:rFonts w:ascii="Arial" w:cs="Arial" w:eastAsia="Arial" w:hAnsi="Arial"/>
                <w:sz w:val="13"/>
                <w:szCs w:val="13"/>
                <w:b w:val="1"/>
                <w:bCs w:val="1"/>
                <w:color w:val="FFFFFF"/>
              </w:rPr>
              <w:t>that</w:t>
            </w:r>
          </w:p>
        </w:tc>
        <w:tc>
          <w:tcPr>
            <w:tcW w:w="920" w:type="dxa"/>
            <w:vAlign w:val="bottom"/>
            <w:shd w:val="clear" w:color="auto" w:fill="00558C"/>
          </w:tcPr>
          <w:p>
            <w:pPr>
              <w:jc w:val="right"/>
              <w:ind w:right="53"/>
              <w:spacing w:after="0"/>
              <w:rPr>
                <w:sz w:val="20"/>
                <w:szCs w:val="20"/>
                <w:color w:val="auto"/>
              </w:rPr>
            </w:pPr>
            <w:r>
              <w:rPr>
                <w:rFonts w:ascii="Arial" w:cs="Arial" w:eastAsia="Arial" w:hAnsi="Arial"/>
                <w:sz w:val="13"/>
                <w:szCs w:val="13"/>
                <w:b w:val="1"/>
                <w:bCs w:val="1"/>
                <w:color w:val="FFFFFF"/>
              </w:rPr>
              <w:t>Rights that</w:t>
            </w:r>
          </w:p>
        </w:tc>
        <w:tc>
          <w:tcPr>
            <w:tcW w:w="1140" w:type="dxa"/>
            <w:vAlign w:val="bottom"/>
            <w:shd w:val="clear" w:color="auto" w:fill="00558C"/>
          </w:tcPr>
          <w:p>
            <w:pPr>
              <w:jc w:val="right"/>
              <w:ind w:right="173"/>
              <w:spacing w:after="0"/>
              <w:rPr>
                <w:sz w:val="20"/>
                <w:szCs w:val="20"/>
                <w:color w:val="auto"/>
              </w:rPr>
            </w:pPr>
            <w:r>
              <w:rPr>
                <w:rFonts w:ascii="Arial" w:cs="Arial" w:eastAsia="Arial" w:hAnsi="Arial"/>
                <w:sz w:val="13"/>
                <w:szCs w:val="13"/>
                <w:b w:val="1"/>
                <w:bCs w:val="1"/>
                <w:color w:val="FFFFFF"/>
              </w:rPr>
              <w:t>Rights that</w:t>
            </w:r>
          </w:p>
        </w:tc>
      </w:tr>
      <w:tr>
        <w:trPr>
          <w:trHeight w:val="162"/>
        </w:trPr>
        <w:tc>
          <w:tcPr>
            <w:tcW w:w="640" w:type="dxa"/>
            <w:vAlign w:val="bottom"/>
            <w:shd w:val="clear" w:color="auto" w:fill="00558C"/>
          </w:tcPr>
          <w:p>
            <w:pPr>
              <w:spacing w:after="0"/>
              <w:rPr>
                <w:sz w:val="14"/>
                <w:szCs w:val="14"/>
                <w:color w:val="auto"/>
              </w:rPr>
            </w:pPr>
          </w:p>
        </w:tc>
        <w:tc>
          <w:tcPr>
            <w:tcW w:w="1000" w:type="dxa"/>
            <w:vAlign w:val="bottom"/>
            <w:shd w:val="clear" w:color="auto" w:fill="00558C"/>
          </w:tcPr>
          <w:p>
            <w:pPr>
              <w:jc w:val="right"/>
              <w:ind w:right="53"/>
              <w:spacing w:after="0"/>
              <w:rPr>
                <w:sz w:val="20"/>
                <w:szCs w:val="20"/>
                <w:color w:val="auto"/>
              </w:rPr>
            </w:pPr>
            <w:r>
              <w:rPr>
                <w:rFonts w:ascii="Arial" w:cs="Arial" w:eastAsia="Arial" w:hAnsi="Arial"/>
                <w:sz w:val="13"/>
                <w:szCs w:val="13"/>
                <w:b w:val="1"/>
                <w:bCs w:val="1"/>
                <w:color w:val="FFFFFF"/>
              </w:rPr>
              <w:t>Unexercised</w:t>
            </w:r>
          </w:p>
        </w:tc>
        <w:tc>
          <w:tcPr>
            <w:tcW w:w="1160" w:type="dxa"/>
            <w:vAlign w:val="bottom"/>
            <w:shd w:val="clear" w:color="auto" w:fill="00558C"/>
          </w:tcPr>
          <w:p>
            <w:pPr>
              <w:jc w:val="right"/>
              <w:ind w:right="73"/>
              <w:spacing w:after="0"/>
              <w:rPr>
                <w:sz w:val="20"/>
                <w:szCs w:val="20"/>
                <w:color w:val="auto"/>
              </w:rPr>
            </w:pPr>
            <w:r>
              <w:rPr>
                <w:rFonts w:ascii="Arial" w:cs="Arial" w:eastAsia="Arial" w:hAnsi="Arial"/>
                <w:sz w:val="13"/>
                <w:szCs w:val="13"/>
                <w:b w:val="1"/>
                <w:bCs w:val="1"/>
                <w:color w:val="FFFFFF"/>
              </w:rPr>
              <w:t>Unexercised</w:t>
            </w:r>
          </w:p>
        </w:tc>
        <w:tc>
          <w:tcPr>
            <w:tcW w:w="740" w:type="dxa"/>
            <w:vAlign w:val="bottom"/>
            <w:shd w:val="clear" w:color="auto" w:fill="00558C"/>
          </w:tcPr>
          <w:p>
            <w:pPr>
              <w:jc w:val="right"/>
              <w:ind w:right="13"/>
              <w:spacing w:after="0"/>
              <w:rPr>
                <w:sz w:val="20"/>
                <w:szCs w:val="20"/>
                <w:color w:val="auto"/>
              </w:rPr>
            </w:pPr>
            <w:r>
              <w:rPr>
                <w:rFonts w:ascii="Arial" w:cs="Arial" w:eastAsia="Arial" w:hAnsi="Arial"/>
                <w:sz w:val="13"/>
                <w:szCs w:val="13"/>
                <w:b w:val="1"/>
                <w:bCs w:val="1"/>
                <w:color w:val="FFFFFF"/>
              </w:rPr>
              <w:t>Exercise</w:t>
            </w:r>
          </w:p>
        </w:tc>
        <w:tc>
          <w:tcPr>
            <w:tcW w:w="860" w:type="dxa"/>
            <w:vAlign w:val="bottom"/>
            <w:shd w:val="clear" w:color="auto" w:fill="00558C"/>
          </w:tcPr>
          <w:p>
            <w:pPr>
              <w:jc w:val="right"/>
              <w:ind w:right="169"/>
              <w:spacing w:after="0"/>
              <w:rPr>
                <w:sz w:val="20"/>
                <w:szCs w:val="20"/>
                <w:color w:val="auto"/>
              </w:rPr>
            </w:pPr>
            <w:r>
              <w:rPr>
                <w:rFonts w:ascii="Arial" w:cs="Arial" w:eastAsia="Arial" w:hAnsi="Arial"/>
                <w:sz w:val="13"/>
                <w:szCs w:val="13"/>
                <w:b w:val="1"/>
                <w:bCs w:val="1"/>
                <w:color w:val="FFFFFF"/>
              </w:rPr>
              <w:t>Option</w:t>
            </w:r>
          </w:p>
        </w:tc>
        <w:tc>
          <w:tcPr>
            <w:tcW w:w="980" w:type="dxa"/>
            <w:vAlign w:val="bottom"/>
            <w:gridSpan w:val="2"/>
            <w:shd w:val="clear" w:color="auto" w:fill="00558C"/>
          </w:tcPr>
          <w:p>
            <w:pPr>
              <w:jc w:val="right"/>
              <w:ind w:right="69"/>
              <w:spacing w:after="0"/>
              <w:rPr>
                <w:sz w:val="20"/>
                <w:szCs w:val="20"/>
                <w:color w:val="auto"/>
              </w:rPr>
            </w:pPr>
            <w:r>
              <w:rPr>
                <w:rFonts w:ascii="Arial" w:cs="Arial" w:eastAsia="Arial" w:hAnsi="Arial"/>
                <w:sz w:val="13"/>
                <w:szCs w:val="13"/>
                <w:b w:val="1"/>
                <w:bCs w:val="1"/>
                <w:color w:val="FFFFFF"/>
              </w:rPr>
              <w:t>Have Not</w:t>
            </w:r>
          </w:p>
        </w:tc>
        <w:tc>
          <w:tcPr>
            <w:tcW w:w="820" w:type="dxa"/>
            <w:vAlign w:val="bottom"/>
            <w:shd w:val="clear" w:color="auto" w:fill="00558C"/>
          </w:tcPr>
          <w:p>
            <w:pPr>
              <w:jc w:val="right"/>
              <w:ind w:right="33"/>
              <w:spacing w:after="0"/>
              <w:rPr>
                <w:sz w:val="20"/>
                <w:szCs w:val="20"/>
                <w:color w:val="auto"/>
              </w:rPr>
            </w:pPr>
            <w:r>
              <w:rPr>
                <w:rFonts w:ascii="Arial" w:cs="Arial" w:eastAsia="Arial" w:hAnsi="Arial"/>
                <w:sz w:val="13"/>
                <w:szCs w:val="13"/>
                <w:b w:val="1"/>
                <w:bCs w:val="1"/>
                <w:color w:val="FFFFFF"/>
              </w:rPr>
              <w:t>Have Not</w:t>
            </w:r>
          </w:p>
        </w:tc>
        <w:tc>
          <w:tcPr>
            <w:tcW w:w="920" w:type="dxa"/>
            <w:vAlign w:val="bottom"/>
            <w:shd w:val="clear" w:color="auto" w:fill="00558C"/>
          </w:tcPr>
          <w:p>
            <w:pPr>
              <w:jc w:val="center"/>
              <w:ind w:left="53"/>
              <w:spacing w:after="0"/>
              <w:rPr>
                <w:sz w:val="20"/>
                <w:szCs w:val="20"/>
                <w:color w:val="auto"/>
              </w:rPr>
            </w:pPr>
            <w:r>
              <w:rPr>
                <w:rFonts w:ascii="Arial" w:cs="Arial" w:eastAsia="Arial" w:hAnsi="Arial"/>
                <w:sz w:val="13"/>
                <w:szCs w:val="13"/>
                <w:b w:val="1"/>
                <w:bCs w:val="1"/>
                <w:color w:val="FFFFFF"/>
              </w:rPr>
              <w:t>Have Not</w:t>
            </w:r>
          </w:p>
        </w:tc>
        <w:tc>
          <w:tcPr>
            <w:tcW w:w="1140" w:type="dxa"/>
            <w:vAlign w:val="bottom"/>
            <w:shd w:val="clear" w:color="auto" w:fill="00558C"/>
          </w:tcPr>
          <w:p>
            <w:pPr>
              <w:jc w:val="right"/>
              <w:ind w:right="153"/>
              <w:spacing w:after="0"/>
              <w:rPr>
                <w:sz w:val="20"/>
                <w:szCs w:val="20"/>
                <w:color w:val="auto"/>
              </w:rPr>
            </w:pPr>
            <w:r>
              <w:rPr>
                <w:rFonts w:ascii="Arial" w:cs="Arial" w:eastAsia="Arial" w:hAnsi="Arial"/>
                <w:sz w:val="13"/>
                <w:szCs w:val="13"/>
                <w:b w:val="1"/>
                <w:bCs w:val="1"/>
                <w:color w:val="FFFFFF"/>
              </w:rPr>
              <w:t>Have Not</w:t>
            </w:r>
          </w:p>
        </w:tc>
      </w:tr>
      <w:tr>
        <w:trPr>
          <w:trHeight w:val="162"/>
        </w:trPr>
        <w:tc>
          <w:tcPr>
            <w:tcW w:w="640" w:type="dxa"/>
            <w:vAlign w:val="bottom"/>
            <w:shd w:val="clear" w:color="auto" w:fill="00558C"/>
          </w:tcPr>
          <w:p>
            <w:pPr>
              <w:jc w:val="center"/>
              <w:spacing w:after="0"/>
              <w:rPr>
                <w:sz w:val="20"/>
                <w:szCs w:val="20"/>
                <w:color w:val="auto"/>
              </w:rPr>
            </w:pPr>
            <w:r>
              <w:rPr>
                <w:rFonts w:ascii="Arial" w:cs="Arial" w:eastAsia="Arial" w:hAnsi="Arial"/>
                <w:sz w:val="13"/>
                <w:szCs w:val="13"/>
                <w:b w:val="1"/>
                <w:bCs w:val="1"/>
                <w:color w:val="FFFFFF"/>
              </w:rPr>
              <w:t>Grant</w:t>
            </w:r>
          </w:p>
        </w:tc>
        <w:tc>
          <w:tcPr>
            <w:tcW w:w="1000" w:type="dxa"/>
            <w:vAlign w:val="bottom"/>
            <w:shd w:val="clear" w:color="auto" w:fill="00558C"/>
          </w:tcPr>
          <w:p>
            <w:pPr>
              <w:jc w:val="right"/>
              <w:ind w:right="53"/>
              <w:spacing w:after="0"/>
              <w:rPr>
                <w:sz w:val="20"/>
                <w:szCs w:val="20"/>
                <w:color w:val="auto"/>
              </w:rPr>
            </w:pPr>
            <w:r>
              <w:rPr>
                <w:rFonts w:ascii="Arial" w:cs="Arial" w:eastAsia="Arial" w:hAnsi="Arial"/>
                <w:sz w:val="13"/>
                <w:szCs w:val="13"/>
                <w:b w:val="1"/>
                <w:bCs w:val="1"/>
                <w:color w:val="FFFFFF"/>
              </w:rPr>
              <w:t>Options (#)</w:t>
            </w:r>
          </w:p>
        </w:tc>
        <w:tc>
          <w:tcPr>
            <w:tcW w:w="1160" w:type="dxa"/>
            <w:vAlign w:val="bottom"/>
            <w:shd w:val="clear" w:color="auto" w:fill="00558C"/>
          </w:tcPr>
          <w:p>
            <w:pPr>
              <w:jc w:val="right"/>
              <w:ind w:right="73"/>
              <w:spacing w:after="0"/>
              <w:rPr>
                <w:sz w:val="20"/>
                <w:szCs w:val="20"/>
                <w:color w:val="auto"/>
              </w:rPr>
            </w:pPr>
            <w:r>
              <w:rPr>
                <w:rFonts w:ascii="Arial" w:cs="Arial" w:eastAsia="Arial" w:hAnsi="Arial"/>
                <w:sz w:val="13"/>
                <w:szCs w:val="13"/>
                <w:b w:val="1"/>
                <w:bCs w:val="1"/>
                <w:color w:val="FFFFFF"/>
              </w:rPr>
              <w:t>Options (#)</w:t>
            </w:r>
          </w:p>
        </w:tc>
        <w:tc>
          <w:tcPr>
            <w:tcW w:w="740" w:type="dxa"/>
            <w:vAlign w:val="bottom"/>
            <w:shd w:val="clear" w:color="auto" w:fill="00558C"/>
          </w:tcPr>
          <w:p>
            <w:pPr>
              <w:jc w:val="right"/>
              <w:ind w:right="13"/>
              <w:spacing w:after="0"/>
              <w:rPr>
                <w:sz w:val="20"/>
                <w:szCs w:val="20"/>
                <w:color w:val="auto"/>
              </w:rPr>
            </w:pPr>
            <w:r>
              <w:rPr>
                <w:rFonts w:ascii="Arial" w:cs="Arial" w:eastAsia="Arial" w:hAnsi="Arial"/>
                <w:sz w:val="13"/>
                <w:szCs w:val="13"/>
                <w:b w:val="1"/>
                <w:bCs w:val="1"/>
                <w:color w:val="FFFFFF"/>
              </w:rPr>
              <w:t>Price</w:t>
            </w:r>
          </w:p>
        </w:tc>
        <w:tc>
          <w:tcPr>
            <w:tcW w:w="860" w:type="dxa"/>
            <w:vAlign w:val="bottom"/>
            <w:shd w:val="clear" w:color="auto" w:fill="00558C"/>
          </w:tcPr>
          <w:p>
            <w:pPr>
              <w:jc w:val="right"/>
              <w:ind w:right="49"/>
              <w:spacing w:after="0"/>
              <w:rPr>
                <w:sz w:val="20"/>
                <w:szCs w:val="20"/>
                <w:color w:val="auto"/>
              </w:rPr>
            </w:pPr>
            <w:r>
              <w:rPr>
                <w:rFonts w:ascii="Arial" w:cs="Arial" w:eastAsia="Arial" w:hAnsi="Arial"/>
                <w:sz w:val="13"/>
                <w:szCs w:val="13"/>
                <w:b w:val="1"/>
                <w:bCs w:val="1"/>
                <w:color w:val="FFFFFF"/>
              </w:rPr>
              <w:t>Expiration</w:t>
            </w:r>
          </w:p>
        </w:tc>
        <w:tc>
          <w:tcPr>
            <w:tcW w:w="980" w:type="dxa"/>
            <w:vAlign w:val="bottom"/>
            <w:gridSpan w:val="2"/>
            <w:shd w:val="clear" w:color="auto" w:fill="00558C"/>
          </w:tcPr>
          <w:p>
            <w:pPr>
              <w:jc w:val="right"/>
              <w:ind w:right="69"/>
              <w:spacing w:after="0"/>
              <w:rPr>
                <w:sz w:val="20"/>
                <w:szCs w:val="20"/>
                <w:color w:val="auto"/>
              </w:rPr>
            </w:pPr>
            <w:r>
              <w:rPr>
                <w:rFonts w:ascii="Arial" w:cs="Arial" w:eastAsia="Arial" w:hAnsi="Arial"/>
                <w:sz w:val="13"/>
                <w:szCs w:val="13"/>
                <w:b w:val="1"/>
                <w:bCs w:val="1"/>
                <w:color w:val="FFFFFF"/>
              </w:rPr>
              <w:t>Vested</w:t>
            </w:r>
          </w:p>
        </w:tc>
        <w:tc>
          <w:tcPr>
            <w:tcW w:w="820" w:type="dxa"/>
            <w:vAlign w:val="bottom"/>
            <w:shd w:val="clear" w:color="auto" w:fill="00558C"/>
          </w:tcPr>
          <w:p>
            <w:pPr>
              <w:jc w:val="right"/>
              <w:ind w:right="33"/>
              <w:spacing w:after="0"/>
              <w:rPr>
                <w:sz w:val="20"/>
                <w:szCs w:val="20"/>
                <w:color w:val="auto"/>
              </w:rPr>
            </w:pPr>
            <w:r>
              <w:rPr>
                <w:rFonts w:ascii="Arial" w:cs="Arial" w:eastAsia="Arial" w:hAnsi="Arial"/>
                <w:sz w:val="13"/>
                <w:szCs w:val="13"/>
                <w:b w:val="1"/>
                <w:bCs w:val="1"/>
                <w:color w:val="FFFFFF"/>
              </w:rPr>
              <w:t>Vested</w:t>
            </w:r>
          </w:p>
        </w:tc>
        <w:tc>
          <w:tcPr>
            <w:tcW w:w="920" w:type="dxa"/>
            <w:vAlign w:val="bottom"/>
            <w:shd w:val="clear" w:color="auto" w:fill="00558C"/>
          </w:tcPr>
          <w:p>
            <w:pPr>
              <w:jc w:val="right"/>
              <w:ind w:right="33"/>
              <w:spacing w:after="0"/>
              <w:rPr>
                <w:sz w:val="20"/>
                <w:szCs w:val="20"/>
                <w:color w:val="auto"/>
              </w:rPr>
            </w:pPr>
            <w:r>
              <w:rPr>
                <w:rFonts w:ascii="Arial" w:cs="Arial" w:eastAsia="Arial" w:hAnsi="Arial"/>
                <w:sz w:val="13"/>
                <w:szCs w:val="13"/>
                <w:b w:val="1"/>
                <w:bCs w:val="1"/>
                <w:color w:val="FFFFFF"/>
              </w:rPr>
              <w:t>Vested</w:t>
            </w:r>
          </w:p>
        </w:tc>
        <w:tc>
          <w:tcPr>
            <w:tcW w:w="1140" w:type="dxa"/>
            <w:vAlign w:val="bottom"/>
            <w:shd w:val="clear" w:color="auto" w:fill="00558C"/>
          </w:tcPr>
          <w:p>
            <w:pPr>
              <w:jc w:val="right"/>
              <w:ind w:right="153"/>
              <w:spacing w:after="0"/>
              <w:rPr>
                <w:sz w:val="20"/>
                <w:szCs w:val="20"/>
                <w:color w:val="auto"/>
              </w:rPr>
            </w:pPr>
            <w:r>
              <w:rPr>
                <w:rFonts w:ascii="Arial" w:cs="Arial" w:eastAsia="Arial" w:hAnsi="Arial"/>
                <w:sz w:val="13"/>
                <w:szCs w:val="13"/>
                <w:b w:val="1"/>
                <w:bCs w:val="1"/>
                <w:color w:val="FFFFFF"/>
              </w:rPr>
              <w:t>Vested</w:t>
            </w:r>
          </w:p>
        </w:tc>
      </w:tr>
      <w:tr>
        <w:trPr>
          <w:trHeight w:val="186"/>
        </w:trPr>
        <w:tc>
          <w:tcPr>
            <w:tcW w:w="640" w:type="dxa"/>
            <w:vAlign w:val="bottom"/>
            <w:shd w:val="clear" w:color="auto" w:fill="00558C"/>
          </w:tcPr>
          <w:p>
            <w:pPr>
              <w:jc w:val="center"/>
              <w:spacing w:after="0"/>
              <w:rPr>
                <w:sz w:val="20"/>
                <w:szCs w:val="20"/>
                <w:color w:val="auto"/>
              </w:rPr>
            </w:pPr>
            <w:r>
              <w:rPr>
                <w:rFonts w:ascii="Arial" w:cs="Arial" w:eastAsia="Arial" w:hAnsi="Arial"/>
                <w:sz w:val="13"/>
                <w:szCs w:val="13"/>
                <w:b w:val="1"/>
                <w:bCs w:val="1"/>
                <w:color w:val="FFFFFF"/>
              </w:rPr>
              <w:t>Date</w:t>
            </w:r>
          </w:p>
        </w:tc>
        <w:tc>
          <w:tcPr>
            <w:tcW w:w="1000" w:type="dxa"/>
            <w:vAlign w:val="bottom"/>
            <w:shd w:val="clear" w:color="auto" w:fill="00558C"/>
          </w:tcPr>
          <w:p>
            <w:pPr>
              <w:jc w:val="right"/>
              <w:ind w:right="33"/>
              <w:spacing w:after="0"/>
              <w:rPr>
                <w:sz w:val="20"/>
                <w:szCs w:val="20"/>
                <w:color w:val="auto"/>
              </w:rPr>
            </w:pPr>
            <w:r>
              <w:rPr>
                <w:rFonts w:ascii="Arial" w:cs="Arial" w:eastAsia="Arial" w:hAnsi="Arial"/>
                <w:sz w:val="13"/>
                <w:szCs w:val="13"/>
                <w:b w:val="1"/>
                <w:bCs w:val="1"/>
                <w:color w:val="FFFFFF"/>
              </w:rPr>
              <w:t>Exercisable</w:t>
            </w:r>
          </w:p>
        </w:tc>
        <w:tc>
          <w:tcPr>
            <w:tcW w:w="1160" w:type="dxa"/>
            <w:vAlign w:val="bottom"/>
            <w:shd w:val="clear" w:color="auto" w:fill="00558C"/>
          </w:tcPr>
          <w:p>
            <w:pPr>
              <w:jc w:val="right"/>
              <w:ind w:right="73"/>
              <w:spacing w:after="0"/>
              <w:rPr>
                <w:sz w:val="20"/>
                <w:szCs w:val="20"/>
                <w:color w:val="auto"/>
              </w:rPr>
            </w:pPr>
            <w:r>
              <w:rPr>
                <w:rFonts w:ascii="Arial" w:cs="Arial" w:eastAsia="Arial" w:hAnsi="Arial"/>
                <w:sz w:val="13"/>
                <w:szCs w:val="13"/>
                <w:b w:val="1"/>
                <w:bCs w:val="1"/>
                <w:color w:val="FFFFFF"/>
              </w:rPr>
              <w:t>Unexercisable</w:t>
            </w:r>
          </w:p>
        </w:tc>
        <w:tc>
          <w:tcPr>
            <w:tcW w:w="740" w:type="dxa"/>
            <w:vAlign w:val="bottom"/>
            <w:shd w:val="clear" w:color="auto" w:fill="00558C"/>
          </w:tcPr>
          <w:p>
            <w:pPr>
              <w:jc w:val="right"/>
              <w:spacing w:after="0"/>
              <w:rPr>
                <w:sz w:val="20"/>
                <w:szCs w:val="20"/>
                <w:color w:val="auto"/>
              </w:rPr>
            </w:pPr>
            <w:r>
              <w:rPr>
                <w:rFonts w:ascii="Arial" w:cs="Arial" w:eastAsia="Arial" w:hAnsi="Arial"/>
                <w:sz w:val="13"/>
                <w:szCs w:val="13"/>
                <w:b w:val="1"/>
                <w:bCs w:val="1"/>
                <w:color w:val="FFFFFF"/>
              </w:rPr>
              <w:t>($)</w:t>
            </w:r>
          </w:p>
        </w:tc>
        <w:tc>
          <w:tcPr>
            <w:tcW w:w="860" w:type="dxa"/>
            <w:vAlign w:val="bottom"/>
            <w:shd w:val="clear" w:color="auto" w:fill="00558C"/>
          </w:tcPr>
          <w:p>
            <w:pPr>
              <w:jc w:val="right"/>
              <w:ind w:right="229"/>
              <w:spacing w:after="0"/>
              <w:rPr>
                <w:sz w:val="20"/>
                <w:szCs w:val="20"/>
                <w:color w:val="auto"/>
              </w:rPr>
            </w:pPr>
            <w:r>
              <w:rPr>
                <w:rFonts w:ascii="Arial" w:cs="Arial" w:eastAsia="Arial" w:hAnsi="Arial"/>
                <w:sz w:val="13"/>
                <w:szCs w:val="13"/>
                <w:b w:val="1"/>
                <w:bCs w:val="1"/>
                <w:color w:val="FFFFFF"/>
              </w:rPr>
              <w:t>Date</w:t>
            </w:r>
          </w:p>
        </w:tc>
        <w:tc>
          <w:tcPr>
            <w:tcW w:w="980" w:type="dxa"/>
            <w:vAlign w:val="bottom"/>
            <w:gridSpan w:val="2"/>
            <w:shd w:val="clear" w:color="auto" w:fill="00558C"/>
          </w:tcPr>
          <w:p>
            <w:pPr>
              <w:jc w:val="right"/>
              <w:ind w:right="29"/>
              <w:spacing w:after="0"/>
              <w:rPr>
                <w:sz w:val="20"/>
                <w:szCs w:val="20"/>
                <w:color w:val="auto"/>
              </w:rPr>
            </w:pPr>
            <w:r>
              <w:rPr>
                <w:rFonts w:ascii="Arial" w:cs="Arial" w:eastAsia="Arial" w:hAnsi="Arial"/>
                <w:sz w:val="13"/>
                <w:szCs w:val="13"/>
                <w:b w:val="1"/>
                <w:bCs w:val="1"/>
                <w:color w:val="FFFFFF"/>
              </w:rPr>
              <w:t>(#)</w:t>
            </w:r>
          </w:p>
        </w:tc>
        <w:tc>
          <w:tcPr>
            <w:tcW w:w="820" w:type="dxa"/>
            <w:vAlign w:val="bottom"/>
            <w:shd w:val="clear" w:color="auto" w:fill="00558C"/>
          </w:tcPr>
          <w:p>
            <w:pPr>
              <w:jc w:val="right"/>
              <w:spacing w:after="0"/>
              <w:rPr>
                <w:sz w:val="20"/>
                <w:szCs w:val="20"/>
                <w:color w:val="auto"/>
              </w:rPr>
            </w:pPr>
            <w:r>
              <w:rPr>
                <w:rFonts w:ascii="Arial" w:cs="Arial" w:eastAsia="Arial" w:hAnsi="Arial"/>
                <w:sz w:val="13"/>
                <w:szCs w:val="13"/>
                <w:b w:val="1"/>
                <w:bCs w:val="1"/>
                <w:color w:val="FFFFFF"/>
              </w:rPr>
              <w:t>($)</w:t>
            </w:r>
          </w:p>
        </w:tc>
        <w:tc>
          <w:tcPr>
            <w:tcW w:w="920" w:type="dxa"/>
            <w:vAlign w:val="bottom"/>
            <w:shd w:val="clear" w:color="auto" w:fill="00558C"/>
          </w:tcPr>
          <w:p>
            <w:pPr>
              <w:jc w:val="right"/>
              <w:spacing w:after="0"/>
              <w:rPr>
                <w:sz w:val="20"/>
                <w:szCs w:val="20"/>
                <w:color w:val="auto"/>
              </w:rPr>
            </w:pPr>
            <w:r>
              <w:rPr>
                <w:rFonts w:ascii="Arial" w:cs="Arial" w:eastAsia="Arial" w:hAnsi="Arial"/>
                <w:sz w:val="13"/>
                <w:szCs w:val="13"/>
                <w:b w:val="1"/>
                <w:bCs w:val="1"/>
                <w:color w:val="FFFFFF"/>
              </w:rPr>
              <w:t>(#)</w:t>
            </w:r>
          </w:p>
        </w:tc>
        <w:tc>
          <w:tcPr>
            <w:tcW w:w="1140" w:type="dxa"/>
            <w:vAlign w:val="bottom"/>
            <w:shd w:val="clear" w:color="auto" w:fill="00558C"/>
          </w:tcPr>
          <w:p>
            <w:pPr>
              <w:jc w:val="right"/>
              <w:ind w:right="113"/>
              <w:spacing w:after="0"/>
              <w:rPr>
                <w:sz w:val="20"/>
                <w:szCs w:val="20"/>
                <w:color w:val="auto"/>
              </w:rPr>
            </w:pPr>
            <w:r>
              <w:rPr>
                <w:rFonts w:ascii="Arial" w:cs="Arial" w:eastAsia="Arial" w:hAnsi="Arial"/>
                <w:sz w:val="13"/>
                <w:szCs w:val="13"/>
                <w:b w:val="1"/>
                <w:bCs w:val="1"/>
                <w:color w:val="FFFFFF"/>
              </w:rPr>
              <w:t>($)</w:t>
            </w:r>
          </w:p>
        </w:tc>
      </w:tr>
      <w:tr>
        <w:trPr>
          <w:trHeight w:val="112"/>
        </w:trPr>
        <w:tc>
          <w:tcPr>
            <w:tcW w:w="640" w:type="dxa"/>
            <w:vAlign w:val="bottom"/>
            <w:shd w:val="clear" w:color="auto" w:fill="00558C"/>
          </w:tcPr>
          <w:p>
            <w:pPr>
              <w:spacing w:after="0"/>
              <w:rPr>
                <w:sz w:val="9"/>
                <w:szCs w:val="9"/>
                <w:color w:val="auto"/>
              </w:rPr>
            </w:pPr>
          </w:p>
        </w:tc>
        <w:tc>
          <w:tcPr>
            <w:tcW w:w="1000" w:type="dxa"/>
            <w:vAlign w:val="bottom"/>
            <w:shd w:val="clear" w:color="auto" w:fill="00558C"/>
          </w:tcPr>
          <w:p>
            <w:pPr>
              <w:spacing w:after="0"/>
              <w:rPr>
                <w:sz w:val="9"/>
                <w:szCs w:val="9"/>
                <w:color w:val="auto"/>
              </w:rPr>
            </w:pPr>
          </w:p>
        </w:tc>
        <w:tc>
          <w:tcPr>
            <w:tcW w:w="1160" w:type="dxa"/>
            <w:vAlign w:val="bottom"/>
            <w:shd w:val="clear" w:color="auto" w:fill="00558C"/>
          </w:tcPr>
          <w:p>
            <w:pPr>
              <w:spacing w:after="0"/>
              <w:rPr>
                <w:sz w:val="9"/>
                <w:szCs w:val="9"/>
                <w:color w:val="auto"/>
              </w:rPr>
            </w:pPr>
          </w:p>
        </w:tc>
        <w:tc>
          <w:tcPr>
            <w:tcW w:w="740" w:type="dxa"/>
            <w:vAlign w:val="bottom"/>
            <w:shd w:val="clear" w:color="auto" w:fill="00558C"/>
          </w:tcPr>
          <w:p>
            <w:pPr>
              <w:spacing w:after="0"/>
              <w:rPr>
                <w:sz w:val="9"/>
                <w:szCs w:val="9"/>
                <w:color w:val="auto"/>
              </w:rPr>
            </w:pPr>
          </w:p>
        </w:tc>
        <w:tc>
          <w:tcPr>
            <w:tcW w:w="860" w:type="dxa"/>
            <w:vAlign w:val="bottom"/>
            <w:shd w:val="clear" w:color="auto" w:fill="00558C"/>
          </w:tcPr>
          <w:p>
            <w:pPr>
              <w:spacing w:after="0"/>
              <w:rPr>
                <w:sz w:val="9"/>
                <w:szCs w:val="9"/>
                <w:color w:val="auto"/>
              </w:rPr>
            </w:pPr>
          </w:p>
        </w:tc>
        <w:tc>
          <w:tcPr>
            <w:tcW w:w="780" w:type="dxa"/>
            <w:vAlign w:val="bottom"/>
            <w:shd w:val="clear" w:color="auto" w:fill="00558C"/>
          </w:tcPr>
          <w:p>
            <w:pPr>
              <w:spacing w:after="0"/>
              <w:rPr>
                <w:sz w:val="9"/>
                <w:szCs w:val="9"/>
                <w:color w:val="auto"/>
              </w:rPr>
            </w:pPr>
          </w:p>
        </w:tc>
        <w:tc>
          <w:tcPr>
            <w:tcW w:w="200" w:type="dxa"/>
            <w:vAlign w:val="bottom"/>
            <w:shd w:val="clear" w:color="auto" w:fill="00558C"/>
          </w:tcPr>
          <w:p>
            <w:pPr>
              <w:spacing w:after="0"/>
              <w:rPr>
                <w:sz w:val="9"/>
                <w:szCs w:val="9"/>
                <w:color w:val="auto"/>
              </w:rPr>
            </w:pPr>
          </w:p>
        </w:tc>
        <w:tc>
          <w:tcPr>
            <w:tcW w:w="820" w:type="dxa"/>
            <w:vAlign w:val="bottom"/>
            <w:shd w:val="clear" w:color="auto" w:fill="00558C"/>
          </w:tcPr>
          <w:p>
            <w:pPr>
              <w:spacing w:after="0"/>
              <w:rPr>
                <w:sz w:val="9"/>
                <w:szCs w:val="9"/>
                <w:color w:val="auto"/>
              </w:rPr>
            </w:pPr>
          </w:p>
        </w:tc>
        <w:tc>
          <w:tcPr>
            <w:tcW w:w="920" w:type="dxa"/>
            <w:vAlign w:val="bottom"/>
            <w:shd w:val="clear" w:color="auto" w:fill="00558C"/>
          </w:tcPr>
          <w:p>
            <w:pPr>
              <w:spacing w:after="0"/>
              <w:rPr>
                <w:sz w:val="9"/>
                <w:szCs w:val="9"/>
                <w:color w:val="auto"/>
              </w:rPr>
            </w:pPr>
          </w:p>
        </w:tc>
        <w:tc>
          <w:tcPr>
            <w:tcW w:w="1140" w:type="dxa"/>
            <w:vAlign w:val="bottom"/>
            <w:shd w:val="clear" w:color="auto" w:fill="00558C"/>
          </w:tcPr>
          <w:p>
            <w:pPr>
              <w:spacing w:after="0"/>
              <w:rPr>
                <w:sz w:val="9"/>
                <w:szCs w:val="9"/>
                <w:color w:val="auto"/>
              </w:rPr>
            </w:pPr>
          </w:p>
        </w:tc>
      </w:tr>
      <w:tr>
        <w:trPr>
          <w:trHeight w:val="329"/>
        </w:trPr>
        <w:tc>
          <w:tcPr>
            <w:tcW w:w="640" w:type="dxa"/>
            <w:vAlign w:val="bottom"/>
            <w:shd w:val="clear" w:color="auto" w:fill="F2F3F2"/>
          </w:tcPr>
          <w:p>
            <w:pPr>
              <w:jc w:val="center"/>
              <w:spacing w:after="0"/>
              <w:rPr>
                <w:sz w:val="20"/>
                <w:szCs w:val="20"/>
                <w:color w:val="auto"/>
              </w:rPr>
            </w:pPr>
            <w:r>
              <w:rPr>
                <w:rFonts w:ascii="Arial" w:cs="Arial" w:eastAsia="Arial" w:hAnsi="Arial"/>
                <w:sz w:val="13"/>
                <w:szCs w:val="13"/>
                <w:color w:val="auto"/>
              </w:rPr>
              <w:t>3/1/2021</w:t>
            </w:r>
          </w:p>
        </w:tc>
        <w:tc>
          <w:tcPr>
            <w:tcW w:w="1000" w:type="dxa"/>
            <w:vAlign w:val="bottom"/>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1160" w:type="dxa"/>
            <w:vAlign w:val="bottom"/>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F2F3F2"/>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F2F3F2"/>
          </w:tcPr>
          <w:p>
            <w:pPr>
              <w:jc w:val="right"/>
              <w:spacing w:after="0"/>
              <w:rPr>
                <w:sz w:val="20"/>
                <w:szCs w:val="20"/>
                <w:color w:val="auto"/>
              </w:rPr>
            </w:pPr>
            <w:r>
              <w:rPr>
                <w:rFonts w:ascii="Arial" w:cs="Arial" w:eastAsia="Arial" w:hAnsi="Arial"/>
                <w:sz w:val="13"/>
                <w:szCs w:val="13"/>
                <w:color w:val="auto"/>
              </w:rPr>
              <w:t>827</w:t>
            </w:r>
          </w:p>
        </w:tc>
        <w:tc>
          <w:tcPr>
            <w:tcW w:w="200" w:type="dxa"/>
            <w:vAlign w:val="bottom"/>
            <w:shd w:val="clear" w:color="auto" w:fill="F2F3F2"/>
          </w:tcPr>
          <w:p>
            <w:pPr>
              <w:jc w:val="right"/>
              <w:ind w:right="9"/>
              <w:spacing w:after="0"/>
              <w:rPr>
                <w:sz w:val="20"/>
                <w:szCs w:val="20"/>
                <w:color w:val="auto"/>
              </w:rPr>
            </w:pPr>
            <w:r>
              <w:rPr>
                <w:rFonts w:ascii="Arial" w:cs="Arial" w:eastAsia="Arial" w:hAnsi="Arial"/>
                <w:sz w:val="9"/>
                <w:szCs w:val="9"/>
                <w:color w:val="auto"/>
              </w:rPr>
              <w:t>(5)</w:t>
            </w:r>
          </w:p>
        </w:tc>
        <w:tc>
          <w:tcPr>
            <w:tcW w:w="820" w:type="dxa"/>
            <w:vAlign w:val="bottom"/>
            <w:shd w:val="clear" w:color="auto" w:fill="F2F3F2"/>
          </w:tcPr>
          <w:p>
            <w:pPr>
              <w:jc w:val="right"/>
              <w:spacing w:after="0"/>
              <w:rPr>
                <w:sz w:val="20"/>
                <w:szCs w:val="20"/>
                <w:color w:val="auto"/>
              </w:rPr>
            </w:pPr>
            <w:r>
              <w:rPr>
                <w:rFonts w:ascii="Arial" w:cs="Arial" w:eastAsia="Arial" w:hAnsi="Arial"/>
                <w:sz w:val="13"/>
                <w:szCs w:val="13"/>
                <w:color w:val="auto"/>
              </w:rPr>
              <w:t>102,763</w:t>
            </w:r>
          </w:p>
        </w:tc>
        <w:tc>
          <w:tcPr>
            <w:tcW w:w="920" w:type="dxa"/>
            <w:vAlign w:val="bottom"/>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1140" w:type="dxa"/>
            <w:vAlign w:val="bottom"/>
            <w:shd w:val="clear" w:color="auto" w:fill="F2F3F2"/>
          </w:tcPr>
          <w:p>
            <w:pPr>
              <w:jc w:val="right"/>
              <w:ind w:right="93"/>
              <w:spacing w:after="0"/>
              <w:rPr>
                <w:sz w:val="20"/>
                <w:szCs w:val="20"/>
                <w:color w:val="auto"/>
              </w:rPr>
            </w:pPr>
            <w:r>
              <w:rPr>
                <w:rFonts w:ascii="Arial" w:cs="Arial" w:eastAsia="Arial" w:hAnsi="Arial"/>
                <w:sz w:val="13"/>
                <w:szCs w:val="13"/>
                <w:color w:val="auto"/>
              </w:rPr>
              <w:t>—</w:t>
            </w:r>
          </w:p>
        </w:tc>
      </w:tr>
      <w:tr>
        <w:trPr>
          <w:trHeight w:val="116"/>
        </w:trPr>
        <w:tc>
          <w:tcPr>
            <w:tcW w:w="640" w:type="dxa"/>
            <w:vAlign w:val="bottom"/>
            <w:tcBorders>
              <w:bottom w:val="single" w:sz="8" w:color="B2B3B6"/>
            </w:tcBorders>
            <w:shd w:val="clear" w:color="auto" w:fill="F2F3F2"/>
          </w:tcPr>
          <w:p>
            <w:pPr>
              <w:spacing w:after="0"/>
              <w:rPr>
                <w:sz w:val="10"/>
                <w:szCs w:val="10"/>
                <w:color w:val="auto"/>
              </w:rPr>
            </w:pPr>
          </w:p>
        </w:tc>
        <w:tc>
          <w:tcPr>
            <w:tcW w:w="1000" w:type="dxa"/>
            <w:vAlign w:val="bottom"/>
            <w:tcBorders>
              <w:bottom w:val="single" w:sz="8" w:color="B2B3B6"/>
            </w:tcBorders>
            <w:shd w:val="clear" w:color="auto" w:fill="F2F3F2"/>
          </w:tcPr>
          <w:p>
            <w:pPr>
              <w:spacing w:after="0"/>
              <w:rPr>
                <w:sz w:val="10"/>
                <w:szCs w:val="10"/>
                <w:color w:val="auto"/>
              </w:rPr>
            </w:pPr>
          </w:p>
        </w:tc>
        <w:tc>
          <w:tcPr>
            <w:tcW w:w="1160" w:type="dxa"/>
            <w:vAlign w:val="bottom"/>
            <w:tcBorders>
              <w:bottom w:val="single" w:sz="8" w:color="B2B3B6"/>
            </w:tcBorders>
            <w:shd w:val="clear" w:color="auto" w:fill="F2F3F2"/>
          </w:tcPr>
          <w:p>
            <w:pPr>
              <w:spacing w:after="0"/>
              <w:rPr>
                <w:sz w:val="10"/>
                <w:szCs w:val="10"/>
                <w:color w:val="auto"/>
              </w:rPr>
            </w:pPr>
          </w:p>
        </w:tc>
        <w:tc>
          <w:tcPr>
            <w:tcW w:w="740" w:type="dxa"/>
            <w:vAlign w:val="bottom"/>
            <w:tcBorders>
              <w:bottom w:val="single" w:sz="8" w:color="B2B3B6"/>
            </w:tcBorders>
            <w:shd w:val="clear" w:color="auto" w:fill="F2F3F2"/>
          </w:tcPr>
          <w:p>
            <w:pPr>
              <w:spacing w:after="0"/>
              <w:rPr>
                <w:sz w:val="10"/>
                <w:szCs w:val="10"/>
                <w:color w:val="auto"/>
              </w:rPr>
            </w:pPr>
          </w:p>
        </w:tc>
        <w:tc>
          <w:tcPr>
            <w:tcW w:w="860" w:type="dxa"/>
            <w:vAlign w:val="bottom"/>
            <w:tcBorders>
              <w:bottom w:val="single" w:sz="8" w:color="B2B3B6"/>
            </w:tcBorders>
            <w:shd w:val="clear" w:color="auto" w:fill="F2F3F2"/>
          </w:tcPr>
          <w:p>
            <w:pPr>
              <w:spacing w:after="0"/>
              <w:rPr>
                <w:sz w:val="10"/>
                <w:szCs w:val="10"/>
                <w:color w:val="auto"/>
              </w:rPr>
            </w:pPr>
          </w:p>
        </w:tc>
        <w:tc>
          <w:tcPr>
            <w:tcW w:w="780" w:type="dxa"/>
            <w:vAlign w:val="bottom"/>
            <w:tcBorders>
              <w:bottom w:val="single" w:sz="8" w:color="B2B3B6"/>
            </w:tcBorders>
            <w:shd w:val="clear" w:color="auto" w:fill="F2F3F2"/>
          </w:tcPr>
          <w:p>
            <w:pPr>
              <w:spacing w:after="0"/>
              <w:rPr>
                <w:sz w:val="10"/>
                <w:szCs w:val="10"/>
                <w:color w:val="auto"/>
              </w:rPr>
            </w:pPr>
          </w:p>
        </w:tc>
        <w:tc>
          <w:tcPr>
            <w:tcW w:w="200" w:type="dxa"/>
            <w:vAlign w:val="bottom"/>
            <w:tcBorders>
              <w:bottom w:val="single" w:sz="8" w:color="B2B3B6"/>
            </w:tcBorders>
            <w:shd w:val="clear" w:color="auto" w:fill="F2F3F2"/>
          </w:tcPr>
          <w:p>
            <w:pPr>
              <w:spacing w:after="0"/>
              <w:rPr>
                <w:sz w:val="10"/>
                <w:szCs w:val="10"/>
                <w:color w:val="auto"/>
              </w:rPr>
            </w:pPr>
          </w:p>
        </w:tc>
        <w:tc>
          <w:tcPr>
            <w:tcW w:w="820" w:type="dxa"/>
            <w:vAlign w:val="bottom"/>
            <w:tcBorders>
              <w:bottom w:val="single" w:sz="8" w:color="B2B3B6"/>
            </w:tcBorders>
            <w:shd w:val="clear" w:color="auto" w:fill="F2F3F2"/>
          </w:tcPr>
          <w:p>
            <w:pPr>
              <w:spacing w:after="0"/>
              <w:rPr>
                <w:sz w:val="10"/>
                <w:szCs w:val="10"/>
                <w:color w:val="auto"/>
              </w:rPr>
            </w:pPr>
          </w:p>
        </w:tc>
        <w:tc>
          <w:tcPr>
            <w:tcW w:w="920" w:type="dxa"/>
            <w:vAlign w:val="bottom"/>
            <w:tcBorders>
              <w:bottom w:val="single" w:sz="8" w:color="B2B3B6"/>
            </w:tcBorders>
            <w:shd w:val="clear" w:color="auto" w:fill="F2F3F2"/>
          </w:tcPr>
          <w:p>
            <w:pPr>
              <w:spacing w:after="0"/>
              <w:rPr>
                <w:sz w:val="10"/>
                <w:szCs w:val="10"/>
                <w:color w:val="auto"/>
              </w:rPr>
            </w:pPr>
          </w:p>
        </w:tc>
        <w:tc>
          <w:tcPr>
            <w:tcW w:w="1140" w:type="dxa"/>
            <w:vAlign w:val="bottom"/>
            <w:tcBorders>
              <w:bottom w:val="single" w:sz="8" w:color="B2B3B6"/>
            </w:tcBorders>
            <w:shd w:val="clear" w:color="auto" w:fill="F2F3F2"/>
          </w:tcPr>
          <w:p>
            <w:pPr>
              <w:spacing w:after="0"/>
              <w:rPr>
                <w:sz w:val="10"/>
                <w:szCs w:val="10"/>
                <w:color w:val="auto"/>
              </w:rPr>
            </w:pPr>
          </w:p>
        </w:tc>
      </w:tr>
      <w:tr>
        <w:trPr>
          <w:trHeight w:val="309"/>
        </w:trPr>
        <w:tc>
          <w:tcPr>
            <w:tcW w:w="640" w:type="dxa"/>
            <w:vAlign w:val="bottom"/>
          </w:tcPr>
          <w:p>
            <w:pPr>
              <w:jc w:val="center"/>
              <w:spacing w:after="0"/>
              <w:rPr>
                <w:sz w:val="20"/>
                <w:szCs w:val="20"/>
                <w:color w:val="auto"/>
              </w:rPr>
            </w:pPr>
            <w:r>
              <w:rPr>
                <w:rFonts w:ascii="Arial" w:cs="Arial" w:eastAsia="Arial" w:hAnsi="Arial"/>
                <w:sz w:val="13"/>
                <w:szCs w:val="13"/>
                <w:color w:val="auto"/>
              </w:rPr>
              <w:t>3/1/2022</w:t>
            </w:r>
          </w:p>
        </w:tc>
        <w:tc>
          <w:tcPr>
            <w:tcW w:w="1000" w:type="dxa"/>
            <w:vAlign w:val="bottom"/>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1160" w:type="dxa"/>
            <w:vAlign w:val="bottom"/>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F2F3F2"/>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F2F3F2"/>
          </w:tcPr>
          <w:p>
            <w:pPr>
              <w:jc w:val="right"/>
              <w:spacing w:after="0"/>
              <w:rPr>
                <w:sz w:val="20"/>
                <w:szCs w:val="20"/>
                <w:color w:val="auto"/>
              </w:rPr>
            </w:pPr>
            <w:r>
              <w:rPr>
                <w:rFonts w:ascii="Arial" w:cs="Arial" w:eastAsia="Arial" w:hAnsi="Arial"/>
                <w:sz w:val="13"/>
                <w:szCs w:val="13"/>
                <w:color w:val="auto"/>
              </w:rPr>
              <w:t>2,647</w:t>
            </w:r>
          </w:p>
        </w:tc>
        <w:tc>
          <w:tcPr>
            <w:tcW w:w="200" w:type="dxa"/>
            <w:vAlign w:val="bottom"/>
            <w:shd w:val="clear" w:color="auto" w:fill="F2F3F2"/>
          </w:tcPr>
          <w:p>
            <w:pPr>
              <w:jc w:val="right"/>
              <w:ind w:right="9"/>
              <w:spacing w:after="0"/>
              <w:rPr>
                <w:sz w:val="20"/>
                <w:szCs w:val="20"/>
                <w:color w:val="auto"/>
              </w:rPr>
            </w:pPr>
            <w:r>
              <w:rPr>
                <w:rFonts w:ascii="Arial" w:cs="Arial" w:eastAsia="Arial" w:hAnsi="Arial"/>
                <w:sz w:val="9"/>
                <w:szCs w:val="9"/>
                <w:color w:val="auto"/>
              </w:rPr>
              <w:t>(5)</w:t>
            </w:r>
          </w:p>
        </w:tc>
        <w:tc>
          <w:tcPr>
            <w:tcW w:w="820" w:type="dxa"/>
            <w:vAlign w:val="bottom"/>
            <w:shd w:val="clear" w:color="auto" w:fill="F2F3F2"/>
          </w:tcPr>
          <w:p>
            <w:pPr>
              <w:jc w:val="right"/>
              <w:spacing w:after="0"/>
              <w:rPr>
                <w:sz w:val="20"/>
                <w:szCs w:val="20"/>
                <w:color w:val="auto"/>
              </w:rPr>
            </w:pPr>
            <w:r>
              <w:rPr>
                <w:rFonts w:ascii="Arial" w:cs="Arial" w:eastAsia="Arial" w:hAnsi="Arial"/>
                <w:sz w:val="13"/>
                <w:szCs w:val="13"/>
                <w:color w:val="auto"/>
              </w:rPr>
              <w:t>328,916</w:t>
            </w:r>
          </w:p>
        </w:tc>
        <w:tc>
          <w:tcPr>
            <w:tcW w:w="920" w:type="dxa"/>
            <w:vAlign w:val="bottom"/>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1140" w:type="dxa"/>
            <w:vAlign w:val="bottom"/>
            <w:shd w:val="clear" w:color="auto" w:fill="F2F3F2"/>
          </w:tcPr>
          <w:p>
            <w:pPr>
              <w:jc w:val="right"/>
              <w:ind w:right="93"/>
              <w:spacing w:after="0"/>
              <w:rPr>
                <w:sz w:val="20"/>
                <w:szCs w:val="20"/>
                <w:color w:val="auto"/>
              </w:rPr>
            </w:pPr>
            <w:r>
              <w:rPr>
                <w:rFonts w:ascii="Arial" w:cs="Arial" w:eastAsia="Arial" w:hAnsi="Arial"/>
                <w:sz w:val="13"/>
                <w:szCs w:val="13"/>
                <w:color w:val="auto"/>
              </w:rPr>
              <w:t>—</w:t>
            </w:r>
          </w:p>
        </w:tc>
      </w:tr>
      <w:tr>
        <w:trPr>
          <w:trHeight w:val="116"/>
        </w:trPr>
        <w:tc>
          <w:tcPr>
            <w:tcW w:w="640" w:type="dxa"/>
            <w:vAlign w:val="bottom"/>
            <w:tcBorders>
              <w:bottom w:val="single" w:sz="8" w:color="B2B3B6"/>
            </w:tcBorders>
          </w:tcPr>
          <w:p>
            <w:pPr>
              <w:spacing w:after="0"/>
              <w:rPr>
                <w:sz w:val="10"/>
                <w:szCs w:val="10"/>
                <w:color w:val="auto"/>
              </w:rPr>
            </w:pPr>
          </w:p>
        </w:tc>
        <w:tc>
          <w:tcPr>
            <w:tcW w:w="1000" w:type="dxa"/>
            <w:vAlign w:val="bottom"/>
            <w:tcBorders>
              <w:bottom w:val="single" w:sz="8" w:color="B2B3B6"/>
            </w:tcBorders>
            <w:shd w:val="clear" w:color="auto" w:fill="F2F3F2"/>
          </w:tcPr>
          <w:p>
            <w:pPr>
              <w:spacing w:after="0"/>
              <w:rPr>
                <w:sz w:val="10"/>
                <w:szCs w:val="10"/>
                <w:color w:val="auto"/>
              </w:rPr>
            </w:pPr>
          </w:p>
        </w:tc>
        <w:tc>
          <w:tcPr>
            <w:tcW w:w="1160" w:type="dxa"/>
            <w:vAlign w:val="bottom"/>
            <w:tcBorders>
              <w:bottom w:val="single" w:sz="8" w:color="B2B3B6"/>
            </w:tcBorders>
            <w:shd w:val="clear" w:color="auto" w:fill="F2F3F2"/>
          </w:tcPr>
          <w:p>
            <w:pPr>
              <w:spacing w:after="0"/>
              <w:rPr>
                <w:sz w:val="10"/>
                <w:szCs w:val="10"/>
                <w:color w:val="auto"/>
              </w:rPr>
            </w:pPr>
          </w:p>
        </w:tc>
        <w:tc>
          <w:tcPr>
            <w:tcW w:w="740" w:type="dxa"/>
            <w:vAlign w:val="bottom"/>
            <w:tcBorders>
              <w:bottom w:val="single" w:sz="8" w:color="B2B3B6"/>
            </w:tcBorders>
            <w:shd w:val="clear" w:color="auto" w:fill="F2F3F2"/>
          </w:tcPr>
          <w:p>
            <w:pPr>
              <w:spacing w:after="0"/>
              <w:rPr>
                <w:sz w:val="10"/>
                <w:szCs w:val="10"/>
                <w:color w:val="auto"/>
              </w:rPr>
            </w:pPr>
          </w:p>
        </w:tc>
        <w:tc>
          <w:tcPr>
            <w:tcW w:w="860" w:type="dxa"/>
            <w:vAlign w:val="bottom"/>
            <w:tcBorders>
              <w:bottom w:val="single" w:sz="8" w:color="B2B3B6"/>
            </w:tcBorders>
            <w:shd w:val="clear" w:color="auto" w:fill="F2F3F2"/>
          </w:tcPr>
          <w:p>
            <w:pPr>
              <w:spacing w:after="0"/>
              <w:rPr>
                <w:sz w:val="10"/>
                <w:szCs w:val="10"/>
                <w:color w:val="auto"/>
              </w:rPr>
            </w:pPr>
          </w:p>
        </w:tc>
        <w:tc>
          <w:tcPr>
            <w:tcW w:w="780" w:type="dxa"/>
            <w:vAlign w:val="bottom"/>
            <w:tcBorders>
              <w:bottom w:val="single" w:sz="8" w:color="B2B3B6"/>
            </w:tcBorders>
            <w:shd w:val="clear" w:color="auto" w:fill="F2F3F2"/>
          </w:tcPr>
          <w:p>
            <w:pPr>
              <w:spacing w:after="0"/>
              <w:rPr>
                <w:sz w:val="10"/>
                <w:szCs w:val="10"/>
                <w:color w:val="auto"/>
              </w:rPr>
            </w:pPr>
          </w:p>
        </w:tc>
        <w:tc>
          <w:tcPr>
            <w:tcW w:w="200" w:type="dxa"/>
            <w:vAlign w:val="bottom"/>
            <w:tcBorders>
              <w:bottom w:val="single" w:sz="8" w:color="B2B3B6"/>
            </w:tcBorders>
            <w:shd w:val="clear" w:color="auto" w:fill="F2F3F2"/>
          </w:tcPr>
          <w:p>
            <w:pPr>
              <w:spacing w:after="0"/>
              <w:rPr>
                <w:sz w:val="10"/>
                <w:szCs w:val="10"/>
                <w:color w:val="auto"/>
              </w:rPr>
            </w:pPr>
          </w:p>
        </w:tc>
        <w:tc>
          <w:tcPr>
            <w:tcW w:w="820" w:type="dxa"/>
            <w:vAlign w:val="bottom"/>
            <w:tcBorders>
              <w:bottom w:val="single" w:sz="8" w:color="B2B3B6"/>
            </w:tcBorders>
            <w:shd w:val="clear" w:color="auto" w:fill="F2F3F2"/>
          </w:tcPr>
          <w:p>
            <w:pPr>
              <w:spacing w:after="0"/>
              <w:rPr>
                <w:sz w:val="10"/>
                <w:szCs w:val="10"/>
                <w:color w:val="auto"/>
              </w:rPr>
            </w:pPr>
          </w:p>
        </w:tc>
        <w:tc>
          <w:tcPr>
            <w:tcW w:w="920" w:type="dxa"/>
            <w:vAlign w:val="bottom"/>
            <w:tcBorders>
              <w:bottom w:val="single" w:sz="8" w:color="B2B3B6"/>
            </w:tcBorders>
            <w:shd w:val="clear" w:color="auto" w:fill="F2F3F2"/>
          </w:tcPr>
          <w:p>
            <w:pPr>
              <w:spacing w:after="0"/>
              <w:rPr>
                <w:sz w:val="10"/>
                <w:szCs w:val="10"/>
                <w:color w:val="auto"/>
              </w:rPr>
            </w:pPr>
          </w:p>
        </w:tc>
        <w:tc>
          <w:tcPr>
            <w:tcW w:w="1140" w:type="dxa"/>
            <w:vAlign w:val="bottom"/>
            <w:tcBorders>
              <w:bottom w:val="single" w:sz="8" w:color="B2B3B6"/>
            </w:tcBorders>
            <w:shd w:val="clear" w:color="auto" w:fill="F2F3F2"/>
          </w:tcPr>
          <w:p>
            <w:pPr>
              <w:spacing w:after="0"/>
              <w:rPr>
                <w:sz w:val="10"/>
                <w:szCs w:val="10"/>
                <w:color w:val="auto"/>
              </w:rPr>
            </w:pPr>
          </w:p>
        </w:tc>
      </w:tr>
      <w:tr>
        <w:trPr>
          <w:trHeight w:val="310"/>
        </w:trPr>
        <w:tc>
          <w:tcPr>
            <w:tcW w:w="640" w:type="dxa"/>
            <w:vAlign w:val="bottom"/>
          </w:tcPr>
          <w:p>
            <w:pPr>
              <w:jc w:val="center"/>
              <w:spacing w:after="0"/>
              <w:rPr>
                <w:sz w:val="20"/>
                <w:szCs w:val="20"/>
                <w:color w:val="auto"/>
              </w:rPr>
            </w:pPr>
            <w:r>
              <w:rPr>
                <w:rFonts w:ascii="Arial" w:cs="Arial" w:eastAsia="Arial" w:hAnsi="Arial"/>
                <w:sz w:val="13"/>
                <w:szCs w:val="13"/>
                <w:color w:val="auto"/>
              </w:rPr>
              <w:t>3/1/2022</w:t>
            </w:r>
          </w:p>
        </w:tc>
        <w:tc>
          <w:tcPr>
            <w:tcW w:w="1000" w:type="dxa"/>
            <w:vAlign w:val="bottom"/>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1160" w:type="dxa"/>
            <w:vAlign w:val="bottom"/>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F2F3F2"/>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F2F3F2"/>
          </w:tcPr>
          <w:p>
            <w:pPr>
              <w:jc w:val="right"/>
              <w:spacing w:after="0"/>
              <w:rPr>
                <w:sz w:val="20"/>
                <w:szCs w:val="20"/>
                <w:color w:val="auto"/>
              </w:rPr>
            </w:pPr>
            <w:r>
              <w:rPr>
                <w:rFonts w:ascii="Arial" w:cs="Arial" w:eastAsia="Arial" w:hAnsi="Arial"/>
                <w:sz w:val="13"/>
                <w:szCs w:val="13"/>
                <w:color w:val="auto"/>
              </w:rPr>
              <w:t>1,297</w:t>
            </w:r>
          </w:p>
        </w:tc>
        <w:tc>
          <w:tcPr>
            <w:tcW w:w="200" w:type="dxa"/>
            <w:vAlign w:val="bottom"/>
            <w:shd w:val="clear" w:color="auto" w:fill="F2F3F2"/>
          </w:tcPr>
          <w:p>
            <w:pPr>
              <w:jc w:val="right"/>
              <w:ind w:right="9"/>
              <w:spacing w:after="0"/>
              <w:rPr>
                <w:sz w:val="20"/>
                <w:szCs w:val="20"/>
                <w:color w:val="auto"/>
              </w:rPr>
            </w:pPr>
            <w:r>
              <w:rPr>
                <w:rFonts w:ascii="Arial" w:cs="Arial" w:eastAsia="Arial" w:hAnsi="Arial"/>
                <w:sz w:val="9"/>
                <w:szCs w:val="9"/>
                <w:color w:val="auto"/>
              </w:rPr>
              <w:t>(6)</w:t>
            </w:r>
          </w:p>
        </w:tc>
        <w:tc>
          <w:tcPr>
            <w:tcW w:w="820" w:type="dxa"/>
            <w:vAlign w:val="bottom"/>
            <w:shd w:val="clear" w:color="auto" w:fill="F2F3F2"/>
          </w:tcPr>
          <w:p>
            <w:pPr>
              <w:jc w:val="right"/>
              <w:spacing w:after="0"/>
              <w:rPr>
                <w:sz w:val="20"/>
                <w:szCs w:val="20"/>
                <w:color w:val="auto"/>
              </w:rPr>
            </w:pPr>
            <w:r>
              <w:rPr>
                <w:rFonts w:ascii="Arial" w:cs="Arial" w:eastAsia="Arial" w:hAnsi="Arial"/>
                <w:sz w:val="13"/>
                <w:szCs w:val="13"/>
                <w:color w:val="auto"/>
              </w:rPr>
              <w:t>161,165</w:t>
            </w:r>
          </w:p>
        </w:tc>
        <w:tc>
          <w:tcPr>
            <w:tcW w:w="920" w:type="dxa"/>
            <w:vAlign w:val="bottom"/>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1140" w:type="dxa"/>
            <w:vAlign w:val="bottom"/>
            <w:shd w:val="clear" w:color="auto" w:fill="F2F3F2"/>
          </w:tcPr>
          <w:p>
            <w:pPr>
              <w:jc w:val="right"/>
              <w:ind w:right="93"/>
              <w:spacing w:after="0"/>
              <w:rPr>
                <w:sz w:val="20"/>
                <w:szCs w:val="20"/>
                <w:color w:val="auto"/>
              </w:rPr>
            </w:pPr>
            <w:r>
              <w:rPr>
                <w:rFonts w:ascii="Arial" w:cs="Arial" w:eastAsia="Arial" w:hAnsi="Arial"/>
                <w:sz w:val="13"/>
                <w:szCs w:val="13"/>
                <w:color w:val="auto"/>
              </w:rPr>
              <w:t>—</w:t>
            </w:r>
          </w:p>
        </w:tc>
      </w:tr>
      <w:tr>
        <w:trPr>
          <w:trHeight w:val="116"/>
        </w:trPr>
        <w:tc>
          <w:tcPr>
            <w:tcW w:w="640" w:type="dxa"/>
            <w:vAlign w:val="bottom"/>
            <w:tcBorders>
              <w:bottom w:val="single" w:sz="8" w:color="B2B3B6"/>
            </w:tcBorders>
          </w:tcPr>
          <w:p>
            <w:pPr>
              <w:spacing w:after="0"/>
              <w:rPr>
                <w:sz w:val="10"/>
                <w:szCs w:val="10"/>
                <w:color w:val="auto"/>
              </w:rPr>
            </w:pPr>
          </w:p>
        </w:tc>
        <w:tc>
          <w:tcPr>
            <w:tcW w:w="1000" w:type="dxa"/>
            <w:vAlign w:val="bottom"/>
            <w:tcBorders>
              <w:bottom w:val="single" w:sz="8" w:color="B2B3B6"/>
            </w:tcBorders>
            <w:shd w:val="clear" w:color="auto" w:fill="F2F3F2"/>
          </w:tcPr>
          <w:p>
            <w:pPr>
              <w:spacing w:after="0"/>
              <w:rPr>
                <w:sz w:val="10"/>
                <w:szCs w:val="10"/>
                <w:color w:val="auto"/>
              </w:rPr>
            </w:pPr>
          </w:p>
        </w:tc>
        <w:tc>
          <w:tcPr>
            <w:tcW w:w="1160" w:type="dxa"/>
            <w:vAlign w:val="bottom"/>
            <w:tcBorders>
              <w:bottom w:val="single" w:sz="8" w:color="B2B3B6"/>
            </w:tcBorders>
            <w:shd w:val="clear" w:color="auto" w:fill="F2F3F2"/>
          </w:tcPr>
          <w:p>
            <w:pPr>
              <w:spacing w:after="0"/>
              <w:rPr>
                <w:sz w:val="10"/>
                <w:szCs w:val="10"/>
                <w:color w:val="auto"/>
              </w:rPr>
            </w:pPr>
          </w:p>
        </w:tc>
        <w:tc>
          <w:tcPr>
            <w:tcW w:w="740" w:type="dxa"/>
            <w:vAlign w:val="bottom"/>
            <w:tcBorders>
              <w:bottom w:val="single" w:sz="8" w:color="B2B3B6"/>
            </w:tcBorders>
            <w:shd w:val="clear" w:color="auto" w:fill="F2F3F2"/>
          </w:tcPr>
          <w:p>
            <w:pPr>
              <w:spacing w:after="0"/>
              <w:rPr>
                <w:sz w:val="10"/>
                <w:szCs w:val="10"/>
                <w:color w:val="auto"/>
              </w:rPr>
            </w:pPr>
          </w:p>
        </w:tc>
        <w:tc>
          <w:tcPr>
            <w:tcW w:w="860" w:type="dxa"/>
            <w:vAlign w:val="bottom"/>
            <w:tcBorders>
              <w:bottom w:val="single" w:sz="8" w:color="B2B3B6"/>
            </w:tcBorders>
            <w:shd w:val="clear" w:color="auto" w:fill="F2F3F2"/>
          </w:tcPr>
          <w:p>
            <w:pPr>
              <w:spacing w:after="0"/>
              <w:rPr>
                <w:sz w:val="10"/>
                <w:szCs w:val="10"/>
                <w:color w:val="auto"/>
              </w:rPr>
            </w:pPr>
          </w:p>
        </w:tc>
        <w:tc>
          <w:tcPr>
            <w:tcW w:w="780" w:type="dxa"/>
            <w:vAlign w:val="bottom"/>
            <w:tcBorders>
              <w:bottom w:val="single" w:sz="8" w:color="B2B3B6"/>
            </w:tcBorders>
            <w:shd w:val="clear" w:color="auto" w:fill="F2F3F2"/>
          </w:tcPr>
          <w:p>
            <w:pPr>
              <w:spacing w:after="0"/>
              <w:rPr>
                <w:sz w:val="10"/>
                <w:szCs w:val="10"/>
                <w:color w:val="auto"/>
              </w:rPr>
            </w:pPr>
          </w:p>
        </w:tc>
        <w:tc>
          <w:tcPr>
            <w:tcW w:w="200" w:type="dxa"/>
            <w:vAlign w:val="bottom"/>
            <w:tcBorders>
              <w:bottom w:val="single" w:sz="8" w:color="B2B3B6"/>
            </w:tcBorders>
            <w:shd w:val="clear" w:color="auto" w:fill="F2F3F2"/>
          </w:tcPr>
          <w:p>
            <w:pPr>
              <w:spacing w:after="0"/>
              <w:rPr>
                <w:sz w:val="10"/>
                <w:szCs w:val="10"/>
                <w:color w:val="auto"/>
              </w:rPr>
            </w:pPr>
          </w:p>
        </w:tc>
        <w:tc>
          <w:tcPr>
            <w:tcW w:w="820" w:type="dxa"/>
            <w:vAlign w:val="bottom"/>
            <w:tcBorders>
              <w:bottom w:val="single" w:sz="8" w:color="B2B3B6"/>
            </w:tcBorders>
            <w:shd w:val="clear" w:color="auto" w:fill="F2F3F2"/>
          </w:tcPr>
          <w:p>
            <w:pPr>
              <w:spacing w:after="0"/>
              <w:rPr>
                <w:sz w:val="10"/>
                <w:szCs w:val="10"/>
                <w:color w:val="auto"/>
              </w:rPr>
            </w:pPr>
          </w:p>
        </w:tc>
        <w:tc>
          <w:tcPr>
            <w:tcW w:w="920" w:type="dxa"/>
            <w:vAlign w:val="bottom"/>
            <w:tcBorders>
              <w:bottom w:val="single" w:sz="8" w:color="B2B3B6"/>
            </w:tcBorders>
            <w:shd w:val="clear" w:color="auto" w:fill="F2F3F2"/>
          </w:tcPr>
          <w:p>
            <w:pPr>
              <w:spacing w:after="0"/>
              <w:rPr>
                <w:sz w:val="10"/>
                <w:szCs w:val="10"/>
                <w:color w:val="auto"/>
              </w:rPr>
            </w:pPr>
          </w:p>
        </w:tc>
        <w:tc>
          <w:tcPr>
            <w:tcW w:w="1140" w:type="dxa"/>
            <w:vAlign w:val="bottom"/>
            <w:tcBorders>
              <w:bottom w:val="single" w:sz="8" w:color="B2B3B6"/>
            </w:tcBorders>
            <w:shd w:val="clear" w:color="auto" w:fill="F2F3F2"/>
          </w:tcPr>
          <w:p>
            <w:pPr>
              <w:spacing w:after="0"/>
              <w:rPr>
                <w:sz w:val="10"/>
                <w:szCs w:val="10"/>
                <w:color w:val="auto"/>
              </w:rPr>
            </w:pPr>
          </w:p>
        </w:tc>
      </w:tr>
      <w:tr>
        <w:trPr>
          <w:trHeight w:val="357"/>
        </w:trPr>
        <w:tc>
          <w:tcPr>
            <w:tcW w:w="640" w:type="dxa"/>
            <w:vAlign w:val="bottom"/>
          </w:tcPr>
          <w:p>
            <w:pPr>
              <w:jc w:val="center"/>
              <w:spacing w:after="0"/>
              <w:rPr>
                <w:sz w:val="20"/>
                <w:szCs w:val="20"/>
                <w:color w:val="auto"/>
              </w:rPr>
            </w:pPr>
            <w:r>
              <w:rPr>
                <w:rFonts w:ascii="Arial" w:cs="Arial" w:eastAsia="Arial" w:hAnsi="Arial"/>
                <w:sz w:val="13"/>
                <w:szCs w:val="13"/>
                <w:color w:val="auto"/>
              </w:rPr>
              <w:t>3/1/2022</w:t>
            </w:r>
          </w:p>
        </w:tc>
        <w:tc>
          <w:tcPr>
            <w:tcW w:w="1000" w:type="dxa"/>
            <w:vAlign w:val="bottom"/>
            <w:shd w:val="clear" w:color="auto" w:fill="F2F3F2"/>
          </w:tcPr>
          <w:p>
            <w:pPr>
              <w:jc w:val="right"/>
              <w:spacing w:after="0"/>
              <w:rPr>
                <w:sz w:val="20"/>
                <w:szCs w:val="20"/>
                <w:color w:val="auto"/>
              </w:rPr>
            </w:pPr>
            <w:r>
              <w:rPr>
                <w:rFonts w:ascii="Arial" w:cs="Arial" w:eastAsia="Arial" w:hAnsi="Arial"/>
                <w:sz w:val="13"/>
                <w:szCs w:val="13"/>
                <w:color w:val="auto"/>
              </w:rPr>
              <w:t xml:space="preserve">2,452 </w:t>
            </w:r>
            <w:r>
              <w:rPr>
                <w:rFonts w:ascii="Arial" w:cs="Arial" w:eastAsia="Arial" w:hAnsi="Arial"/>
                <w:sz w:val="17"/>
                <w:szCs w:val="17"/>
                <w:color w:val="auto"/>
                <w:vertAlign w:val="superscript"/>
              </w:rPr>
              <w:t>(6)</w:t>
            </w:r>
          </w:p>
        </w:tc>
        <w:tc>
          <w:tcPr>
            <w:tcW w:w="1160" w:type="dxa"/>
            <w:vAlign w:val="bottom"/>
            <w:shd w:val="clear" w:color="auto" w:fill="F2F3F2"/>
          </w:tcPr>
          <w:p>
            <w:pPr>
              <w:jc w:val="right"/>
              <w:spacing w:after="0"/>
              <w:rPr>
                <w:sz w:val="20"/>
                <w:szCs w:val="20"/>
                <w:color w:val="auto"/>
              </w:rPr>
            </w:pPr>
            <w:r>
              <w:rPr>
                <w:rFonts w:ascii="Arial" w:cs="Arial" w:eastAsia="Arial" w:hAnsi="Arial"/>
                <w:sz w:val="13"/>
                <w:szCs w:val="13"/>
                <w:color w:val="auto"/>
              </w:rPr>
              <w:t xml:space="preserve">1,225 </w:t>
            </w:r>
            <w:r>
              <w:rPr>
                <w:rFonts w:ascii="Arial" w:cs="Arial" w:eastAsia="Arial" w:hAnsi="Arial"/>
                <w:sz w:val="17"/>
                <w:szCs w:val="17"/>
                <w:color w:val="auto"/>
                <w:vertAlign w:val="superscript"/>
              </w:rPr>
              <w:t>(6)</w:t>
            </w:r>
          </w:p>
        </w:tc>
        <w:tc>
          <w:tcPr>
            <w:tcW w:w="740" w:type="dxa"/>
            <w:vAlign w:val="bottom"/>
            <w:shd w:val="clear" w:color="auto" w:fill="F2F3F2"/>
          </w:tcPr>
          <w:p>
            <w:pPr>
              <w:jc w:val="right"/>
              <w:spacing w:after="0"/>
              <w:rPr>
                <w:sz w:val="20"/>
                <w:szCs w:val="20"/>
                <w:color w:val="auto"/>
              </w:rPr>
            </w:pPr>
            <w:r>
              <w:rPr>
                <w:rFonts w:ascii="Arial" w:cs="Arial" w:eastAsia="Arial" w:hAnsi="Arial"/>
                <w:sz w:val="13"/>
                <w:szCs w:val="13"/>
                <w:color w:val="auto"/>
              </w:rPr>
              <w:t>48.22</w:t>
            </w:r>
          </w:p>
        </w:tc>
        <w:tc>
          <w:tcPr>
            <w:tcW w:w="860" w:type="dxa"/>
            <w:vAlign w:val="bottom"/>
            <w:shd w:val="clear" w:color="auto" w:fill="F2F3F2"/>
          </w:tcPr>
          <w:p>
            <w:pPr>
              <w:jc w:val="right"/>
              <w:spacing w:after="0"/>
              <w:rPr>
                <w:sz w:val="20"/>
                <w:szCs w:val="20"/>
                <w:color w:val="auto"/>
              </w:rPr>
            </w:pPr>
            <w:r>
              <w:rPr>
                <w:rFonts w:ascii="Arial" w:cs="Arial" w:eastAsia="Arial" w:hAnsi="Arial"/>
                <w:sz w:val="13"/>
                <w:szCs w:val="13"/>
                <w:color w:val="auto"/>
              </w:rPr>
              <w:t>3/1/2029</w:t>
            </w:r>
          </w:p>
        </w:tc>
        <w:tc>
          <w:tcPr>
            <w:tcW w:w="780" w:type="dxa"/>
            <w:vAlign w:val="bottom"/>
            <w:shd w:val="clear" w:color="auto" w:fill="F2F3F2"/>
          </w:tcPr>
          <w:p>
            <w:pPr>
              <w:spacing w:after="0"/>
              <w:rPr>
                <w:sz w:val="24"/>
                <w:szCs w:val="24"/>
                <w:color w:val="auto"/>
              </w:rPr>
            </w:pPr>
          </w:p>
        </w:tc>
        <w:tc>
          <w:tcPr>
            <w:tcW w:w="200" w:type="dxa"/>
            <w:vAlign w:val="bottom"/>
            <w:shd w:val="clear" w:color="auto" w:fill="F2F3F2"/>
          </w:tcPr>
          <w:p>
            <w:pPr>
              <w:jc w:val="right"/>
              <w:ind w:right="9"/>
              <w:spacing w:after="0"/>
              <w:rPr>
                <w:sz w:val="20"/>
                <w:szCs w:val="20"/>
                <w:color w:val="auto"/>
              </w:rPr>
            </w:pPr>
            <w:r>
              <w:rPr>
                <w:rFonts w:ascii="Arial" w:cs="Arial" w:eastAsia="Arial" w:hAnsi="Arial"/>
                <w:sz w:val="13"/>
                <w:szCs w:val="13"/>
                <w:color w:val="auto"/>
                <w:w w:val="91"/>
              </w:rPr>
              <w:t>—</w:t>
            </w:r>
          </w:p>
        </w:tc>
        <w:tc>
          <w:tcPr>
            <w:tcW w:w="820" w:type="dxa"/>
            <w:vAlign w:val="bottom"/>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1140" w:type="dxa"/>
            <w:vAlign w:val="bottom"/>
            <w:shd w:val="clear" w:color="auto" w:fill="F2F3F2"/>
          </w:tcPr>
          <w:p>
            <w:pPr>
              <w:jc w:val="right"/>
              <w:ind w:right="93"/>
              <w:spacing w:after="0"/>
              <w:rPr>
                <w:sz w:val="20"/>
                <w:szCs w:val="20"/>
                <w:color w:val="auto"/>
              </w:rPr>
            </w:pPr>
            <w:r>
              <w:rPr>
                <w:rFonts w:ascii="Arial" w:cs="Arial" w:eastAsia="Arial" w:hAnsi="Arial"/>
                <w:sz w:val="13"/>
                <w:szCs w:val="13"/>
                <w:color w:val="auto"/>
              </w:rPr>
              <w:t>—</w:t>
            </w:r>
          </w:p>
        </w:tc>
      </w:tr>
      <w:tr>
        <w:trPr>
          <w:trHeight w:val="69"/>
        </w:trPr>
        <w:tc>
          <w:tcPr>
            <w:tcW w:w="640" w:type="dxa"/>
            <w:vAlign w:val="bottom"/>
            <w:tcBorders>
              <w:bottom w:val="single" w:sz="8" w:color="B2B3B6"/>
            </w:tcBorders>
          </w:tcPr>
          <w:p>
            <w:pPr>
              <w:spacing w:after="0"/>
              <w:rPr>
                <w:sz w:val="5"/>
                <w:szCs w:val="5"/>
                <w:color w:val="auto"/>
              </w:rPr>
            </w:pPr>
          </w:p>
        </w:tc>
        <w:tc>
          <w:tcPr>
            <w:tcW w:w="1000" w:type="dxa"/>
            <w:vAlign w:val="bottom"/>
            <w:tcBorders>
              <w:bottom w:val="single" w:sz="8" w:color="B2B3B6"/>
            </w:tcBorders>
            <w:shd w:val="clear" w:color="auto" w:fill="F2F3F2"/>
          </w:tcPr>
          <w:p>
            <w:pPr>
              <w:spacing w:after="0"/>
              <w:rPr>
                <w:sz w:val="5"/>
                <w:szCs w:val="5"/>
                <w:color w:val="auto"/>
              </w:rPr>
            </w:pPr>
          </w:p>
        </w:tc>
        <w:tc>
          <w:tcPr>
            <w:tcW w:w="1160" w:type="dxa"/>
            <w:vAlign w:val="bottom"/>
            <w:tcBorders>
              <w:bottom w:val="single" w:sz="8" w:color="B2B3B6"/>
            </w:tcBorders>
            <w:shd w:val="clear" w:color="auto" w:fill="F2F3F2"/>
          </w:tcPr>
          <w:p>
            <w:pPr>
              <w:spacing w:after="0"/>
              <w:rPr>
                <w:sz w:val="5"/>
                <w:szCs w:val="5"/>
                <w:color w:val="auto"/>
              </w:rPr>
            </w:pPr>
          </w:p>
        </w:tc>
        <w:tc>
          <w:tcPr>
            <w:tcW w:w="740" w:type="dxa"/>
            <w:vAlign w:val="bottom"/>
            <w:tcBorders>
              <w:bottom w:val="single" w:sz="8" w:color="B2B3B6"/>
            </w:tcBorders>
            <w:shd w:val="clear" w:color="auto" w:fill="F2F3F2"/>
          </w:tcPr>
          <w:p>
            <w:pPr>
              <w:spacing w:after="0"/>
              <w:rPr>
                <w:sz w:val="5"/>
                <w:szCs w:val="5"/>
                <w:color w:val="auto"/>
              </w:rPr>
            </w:pPr>
          </w:p>
        </w:tc>
        <w:tc>
          <w:tcPr>
            <w:tcW w:w="860" w:type="dxa"/>
            <w:vAlign w:val="bottom"/>
            <w:tcBorders>
              <w:bottom w:val="single" w:sz="8" w:color="B2B3B6"/>
            </w:tcBorders>
            <w:shd w:val="clear" w:color="auto" w:fill="F2F3F2"/>
          </w:tcPr>
          <w:p>
            <w:pPr>
              <w:spacing w:after="0"/>
              <w:rPr>
                <w:sz w:val="5"/>
                <w:szCs w:val="5"/>
                <w:color w:val="auto"/>
              </w:rPr>
            </w:pPr>
          </w:p>
        </w:tc>
        <w:tc>
          <w:tcPr>
            <w:tcW w:w="780" w:type="dxa"/>
            <w:vAlign w:val="bottom"/>
            <w:tcBorders>
              <w:bottom w:val="single" w:sz="8" w:color="B2B3B6"/>
            </w:tcBorders>
            <w:shd w:val="clear" w:color="auto" w:fill="F2F3F2"/>
          </w:tcPr>
          <w:p>
            <w:pPr>
              <w:spacing w:after="0"/>
              <w:rPr>
                <w:sz w:val="5"/>
                <w:szCs w:val="5"/>
                <w:color w:val="auto"/>
              </w:rPr>
            </w:pPr>
          </w:p>
        </w:tc>
        <w:tc>
          <w:tcPr>
            <w:tcW w:w="200" w:type="dxa"/>
            <w:vAlign w:val="bottom"/>
            <w:tcBorders>
              <w:bottom w:val="single" w:sz="8" w:color="B2B3B6"/>
            </w:tcBorders>
            <w:shd w:val="clear" w:color="auto" w:fill="F2F3F2"/>
          </w:tcPr>
          <w:p>
            <w:pPr>
              <w:spacing w:after="0"/>
              <w:rPr>
                <w:sz w:val="5"/>
                <w:szCs w:val="5"/>
                <w:color w:val="auto"/>
              </w:rPr>
            </w:pPr>
          </w:p>
        </w:tc>
        <w:tc>
          <w:tcPr>
            <w:tcW w:w="820" w:type="dxa"/>
            <w:vAlign w:val="bottom"/>
            <w:tcBorders>
              <w:bottom w:val="single" w:sz="8" w:color="B2B3B6"/>
            </w:tcBorders>
            <w:shd w:val="clear" w:color="auto" w:fill="F2F3F2"/>
          </w:tcPr>
          <w:p>
            <w:pPr>
              <w:spacing w:after="0"/>
              <w:rPr>
                <w:sz w:val="5"/>
                <w:szCs w:val="5"/>
                <w:color w:val="auto"/>
              </w:rPr>
            </w:pPr>
          </w:p>
        </w:tc>
        <w:tc>
          <w:tcPr>
            <w:tcW w:w="920" w:type="dxa"/>
            <w:vAlign w:val="bottom"/>
            <w:tcBorders>
              <w:bottom w:val="single" w:sz="8" w:color="B2B3B6"/>
            </w:tcBorders>
            <w:shd w:val="clear" w:color="auto" w:fill="F2F3F2"/>
          </w:tcPr>
          <w:p>
            <w:pPr>
              <w:spacing w:after="0"/>
              <w:rPr>
                <w:sz w:val="5"/>
                <w:szCs w:val="5"/>
                <w:color w:val="auto"/>
              </w:rPr>
            </w:pPr>
          </w:p>
        </w:tc>
        <w:tc>
          <w:tcPr>
            <w:tcW w:w="1140" w:type="dxa"/>
            <w:vAlign w:val="bottom"/>
            <w:tcBorders>
              <w:bottom w:val="single" w:sz="8" w:color="B2B3B6"/>
            </w:tcBorders>
            <w:shd w:val="clear" w:color="auto" w:fill="F2F3F2"/>
          </w:tcPr>
          <w:p>
            <w:pPr>
              <w:spacing w:after="0"/>
              <w:rPr>
                <w:sz w:val="5"/>
                <w:szCs w:val="5"/>
                <w:color w:val="auto"/>
              </w:rPr>
            </w:pPr>
          </w:p>
        </w:tc>
      </w:tr>
      <w:tr>
        <w:trPr>
          <w:trHeight w:val="310"/>
        </w:trPr>
        <w:tc>
          <w:tcPr>
            <w:tcW w:w="640" w:type="dxa"/>
            <w:vAlign w:val="bottom"/>
          </w:tcPr>
          <w:p>
            <w:pPr>
              <w:jc w:val="center"/>
              <w:spacing w:after="0"/>
              <w:rPr>
                <w:sz w:val="20"/>
                <w:szCs w:val="20"/>
                <w:color w:val="auto"/>
              </w:rPr>
            </w:pPr>
            <w:r>
              <w:rPr>
                <w:rFonts w:ascii="Arial" w:cs="Arial" w:eastAsia="Arial" w:hAnsi="Arial"/>
                <w:sz w:val="13"/>
                <w:szCs w:val="13"/>
                <w:color w:val="auto"/>
              </w:rPr>
              <w:t>7/1/2022</w:t>
            </w:r>
          </w:p>
        </w:tc>
        <w:tc>
          <w:tcPr>
            <w:tcW w:w="1000" w:type="dxa"/>
            <w:vAlign w:val="bottom"/>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1160" w:type="dxa"/>
            <w:vAlign w:val="bottom"/>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F2F3F2"/>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F2F3F2"/>
          </w:tcPr>
          <w:p>
            <w:pPr>
              <w:jc w:val="right"/>
              <w:spacing w:after="0"/>
              <w:rPr>
                <w:sz w:val="20"/>
                <w:szCs w:val="20"/>
                <w:color w:val="auto"/>
              </w:rPr>
            </w:pPr>
            <w:r>
              <w:rPr>
                <w:rFonts w:ascii="Arial" w:cs="Arial" w:eastAsia="Arial" w:hAnsi="Arial"/>
                <w:sz w:val="13"/>
                <w:szCs w:val="13"/>
                <w:color w:val="auto"/>
              </w:rPr>
              <w:t>617</w:t>
            </w:r>
          </w:p>
        </w:tc>
        <w:tc>
          <w:tcPr>
            <w:tcW w:w="200" w:type="dxa"/>
            <w:vAlign w:val="bottom"/>
            <w:shd w:val="clear" w:color="auto" w:fill="F2F3F2"/>
          </w:tcPr>
          <w:p>
            <w:pPr>
              <w:jc w:val="right"/>
              <w:ind w:right="9"/>
              <w:spacing w:after="0"/>
              <w:rPr>
                <w:sz w:val="20"/>
                <w:szCs w:val="20"/>
                <w:color w:val="auto"/>
              </w:rPr>
            </w:pPr>
            <w:r>
              <w:rPr>
                <w:rFonts w:ascii="Arial" w:cs="Arial" w:eastAsia="Arial" w:hAnsi="Arial"/>
                <w:sz w:val="9"/>
                <w:szCs w:val="9"/>
                <w:color w:val="auto"/>
              </w:rPr>
              <w:t>(1)</w:t>
            </w:r>
          </w:p>
        </w:tc>
        <w:tc>
          <w:tcPr>
            <w:tcW w:w="820" w:type="dxa"/>
            <w:vAlign w:val="bottom"/>
            <w:shd w:val="clear" w:color="auto" w:fill="F2F3F2"/>
          </w:tcPr>
          <w:p>
            <w:pPr>
              <w:jc w:val="right"/>
              <w:spacing w:after="0"/>
              <w:rPr>
                <w:sz w:val="20"/>
                <w:szCs w:val="20"/>
                <w:color w:val="auto"/>
              </w:rPr>
            </w:pPr>
            <w:r>
              <w:rPr>
                <w:rFonts w:ascii="Arial" w:cs="Arial" w:eastAsia="Arial" w:hAnsi="Arial"/>
                <w:sz w:val="13"/>
                <w:szCs w:val="13"/>
                <w:color w:val="auto"/>
              </w:rPr>
              <w:t>76,668</w:t>
            </w:r>
          </w:p>
        </w:tc>
        <w:tc>
          <w:tcPr>
            <w:tcW w:w="920" w:type="dxa"/>
            <w:vAlign w:val="bottom"/>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1140" w:type="dxa"/>
            <w:vAlign w:val="bottom"/>
            <w:shd w:val="clear" w:color="auto" w:fill="F2F3F2"/>
          </w:tcPr>
          <w:p>
            <w:pPr>
              <w:jc w:val="right"/>
              <w:ind w:right="93"/>
              <w:spacing w:after="0"/>
              <w:rPr>
                <w:sz w:val="20"/>
                <w:szCs w:val="20"/>
                <w:color w:val="auto"/>
              </w:rPr>
            </w:pPr>
            <w:r>
              <w:rPr>
                <w:rFonts w:ascii="Arial" w:cs="Arial" w:eastAsia="Arial" w:hAnsi="Arial"/>
                <w:sz w:val="13"/>
                <w:szCs w:val="13"/>
                <w:color w:val="auto"/>
              </w:rPr>
              <w:t>—</w:t>
            </w:r>
          </w:p>
        </w:tc>
      </w:tr>
      <w:tr>
        <w:trPr>
          <w:trHeight w:val="116"/>
        </w:trPr>
        <w:tc>
          <w:tcPr>
            <w:tcW w:w="640" w:type="dxa"/>
            <w:vAlign w:val="bottom"/>
            <w:tcBorders>
              <w:bottom w:val="single" w:sz="8" w:color="B2B3B6"/>
            </w:tcBorders>
          </w:tcPr>
          <w:p>
            <w:pPr>
              <w:spacing w:after="0"/>
              <w:rPr>
                <w:sz w:val="10"/>
                <w:szCs w:val="10"/>
                <w:color w:val="auto"/>
              </w:rPr>
            </w:pPr>
          </w:p>
        </w:tc>
        <w:tc>
          <w:tcPr>
            <w:tcW w:w="1000" w:type="dxa"/>
            <w:vAlign w:val="bottom"/>
            <w:tcBorders>
              <w:bottom w:val="single" w:sz="8" w:color="B2B3B6"/>
            </w:tcBorders>
            <w:shd w:val="clear" w:color="auto" w:fill="F2F3F2"/>
          </w:tcPr>
          <w:p>
            <w:pPr>
              <w:spacing w:after="0"/>
              <w:rPr>
                <w:sz w:val="10"/>
                <w:szCs w:val="10"/>
                <w:color w:val="auto"/>
              </w:rPr>
            </w:pPr>
          </w:p>
        </w:tc>
        <w:tc>
          <w:tcPr>
            <w:tcW w:w="1160" w:type="dxa"/>
            <w:vAlign w:val="bottom"/>
            <w:tcBorders>
              <w:bottom w:val="single" w:sz="8" w:color="B2B3B6"/>
            </w:tcBorders>
            <w:shd w:val="clear" w:color="auto" w:fill="F2F3F2"/>
          </w:tcPr>
          <w:p>
            <w:pPr>
              <w:spacing w:after="0"/>
              <w:rPr>
                <w:sz w:val="10"/>
                <w:szCs w:val="10"/>
                <w:color w:val="auto"/>
              </w:rPr>
            </w:pPr>
          </w:p>
        </w:tc>
        <w:tc>
          <w:tcPr>
            <w:tcW w:w="740" w:type="dxa"/>
            <w:vAlign w:val="bottom"/>
            <w:tcBorders>
              <w:bottom w:val="single" w:sz="8" w:color="B2B3B6"/>
            </w:tcBorders>
            <w:shd w:val="clear" w:color="auto" w:fill="F2F3F2"/>
          </w:tcPr>
          <w:p>
            <w:pPr>
              <w:spacing w:after="0"/>
              <w:rPr>
                <w:sz w:val="10"/>
                <w:szCs w:val="10"/>
                <w:color w:val="auto"/>
              </w:rPr>
            </w:pPr>
          </w:p>
        </w:tc>
        <w:tc>
          <w:tcPr>
            <w:tcW w:w="860" w:type="dxa"/>
            <w:vAlign w:val="bottom"/>
            <w:tcBorders>
              <w:bottom w:val="single" w:sz="8" w:color="B2B3B6"/>
            </w:tcBorders>
            <w:shd w:val="clear" w:color="auto" w:fill="F2F3F2"/>
          </w:tcPr>
          <w:p>
            <w:pPr>
              <w:spacing w:after="0"/>
              <w:rPr>
                <w:sz w:val="10"/>
                <w:szCs w:val="10"/>
                <w:color w:val="auto"/>
              </w:rPr>
            </w:pPr>
          </w:p>
        </w:tc>
        <w:tc>
          <w:tcPr>
            <w:tcW w:w="780" w:type="dxa"/>
            <w:vAlign w:val="bottom"/>
            <w:tcBorders>
              <w:bottom w:val="single" w:sz="8" w:color="B2B3B6"/>
            </w:tcBorders>
            <w:shd w:val="clear" w:color="auto" w:fill="F2F3F2"/>
          </w:tcPr>
          <w:p>
            <w:pPr>
              <w:spacing w:after="0"/>
              <w:rPr>
                <w:sz w:val="10"/>
                <w:szCs w:val="10"/>
                <w:color w:val="auto"/>
              </w:rPr>
            </w:pPr>
          </w:p>
        </w:tc>
        <w:tc>
          <w:tcPr>
            <w:tcW w:w="200" w:type="dxa"/>
            <w:vAlign w:val="bottom"/>
            <w:tcBorders>
              <w:bottom w:val="single" w:sz="8" w:color="B2B3B6"/>
            </w:tcBorders>
            <w:shd w:val="clear" w:color="auto" w:fill="F2F3F2"/>
          </w:tcPr>
          <w:p>
            <w:pPr>
              <w:spacing w:after="0"/>
              <w:rPr>
                <w:sz w:val="10"/>
                <w:szCs w:val="10"/>
                <w:color w:val="auto"/>
              </w:rPr>
            </w:pPr>
          </w:p>
        </w:tc>
        <w:tc>
          <w:tcPr>
            <w:tcW w:w="820" w:type="dxa"/>
            <w:vAlign w:val="bottom"/>
            <w:tcBorders>
              <w:bottom w:val="single" w:sz="8" w:color="B2B3B6"/>
            </w:tcBorders>
            <w:shd w:val="clear" w:color="auto" w:fill="F2F3F2"/>
          </w:tcPr>
          <w:p>
            <w:pPr>
              <w:spacing w:after="0"/>
              <w:rPr>
                <w:sz w:val="10"/>
                <w:szCs w:val="10"/>
                <w:color w:val="auto"/>
              </w:rPr>
            </w:pPr>
          </w:p>
        </w:tc>
        <w:tc>
          <w:tcPr>
            <w:tcW w:w="920" w:type="dxa"/>
            <w:vAlign w:val="bottom"/>
            <w:tcBorders>
              <w:bottom w:val="single" w:sz="8" w:color="B2B3B6"/>
            </w:tcBorders>
            <w:shd w:val="clear" w:color="auto" w:fill="F2F3F2"/>
          </w:tcPr>
          <w:p>
            <w:pPr>
              <w:spacing w:after="0"/>
              <w:rPr>
                <w:sz w:val="10"/>
                <w:szCs w:val="10"/>
                <w:color w:val="auto"/>
              </w:rPr>
            </w:pPr>
          </w:p>
        </w:tc>
        <w:tc>
          <w:tcPr>
            <w:tcW w:w="1140" w:type="dxa"/>
            <w:vAlign w:val="bottom"/>
            <w:tcBorders>
              <w:bottom w:val="single" w:sz="8" w:color="B2B3B6"/>
            </w:tcBorders>
            <w:shd w:val="clear" w:color="auto" w:fill="F2F3F2"/>
          </w:tcPr>
          <w:p>
            <w:pPr>
              <w:spacing w:after="0"/>
              <w:rPr>
                <w:sz w:val="10"/>
                <w:szCs w:val="10"/>
                <w:color w:val="auto"/>
              </w:rPr>
            </w:pPr>
          </w:p>
        </w:tc>
      </w:tr>
      <w:tr>
        <w:trPr>
          <w:trHeight w:val="309"/>
        </w:trPr>
        <w:tc>
          <w:tcPr>
            <w:tcW w:w="640" w:type="dxa"/>
            <w:vAlign w:val="bottom"/>
          </w:tcPr>
          <w:p>
            <w:pPr>
              <w:jc w:val="center"/>
              <w:spacing w:after="0"/>
              <w:rPr>
                <w:sz w:val="20"/>
                <w:szCs w:val="20"/>
                <w:color w:val="auto"/>
              </w:rPr>
            </w:pPr>
            <w:r>
              <w:rPr>
                <w:rFonts w:ascii="Arial" w:cs="Arial" w:eastAsia="Arial" w:hAnsi="Arial"/>
                <w:sz w:val="13"/>
                <w:szCs w:val="13"/>
                <w:color w:val="auto"/>
              </w:rPr>
              <w:t>7/1/2022</w:t>
            </w:r>
          </w:p>
        </w:tc>
        <w:tc>
          <w:tcPr>
            <w:tcW w:w="1000" w:type="dxa"/>
            <w:vAlign w:val="bottom"/>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1160" w:type="dxa"/>
            <w:vAlign w:val="bottom"/>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F2F3F2"/>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F2F3F2"/>
          </w:tcPr>
          <w:p>
            <w:pPr>
              <w:jc w:val="right"/>
              <w:spacing w:after="0"/>
              <w:rPr>
                <w:sz w:val="20"/>
                <w:szCs w:val="20"/>
                <w:color w:val="auto"/>
              </w:rPr>
            </w:pPr>
            <w:r>
              <w:rPr>
                <w:rFonts w:ascii="Arial" w:cs="Arial" w:eastAsia="Arial" w:hAnsi="Arial"/>
                <w:sz w:val="13"/>
                <w:szCs w:val="13"/>
                <w:color w:val="auto"/>
              </w:rPr>
              <w:t>15,332</w:t>
            </w:r>
          </w:p>
        </w:tc>
        <w:tc>
          <w:tcPr>
            <w:tcW w:w="200" w:type="dxa"/>
            <w:vAlign w:val="bottom"/>
            <w:shd w:val="clear" w:color="auto" w:fill="F2F3F2"/>
          </w:tcPr>
          <w:p>
            <w:pPr>
              <w:jc w:val="right"/>
              <w:ind w:right="9"/>
              <w:spacing w:after="0"/>
              <w:rPr>
                <w:sz w:val="20"/>
                <w:szCs w:val="20"/>
                <w:color w:val="auto"/>
              </w:rPr>
            </w:pPr>
            <w:r>
              <w:rPr>
                <w:rFonts w:ascii="Arial" w:cs="Arial" w:eastAsia="Arial" w:hAnsi="Arial"/>
                <w:sz w:val="9"/>
                <w:szCs w:val="9"/>
                <w:color w:val="auto"/>
              </w:rPr>
              <w:t>(2)</w:t>
            </w:r>
          </w:p>
        </w:tc>
        <w:tc>
          <w:tcPr>
            <w:tcW w:w="820" w:type="dxa"/>
            <w:vAlign w:val="bottom"/>
            <w:shd w:val="clear" w:color="auto" w:fill="F2F3F2"/>
          </w:tcPr>
          <w:p>
            <w:pPr>
              <w:jc w:val="right"/>
              <w:spacing w:after="0"/>
              <w:rPr>
                <w:sz w:val="20"/>
                <w:szCs w:val="20"/>
                <w:color w:val="auto"/>
              </w:rPr>
            </w:pPr>
            <w:r>
              <w:rPr>
                <w:rFonts w:ascii="Arial" w:cs="Arial" w:eastAsia="Arial" w:hAnsi="Arial"/>
                <w:sz w:val="13"/>
                <w:szCs w:val="13"/>
                <w:color w:val="auto"/>
              </w:rPr>
              <w:t>1,905,154</w:t>
            </w:r>
          </w:p>
        </w:tc>
        <w:tc>
          <w:tcPr>
            <w:tcW w:w="920" w:type="dxa"/>
            <w:vAlign w:val="bottom"/>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1140" w:type="dxa"/>
            <w:vAlign w:val="bottom"/>
            <w:shd w:val="clear" w:color="auto" w:fill="F2F3F2"/>
          </w:tcPr>
          <w:p>
            <w:pPr>
              <w:jc w:val="right"/>
              <w:ind w:right="93"/>
              <w:spacing w:after="0"/>
              <w:rPr>
                <w:sz w:val="20"/>
                <w:szCs w:val="20"/>
                <w:color w:val="auto"/>
              </w:rPr>
            </w:pPr>
            <w:r>
              <w:rPr>
                <w:rFonts w:ascii="Arial" w:cs="Arial" w:eastAsia="Arial" w:hAnsi="Arial"/>
                <w:sz w:val="13"/>
                <w:szCs w:val="13"/>
                <w:color w:val="auto"/>
              </w:rPr>
              <w:t>—</w:t>
            </w:r>
          </w:p>
        </w:tc>
      </w:tr>
      <w:tr>
        <w:trPr>
          <w:trHeight w:val="116"/>
        </w:trPr>
        <w:tc>
          <w:tcPr>
            <w:tcW w:w="640" w:type="dxa"/>
            <w:vAlign w:val="bottom"/>
            <w:tcBorders>
              <w:bottom w:val="single" w:sz="8" w:color="B2B3B6"/>
            </w:tcBorders>
          </w:tcPr>
          <w:p>
            <w:pPr>
              <w:spacing w:after="0"/>
              <w:rPr>
                <w:sz w:val="10"/>
                <w:szCs w:val="10"/>
                <w:color w:val="auto"/>
              </w:rPr>
            </w:pPr>
          </w:p>
        </w:tc>
        <w:tc>
          <w:tcPr>
            <w:tcW w:w="1000" w:type="dxa"/>
            <w:vAlign w:val="bottom"/>
            <w:tcBorders>
              <w:bottom w:val="single" w:sz="8" w:color="B2B3B6"/>
            </w:tcBorders>
            <w:shd w:val="clear" w:color="auto" w:fill="F2F3F2"/>
          </w:tcPr>
          <w:p>
            <w:pPr>
              <w:spacing w:after="0"/>
              <w:rPr>
                <w:sz w:val="10"/>
                <w:szCs w:val="10"/>
                <w:color w:val="auto"/>
              </w:rPr>
            </w:pPr>
          </w:p>
        </w:tc>
        <w:tc>
          <w:tcPr>
            <w:tcW w:w="1160" w:type="dxa"/>
            <w:vAlign w:val="bottom"/>
            <w:tcBorders>
              <w:bottom w:val="single" w:sz="8" w:color="B2B3B6"/>
            </w:tcBorders>
            <w:shd w:val="clear" w:color="auto" w:fill="F2F3F2"/>
          </w:tcPr>
          <w:p>
            <w:pPr>
              <w:spacing w:after="0"/>
              <w:rPr>
                <w:sz w:val="10"/>
                <w:szCs w:val="10"/>
                <w:color w:val="auto"/>
              </w:rPr>
            </w:pPr>
          </w:p>
        </w:tc>
        <w:tc>
          <w:tcPr>
            <w:tcW w:w="740" w:type="dxa"/>
            <w:vAlign w:val="bottom"/>
            <w:tcBorders>
              <w:bottom w:val="single" w:sz="8" w:color="B2B3B6"/>
            </w:tcBorders>
            <w:shd w:val="clear" w:color="auto" w:fill="F2F3F2"/>
          </w:tcPr>
          <w:p>
            <w:pPr>
              <w:spacing w:after="0"/>
              <w:rPr>
                <w:sz w:val="10"/>
                <w:szCs w:val="10"/>
                <w:color w:val="auto"/>
              </w:rPr>
            </w:pPr>
          </w:p>
        </w:tc>
        <w:tc>
          <w:tcPr>
            <w:tcW w:w="860" w:type="dxa"/>
            <w:vAlign w:val="bottom"/>
            <w:tcBorders>
              <w:bottom w:val="single" w:sz="8" w:color="B2B3B6"/>
            </w:tcBorders>
            <w:shd w:val="clear" w:color="auto" w:fill="F2F3F2"/>
          </w:tcPr>
          <w:p>
            <w:pPr>
              <w:spacing w:after="0"/>
              <w:rPr>
                <w:sz w:val="10"/>
                <w:szCs w:val="10"/>
                <w:color w:val="auto"/>
              </w:rPr>
            </w:pPr>
          </w:p>
        </w:tc>
        <w:tc>
          <w:tcPr>
            <w:tcW w:w="780" w:type="dxa"/>
            <w:vAlign w:val="bottom"/>
            <w:tcBorders>
              <w:bottom w:val="single" w:sz="8" w:color="B2B3B6"/>
            </w:tcBorders>
            <w:shd w:val="clear" w:color="auto" w:fill="F2F3F2"/>
          </w:tcPr>
          <w:p>
            <w:pPr>
              <w:spacing w:after="0"/>
              <w:rPr>
                <w:sz w:val="10"/>
                <w:szCs w:val="10"/>
                <w:color w:val="auto"/>
              </w:rPr>
            </w:pPr>
          </w:p>
        </w:tc>
        <w:tc>
          <w:tcPr>
            <w:tcW w:w="200" w:type="dxa"/>
            <w:vAlign w:val="bottom"/>
            <w:tcBorders>
              <w:bottom w:val="single" w:sz="8" w:color="B2B3B6"/>
            </w:tcBorders>
            <w:shd w:val="clear" w:color="auto" w:fill="F2F3F2"/>
          </w:tcPr>
          <w:p>
            <w:pPr>
              <w:spacing w:after="0"/>
              <w:rPr>
                <w:sz w:val="10"/>
                <w:szCs w:val="10"/>
                <w:color w:val="auto"/>
              </w:rPr>
            </w:pPr>
          </w:p>
        </w:tc>
        <w:tc>
          <w:tcPr>
            <w:tcW w:w="820" w:type="dxa"/>
            <w:vAlign w:val="bottom"/>
            <w:tcBorders>
              <w:bottom w:val="single" w:sz="8" w:color="B2B3B6"/>
            </w:tcBorders>
            <w:shd w:val="clear" w:color="auto" w:fill="F2F3F2"/>
          </w:tcPr>
          <w:p>
            <w:pPr>
              <w:spacing w:after="0"/>
              <w:rPr>
                <w:sz w:val="10"/>
                <w:szCs w:val="10"/>
                <w:color w:val="auto"/>
              </w:rPr>
            </w:pPr>
          </w:p>
        </w:tc>
        <w:tc>
          <w:tcPr>
            <w:tcW w:w="920" w:type="dxa"/>
            <w:vAlign w:val="bottom"/>
            <w:tcBorders>
              <w:bottom w:val="single" w:sz="8" w:color="B2B3B6"/>
            </w:tcBorders>
            <w:shd w:val="clear" w:color="auto" w:fill="F2F3F2"/>
          </w:tcPr>
          <w:p>
            <w:pPr>
              <w:spacing w:after="0"/>
              <w:rPr>
                <w:sz w:val="10"/>
                <w:szCs w:val="10"/>
                <w:color w:val="auto"/>
              </w:rPr>
            </w:pPr>
          </w:p>
        </w:tc>
        <w:tc>
          <w:tcPr>
            <w:tcW w:w="1140" w:type="dxa"/>
            <w:vAlign w:val="bottom"/>
            <w:tcBorders>
              <w:bottom w:val="single" w:sz="8" w:color="B2B3B6"/>
            </w:tcBorders>
            <w:shd w:val="clear" w:color="auto" w:fill="F2F3F2"/>
          </w:tcPr>
          <w:p>
            <w:pPr>
              <w:spacing w:after="0"/>
              <w:rPr>
                <w:sz w:val="10"/>
                <w:szCs w:val="10"/>
                <w:color w:val="auto"/>
              </w:rPr>
            </w:pPr>
          </w:p>
        </w:tc>
      </w:tr>
      <w:tr>
        <w:trPr>
          <w:trHeight w:val="309"/>
        </w:trPr>
        <w:tc>
          <w:tcPr>
            <w:tcW w:w="640" w:type="dxa"/>
            <w:vAlign w:val="bottom"/>
          </w:tcPr>
          <w:p>
            <w:pPr>
              <w:jc w:val="center"/>
              <w:spacing w:after="0"/>
              <w:rPr>
                <w:sz w:val="20"/>
                <w:szCs w:val="20"/>
                <w:color w:val="auto"/>
              </w:rPr>
            </w:pPr>
            <w:r>
              <w:rPr>
                <w:rFonts w:ascii="Arial" w:cs="Arial" w:eastAsia="Arial" w:hAnsi="Arial"/>
                <w:sz w:val="13"/>
                <w:szCs w:val="13"/>
                <w:color w:val="auto"/>
              </w:rPr>
              <w:t>3/1/2023</w:t>
            </w:r>
          </w:p>
        </w:tc>
        <w:tc>
          <w:tcPr>
            <w:tcW w:w="1000" w:type="dxa"/>
            <w:vAlign w:val="bottom"/>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1160" w:type="dxa"/>
            <w:vAlign w:val="bottom"/>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F2F3F2"/>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F2F3F2"/>
          </w:tcPr>
          <w:p>
            <w:pPr>
              <w:jc w:val="right"/>
              <w:spacing w:after="0"/>
              <w:rPr>
                <w:sz w:val="20"/>
                <w:szCs w:val="20"/>
                <w:color w:val="auto"/>
              </w:rPr>
            </w:pPr>
            <w:r>
              <w:rPr>
                <w:rFonts w:ascii="Arial" w:cs="Arial" w:eastAsia="Arial" w:hAnsi="Arial"/>
                <w:sz w:val="13"/>
                <w:szCs w:val="13"/>
                <w:color w:val="auto"/>
              </w:rPr>
              <w:t>1,182</w:t>
            </w:r>
          </w:p>
        </w:tc>
        <w:tc>
          <w:tcPr>
            <w:tcW w:w="200" w:type="dxa"/>
            <w:vAlign w:val="bottom"/>
            <w:shd w:val="clear" w:color="auto" w:fill="F2F3F2"/>
          </w:tcPr>
          <w:p>
            <w:pPr>
              <w:jc w:val="right"/>
              <w:ind w:right="9"/>
              <w:spacing w:after="0"/>
              <w:rPr>
                <w:sz w:val="20"/>
                <w:szCs w:val="20"/>
                <w:color w:val="auto"/>
              </w:rPr>
            </w:pPr>
            <w:r>
              <w:rPr>
                <w:rFonts w:ascii="Arial" w:cs="Arial" w:eastAsia="Arial" w:hAnsi="Arial"/>
                <w:sz w:val="9"/>
                <w:szCs w:val="9"/>
                <w:color w:val="auto"/>
              </w:rPr>
              <w:t>(5)</w:t>
            </w:r>
          </w:p>
        </w:tc>
        <w:tc>
          <w:tcPr>
            <w:tcW w:w="820" w:type="dxa"/>
            <w:vAlign w:val="bottom"/>
            <w:shd w:val="clear" w:color="auto" w:fill="F2F3F2"/>
          </w:tcPr>
          <w:p>
            <w:pPr>
              <w:jc w:val="right"/>
              <w:spacing w:after="0"/>
              <w:rPr>
                <w:sz w:val="20"/>
                <w:szCs w:val="20"/>
                <w:color w:val="auto"/>
              </w:rPr>
            </w:pPr>
            <w:r>
              <w:rPr>
                <w:rFonts w:ascii="Arial" w:cs="Arial" w:eastAsia="Arial" w:hAnsi="Arial"/>
                <w:sz w:val="13"/>
                <w:szCs w:val="13"/>
                <w:color w:val="auto"/>
              </w:rPr>
              <w:t>146,875</w:t>
            </w:r>
          </w:p>
        </w:tc>
        <w:tc>
          <w:tcPr>
            <w:tcW w:w="920" w:type="dxa"/>
            <w:vAlign w:val="bottom"/>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1140" w:type="dxa"/>
            <w:vAlign w:val="bottom"/>
            <w:shd w:val="clear" w:color="auto" w:fill="F2F3F2"/>
          </w:tcPr>
          <w:p>
            <w:pPr>
              <w:jc w:val="right"/>
              <w:ind w:right="93"/>
              <w:spacing w:after="0"/>
              <w:rPr>
                <w:sz w:val="20"/>
                <w:szCs w:val="20"/>
                <w:color w:val="auto"/>
              </w:rPr>
            </w:pPr>
            <w:r>
              <w:rPr>
                <w:rFonts w:ascii="Arial" w:cs="Arial" w:eastAsia="Arial" w:hAnsi="Arial"/>
                <w:sz w:val="13"/>
                <w:szCs w:val="13"/>
                <w:color w:val="auto"/>
              </w:rPr>
              <w:t>—</w:t>
            </w:r>
          </w:p>
        </w:tc>
      </w:tr>
      <w:tr>
        <w:trPr>
          <w:trHeight w:val="116"/>
        </w:trPr>
        <w:tc>
          <w:tcPr>
            <w:tcW w:w="640" w:type="dxa"/>
            <w:vAlign w:val="bottom"/>
            <w:tcBorders>
              <w:bottom w:val="single" w:sz="8" w:color="B2B3B6"/>
            </w:tcBorders>
          </w:tcPr>
          <w:p>
            <w:pPr>
              <w:spacing w:after="0"/>
              <w:rPr>
                <w:sz w:val="10"/>
                <w:szCs w:val="10"/>
                <w:color w:val="auto"/>
              </w:rPr>
            </w:pPr>
          </w:p>
        </w:tc>
        <w:tc>
          <w:tcPr>
            <w:tcW w:w="1000" w:type="dxa"/>
            <w:vAlign w:val="bottom"/>
            <w:tcBorders>
              <w:bottom w:val="single" w:sz="8" w:color="B2B3B6"/>
            </w:tcBorders>
            <w:shd w:val="clear" w:color="auto" w:fill="F2F3F2"/>
          </w:tcPr>
          <w:p>
            <w:pPr>
              <w:spacing w:after="0"/>
              <w:rPr>
                <w:sz w:val="10"/>
                <w:szCs w:val="10"/>
                <w:color w:val="auto"/>
              </w:rPr>
            </w:pPr>
          </w:p>
        </w:tc>
        <w:tc>
          <w:tcPr>
            <w:tcW w:w="1160" w:type="dxa"/>
            <w:vAlign w:val="bottom"/>
            <w:tcBorders>
              <w:bottom w:val="single" w:sz="8" w:color="B2B3B6"/>
            </w:tcBorders>
            <w:shd w:val="clear" w:color="auto" w:fill="F2F3F2"/>
          </w:tcPr>
          <w:p>
            <w:pPr>
              <w:spacing w:after="0"/>
              <w:rPr>
                <w:sz w:val="10"/>
                <w:szCs w:val="10"/>
                <w:color w:val="auto"/>
              </w:rPr>
            </w:pPr>
          </w:p>
        </w:tc>
        <w:tc>
          <w:tcPr>
            <w:tcW w:w="740" w:type="dxa"/>
            <w:vAlign w:val="bottom"/>
            <w:tcBorders>
              <w:bottom w:val="single" w:sz="8" w:color="B2B3B6"/>
            </w:tcBorders>
            <w:shd w:val="clear" w:color="auto" w:fill="F2F3F2"/>
          </w:tcPr>
          <w:p>
            <w:pPr>
              <w:spacing w:after="0"/>
              <w:rPr>
                <w:sz w:val="10"/>
                <w:szCs w:val="10"/>
                <w:color w:val="auto"/>
              </w:rPr>
            </w:pPr>
          </w:p>
        </w:tc>
        <w:tc>
          <w:tcPr>
            <w:tcW w:w="860" w:type="dxa"/>
            <w:vAlign w:val="bottom"/>
            <w:tcBorders>
              <w:bottom w:val="single" w:sz="8" w:color="B2B3B6"/>
            </w:tcBorders>
            <w:shd w:val="clear" w:color="auto" w:fill="F2F3F2"/>
          </w:tcPr>
          <w:p>
            <w:pPr>
              <w:spacing w:after="0"/>
              <w:rPr>
                <w:sz w:val="10"/>
                <w:szCs w:val="10"/>
                <w:color w:val="auto"/>
              </w:rPr>
            </w:pPr>
          </w:p>
        </w:tc>
        <w:tc>
          <w:tcPr>
            <w:tcW w:w="980" w:type="dxa"/>
            <w:vAlign w:val="bottom"/>
            <w:tcBorders>
              <w:bottom w:val="single" w:sz="8" w:color="B2B3B6"/>
            </w:tcBorders>
            <w:gridSpan w:val="2"/>
            <w:shd w:val="clear" w:color="auto" w:fill="F2F3F2"/>
          </w:tcPr>
          <w:p>
            <w:pPr>
              <w:spacing w:after="0"/>
              <w:rPr>
                <w:sz w:val="10"/>
                <w:szCs w:val="10"/>
                <w:color w:val="auto"/>
              </w:rPr>
            </w:pPr>
          </w:p>
        </w:tc>
        <w:tc>
          <w:tcPr>
            <w:tcW w:w="820" w:type="dxa"/>
            <w:vAlign w:val="bottom"/>
            <w:tcBorders>
              <w:bottom w:val="single" w:sz="8" w:color="B2B3B6"/>
            </w:tcBorders>
            <w:shd w:val="clear" w:color="auto" w:fill="F2F3F2"/>
          </w:tcPr>
          <w:p>
            <w:pPr>
              <w:spacing w:after="0"/>
              <w:rPr>
                <w:sz w:val="10"/>
                <w:szCs w:val="10"/>
                <w:color w:val="auto"/>
              </w:rPr>
            </w:pPr>
          </w:p>
        </w:tc>
        <w:tc>
          <w:tcPr>
            <w:tcW w:w="920" w:type="dxa"/>
            <w:vAlign w:val="bottom"/>
            <w:tcBorders>
              <w:bottom w:val="single" w:sz="8" w:color="B2B3B6"/>
            </w:tcBorders>
            <w:shd w:val="clear" w:color="auto" w:fill="F2F3F2"/>
          </w:tcPr>
          <w:p>
            <w:pPr>
              <w:spacing w:after="0"/>
              <w:rPr>
                <w:sz w:val="10"/>
                <w:szCs w:val="10"/>
                <w:color w:val="auto"/>
              </w:rPr>
            </w:pPr>
          </w:p>
        </w:tc>
        <w:tc>
          <w:tcPr>
            <w:tcW w:w="1140" w:type="dxa"/>
            <w:vAlign w:val="bottom"/>
            <w:tcBorders>
              <w:bottom w:val="single" w:sz="8" w:color="B2B3B6"/>
            </w:tcBorders>
            <w:shd w:val="clear" w:color="auto" w:fill="F2F3F2"/>
          </w:tcPr>
          <w:p>
            <w:pPr>
              <w:spacing w:after="0"/>
              <w:rPr>
                <w:sz w:val="10"/>
                <w:szCs w:val="10"/>
                <w:color w:val="auto"/>
              </w:rPr>
            </w:pPr>
          </w:p>
        </w:tc>
      </w:tr>
      <w:tr>
        <w:trPr>
          <w:trHeight w:val="357"/>
        </w:trPr>
        <w:tc>
          <w:tcPr>
            <w:tcW w:w="640" w:type="dxa"/>
            <w:vAlign w:val="bottom"/>
          </w:tcPr>
          <w:p>
            <w:pPr>
              <w:jc w:val="center"/>
              <w:spacing w:after="0"/>
              <w:rPr>
                <w:sz w:val="20"/>
                <w:szCs w:val="20"/>
                <w:color w:val="auto"/>
              </w:rPr>
            </w:pPr>
            <w:r>
              <w:rPr>
                <w:rFonts w:ascii="Arial" w:cs="Arial" w:eastAsia="Arial" w:hAnsi="Arial"/>
                <w:sz w:val="13"/>
                <w:szCs w:val="13"/>
                <w:color w:val="auto"/>
              </w:rPr>
              <w:t>3/1/2023</w:t>
            </w:r>
          </w:p>
        </w:tc>
        <w:tc>
          <w:tcPr>
            <w:tcW w:w="1000" w:type="dxa"/>
            <w:vAlign w:val="bottom"/>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1160" w:type="dxa"/>
            <w:vAlign w:val="bottom"/>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F2F3F2"/>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F2F3F2"/>
          </w:tcPr>
          <w:p>
            <w:pPr>
              <w:jc w:val="right"/>
              <w:ind w:right="9"/>
              <w:spacing w:after="0"/>
              <w:rPr>
                <w:sz w:val="20"/>
                <w:szCs w:val="20"/>
                <w:color w:val="auto"/>
              </w:rPr>
            </w:pPr>
            <w:r>
              <w:rPr>
                <w:rFonts w:ascii="Arial" w:cs="Arial" w:eastAsia="Arial" w:hAnsi="Arial"/>
                <w:sz w:val="13"/>
                <w:szCs w:val="13"/>
                <w:color w:val="auto"/>
              </w:rPr>
              <w:t xml:space="preserve">1,993 </w:t>
            </w:r>
            <w:r>
              <w:rPr>
                <w:rFonts w:ascii="Arial" w:cs="Arial" w:eastAsia="Arial" w:hAnsi="Arial"/>
                <w:sz w:val="17"/>
                <w:szCs w:val="17"/>
                <w:color w:val="auto"/>
                <w:vertAlign w:val="superscript"/>
              </w:rPr>
              <w:t>(1)</w:t>
            </w:r>
          </w:p>
        </w:tc>
        <w:tc>
          <w:tcPr>
            <w:tcW w:w="820" w:type="dxa"/>
            <w:vAlign w:val="bottom"/>
            <w:shd w:val="clear" w:color="auto" w:fill="F2F3F2"/>
          </w:tcPr>
          <w:p>
            <w:pPr>
              <w:jc w:val="right"/>
              <w:spacing w:after="0"/>
              <w:rPr>
                <w:sz w:val="20"/>
                <w:szCs w:val="20"/>
                <w:color w:val="auto"/>
              </w:rPr>
            </w:pPr>
            <w:r>
              <w:rPr>
                <w:rFonts w:ascii="Arial" w:cs="Arial" w:eastAsia="Arial" w:hAnsi="Arial"/>
                <w:sz w:val="13"/>
                <w:szCs w:val="13"/>
                <w:color w:val="auto"/>
              </w:rPr>
              <w:t>247,650</w:t>
            </w:r>
          </w:p>
        </w:tc>
        <w:tc>
          <w:tcPr>
            <w:tcW w:w="920" w:type="dxa"/>
            <w:vAlign w:val="bottom"/>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1140" w:type="dxa"/>
            <w:vAlign w:val="bottom"/>
            <w:shd w:val="clear" w:color="auto" w:fill="F2F3F2"/>
          </w:tcPr>
          <w:p>
            <w:pPr>
              <w:jc w:val="right"/>
              <w:ind w:right="93"/>
              <w:spacing w:after="0"/>
              <w:rPr>
                <w:sz w:val="20"/>
                <w:szCs w:val="20"/>
                <w:color w:val="auto"/>
              </w:rPr>
            </w:pPr>
            <w:r>
              <w:rPr>
                <w:rFonts w:ascii="Arial" w:cs="Arial" w:eastAsia="Arial" w:hAnsi="Arial"/>
                <w:sz w:val="13"/>
                <w:szCs w:val="13"/>
                <w:color w:val="auto"/>
              </w:rPr>
              <w:t>—</w:t>
            </w:r>
          </w:p>
        </w:tc>
      </w:tr>
      <w:tr>
        <w:trPr>
          <w:trHeight w:val="69"/>
        </w:trPr>
        <w:tc>
          <w:tcPr>
            <w:tcW w:w="640" w:type="dxa"/>
            <w:vAlign w:val="bottom"/>
            <w:tcBorders>
              <w:bottom w:val="single" w:sz="8" w:color="B2B3B6"/>
            </w:tcBorders>
          </w:tcPr>
          <w:p>
            <w:pPr>
              <w:spacing w:after="0"/>
              <w:rPr>
                <w:sz w:val="5"/>
                <w:szCs w:val="5"/>
                <w:color w:val="auto"/>
              </w:rPr>
            </w:pPr>
          </w:p>
        </w:tc>
        <w:tc>
          <w:tcPr>
            <w:tcW w:w="1000" w:type="dxa"/>
            <w:vAlign w:val="bottom"/>
            <w:tcBorders>
              <w:bottom w:val="single" w:sz="8" w:color="B2B3B6"/>
            </w:tcBorders>
            <w:shd w:val="clear" w:color="auto" w:fill="F2F3F2"/>
          </w:tcPr>
          <w:p>
            <w:pPr>
              <w:spacing w:after="0"/>
              <w:rPr>
                <w:sz w:val="5"/>
                <w:szCs w:val="5"/>
                <w:color w:val="auto"/>
              </w:rPr>
            </w:pPr>
          </w:p>
        </w:tc>
        <w:tc>
          <w:tcPr>
            <w:tcW w:w="1160" w:type="dxa"/>
            <w:vAlign w:val="bottom"/>
            <w:tcBorders>
              <w:bottom w:val="single" w:sz="8" w:color="B2B3B6"/>
            </w:tcBorders>
            <w:shd w:val="clear" w:color="auto" w:fill="F2F3F2"/>
          </w:tcPr>
          <w:p>
            <w:pPr>
              <w:spacing w:after="0"/>
              <w:rPr>
                <w:sz w:val="5"/>
                <w:szCs w:val="5"/>
                <w:color w:val="auto"/>
              </w:rPr>
            </w:pPr>
          </w:p>
        </w:tc>
        <w:tc>
          <w:tcPr>
            <w:tcW w:w="740" w:type="dxa"/>
            <w:vAlign w:val="bottom"/>
            <w:tcBorders>
              <w:bottom w:val="single" w:sz="8" w:color="B2B3B6"/>
            </w:tcBorders>
            <w:shd w:val="clear" w:color="auto" w:fill="F2F3F2"/>
          </w:tcPr>
          <w:p>
            <w:pPr>
              <w:spacing w:after="0"/>
              <w:rPr>
                <w:sz w:val="5"/>
                <w:szCs w:val="5"/>
                <w:color w:val="auto"/>
              </w:rPr>
            </w:pPr>
          </w:p>
        </w:tc>
        <w:tc>
          <w:tcPr>
            <w:tcW w:w="860" w:type="dxa"/>
            <w:vAlign w:val="bottom"/>
            <w:tcBorders>
              <w:bottom w:val="single" w:sz="8" w:color="B2B3B6"/>
            </w:tcBorders>
            <w:shd w:val="clear" w:color="auto" w:fill="F2F3F2"/>
          </w:tcPr>
          <w:p>
            <w:pPr>
              <w:spacing w:after="0"/>
              <w:rPr>
                <w:sz w:val="5"/>
                <w:szCs w:val="5"/>
                <w:color w:val="auto"/>
              </w:rPr>
            </w:pPr>
          </w:p>
        </w:tc>
        <w:tc>
          <w:tcPr>
            <w:tcW w:w="780" w:type="dxa"/>
            <w:vAlign w:val="bottom"/>
            <w:tcBorders>
              <w:bottom w:val="single" w:sz="8" w:color="B2B3B6"/>
            </w:tcBorders>
            <w:shd w:val="clear" w:color="auto" w:fill="F2F3F2"/>
          </w:tcPr>
          <w:p>
            <w:pPr>
              <w:spacing w:after="0"/>
              <w:rPr>
                <w:sz w:val="5"/>
                <w:szCs w:val="5"/>
                <w:color w:val="auto"/>
              </w:rPr>
            </w:pPr>
          </w:p>
        </w:tc>
        <w:tc>
          <w:tcPr>
            <w:tcW w:w="200" w:type="dxa"/>
            <w:vAlign w:val="bottom"/>
            <w:tcBorders>
              <w:bottom w:val="single" w:sz="8" w:color="B2B3B6"/>
            </w:tcBorders>
            <w:shd w:val="clear" w:color="auto" w:fill="F2F3F2"/>
          </w:tcPr>
          <w:p>
            <w:pPr>
              <w:spacing w:after="0"/>
              <w:rPr>
                <w:sz w:val="5"/>
                <w:szCs w:val="5"/>
                <w:color w:val="auto"/>
              </w:rPr>
            </w:pPr>
          </w:p>
        </w:tc>
        <w:tc>
          <w:tcPr>
            <w:tcW w:w="820" w:type="dxa"/>
            <w:vAlign w:val="bottom"/>
            <w:tcBorders>
              <w:bottom w:val="single" w:sz="8" w:color="B2B3B6"/>
            </w:tcBorders>
            <w:shd w:val="clear" w:color="auto" w:fill="F2F3F2"/>
          </w:tcPr>
          <w:p>
            <w:pPr>
              <w:spacing w:after="0"/>
              <w:rPr>
                <w:sz w:val="5"/>
                <w:szCs w:val="5"/>
                <w:color w:val="auto"/>
              </w:rPr>
            </w:pPr>
          </w:p>
        </w:tc>
        <w:tc>
          <w:tcPr>
            <w:tcW w:w="920" w:type="dxa"/>
            <w:vAlign w:val="bottom"/>
            <w:tcBorders>
              <w:bottom w:val="single" w:sz="8" w:color="B2B3B6"/>
            </w:tcBorders>
            <w:shd w:val="clear" w:color="auto" w:fill="F2F3F2"/>
          </w:tcPr>
          <w:p>
            <w:pPr>
              <w:spacing w:after="0"/>
              <w:rPr>
                <w:sz w:val="5"/>
                <w:szCs w:val="5"/>
                <w:color w:val="auto"/>
              </w:rPr>
            </w:pPr>
          </w:p>
        </w:tc>
        <w:tc>
          <w:tcPr>
            <w:tcW w:w="1140" w:type="dxa"/>
            <w:vAlign w:val="bottom"/>
            <w:tcBorders>
              <w:bottom w:val="single" w:sz="8" w:color="B2B3B6"/>
            </w:tcBorders>
            <w:shd w:val="clear" w:color="auto" w:fill="F2F3F2"/>
          </w:tcPr>
          <w:p>
            <w:pPr>
              <w:spacing w:after="0"/>
              <w:rPr>
                <w:sz w:val="5"/>
                <w:szCs w:val="5"/>
                <w:color w:val="auto"/>
              </w:rPr>
            </w:pPr>
          </w:p>
        </w:tc>
      </w:tr>
      <w:tr>
        <w:trPr>
          <w:trHeight w:val="357"/>
        </w:trPr>
        <w:tc>
          <w:tcPr>
            <w:tcW w:w="640" w:type="dxa"/>
            <w:vAlign w:val="bottom"/>
          </w:tcPr>
          <w:p>
            <w:pPr>
              <w:jc w:val="center"/>
              <w:spacing w:after="0"/>
              <w:rPr>
                <w:sz w:val="20"/>
                <w:szCs w:val="20"/>
                <w:color w:val="auto"/>
              </w:rPr>
            </w:pPr>
            <w:r>
              <w:rPr>
                <w:rFonts w:ascii="Arial" w:cs="Arial" w:eastAsia="Arial" w:hAnsi="Arial"/>
                <w:sz w:val="13"/>
                <w:szCs w:val="13"/>
                <w:color w:val="auto"/>
              </w:rPr>
              <w:t>3/1/2023</w:t>
            </w:r>
          </w:p>
        </w:tc>
        <w:tc>
          <w:tcPr>
            <w:tcW w:w="1000" w:type="dxa"/>
            <w:vAlign w:val="bottom"/>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1160" w:type="dxa"/>
            <w:vAlign w:val="bottom"/>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F2F3F2"/>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F2F3F2"/>
          </w:tcPr>
          <w:p>
            <w:pPr>
              <w:spacing w:after="0"/>
              <w:rPr>
                <w:sz w:val="24"/>
                <w:szCs w:val="24"/>
                <w:color w:val="auto"/>
              </w:rPr>
            </w:pPr>
          </w:p>
        </w:tc>
        <w:tc>
          <w:tcPr>
            <w:tcW w:w="200" w:type="dxa"/>
            <w:vAlign w:val="bottom"/>
            <w:shd w:val="clear" w:color="auto" w:fill="F2F3F2"/>
          </w:tcPr>
          <w:p>
            <w:pPr>
              <w:jc w:val="right"/>
              <w:ind w:right="9"/>
              <w:spacing w:after="0"/>
              <w:rPr>
                <w:sz w:val="20"/>
                <w:szCs w:val="20"/>
                <w:color w:val="auto"/>
              </w:rPr>
            </w:pPr>
            <w:r>
              <w:rPr>
                <w:rFonts w:ascii="Arial" w:cs="Arial" w:eastAsia="Arial" w:hAnsi="Arial"/>
                <w:sz w:val="13"/>
                <w:szCs w:val="13"/>
                <w:color w:val="auto"/>
                <w:w w:val="91"/>
              </w:rPr>
              <w:t>—</w:t>
            </w:r>
          </w:p>
        </w:tc>
        <w:tc>
          <w:tcPr>
            <w:tcW w:w="820" w:type="dxa"/>
            <w:vAlign w:val="bottom"/>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F2F3F2"/>
          </w:tcPr>
          <w:p>
            <w:pPr>
              <w:jc w:val="right"/>
              <w:spacing w:after="0"/>
              <w:rPr>
                <w:sz w:val="20"/>
                <w:szCs w:val="20"/>
                <w:color w:val="auto"/>
              </w:rPr>
            </w:pPr>
            <w:r>
              <w:rPr>
                <w:rFonts w:ascii="Arial" w:cs="Arial" w:eastAsia="Arial" w:hAnsi="Arial"/>
                <w:sz w:val="13"/>
                <w:szCs w:val="13"/>
                <w:color w:val="auto"/>
              </w:rPr>
              <w:t xml:space="preserve">13,950 </w:t>
            </w:r>
            <w:r>
              <w:rPr>
                <w:rFonts w:ascii="Arial" w:cs="Arial" w:eastAsia="Arial" w:hAnsi="Arial"/>
                <w:sz w:val="17"/>
                <w:szCs w:val="17"/>
                <w:color w:val="auto"/>
                <w:vertAlign w:val="superscript"/>
              </w:rPr>
              <w:t>(3)</w:t>
            </w:r>
          </w:p>
        </w:tc>
        <w:tc>
          <w:tcPr>
            <w:tcW w:w="1140" w:type="dxa"/>
            <w:vAlign w:val="bottom"/>
            <w:shd w:val="clear" w:color="auto" w:fill="F2F3F2"/>
          </w:tcPr>
          <w:p>
            <w:pPr>
              <w:jc w:val="right"/>
              <w:ind w:right="93"/>
              <w:spacing w:after="0"/>
              <w:rPr>
                <w:sz w:val="20"/>
                <w:szCs w:val="20"/>
                <w:color w:val="auto"/>
              </w:rPr>
            </w:pPr>
            <w:r>
              <w:rPr>
                <w:rFonts w:ascii="Arial" w:cs="Arial" w:eastAsia="Arial" w:hAnsi="Arial"/>
                <w:sz w:val="13"/>
                <w:szCs w:val="13"/>
                <w:color w:val="auto"/>
              </w:rPr>
              <w:t>1,733,427</w:t>
            </w:r>
          </w:p>
        </w:tc>
      </w:tr>
      <w:tr>
        <w:trPr>
          <w:trHeight w:val="69"/>
        </w:trPr>
        <w:tc>
          <w:tcPr>
            <w:tcW w:w="640" w:type="dxa"/>
            <w:vAlign w:val="bottom"/>
            <w:tcBorders>
              <w:bottom w:val="single" w:sz="8" w:color="B2B3B6"/>
            </w:tcBorders>
          </w:tcPr>
          <w:p>
            <w:pPr>
              <w:spacing w:after="0"/>
              <w:rPr>
                <w:sz w:val="5"/>
                <w:szCs w:val="5"/>
                <w:color w:val="auto"/>
              </w:rPr>
            </w:pPr>
          </w:p>
        </w:tc>
        <w:tc>
          <w:tcPr>
            <w:tcW w:w="1000" w:type="dxa"/>
            <w:vAlign w:val="bottom"/>
            <w:tcBorders>
              <w:bottom w:val="single" w:sz="8" w:color="B2B3B6"/>
            </w:tcBorders>
            <w:shd w:val="clear" w:color="auto" w:fill="F2F3F2"/>
          </w:tcPr>
          <w:p>
            <w:pPr>
              <w:spacing w:after="0"/>
              <w:rPr>
                <w:sz w:val="5"/>
                <w:szCs w:val="5"/>
                <w:color w:val="auto"/>
              </w:rPr>
            </w:pPr>
          </w:p>
        </w:tc>
        <w:tc>
          <w:tcPr>
            <w:tcW w:w="1160" w:type="dxa"/>
            <w:vAlign w:val="bottom"/>
            <w:tcBorders>
              <w:bottom w:val="single" w:sz="8" w:color="B2B3B6"/>
            </w:tcBorders>
            <w:shd w:val="clear" w:color="auto" w:fill="F2F3F2"/>
          </w:tcPr>
          <w:p>
            <w:pPr>
              <w:spacing w:after="0"/>
              <w:rPr>
                <w:sz w:val="5"/>
                <w:szCs w:val="5"/>
                <w:color w:val="auto"/>
              </w:rPr>
            </w:pPr>
          </w:p>
        </w:tc>
        <w:tc>
          <w:tcPr>
            <w:tcW w:w="740" w:type="dxa"/>
            <w:vAlign w:val="bottom"/>
            <w:tcBorders>
              <w:bottom w:val="single" w:sz="8" w:color="B2B3B6"/>
            </w:tcBorders>
            <w:shd w:val="clear" w:color="auto" w:fill="F2F3F2"/>
          </w:tcPr>
          <w:p>
            <w:pPr>
              <w:spacing w:after="0"/>
              <w:rPr>
                <w:sz w:val="5"/>
                <w:szCs w:val="5"/>
                <w:color w:val="auto"/>
              </w:rPr>
            </w:pPr>
          </w:p>
        </w:tc>
        <w:tc>
          <w:tcPr>
            <w:tcW w:w="860" w:type="dxa"/>
            <w:vAlign w:val="bottom"/>
            <w:tcBorders>
              <w:bottom w:val="single" w:sz="8" w:color="B2B3B6"/>
            </w:tcBorders>
            <w:shd w:val="clear" w:color="auto" w:fill="F2F3F2"/>
          </w:tcPr>
          <w:p>
            <w:pPr>
              <w:spacing w:after="0"/>
              <w:rPr>
                <w:sz w:val="5"/>
                <w:szCs w:val="5"/>
                <w:color w:val="auto"/>
              </w:rPr>
            </w:pPr>
          </w:p>
        </w:tc>
        <w:tc>
          <w:tcPr>
            <w:tcW w:w="780" w:type="dxa"/>
            <w:vAlign w:val="bottom"/>
            <w:tcBorders>
              <w:bottom w:val="single" w:sz="8" w:color="B2B3B6"/>
            </w:tcBorders>
            <w:shd w:val="clear" w:color="auto" w:fill="F2F3F2"/>
          </w:tcPr>
          <w:p>
            <w:pPr>
              <w:spacing w:after="0"/>
              <w:rPr>
                <w:sz w:val="5"/>
                <w:szCs w:val="5"/>
                <w:color w:val="auto"/>
              </w:rPr>
            </w:pPr>
          </w:p>
        </w:tc>
        <w:tc>
          <w:tcPr>
            <w:tcW w:w="200" w:type="dxa"/>
            <w:vAlign w:val="bottom"/>
            <w:tcBorders>
              <w:bottom w:val="single" w:sz="8" w:color="B2B3B6"/>
            </w:tcBorders>
            <w:shd w:val="clear" w:color="auto" w:fill="F2F3F2"/>
          </w:tcPr>
          <w:p>
            <w:pPr>
              <w:spacing w:after="0"/>
              <w:rPr>
                <w:sz w:val="5"/>
                <w:szCs w:val="5"/>
                <w:color w:val="auto"/>
              </w:rPr>
            </w:pPr>
          </w:p>
        </w:tc>
        <w:tc>
          <w:tcPr>
            <w:tcW w:w="820" w:type="dxa"/>
            <w:vAlign w:val="bottom"/>
            <w:tcBorders>
              <w:bottom w:val="single" w:sz="8" w:color="B2B3B6"/>
            </w:tcBorders>
            <w:shd w:val="clear" w:color="auto" w:fill="F2F3F2"/>
          </w:tcPr>
          <w:p>
            <w:pPr>
              <w:spacing w:after="0"/>
              <w:rPr>
                <w:sz w:val="5"/>
                <w:szCs w:val="5"/>
                <w:color w:val="auto"/>
              </w:rPr>
            </w:pPr>
          </w:p>
        </w:tc>
        <w:tc>
          <w:tcPr>
            <w:tcW w:w="920" w:type="dxa"/>
            <w:vAlign w:val="bottom"/>
            <w:tcBorders>
              <w:bottom w:val="single" w:sz="8" w:color="B2B3B6"/>
            </w:tcBorders>
            <w:shd w:val="clear" w:color="auto" w:fill="F2F3F2"/>
          </w:tcPr>
          <w:p>
            <w:pPr>
              <w:spacing w:after="0"/>
              <w:rPr>
                <w:sz w:val="5"/>
                <w:szCs w:val="5"/>
                <w:color w:val="auto"/>
              </w:rPr>
            </w:pPr>
          </w:p>
        </w:tc>
        <w:tc>
          <w:tcPr>
            <w:tcW w:w="1140" w:type="dxa"/>
            <w:vAlign w:val="bottom"/>
            <w:tcBorders>
              <w:bottom w:val="single" w:sz="8" w:color="B2B3B6"/>
            </w:tcBorders>
            <w:shd w:val="clear" w:color="auto" w:fill="F2F3F2"/>
          </w:tcPr>
          <w:p>
            <w:pPr>
              <w:spacing w:after="0"/>
              <w:rPr>
                <w:sz w:val="5"/>
                <w:szCs w:val="5"/>
                <w:color w:val="auto"/>
              </w:rPr>
            </w:pPr>
          </w:p>
        </w:tc>
      </w:tr>
      <w:tr>
        <w:trPr>
          <w:trHeight w:val="309"/>
        </w:trPr>
        <w:tc>
          <w:tcPr>
            <w:tcW w:w="640" w:type="dxa"/>
            <w:vAlign w:val="bottom"/>
          </w:tcPr>
          <w:p>
            <w:pPr>
              <w:jc w:val="center"/>
              <w:spacing w:after="0"/>
              <w:rPr>
                <w:sz w:val="20"/>
                <w:szCs w:val="20"/>
                <w:color w:val="auto"/>
              </w:rPr>
            </w:pPr>
            <w:r>
              <w:rPr>
                <w:rFonts w:ascii="Arial" w:cs="Arial" w:eastAsia="Arial" w:hAnsi="Arial"/>
                <w:sz w:val="13"/>
                <w:szCs w:val="13"/>
                <w:color w:val="auto"/>
              </w:rPr>
              <w:t>3/1/2024</w:t>
            </w:r>
          </w:p>
        </w:tc>
        <w:tc>
          <w:tcPr>
            <w:tcW w:w="1000" w:type="dxa"/>
            <w:vAlign w:val="bottom"/>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1160" w:type="dxa"/>
            <w:vAlign w:val="bottom"/>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F2F3F2"/>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F2F3F2"/>
          </w:tcPr>
          <w:p>
            <w:pPr>
              <w:jc w:val="right"/>
              <w:spacing w:after="0"/>
              <w:rPr>
                <w:sz w:val="20"/>
                <w:szCs w:val="20"/>
                <w:color w:val="auto"/>
              </w:rPr>
            </w:pPr>
            <w:r>
              <w:rPr>
                <w:rFonts w:ascii="Arial" w:cs="Arial" w:eastAsia="Arial" w:hAnsi="Arial"/>
                <w:sz w:val="13"/>
                <w:szCs w:val="13"/>
                <w:color w:val="auto"/>
              </w:rPr>
              <w:t>2,852</w:t>
            </w:r>
          </w:p>
        </w:tc>
        <w:tc>
          <w:tcPr>
            <w:tcW w:w="200" w:type="dxa"/>
            <w:vAlign w:val="bottom"/>
            <w:shd w:val="clear" w:color="auto" w:fill="F2F3F2"/>
          </w:tcPr>
          <w:p>
            <w:pPr>
              <w:jc w:val="right"/>
              <w:ind w:right="9"/>
              <w:spacing w:after="0"/>
              <w:rPr>
                <w:sz w:val="20"/>
                <w:szCs w:val="20"/>
                <w:color w:val="auto"/>
              </w:rPr>
            </w:pPr>
            <w:r>
              <w:rPr>
                <w:rFonts w:ascii="Arial" w:cs="Arial" w:eastAsia="Arial" w:hAnsi="Arial"/>
                <w:sz w:val="9"/>
                <w:szCs w:val="9"/>
                <w:color w:val="auto"/>
              </w:rPr>
              <w:t>(1)</w:t>
            </w:r>
          </w:p>
        </w:tc>
        <w:tc>
          <w:tcPr>
            <w:tcW w:w="820" w:type="dxa"/>
            <w:vAlign w:val="bottom"/>
            <w:shd w:val="clear" w:color="auto" w:fill="F2F3F2"/>
          </w:tcPr>
          <w:p>
            <w:pPr>
              <w:jc w:val="right"/>
              <w:spacing w:after="0"/>
              <w:rPr>
                <w:sz w:val="20"/>
                <w:szCs w:val="20"/>
                <w:color w:val="auto"/>
              </w:rPr>
            </w:pPr>
            <w:r>
              <w:rPr>
                <w:rFonts w:ascii="Arial" w:cs="Arial" w:eastAsia="Arial" w:hAnsi="Arial"/>
                <w:sz w:val="13"/>
                <w:szCs w:val="13"/>
                <w:color w:val="auto"/>
              </w:rPr>
              <w:t>354,390</w:t>
            </w:r>
          </w:p>
        </w:tc>
        <w:tc>
          <w:tcPr>
            <w:tcW w:w="920" w:type="dxa"/>
            <w:vAlign w:val="bottom"/>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1140" w:type="dxa"/>
            <w:vAlign w:val="bottom"/>
            <w:shd w:val="clear" w:color="auto" w:fill="F2F3F2"/>
          </w:tcPr>
          <w:p>
            <w:pPr>
              <w:jc w:val="right"/>
              <w:ind w:right="93"/>
              <w:spacing w:after="0"/>
              <w:rPr>
                <w:sz w:val="20"/>
                <w:szCs w:val="20"/>
                <w:color w:val="auto"/>
              </w:rPr>
            </w:pPr>
            <w:r>
              <w:rPr>
                <w:rFonts w:ascii="Arial" w:cs="Arial" w:eastAsia="Arial" w:hAnsi="Arial"/>
                <w:sz w:val="13"/>
                <w:szCs w:val="13"/>
                <w:color w:val="auto"/>
              </w:rPr>
              <w:t>—</w:t>
            </w:r>
          </w:p>
        </w:tc>
      </w:tr>
      <w:tr>
        <w:trPr>
          <w:trHeight w:val="116"/>
        </w:trPr>
        <w:tc>
          <w:tcPr>
            <w:tcW w:w="640" w:type="dxa"/>
            <w:vAlign w:val="bottom"/>
            <w:tcBorders>
              <w:bottom w:val="single" w:sz="8" w:color="B2B3B6"/>
            </w:tcBorders>
          </w:tcPr>
          <w:p>
            <w:pPr>
              <w:spacing w:after="0"/>
              <w:rPr>
                <w:sz w:val="10"/>
                <w:szCs w:val="10"/>
                <w:color w:val="auto"/>
              </w:rPr>
            </w:pPr>
          </w:p>
        </w:tc>
        <w:tc>
          <w:tcPr>
            <w:tcW w:w="1000" w:type="dxa"/>
            <w:vAlign w:val="bottom"/>
            <w:tcBorders>
              <w:bottom w:val="single" w:sz="8" w:color="B2B3B6"/>
            </w:tcBorders>
            <w:shd w:val="clear" w:color="auto" w:fill="F2F3F2"/>
          </w:tcPr>
          <w:p>
            <w:pPr>
              <w:spacing w:after="0"/>
              <w:rPr>
                <w:sz w:val="10"/>
                <w:szCs w:val="10"/>
                <w:color w:val="auto"/>
              </w:rPr>
            </w:pPr>
          </w:p>
        </w:tc>
        <w:tc>
          <w:tcPr>
            <w:tcW w:w="1160" w:type="dxa"/>
            <w:vAlign w:val="bottom"/>
            <w:tcBorders>
              <w:bottom w:val="single" w:sz="8" w:color="B2B3B6"/>
            </w:tcBorders>
            <w:shd w:val="clear" w:color="auto" w:fill="F2F3F2"/>
          </w:tcPr>
          <w:p>
            <w:pPr>
              <w:spacing w:after="0"/>
              <w:rPr>
                <w:sz w:val="10"/>
                <w:szCs w:val="10"/>
                <w:color w:val="auto"/>
              </w:rPr>
            </w:pPr>
          </w:p>
        </w:tc>
        <w:tc>
          <w:tcPr>
            <w:tcW w:w="740" w:type="dxa"/>
            <w:vAlign w:val="bottom"/>
            <w:tcBorders>
              <w:bottom w:val="single" w:sz="8" w:color="B2B3B6"/>
            </w:tcBorders>
            <w:shd w:val="clear" w:color="auto" w:fill="F2F3F2"/>
          </w:tcPr>
          <w:p>
            <w:pPr>
              <w:spacing w:after="0"/>
              <w:rPr>
                <w:sz w:val="10"/>
                <w:szCs w:val="10"/>
                <w:color w:val="auto"/>
              </w:rPr>
            </w:pPr>
          </w:p>
        </w:tc>
        <w:tc>
          <w:tcPr>
            <w:tcW w:w="860" w:type="dxa"/>
            <w:vAlign w:val="bottom"/>
            <w:tcBorders>
              <w:bottom w:val="single" w:sz="8" w:color="B2B3B6"/>
            </w:tcBorders>
            <w:shd w:val="clear" w:color="auto" w:fill="F2F3F2"/>
          </w:tcPr>
          <w:p>
            <w:pPr>
              <w:spacing w:after="0"/>
              <w:rPr>
                <w:sz w:val="10"/>
                <w:szCs w:val="10"/>
                <w:color w:val="auto"/>
              </w:rPr>
            </w:pPr>
          </w:p>
        </w:tc>
        <w:tc>
          <w:tcPr>
            <w:tcW w:w="780" w:type="dxa"/>
            <w:vAlign w:val="bottom"/>
            <w:tcBorders>
              <w:bottom w:val="single" w:sz="8" w:color="B2B3B6"/>
            </w:tcBorders>
            <w:shd w:val="clear" w:color="auto" w:fill="F2F3F2"/>
          </w:tcPr>
          <w:p>
            <w:pPr>
              <w:spacing w:after="0"/>
              <w:rPr>
                <w:sz w:val="10"/>
                <w:szCs w:val="10"/>
                <w:color w:val="auto"/>
              </w:rPr>
            </w:pPr>
          </w:p>
        </w:tc>
        <w:tc>
          <w:tcPr>
            <w:tcW w:w="200" w:type="dxa"/>
            <w:vAlign w:val="bottom"/>
            <w:tcBorders>
              <w:bottom w:val="single" w:sz="8" w:color="B2B3B6"/>
            </w:tcBorders>
            <w:shd w:val="clear" w:color="auto" w:fill="F2F3F2"/>
          </w:tcPr>
          <w:p>
            <w:pPr>
              <w:spacing w:after="0"/>
              <w:rPr>
                <w:sz w:val="10"/>
                <w:szCs w:val="10"/>
                <w:color w:val="auto"/>
              </w:rPr>
            </w:pPr>
          </w:p>
        </w:tc>
        <w:tc>
          <w:tcPr>
            <w:tcW w:w="820" w:type="dxa"/>
            <w:vAlign w:val="bottom"/>
            <w:tcBorders>
              <w:bottom w:val="single" w:sz="8" w:color="B2B3B6"/>
            </w:tcBorders>
            <w:shd w:val="clear" w:color="auto" w:fill="F2F3F2"/>
          </w:tcPr>
          <w:p>
            <w:pPr>
              <w:spacing w:after="0"/>
              <w:rPr>
                <w:sz w:val="10"/>
                <w:szCs w:val="10"/>
                <w:color w:val="auto"/>
              </w:rPr>
            </w:pPr>
          </w:p>
        </w:tc>
        <w:tc>
          <w:tcPr>
            <w:tcW w:w="920" w:type="dxa"/>
            <w:vAlign w:val="bottom"/>
            <w:tcBorders>
              <w:bottom w:val="single" w:sz="8" w:color="B2B3B6"/>
            </w:tcBorders>
            <w:shd w:val="clear" w:color="auto" w:fill="F2F3F2"/>
          </w:tcPr>
          <w:p>
            <w:pPr>
              <w:spacing w:after="0"/>
              <w:rPr>
                <w:sz w:val="10"/>
                <w:szCs w:val="10"/>
                <w:color w:val="auto"/>
              </w:rPr>
            </w:pPr>
          </w:p>
        </w:tc>
        <w:tc>
          <w:tcPr>
            <w:tcW w:w="1140" w:type="dxa"/>
            <w:vAlign w:val="bottom"/>
            <w:tcBorders>
              <w:bottom w:val="single" w:sz="8" w:color="B2B3B6"/>
            </w:tcBorders>
            <w:shd w:val="clear" w:color="auto" w:fill="F2F3F2"/>
          </w:tcPr>
          <w:p>
            <w:pPr>
              <w:spacing w:after="0"/>
              <w:rPr>
                <w:sz w:val="10"/>
                <w:szCs w:val="10"/>
                <w:color w:val="auto"/>
              </w:rPr>
            </w:pPr>
          </w:p>
        </w:tc>
      </w:tr>
      <w:tr>
        <w:trPr>
          <w:trHeight w:val="357"/>
        </w:trPr>
        <w:tc>
          <w:tcPr>
            <w:tcW w:w="640" w:type="dxa"/>
            <w:vAlign w:val="bottom"/>
          </w:tcPr>
          <w:p>
            <w:pPr>
              <w:jc w:val="center"/>
              <w:spacing w:after="0"/>
              <w:rPr>
                <w:sz w:val="20"/>
                <w:szCs w:val="20"/>
                <w:color w:val="auto"/>
              </w:rPr>
            </w:pPr>
            <w:r>
              <w:rPr>
                <w:rFonts w:ascii="Arial" w:cs="Arial" w:eastAsia="Arial" w:hAnsi="Arial"/>
                <w:sz w:val="13"/>
                <w:szCs w:val="13"/>
                <w:color w:val="auto"/>
              </w:rPr>
              <w:t>3/1/2024</w:t>
            </w:r>
          </w:p>
        </w:tc>
        <w:tc>
          <w:tcPr>
            <w:tcW w:w="1000" w:type="dxa"/>
            <w:vAlign w:val="bottom"/>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1160" w:type="dxa"/>
            <w:vAlign w:val="bottom"/>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F2F3F2"/>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F2F3F2"/>
          </w:tcPr>
          <w:p>
            <w:pPr>
              <w:spacing w:after="0"/>
              <w:rPr>
                <w:sz w:val="24"/>
                <w:szCs w:val="24"/>
                <w:color w:val="auto"/>
              </w:rPr>
            </w:pPr>
          </w:p>
        </w:tc>
        <w:tc>
          <w:tcPr>
            <w:tcW w:w="200" w:type="dxa"/>
            <w:vAlign w:val="bottom"/>
            <w:shd w:val="clear" w:color="auto" w:fill="F2F3F2"/>
          </w:tcPr>
          <w:p>
            <w:pPr>
              <w:jc w:val="right"/>
              <w:ind w:right="9"/>
              <w:spacing w:after="0"/>
              <w:rPr>
                <w:sz w:val="20"/>
                <w:szCs w:val="20"/>
                <w:color w:val="auto"/>
              </w:rPr>
            </w:pPr>
            <w:r>
              <w:rPr>
                <w:rFonts w:ascii="Arial" w:cs="Arial" w:eastAsia="Arial" w:hAnsi="Arial"/>
                <w:sz w:val="13"/>
                <w:szCs w:val="13"/>
                <w:color w:val="auto"/>
                <w:w w:val="91"/>
              </w:rPr>
              <w:t>—</w:t>
            </w:r>
          </w:p>
        </w:tc>
        <w:tc>
          <w:tcPr>
            <w:tcW w:w="820" w:type="dxa"/>
            <w:vAlign w:val="bottom"/>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F2F3F2"/>
          </w:tcPr>
          <w:p>
            <w:pPr>
              <w:jc w:val="right"/>
              <w:spacing w:after="0"/>
              <w:rPr>
                <w:sz w:val="20"/>
                <w:szCs w:val="20"/>
                <w:color w:val="auto"/>
              </w:rPr>
            </w:pPr>
            <w:r>
              <w:rPr>
                <w:rFonts w:ascii="Arial" w:cs="Arial" w:eastAsia="Arial" w:hAnsi="Arial"/>
                <w:sz w:val="13"/>
                <w:szCs w:val="13"/>
                <w:color w:val="auto"/>
              </w:rPr>
              <w:t xml:space="preserve">6,655 </w:t>
            </w:r>
            <w:r>
              <w:rPr>
                <w:rFonts w:ascii="Arial" w:cs="Arial" w:eastAsia="Arial" w:hAnsi="Arial"/>
                <w:sz w:val="17"/>
                <w:szCs w:val="17"/>
                <w:color w:val="auto"/>
                <w:vertAlign w:val="superscript"/>
              </w:rPr>
              <w:t>(4)</w:t>
            </w:r>
          </w:p>
        </w:tc>
        <w:tc>
          <w:tcPr>
            <w:tcW w:w="1140" w:type="dxa"/>
            <w:vAlign w:val="bottom"/>
            <w:shd w:val="clear" w:color="auto" w:fill="F2F3F2"/>
          </w:tcPr>
          <w:p>
            <w:pPr>
              <w:jc w:val="right"/>
              <w:ind w:right="93"/>
              <w:spacing w:after="0"/>
              <w:rPr>
                <w:sz w:val="20"/>
                <w:szCs w:val="20"/>
                <w:color w:val="auto"/>
              </w:rPr>
            </w:pPr>
            <w:r>
              <w:rPr>
                <w:rFonts w:ascii="Arial" w:cs="Arial" w:eastAsia="Arial" w:hAnsi="Arial"/>
                <w:sz w:val="13"/>
                <w:szCs w:val="13"/>
                <w:color w:val="auto"/>
              </w:rPr>
              <w:t>826,950</w:t>
            </w:r>
          </w:p>
        </w:tc>
      </w:tr>
      <w:tr>
        <w:trPr>
          <w:trHeight w:val="69"/>
        </w:trPr>
        <w:tc>
          <w:tcPr>
            <w:tcW w:w="640" w:type="dxa"/>
            <w:vAlign w:val="bottom"/>
          </w:tcPr>
          <w:p>
            <w:pPr>
              <w:spacing w:after="0"/>
              <w:rPr>
                <w:sz w:val="5"/>
                <w:szCs w:val="5"/>
                <w:color w:val="auto"/>
              </w:rPr>
            </w:pPr>
          </w:p>
        </w:tc>
        <w:tc>
          <w:tcPr>
            <w:tcW w:w="1000" w:type="dxa"/>
            <w:vAlign w:val="bottom"/>
            <w:shd w:val="clear" w:color="auto" w:fill="F2F3F2"/>
          </w:tcPr>
          <w:p>
            <w:pPr>
              <w:spacing w:after="0"/>
              <w:rPr>
                <w:sz w:val="5"/>
                <w:szCs w:val="5"/>
                <w:color w:val="auto"/>
              </w:rPr>
            </w:pPr>
          </w:p>
        </w:tc>
        <w:tc>
          <w:tcPr>
            <w:tcW w:w="1160" w:type="dxa"/>
            <w:vAlign w:val="bottom"/>
            <w:shd w:val="clear" w:color="auto" w:fill="F2F3F2"/>
          </w:tcPr>
          <w:p>
            <w:pPr>
              <w:spacing w:after="0"/>
              <w:rPr>
                <w:sz w:val="5"/>
                <w:szCs w:val="5"/>
                <w:color w:val="auto"/>
              </w:rPr>
            </w:pPr>
          </w:p>
        </w:tc>
        <w:tc>
          <w:tcPr>
            <w:tcW w:w="740" w:type="dxa"/>
            <w:vAlign w:val="bottom"/>
            <w:shd w:val="clear" w:color="auto" w:fill="F2F3F2"/>
          </w:tcPr>
          <w:p>
            <w:pPr>
              <w:spacing w:after="0"/>
              <w:rPr>
                <w:sz w:val="5"/>
                <w:szCs w:val="5"/>
                <w:color w:val="auto"/>
              </w:rPr>
            </w:pPr>
          </w:p>
        </w:tc>
        <w:tc>
          <w:tcPr>
            <w:tcW w:w="860" w:type="dxa"/>
            <w:vAlign w:val="bottom"/>
            <w:shd w:val="clear" w:color="auto" w:fill="F2F3F2"/>
          </w:tcPr>
          <w:p>
            <w:pPr>
              <w:spacing w:after="0"/>
              <w:rPr>
                <w:sz w:val="5"/>
                <w:szCs w:val="5"/>
                <w:color w:val="auto"/>
              </w:rPr>
            </w:pPr>
          </w:p>
        </w:tc>
        <w:tc>
          <w:tcPr>
            <w:tcW w:w="780" w:type="dxa"/>
            <w:vAlign w:val="bottom"/>
            <w:shd w:val="clear" w:color="auto" w:fill="F2F3F2"/>
          </w:tcPr>
          <w:p>
            <w:pPr>
              <w:spacing w:after="0"/>
              <w:rPr>
                <w:sz w:val="5"/>
                <w:szCs w:val="5"/>
                <w:color w:val="auto"/>
              </w:rPr>
            </w:pPr>
          </w:p>
        </w:tc>
        <w:tc>
          <w:tcPr>
            <w:tcW w:w="200" w:type="dxa"/>
            <w:vAlign w:val="bottom"/>
            <w:shd w:val="clear" w:color="auto" w:fill="F2F3F2"/>
          </w:tcPr>
          <w:p>
            <w:pPr>
              <w:spacing w:after="0"/>
              <w:rPr>
                <w:sz w:val="5"/>
                <w:szCs w:val="5"/>
                <w:color w:val="auto"/>
              </w:rPr>
            </w:pPr>
          </w:p>
        </w:tc>
        <w:tc>
          <w:tcPr>
            <w:tcW w:w="820" w:type="dxa"/>
            <w:vAlign w:val="bottom"/>
            <w:shd w:val="clear" w:color="auto" w:fill="F2F3F2"/>
          </w:tcPr>
          <w:p>
            <w:pPr>
              <w:spacing w:after="0"/>
              <w:rPr>
                <w:sz w:val="5"/>
                <w:szCs w:val="5"/>
                <w:color w:val="auto"/>
              </w:rPr>
            </w:pPr>
          </w:p>
        </w:tc>
        <w:tc>
          <w:tcPr>
            <w:tcW w:w="920" w:type="dxa"/>
            <w:vAlign w:val="bottom"/>
            <w:shd w:val="clear" w:color="auto" w:fill="F2F3F2"/>
          </w:tcPr>
          <w:p>
            <w:pPr>
              <w:spacing w:after="0"/>
              <w:rPr>
                <w:sz w:val="5"/>
                <w:szCs w:val="5"/>
                <w:color w:val="auto"/>
              </w:rPr>
            </w:pPr>
          </w:p>
        </w:tc>
        <w:tc>
          <w:tcPr>
            <w:tcW w:w="1140" w:type="dxa"/>
            <w:vAlign w:val="bottom"/>
            <w:shd w:val="clear" w:color="auto" w:fill="F2F3F2"/>
          </w:tcPr>
          <w:p>
            <w:pPr>
              <w:spacing w:after="0"/>
              <w:rPr>
                <w:sz w:val="5"/>
                <w:szCs w:val="5"/>
                <w:color w:val="auto"/>
              </w:rPr>
            </w:pPr>
          </w:p>
        </w:tc>
      </w:tr>
    </w:tbl>
    <w:p>
      <w:pPr>
        <w:spacing w:after="0" w:line="136" w:lineRule="exact"/>
        <w:rPr>
          <w:sz w:val="20"/>
          <w:szCs w:val="20"/>
          <w:color w:val="auto"/>
        </w:rPr>
      </w:pPr>
    </w:p>
    <w:p>
      <w:pPr>
        <w:sectPr>
          <w:pgSz w:w="11900" w:h="16838" w:orient="portrait"/>
          <w:cols w:equalWidth="0" w:num="2">
            <w:col w:w="740" w:space="80"/>
            <w:col w:w="8260"/>
          </w:cols>
          <w:pgMar w:left="1400" w:top="1296" w:right="1419" w:bottom="734" w:gutter="0" w:footer="0" w:header="0"/>
          <w:type w:val="continuous"/>
        </w:sectPr>
      </w:pPr>
    </w:p>
    <w:tbl>
      <w:tblPr>
        <w:tblLayout w:type="fixed"/>
        <w:tblInd w:w="0" w:type="dxa"/>
        <w:tblCellMar>
          <w:top w:w="0" w:type="dxa"/>
          <w:left w:w="0" w:type="dxa"/>
          <w:bottom w:w="0" w:type="dxa"/>
          <w:right w:w="0" w:type="dxa"/>
        </w:tblCellMar>
      </w:tblPr>
      <w:tr>
        <w:trPr>
          <w:trHeight w:val="228"/>
        </w:trPr>
        <w:tc>
          <w:tcPr>
            <w:tcW w:w="820" w:type="dxa"/>
            <w:vAlign w:val="bottom"/>
          </w:tcPr>
          <w:p>
            <w:pPr>
              <w:ind w:left="140"/>
              <w:spacing w:after="0"/>
              <w:rPr>
                <w:sz w:val="20"/>
                <w:szCs w:val="20"/>
                <w:color w:val="auto"/>
              </w:rPr>
            </w:pPr>
            <w:r>
              <w:rPr>
                <w:rFonts w:ascii="Arial" w:cs="Arial" w:eastAsia="Arial" w:hAnsi="Arial"/>
                <w:sz w:val="13"/>
                <w:szCs w:val="13"/>
                <w:b w:val="1"/>
                <w:bCs w:val="1"/>
                <w:color w:val="00558C"/>
              </w:rPr>
              <w:t>Ernest W.</w:t>
            </w:r>
          </w:p>
        </w:tc>
        <w:tc>
          <w:tcPr>
            <w:tcW w:w="1020" w:type="dxa"/>
            <w:vAlign w:val="bottom"/>
          </w:tcPr>
          <w:p>
            <w:pPr>
              <w:jc w:val="right"/>
              <w:ind w:right="373"/>
              <w:spacing w:after="0"/>
              <w:rPr>
                <w:sz w:val="20"/>
                <w:szCs w:val="20"/>
                <w:color w:val="auto"/>
              </w:rPr>
            </w:pPr>
            <w:r>
              <w:rPr>
                <w:rFonts w:ascii="Arial" w:cs="Arial" w:eastAsia="Arial" w:hAnsi="Arial"/>
                <w:sz w:val="13"/>
                <w:szCs w:val="13"/>
                <w:color w:val="auto"/>
              </w:rPr>
              <w:t>3/1/2022</w:t>
            </w:r>
          </w:p>
        </w:tc>
        <w:tc>
          <w:tcPr>
            <w:tcW w:w="1080" w:type="dxa"/>
            <w:vAlign w:val="bottom"/>
          </w:tcPr>
          <w:p>
            <w:pPr>
              <w:ind w:left="440"/>
              <w:spacing w:after="0"/>
              <w:rPr>
                <w:sz w:val="20"/>
                <w:szCs w:val="20"/>
                <w:color w:val="auto"/>
              </w:rPr>
            </w:pPr>
            <w:r>
              <w:rPr>
                <w:rFonts w:ascii="Arial" w:cs="Arial" w:eastAsia="Arial" w:hAnsi="Arial"/>
                <w:sz w:val="13"/>
                <w:szCs w:val="13"/>
                <w:color w:val="auto"/>
              </w:rPr>
              <w:t>—</w:t>
            </w:r>
          </w:p>
        </w:tc>
        <w:tc>
          <w:tcPr>
            <w:tcW w:w="940" w:type="dxa"/>
            <w:vAlign w:val="bottom"/>
          </w:tcPr>
          <w:p>
            <w:pPr>
              <w:ind w:left="520"/>
              <w:spacing w:after="0"/>
              <w:rPr>
                <w:sz w:val="20"/>
                <w:szCs w:val="20"/>
                <w:color w:val="auto"/>
              </w:rPr>
            </w:pPr>
            <w:r>
              <w:rPr>
                <w:rFonts w:ascii="Arial" w:cs="Arial" w:eastAsia="Arial" w:hAnsi="Arial"/>
                <w:sz w:val="13"/>
                <w:szCs w:val="13"/>
                <w:color w:val="auto"/>
              </w:rPr>
              <w:t>—</w:t>
            </w:r>
          </w:p>
        </w:tc>
        <w:tc>
          <w:tcPr>
            <w:tcW w:w="800" w:type="dxa"/>
            <w:vAlign w:val="bottom"/>
          </w:tcPr>
          <w:p>
            <w:pPr>
              <w:ind w:left="320"/>
              <w:spacing w:after="0"/>
              <w:rPr>
                <w:sz w:val="20"/>
                <w:szCs w:val="20"/>
                <w:color w:val="auto"/>
              </w:rPr>
            </w:pPr>
            <w:r>
              <w:rPr>
                <w:rFonts w:ascii="Arial" w:cs="Arial" w:eastAsia="Arial" w:hAnsi="Arial"/>
                <w:sz w:val="13"/>
                <w:szCs w:val="13"/>
                <w:color w:val="auto"/>
              </w:rPr>
              <w:t>—</w:t>
            </w:r>
          </w:p>
        </w:tc>
        <w:tc>
          <w:tcPr>
            <w:tcW w:w="760" w:type="dxa"/>
            <w:vAlign w:val="bottom"/>
          </w:tcPr>
          <w:p>
            <w:pPr>
              <w:ind w:left="36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53"/>
              <w:spacing w:after="0"/>
              <w:rPr>
                <w:sz w:val="20"/>
                <w:szCs w:val="20"/>
                <w:color w:val="auto"/>
              </w:rPr>
            </w:pPr>
            <w:r>
              <w:rPr>
                <w:rFonts w:ascii="Arial" w:cs="Arial" w:eastAsia="Arial" w:hAnsi="Arial"/>
                <w:sz w:val="13"/>
                <w:szCs w:val="13"/>
                <w:color w:val="auto"/>
              </w:rPr>
              <w:t xml:space="preserve">9,810 </w:t>
            </w:r>
            <w:r>
              <w:rPr>
                <w:rFonts w:ascii="Arial" w:cs="Arial" w:eastAsia="Arial" w:hAnsi="Arial"/>
                <w:sz w:val="17"/>
                <w:szCs w:val="17"/>
                <w:color w:val="auto"/>
                <w:vertAlign w:val="superscript"/>
              </w:rPr>
              <w:t>(2)</w:t>
            </w:r>
          </w:p>
        </w:tc>
        <w:tc>
          <w:tcPr>
            <w:tcW w:w="940" w:type="dxa"/>
            <w:vAlign w:val="bottom"/>
          </w:tcPr>
          <w:p>
            <w:pPr>
              <w:jc w:val="right"/>
              <w:ind w:right="173"/>
              <w:spacing w:after="0"/>
              <w:rPr>
                <w:sz w:val="20"/>
                <w:szCs w:val="20"/>
                <w:color w:val="auto"/>
              </w:rPr>
            </w:pPr>
            <w:r>
              <w:rPr>
                <w:rFonts w:ascii="Arial" w:cs="Arial" w:eastAsia="Arial" w:hAnsi="Arial"/>
                <w:sz w:val="13"/>
                <w:szCs w:val="13"/>
                <w:color w:val="auto"/>
              </w:rPr>
              <w:t>1,218,991</w:t>
            </w:r>
          </w:p>
        </w:tc>
        <w:tc>
          <w:tcPr>
            <w:tcW w:w="98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82"/>
        </w:trPr>
        <w:tc>
          <w:tcPr>
            <w:tcW w:w="820" w:type="dxa"/>
            <w:vAlign w:val="bottom"/>
            <w:vMerge w:val="restart"/>
          </w:tcPr>
          <w:p>
            <w:pPr>
              <w:ind w:left="140"/>
              <w:spacing w:after="0"/>
              <w:rPr>
                <w:sz w:val="20"/>
                <w:szCs w:val="20"/>
                <w:color w:val="auto"/>
              </w:rPr>
            </w:pPr>
            <w:r>
              <w:rPr>
                <w:rFonts w:ascii="Arial" w:cs="Arial" w:eastAsia="Arial" w:hAnsi="Arial"/>
                <w:sz w:val="13"/>
                <w:szCs w:val="13"/>
                <w:b w:val="1"/>
                <w:bCs w:val="1"/>
                <w:color w:val="00558C"/>
              </w:rPr>
              <w:t>Torain,</w:t>
            </w:r>
          </w:p>
        </w:tc>
        <w:tc>
          <w:tcPr>
            <w:tcW w:w="1020" w:type="dxa"/>
            <w:vAlign w:val="bottom"/>
            <w:tcBorders>
              <w:bottom w:val="single" w:sz="8" w:color="B2B3B6"/>
            </w:tcBorders>
          </w:tcPr>
          <w:p>
            <w:pPr>
              <w:spacing w:after="0"/>
              <w:rPr>
                <w:sz w:val="7"/>
                <w:szCs w:val="7"/>
                <w:color w:val="auto"/>
              </w:rPr>
            </w:pPr>
          </w:p>
        </w:tc>
        <w:tc>
          <w:tcPr>
            <w:tcW w:w="1080" w:type="dxa"/>
            <w:vAlign w:val="bottom"/>
            <w:tcBorders>
              <w:bottom w:val="single" w:sz="8" w:color="B2B3B6"/>
            </w:tcBorders>
          </w:tcPr>
          <w:p>
            <w:pPr>
              <w:spacing w:after="0"/>
              <w:rPr>
                <w:sz w:val="7"/>
                <w:szCs w:val="7"/>
                <w:color w:val="auto"/>
              </w:rPr>
            </w:pPr>
          </w:p>
        </w:tc>
        <w:tc>
          <w:tcPr>
            <w:tcW w:w="940" w:type="dxa"/>
            <w:vAlign w:val="bottom"/>
            <w:tcBorders>
              <w:bottom w:val="single" w:sz="8" w:color="B2B3B6"/>
            </w:tcBorders>
          </w:tcPr>
          <w:p>
            <w:pPr>
              <w:spacing w:after="0"/>
              <w:rPr>
                <w:sz w:val="7"/>
                <w:szCs w:val="7"/>
                <w:color w:val="auto"/>
              </w:rPr>
            </w:pPr>
          </w:p>
        </w:tc>
        <w:tc>
          <w:tcPr>
            <w:tcW w:w="800" w:type="dxa"/>
            <w:vAlign w:val="bottom"/>
            <w:tcBorders>
              <w:bottom w:val="single" w:sz="8" w:color="B2B3B6"/>
            </w:tcBorders>
          </w:tcPr>
          <w:p>
            <w:pPr>
              <w:spacing w:after="0"/>
              <w:rPr>
                <w:sz w:val="7"/>
                <w:szCs w:val="7"/>
                <w:color w:val="auto"/>
              </w:rPr>
            </w:pPr>
          </w:p>
        </w:tc>
        <w:tc>
          <w:tcPr>
            <w:tcW w:w="760" w:type="dxa"/>
            <w:vAlign w:val="bottom"/>
            <w:tcBorders>
              <w:bottom w:val="single" w:sz="8" w:color="B2B3B6"/>
            </w:tcBorders>
          </w:tcPr>
          <w:p>
            <w:pPr>
              <w:spacing w:after="0"/>
              <w:rPr>
                <w:sz w:val="7"/>
                <w:szCs w:val="7"/>
                <w:color w:val="auto"/>
              </w:rPr>
            </w:pPr>
          </w:p>
        </w:tc>
        <w:tc>
          <w:tcPr>
            <w:tcW w:w="840" w:type="dxa"/>
            <w:vAlign w:val="bottom"/>
            <w:tcBorders>
              <w:bottom w:val="single" w:sz="8" w:color="B2B3B6"/>
            </w:tcBorders>
          </w:tcPr>
          <w:p>
            <w:pPr>
              <w:spacing w:after="0"/>
              <w:rPr>
                <w:sz w:val="7"/>
                <w:szCs w:val="7"/>
                <w:color w:val="auto"/>
              </w:rPr>
            </w:pPr>
          </w:p>
        </w:tc>
        <w:tc>
          <w:tcPr>
            <w:tcW w:w="940" w:type="dxa"/>
            <w:vAlign w:val="bottom"/>
            <w:tcBorders>
              <w:bottom w:val="single" w:sz="8" w:color="B2B3B6"/>
            </w:tcBorders>
          </w:tcPr>
          <w:p>
            <w:pPr>
              <w:spacing w:after="0"/>
              <w:rPr>
                <w:sz w:val="7"/>
                <w:szCs w:val="7"/>
                <w:color w:val="auto"/>
              </w:rPr>
            </w:pPr>
          </w:p>
        </w:tc>
        <w:tc>
          <w:tcPr>
            <w:tcW w:w="980" w:type="dxa"/>
            <w:vAlign w:val="bottom"/>
            <w:tcBorders>
              <w:bottom w:val="single" w:sz="8" w:color="B2B3B6"/>
            </w:tcBorders>
          </w:tcPr>
          <w:p>
            <w:pPr>
              <w:spacing w:after="0"/>
              <w:rPr>
                <w:sz w:val="7"/>
                <w:szCs w:val="7"/>
                <w:color w:val="auto"/>
              </w:rPr>
            </w:pPr>
          </w:p>
        </w:tc>
        <w:tc>
          <w:tcPr>
            <w:tcW w:w="900" w:type="dxa"/>
            <w:vAlign w:val="bottom"/>
            <w:tcBorders>
              <w:bottom w:val="single" w:sz="8" w:color="B2B3B6"/>
            </w:tcBorders>
          </w:tcPr>
          <w:p>
            <w:pPr>
              <w:spacing w:after="0"/>
              <w:rPr>
                <w:sz w:val="7"/>
                <w:szCs w:val="7"/>
                <w:color w:val="auto"/>
              </w:rPr>
            </w:pPr>
          </w:p>
        </w:tc>
        <w:tc>
          <w:tcPr>
            <w:tcW w:w="0" w:type="dxa"/>
            <w:vAlign w:val="bottom"/>
          </w:tcPr>
          <w:p>
            <w:pPr>
              <w:spacing w:after="0"/>
              <w:rPr>
                <w:sz w:val="1"/>
                <w:szCs w:val="1"/>
                <w:color w:val="auto"/>
              </w:rPr>
            </w:pPr>
          </w:p>
        </w:tc>
      </w:tr>
      <w:tr>
        <w:trPr>
          <w:trHeight w:val="55"/>
        </w:trPr>
        <w:tc>
          <w:tcPr>
            <w:tcW w:w="820" w:type="dxa"/>
            <w:vAlign w:val="bottom"/>
            <w:vMerge w:val="continue"/>
          </w:tcPr>
          <w:p>
            <w:pPr>
              <w:spacing w:after="0"/>
              <w:rPr>
                <w:sz w:val="4"/>
                <w:szCs w:val="4"/>
                <w:color w:val="auto"/>
              </w:rPr>
            </w:pPr>
          </w:p>
        </w:tc>
        <w:tc>
          <w:tcPr>
            <w:tcW w:w="10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840" w:type="dxa"/>
            <w:vAlign w:val="bottom"/>
          </w:tcPr>
          <w:p>
            <w:pPr>
              <w:spacing w:after="0"/>
              <w:rPr>
                <w:sz w:val="4"/>
                <w:szCs w:val="4"/>
                <w:color w:val="auto"/>
              </w:rPr>
            </w:pPr>
          </w:p>
        </w:tc>
        <w:tc>
          <w:tcPr>
            <w:tcW w:w="9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2"/>
        </w:trPr>
        <w:tc>
          <w:tcPr>
            <w:tcW w:w="820" w:type="dxa"/>
            <w:vAlign w:val="bottom"/>
          </w:tcPr>
          <w:p>
            <w:pPr>
              <w:ind w:left="140"/>
              <w:spacing w:after="0"/>
              <w:rPr>
                <w:sz w:val="20"/>
                <w:szCs w:val="20"/>
                <w:color w:val="auto"/>
              </w:rPr>
            </w:pPr>
            <w:r>
              <w:rPr>
                <w:rFonts w:ascii="Arial" w:cs="Arial" w:eastAsia="Arial" w:hAnsi="Arial"/>
                <w:sz w:val="13"/>
                <w:szCs w:val="13"/>
                <w:b w:val="1"/>
                <w:bCs w:val="1"/>
                <w:color w:val="00558C"/>
              </w:rPr>
              <w:t xml:space="preserve">Jr. </w:t>
            </w:r>
            <w:r>
              <w:rPr>
                <w:rFonts w:ascii="Arial" w:cs="Arial" w:eastAsia="Arial" w:hAnsi="Arial"/>
                <w:sz w:val="17"/>
                <w:szCs w:val="17"/>
                <w:b w:val="1"/>
                <w:bCs w:val="1"/>
                <w:color w:val="00558C"/>
                <w:vertAlign w:val="superscript"/>
              </w:rPr>
              <w:t>(7)</w:t>
            </w:r>
          </w:p>
        </w:tc>
        <w:tc>
          <w:tcPr>
            <w:tcW w:w="1020" w:type="dxa"/>
            <w:vAlign w:val="bottom"/>
          </w:tcPr>
          <w:p>
            <w:pPr>
              <w:jc w:val="right"/>
              <w:ind w:right="373"/>
              <w:spacing w:after="0"/>
              <w:rPr>
                <w:sz w:val="20"/>
                <w:szCs w:val="20"/>
                <w:color w:val="auto"/>
              </w:rPr>
            </w:pPr>
            <w:r>
              <w:rPr>
                <w:rFonts w:ascii="Arial" w:cs="Arial" w:eastAsia="Arial" w:hAnsi="Arial"/>
                <w:sz w:val="13"/>
                <w:szCs w:val="13"/>
                <w:color w:val="auto"/>
              </w:rPr>
              <w:t>3/1/2023</w:t>
            </w:r>
          </w:p>
        </w:tc>
        <w:tc>
          <w:tcPr>
            <w:tcW w:w="1080" w:type="dxa"/>
            <w:vAlign w:val="bottom"/>
          </w:tcPr>
          <w:p>
            <w:pPr>
              <w:ind w:left="440"/>
              <w:spacing w:after="0"/>
              <w:rPr>
                <w:sz w:val="20"/>
                <w:szCs w:val="20"/>
                <w:color w:val="auto"/>
              </w:rPr>
            </w:pPr>
            <w:r>
              <w:rPr>
                <w:rFonts w:ascii="Arial" w:cs="Arial" w:eastAsia="Arial" w:hAnsi="Arial"/>
                <w:sz w:val="13"/>
                <w:szCs w:val="13"/>
                <w:color w:val="auto"/>
              </w:rPr>
              <w:t>—</w:t>
            </w:r>
          </w:p>
        </w:tc>
        <w:tc>
          <w:tcPr>
            <w:tcW w:w="940" w:type="dxa"/>
            <w:vAlign w:val="bottom"/>
          </w:tcPr>
          <w:p>
            <w:pPr>
              <w:ind w:left="500"/>
              <w:spacing w:after="0"/>
              <w:rPr>
                <w:sz w:val="20"/>
                <w:szCs w:val="20"/>
                <w:color w:val="auto"/>
              </w:rPr>
            </w:pPr>
            <w:r>
              <w:rPr>
                <w:rFonts w:ascii="Arial" w:cs="Arial" w:eastAsia="Arial" w:hAnsi="Arial"/>
                <w:sz w:val="13"/>
                <w:szCs w:val="13"/>
                <w:color w:val="auto"/>
              </w:rPr>
              <w:t>—</w:t>
            </w:r>
          </w:p>
        </w:tc>
        <w:tc>
          <w:tcPr>
            <w:tcW w:w="800" w:type="dxa"/>
            <w:vAlign w:val="bottom"/>
          </w:tcPr>
          <w:p>
            <w:pPr>
              <w:ind w:left="300"/>
              <w:spacing w:after="0"/>
              <w:rPr>
                <w:sz w:val="20"/>
                <w:szCs w:val="20"/>
                <w:color w:val="auto"/>
              </w:rPr>
            </w:pPr>
            <w:r>
              <w:rPr>
                <w:rFonts w:ascii="Arial" w:cs="Arial" w:eastAsia="Arial" w:hAnsi="Arial"/>
                <w:sz w:val="13"/>
                <w:szCs w:val="13"/>
                <w:color w:val="auto"/>
              </w:rPr>
              <w:t>—</w:t>
            </w:r>
          </w:p>
        </w:tc>
        <w:tc>
          <w:tcPr>
            <w:tcW w:w="760" w:type="dxa"/>
            <w:vAlign w:val="bottom"/>
          </w:tcPr>
          <w:p>
            <w:pPr>
              <w:ind w:left="36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213"/>
              <w:spacing w:after="0"/>
              <w:rPr>
                <w:sz w:val="20"/>
                <w:szCs w:val="20"/>
                <w:color w:val="auto"/>
              </w:rPr>
            </w:pPr>
            <w:r>
              <w:rPr>
                <w:rFonts w:ascii="Arial" w:cs="Arial" w:eastAsia="Arial" w:hAnsi="Arial"/>
                <w:sz w:val="13"/>
                <w:szCs w:val="13"/>
                <w:color w:val="auto"/>
              </w:rPr>
              <w:t xml:space="preserve">3,878 </w:t>
            </w:r>
            <w:r>
              <w:rPr>
                <w:rFonts w:ascii="Arial" w:cs="Arial" w:eastAsia="Arial" w:hAnsi="Arial"/>
                <w:sz w:val="17"/>
                <w:szCs w:val="17"/>
                <w:color w:val="auto"/>
                <w:vertAlign w:val="superscript"/>
              </w:rPr>
              <w:t>(3)</w:t>
            </w:r>
          </w:p>
        </w:tc>
        <w:tc>
          <w:tcPr>
            <w:tcW w:w="900" w:type="dxa"/>
            <w:vAlign w:val="bottom"/>
          </w:tcPr>
          <w:p>
            <w:pPr>
              <w:jc w:val="right"/>
              <w:ind w:right="93"/>
              <w:spacing w:after="0"/>
              <w:rPr>
                <w:sz w:val="20"/>
                <w:szCs w:val="20"/>
                <w:color w:val="auto"/>
              </w:rPr>
            </w:pPr>
            <w:r>
              <w:rPr>
                <w:rFonts w:ascii="Arial" w:cs="Arial" w:eastAsia="Arial" w:hAnsi="Arial"/>
                <w:sz w:val="13"/>
                <w:szCs w:val="13"/>
                <w:color w:val="auto"/>
              </w:rPr>
              <w:t>481,880</w:t>
            </w:r>
          </w:p>
        </w:tc>
        <w:tc>
          <w:tcPr>
            <w:tcW w:w="0" w:type="dxa"/>
            <w:vAlign w:val="bottom"/>
          </w:tcPr>
          <w:p>
            <w:pPr>
              <w:spacing w:after="0"/>
              <w:rPr>
                <w:sz w:val="1"/>
                <w:szCs w:val="1"/>
                <w:color w:val="auto"/>
              </w:rPr>
            </w:pPr>
          </w:p>
        </w:tc>
      </w:tr>
      <w:tr>
        <w:trPr>
          <w:trHeight w:val="69"/>
        </w:trPr>
        <w:tc>
          <w:tcPr>
            <w:tcW w:w="820" w:type="dxa"/>
            <w:vAlign w:val="bottom"/>
            <w:tcBorders>
              <w:bottom w:val="single" w:sz="8" w:color="B2B3B6"/>
            </w:tcBorders>
          </w:tcPr>
          <w:p>
            <w:pPr>
              <w:spacing w:after="0"/>
              <w:rPr>
                <w:sz w:val="5"/>
                <w:szCs w:val="5"/>
                <w:color w:val="auto"/>
              </w:rPr>
            </w:pPr>
          </w:p>
        </w:tc>
        <w:tc>
          <w:tcPr>
            <w:tcW w:w="1020" w:type="dxa"/>
            <w:vAlign w:val="bottom"/>
            <w:tcBorders>
              <w:bottom w:val="single" w:sz="8" w:color="B2B3B6"/>
            </w:tcBorders>
          </w:tcPr>
          <w:p>
            <w:pPr>
              <w:spacing w:after="0"/>
              <w:rPr>
                <w:sz w:val="5"/>
                <w:szCs w:val="5"/>
                <w:color w:val="auto"/>
              </w:rPr>
            </w:pPr>
          </w:p>
        </w:tc>
        <w:tc>
          <w:tcPr>
            <w:tcW w:w="1080" w:type="dxa"/>
            <w:vAlign w:val="bottom"/>
            <w:tcBorders>
              <w:bottom w:val="single" w:sz="8" w:color="B2B3B6"/>
            </w:tcBorders>
          </w:tcPr>
          <w:p>
            <w:pPr>
              <w:spacing w:after="0"/>
              <w:rPr>
                <w:sz w:val="5"/>
                <w:szCs w:val="5"/>
                <w:color w:val="auto"/>
              </w:rPr>
            </w:pPr>
          </w:p>
        </w:tc>
        <w:tc>
          <w:tcPr>
            <w:tcW w:w="940" w:type="dxa"/>
            <w:vAlign w:val="bottom"/>
            <w:tcBorders>
              <w:bottom w:val="single" w:sz="8" w:color="B2B3B6"/>
            </w:tcBorders>
          </w:tcPr>
          <w:p>
            <w:pPr>
              <w:spacing w:after="0"/>
              <w:rPr>
                <w:sz w:val="5"/>
                <w:szCs w:val="5"/>
                <w:color w:val="auto"/>
              </w:rPr>
            </w:pPr>
          </w:p>
        </w:tc>
        <w:tc>
          <w:tcPr>
            <w:tcW w:w="800" w:type="dxa"/>
            <w:vAlign w:val="bottom"/>
            <w:tcBorders>
              <w:bottom w:val="single" w:sz="8" w:color="B2B3B6"/>
            </w:tcBorders>
          </w:tcPr>
          <w:p>
            <w:pPr>
              <w:spacing w:after="0"/>
              <w:rPr>
                <w:sz w:val="5"/>
                <w:szCs w:val="5"/>
                <w:color w:val="auto"/>
              </w:rPr>
            </w:pPr>
          </w:p>
        </w:tc>
        <w:tc>
          <w:tcPr>
            <w:tcW w:w="760" w:type="dxa"/>
            <w:vAlign w:val="bottom"/>
            <w:tcBorders>
              <w:bottom w:val="single" w:sz="8" w:color="B2B3B6"/>
            </w:tcBorders>
          </w:tcPr>
          <w:p>
            <w:pPr>
              <w:spacing w:after="0"/>
              <w:rPr>
                <w:sz w:val="5"/>
                <w:szCs w:val="5"/>
                <w:color w:val="auto"/>
              </w:rPr>
            </w:pPr>
          </w:p>
        </w:tc>
        <w:tc>
          <w:tcPr>
            <w:tcW w:w="840" w:type="dxa"/>
            <w:vAlign w:val="bottom"/>
            <w:tcBorders>
              <w:bottom w:val="single" w:sz="8" w:color="B2B3B6"/>
            </w:tcBorders>
          </w:tcPr>
          <w:p>
            <w:pPr>
              <w:spacing w:after="0"/>
              <w:rPr>
                <w:sz w:val="5"/>
                <w:szCs w:val="5"/>
                <w:color w:val="auto"/>
              </w:rPr>
            </w:pPr>
          </w:p>
        </w:tc>
        <w:tc>
          <w:tcPr>
            <w:tcW w:w="940" w:type="dxa"/>
            <w:vAlign w:val="bottom"/>
            <w:tcBorders>
              <w:bottom w:val="single" w:sz="8" w:color="B2B3B6"/>
            </w:tcBorders>
          </w:tcPr>
          <w:p>
            <w:pPr>
              <w:spacing w:after="0"/>
              <w:rPr>
                <w:sz w:val="5"/>
                <w:szCs w:val="5"/>
                <w:color w:val="auto"/>
              </w:rPr>
            </w:pPr>
          </w:p>
        </w:tc>
        <w:tc>
          <w:tcPr>
            <w:tcW w:w="980" w:type="dxa"/>
            <w:vAlign w:val="bottom"/>
            <w:tcBorders>
              <w:bottom w:val="single" w:sz="8" w:color="B2B3B6"/>
            </w:tcBorders>
          </w:tcPr>
          <w:p>
            <w:pPr>
              <w:spacing w:after="0"/>
              <w:rPr>
                <w:sz w:val="5"/>
                <w:szCs w:val="5"/>
                <w:color w:val="auto"/>
              </w:rPr>
            </w:pPr>
          </w:p>
        </w:tc>
        <w:tc>
          <w:tcPr>
            <w:tcW w:w="900" w:type="dxa"/>
            <w:vAlign w:val="bottom"/>
            <w:tcBorders>
              <w:bottom w:val="single" w:sz="8" w:color="B2B3B6"/>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420" w:right="240" w:hanging="331"/>
        <w:spacing w:after="0" w:line="281" w:lineRule="auto"/>
        <w:tabs>
          <w:tab w:leader="none" w:pos="420" w:val="left"/>
        </w:tabs>
        <w:numPr>
          <w:ilvl w:val="0"/>
          <w:numId w:val="87"/>
        </w:numPr>
        <w:rPr>
          <w:rFonts w:ascii="Arial" w:cs="Arial" w:eastAsia="Arial" w:hAnsi="Arial"/>
          <w:sz w:val="14"/>
          <w:szCs w:val="14"/>
          <w:color w:val="auto"/>
        </w:rPr>
      </w:pPr>
      <w:r>
        <w:rPr>
          <w:rFonts w:ascii="Arial" w:cs="Arial" w:eastAsia="Arial" w:hAnsi="Arial"/>
          <w:sz w:val="14"/>
          <w:szCs w:val="14"/>
          <w:color w:val="auto"/>
        </w:rPr>
        <w:t>Consists of unvested restricted stock units as of December 31, 2024 that vest 33% annually over three years from the date of grant, provided that the individual is still employed by Huron on the applicable vesting date or is eligible for retirement under the Company's equity incentive plan.</w:t>
      </w:r>
    </w:p>
    <w:p>
      <w:pPr>
        <w:spacing w:after="0" w:line="1" w:lineRule="exact"/>
        <w:rPr>
          <w:rFonts w:ascii="Arial" w:cs="Arial" w:eastAsia="Arial" w:hAnsi="Arial"/>
          <w:sz w:val="14"/>
          <w:szCs w:val="14"/>
          <w:color w:val="auto"/>
        </w:rPr>
      </w:pPr>
    </w:p>
    <w:p>
      <w:pPr>
        <w:ind w:left="420" w:right="60" w:hanging="331"/>
        <w:spacing w:after="0" w:line="301" w:lineRule="auto"/>
        <w:tabs>
          <w:tab w:leader="none" w:pos="420" w:val="left"/>
        </w:tabs>
        <w:numPr>
          <w:ilvl w:val="0"/>
          <w:numId w:val="87"/>
        </w:numPr>
        <w:rPr>
          <w:rFonts w:ascii="Arial" w:cs="Arial" w:eastAsia="Arial" w:hAnsi="Arial"/>
          <w:sz w:val="14"/>
          <w:szCs w:val="14"/>
          <w:color w:val="auto"/>
        </w:rPr>
      </w:pPr>
      <w:r>
        <w:rPr>
          <w:rFonts w:ascii="Arial" w:cs="Arial" w:eastAsia="Arial" w:hAnsi="Arial"/>
          <w:sz w:val="14"/>
          <w:szCs w:val="14"/>
          <w:color w:val="auto"/>
        </w:rPr>
        <w:t>Consists of the 2022 grant of PSUs that vest based on performance for the 2022-2024 performance period. The amount reflected in the table equals 200%, the actual amount earned. The earned amount vested on March 1, 2025.</w:t>
      </w:r>
    </w:p>
    <w:p>
      <w:pPr>
        <w:spacing w:after="0" w:line="1" w:lineRule="exact"/>
        <w:rPr>
          <w:rFonts w:ascii="Arial" w:cs="Arial" w:eastAsia="Arial" w:hAnsi="Arial"/>
          <w:sz w:val="14"/>
          <w:szCs w:val="14"/>
          <w:color w:val="auto"/>
        </w:rPr>
      </w:pPr>
    </w:p>
    <w:p>
      <w:pPr>
        <w:jc w:val="both"/>
        <w:ind w:left="420" w:right="140" w:hanging="331"/>
        <w:spacing w:after="0" w:line="269" w:lineRule="auto"/>
        <w:tabs>
          <w:tab w:leader="none" w:pos="420" w:val="left"/>
        </w:tabs>
        <w:numPr>
          <w:ilvl w:val="0"/>
          <w:numId w:val="87"/>
        </w:numPr>
        <w:rPr>
          <w:rFonts w:ascii="Arial" w:cs="Arial" w:eastAsia="Arial" w:hAnsi="Arial"/>
          <w:sz w:val="14"/>
          <w:szCs w:val="14"/>
          <w:color w:val="auto"/>
        </w:rPr>
      </w:pPr>
      <w:r>
        <w:rPr>
          <w:rFonts w:ascii="Arial" w:cs="Arial" w:eastAsia="Arial" w:hAnsi="Arial"/>
          <w:sz w:val="14"/>
          <w:szCs w:val="14"/>
          <w:color w:val="auto"/>
        </w:rPr>
        <w:t>Consists of the 2023 grant of PSUs that vest based on performance for the 2023-2025 performance period. Actual payouts may range from 0% to 200% of target, with 25% paid for threshold performance. As of December 31, 2024, it was estimated that the award would be earned at an amount between target and maximum; as such, the amount reflected in the table equals the maximum amount. Once the 2023-2025 performance period is complete, the earned award will vest in its entirety on March 1, 2026.</w:t>
      </w:r>
    </w:p>
    <w:p>
      <w:pPr>
        <w:spacing w:after="0" w:line="20" w:lineRule="exact"/>
        <w:rPr>
          <w:rFonts w:ascii="Arial" w:cs="Arial" w:eastAsia="Arial" w:hAnsi="Arial"/>
          <w:sz w:val="14"/>
          <w:szCs w:val="14"/>
          <w:color w:val="auto"/>
        </w:rPr>
      </w:pPr>
    </w:p>
    <w:p>
      <w:pPr>
        <w:ind w:left="420" w:right="80" w:hanging="331"/>
        <w:spacing w:after="0" w:line="276" w:lineRule="auto"/>
        <w:tabs>
          <w:tab w:leader="none" w:pos="420" w:val="left"/>
        </w:tabs>
        <w:numPr>
          <w:ilvl w:val="0"/>
          <w:numId w:val="87"/>
        </w:numPr>
        <w:rPr>
          <w:rFonts w:ascii="Arial" w:cs="Arial" w:eastAsia="Arial" w:hAnsi="Arial"/>
          <w:sz w:val="14"/>
          <w:szCs w:val="14"/>
          <w:color w:val="auto"/>
        </w:rPr>
      </w:pPr>
      <w:r>
        <w:rPr>
          <w:rFonts w:ascii="Arial" w:cs="Arial" w:eastAsia="Arial" w:hAnsi="Arial"/>
          <w:sz w:val="14"/>
          <w:szCs w:val="14"/>
          <w:color w:val="auto"/>
        </w:rPr>
        <w:t>Consists of the 2024 grant of PSUs that vest based on performance for the 2024-2026 performance period. Actual payouts may range from 0% to 200% of target, with 25% paid for threshold performance. The amount reflected in the table equals the target amount based on the estimated funding as of December 31, 2024. Once the 2024-2026 performance period is complete, the earned award will vest in its entirety on March 1, 2027.</w:t>
      </w:r>
    </w:p>
    <w:p>
      <w:pPr>
        <w:spacing w:after="0" w:line="1" w:lineRule="exact"/>
        <w:rPr>
          <w:rFonts w:ascii="Arial" w:cs="Arial" w:eastAsia="Arial" w:hAnsi="Arial"/>
          <w:sz w:val="14"/>
          <w:szCs w:val="14"/>
          <w:color w:val="auto"/>
        </w:rPr>
      </w:pPr>
    </w:p>
    <w:p>
      <w:pPr>
        <w:ind w:left="420" w:right="60" w:hanging="331"/>
        <w:spacing w:after="0" w:line="283" w:lineRule="auto"/>
        <w:tabs>
          <w:tab w:leader="none" w:pos="420" w:val="left"/>
        </w:tabs>
        <w:numPr>
          <w:ilvl w:val="0"/>
          <w:numId w:val="87"/>
        </w:numPr>
        <w:rPr>
          <w:rFonts w:ascii="Arial" w:cs="Arial" w:eastAsia="Arial" w:hAnsi="Arial"/>
          <w:sz w:val="14"/>
          <w:szCs w:val="14"/>
          <w:color w:val="auto"/>
        </w:rPr>
      </w:pPr>
      <w:r>
        <w:rPr>
          <w:rFonts w:ascii="Arial" w:cs="Arial" w:eastAsia="Arial" w:hAnsi="Arial"/>
          <w:sz w:val="14"/>
          <w:szCs w:val="14"/>
          <w:color w:val="auto"/>
        </w:rPr>
        <w:t>Consists of unvested restricted stock as of December 31, 2024 that vests 25% annually over four years from the date of grant, provided that the individual is still employed by Huron on the applicable vesting date or is eligible for retirement under the Company's equity incentive plan.</w:t>
      </w:r>
    </w:p>
    <w:p>
      <w:pPr>
        <w:sectPr>
          <w:pgSz w:w="11900" w:h="16838" w:orient="portrait"/>
          <w:cols w:equalWidth="0" w:num="1">
            <w:col w:w="9080"/>
          </w:cols>
          <w:pgMar w:left="1400" w:top="1296" w:right="1419" w:bottom="734" w:gutter="0" w:footer="0" w:header="0"/>
          <w:type w:val="continuous"/>
        </w:sectPr>
      </w:pPr>
    </w:p>
    <w:p>
      <w:pPr>
        <w:spacing w:after="0" w:line="380" w:lineRule="exact"/>
        <w:rPr>
          <w:sz w:val="20"/>
          <w:szCs w:val="20"/>
          <w:color w:val="auto"/>
        </w:rPr>
      </w:pPr>
    </w:p>
    <w:p>
      <w:pPr>
        <w:ind w:left="60"/>
        <w:spacing w:after="0"/>
        <w:tabs>
          <w:tab w:leader="none" w:pos="444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13"/>
          <w:szCs w:val="13"/>
          <w:b w:val="1"/>
          <w:bCs w:val="1"/>
          <w:color w:val="00558C"/>
        </w:rPr>
        <w:t>54</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420370</wp:posOffset>
            </wp:positionV>
            <wp:extent cx="6810375" cy="3162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10375" cy="316230"/>
                    </a:xfrm>
                    <a:prstGeom prst="rect">
                      <a:avLst/>
                    </a:prstGeom>
                    <a:noFill/>
                  </pic:spPr>
                </pic:pic>
              </a:graphicData>
            </a:graphic>
          </wp:anchor>
        </w:drawing>
      </w:r>
    </w:p>
    <w:p>
      <w:pPr>
        <w:sectPr>
          <w:pgSz w:w="11900" w:h="16838" w:orient="portrait"/>
          <w:cols w:equalWidth="0" w:num="1">
            <w:col w:w="9080"/>
          </w:cols>
          <w:pgMar w:left="1400" w:top="1296" w:right="1419" w:bottom="734" w:gutter="0" w:footer="0" w:header="0"/>
          <w:type w:val="continuous"/>
        </w:sectPr>
      </w:pPr>
    </w:p>
    <w:bookmarkStart w:id="57" w:name="page58"/>
    <w:bookmarkEnd w:id="57"/>
    <w:tbl>
      <w:tblPr>
        <w:tblLayout w:type="fixed"/>
        <w:tblInd w:w="60" w:type="dxa"/>
        <w:tblCellMar>
          <w:top w:w="0" w:type="dxa"/>
          <w:left w:w="0" w:type="dxa"/>
          <w:bottom w:w="0" w:type="dxa"/>
          <w:right w:w="0" w:type="dxa"/>
        </w:tblCellMar>
      </w:tblPr>
      <w:tr>
        <w:trPr>
          <w:trHeight w:val="149"/>
        </w:trPr>
        <w:tc>
          <w:tcPr>
            <w:tcW w:w="840" w:type="dxa"/>
            <w:vAlign w:val="bottom"/>
          </w:tcPr>
          <w:p>
            <w:pPr>
              <w:spacing w:after="0"/>
              <w:rPr>
                <w:sz w:val="20"/>
                <w:szCs w:val="20"/>
                <w:color w:val="auto"/>
              </w:rPr>
            </w:pPr>
            <w:r>
              <w:rPr>
                <w:rFonts w:ascii="Arial" w:cs="Arial" w:eastAsia="Arial" w:hAnsi="Arial"/>
                <w:sz w:val="13"/>
                <w:szCs w:val="13"/>
                <w:b w:val="1"/>
                <w:bCs w:val="1"/>
                <w:color w:val="B2B3B6"/>
              </w:rPr>
              <w:t>General</w:t>
            </w:r>
          </w:p>
        </w:tc>
        <w:tc>
          <w:tcPr>
            <w:tcW w:w="840" w:type="dxa"/>
            <w:vAlign w:val="bottom"/>
          </w:tcPr>
          <w:p>
            <w:pPr>
              <w:ind w:left="160"/>
              <w:spacing w:after="0"/>
              <w:rPr>
                <w:sz w:val="20"/>
                <w:szCs w:val="20"/>
                <w:color w:val="auto"/>
              </w:rPr>
            </w:pPr>
            <w:r>
              <w:rPr>
                <w:rFonts w:ascii="Arial" w:cs="Arial" w:eastAsia="Arial" w:hAnsi="Arial"/>
                <w:sz w:val="13"/>
                <w:szCs w:val="13"/>
                <w:b w:val="1"/>
                <w:bCs w:val="1"/>
                <w:color w:val="B2B3B6"/>
              </w:rPr>
              <w:t>Proposal</w:t>
            </w:r>
          </w:p>
        </w:tc>
        <w:tc>
          <w:tcPr>
            <w:tcW w:w="1020" w:type="dxa"/>
            <w:vAlign w:val="bottom"/>
          </w:tcPr>
          <w:p>
            <w:pPr>
              <w:ind w:left="160"/>
              <w:spacing w:after="0"/>
              <w:rPr>
                <w:sz w:val="20"/>
                <w:szCs w:val="20"/>
                <w:color w:val="auto"/>
              </w:rPr>
            </w:pPr>
            <w:r>
              <w:rPr>
                <w:rFonts w:ascii="Arial" w:cs="Arial" w:eastAsia="Arial" w:hAnsi="Arial"/>
                <w:sz w:val="13"/>
                <w:szCs w:val="13"/>
                <w:b w:val="1"/>
                <w:bCs w:val="1"/>
                <w:color w:val="B2B3B6"/>
              </w:rPr>
              <w:t>Corporate</w:t>
            </w:r>
          </w:p>
        </w:tc>
        <w:tc>
          <w:tcPr>
            <w:tcW w:w="920" w:type="dxa"/>
            <w:vAlign w:val="bottom"/>
          </w:tcPr>
          <w:p>
            <w:pPr>
              <w:ind w:left="140"/>
              <w:spacing w:after="0"/>
              <w:rPr>
                <w:sz w:val="20"/>
                <w:szCs w:val="20"/>
                <w:color w:val="auto"/>
              </w:rPr>
            </w:pPr>
            <w:r>
              <w:rPr>
                <w:rFonts w:ascii="Arial" w:cs="Arial" w:eastAsia="Arial" w:hAnsi="Arial"/>
                <w:sz w:val="13"/>
                <w:szCs w:val="13"/>
                <w:b w:val="1"/>
                <w:bCs w:val="1"/>
                <w:color w:val="B2B3B6"/>
              </w:rPr>
              <w:t>Proposal</w:t>
            </w:r>
          </w:p>
        </w:tc>
        <w:tc>
          <w:tcPr>
            <w:tcW w:w="1180" w:type="dxa"/>
            <w:vAlign w:val="bottom"/>
          </w:tcPr>
          <w:p>
            <w:pPr>
              <w:ind w:left="40"/>
              <w:spacing w:after="0"/>
              <w:rPr>
                <w:sz w:val="20"/>
                <w:szCs w:val="20"/>
                <w:color w:val="auto"/>
              </w:rPr>
            </w:pPr>
            <w:r>
              <w:rPr>
                <w:rFonts w:ascii="Arial" w:cs="Arial" w:eastAsia="Arial" w:hAnsi="Arial"/>
                <w:sz w:val="13"/>
                <w:szCs w:val="13"/>
                <w:b w:val="1"/>
                <w:bCs w:val="1"/>
                <w:color w:val="6AAA37"/>
              </w:rPr>
              <w:t>Executive</w:t>
            </w:r>
          </w:p>
        </w:tc>
        <w:tc>
          <w:tcPr>
            <w:tcW w:w="740" w:type="dxa"/>
            <w:vAlign w:val="bottom"/>
          </w:tcPr>
          <w:p>
            <w:pPr>
              <w:ind w:left="60"/>
              <w:spacing w:after="0"/>
              <w:rPr>
                <w:sz w:val="20"/>
                <w:szCs w:val="20"/>
                <w:color w:val="auto"/>
              </w:rPr>
            </w:pPr>
            <w:r>
              <w:rPr>
                <w:rFonts w:ascii="Arial" w:cs="Arial" w:eastAsia="Arial" w:hAnsi="Arial"/>
                <w:sz w:val="13"/>
                <w:szCs w:val="13"/>
                <w:b w:val="1"/>
                <w:bCs w:val="1"/>
                <w:color w:val="B2B3B6"/>
              </w:rPr>
              <w:t>Proposal</w:t>
            </w:r>
          </w:p>
        </w:tc>
        <w:tc>
          <w:tcPr>
            <w:tcW w:w="820" w:type="dxa"/>
            <w:vAlign w:val="bottom"/>
          </w:tcPr>
          <w:p>
            <w:pPr>
              <w:ind w:left="140"/>
              <w:spacing w:after="0"/>
              <w:rPr>
                <w:sz w:val="20"/>
                <w:szCs w:val="20"/>
                <w:color w:val="auto"/>
              </w:rPr>
            </w:pPr>
            <w:r>
              <w:rPr>
                <w:rFonts w:ascii="Arial" w:cs="Arial" w:eastAsia="Arial" w:hAnsi="Arial"/>
                <w:sz w:val="13"/>
                <w:szCs w:val="13"/>
                <w:b w:val="1"/>
                <w:bCs w:val="1"/>
                <w:color w:val="B2B3B6"/>
              </w:rPr>
              <w:t>Proposal</w:t>
            </w:r>
          </w:p>
        </w:tc>
        <w:tc>
          <w:tcPr>
            <w:tcW w:w="820" w:type="dxa"/>
            <w:vAlign w:val="bottom"/>
          </w:tcPr>
          <w:p>
            <w:pPr>
              <w:ind w:left="140"/>
              <w:spacing w:after="0"/>
              <w:rPr>
                <w:sz w:val="20"/>
                <w:szCs w:val="20"/>
                <w:color w:val="auto"/>
              </w:rPr>
            </w:pPr>
            <w:r>
              <w:rPr>
                <w:rFonts w:ascii="Arial" w:cs="Arial" w:eastAsia="Arial" w:hAnsi="Arial"/>
                <w:sz w:val="13"/>
                <w:szCs w:val="13"/>
                <w:b w:val="1"/>
                <w:bCs w:val="1"/>
                <w:color w:val="B2B3B6"/>
              </w:rPr>
              <w:t>Proposal</w:t>
            </w:r>
          </w:p>
        </w:tc>
        <w:tc>
          <w:tcPr>
            <w:tcW w:w="1020" w:type="dxa"/>
            <w:vAlign w:val="bottom"/>
          </w:tcPr>
          <w:p>
            <w:pPr>
              <w:ind w:left="140"/>
              <w:spacing w:after="0"/>
              <w:rPr>
                <w:sz w:val="20"/>
                <w:szCs w:val="20"/>
                <w:color w:val="auto"/>
              </w:rPr>
            </w:pPr>
            <w:r>
              <w:rPr>
                <w:rFonts w:ascii="Arial" w:cs="Arial" w:eastAsia="Arial" w:hAnsi="Arial"/>
                <w:sz w:val="13"/>
                <w:szCs w:val="13"/>
                <w:b w:val="1"/>
                <w:bCs w:val="1"/>
                <w:color w:val="B2B3B6"/>
              </w:rPr>
              <w:t>Stockholder</w:t>
            </w:r>
          </w:p>
        </w:tc>
        <w:tc>
          <w:tcPr>
            <w:tcW w:w="620" w:type="dxa"/>
            <w:vAlign w:val="bottom"/>
          </w:tcPr>
          <w:p>
            <w:pPr>
              <w:ind w:left="160"/>
              <w:spacing w:after="0"/>
              <w:rPr>
                <w:sz w:val="20"/>
                <w:szCs w:val="20"/>
                <w:color w:val="auto"/>
              </w:rPr>
            </w:pPr>
            <w:r>
              <w:rPr>
                <w:rFonts w:ascii="Arial" w:cs="Arial" w:eastAsia="Arial" w:hAnsi="Arial"/>
                <w:sz w:val="13"/>
                <w:szCs w:val="13"/>
                <w:b w:val="1"/>
                <w:bCs w:val="1"/>
                <w:color w:val="B2B3B6"/>
              </w:rPr>
              <w:t>Other</w:t>
            </w:r>
          </w:p>
        </w:tc>
      </w:tr>
      <w:tr>
        <w:trPr>
          <w:trHeight w:val="172"/>
        </w:trPr>
        <w:tc>
          <w:tcPr>
            <w:tcW w:w="840" w:type="dxa"/>
            <w:vAlign w:val="bottom"/>
          </w:tcPr>
          <w:p>
            <w:pPr>
              <w:spacing w:after="0"/>
              <w:rPr>
                <w:sz w:val="20"/>
                <w:szCs w:val="20"/>
                <w:color w:val="auto"/>
              </w:rPr>
            </w:pPr>
            <w:r>
              <w:rPr>
                <w:rFonts w:ascii="Arial" w:cs="Arial" w:eastAsia="Arial" w:hAnsi="Arial"/>
                <w:sz w:val="13"/>
                <w:szCs w:val="13"/>
                <w:b w:val="1"/>
                <w:bCs w:val="1"/>
                <w:color w:val="B2B3B6"/>
              </w:rPr>
              <w:t>Information</w:t>
            </w:r>
          </w:p>
        </w:tc>
        <w:tc>
          <w:tcPr>
            <w:tcW w:w="840" w:type="dxa"/>
            <w:vAlign w:val="bottom"/>
          </w:tcPr>
          <w:p>
            <w:pPr>
              <w:ind w:left="160"/>
              <w:spacing w:after="0"/>
              <w:rPr>
                <w:sz w:val="20"/>
                <w:szCs w:val="20"/>
                <w:color w:val="auto"/>
              </w:rPr>
            </w:pPr>
            <w:r>
              <w:rPr>
                <w:rFonts w:ascii="Arial" w:cs="Arial" w:eastAsia="Arial" w:hAnsi="Arial"/>
                <w:sz w:val="13"/>
                <w:szCs w:val="13"/>
                <w:b w:val="1"/>
                <w:bCs w:val="1"/>
                <w:color w:val="B2B3B6"/>
              </w:rPr>
              <w:t>One</w:t>
            </w:r>
          </w:p>
        </w:tc>
        <w:tc>
          <w:tcPr>
            <w:tcW w:w="1020" w:type="dxa"/>
            <w:vAlign w:val="bottom"/>
          </w:tcPr>
          <w:p>
            <w:pPr>
              <w:ind w:left="160"/>
              <w:spacing w:after="0"/>
              <w:rPr>
                <w:sz w:val="20"/>
                <w:szCs w:val="20"/>
                <w:color w:val="auto"/>
              </w:rPr>
            </w:pPr>
            <w:r>
              <w:rPr>
                <w:rFonts w:ascii="Arial" w:cs="Arial" w:eastAsia="Arial" w:hAnsi="Arial"/>
                <w:sz w:val="13"/>
                <w:szCs w:val="13"/>
                <w:b w:val="1"/>
                <w:bCs w:val="1"/>
                <w:color w:val="B2B3B6"/>
              </w:rPr>
              <w:t>Governance</w:t>
            </w:r>
          </w:p>
        </w:tc>
        <w:tc>
          <w:tcPr>
            <w:tcW w:w="920" w:type="dxa"/>
            <w:vAlign w:val="bottom"/>
          </w:tcPr>
          <w:p>
            <w:pPr>
              <w:ind w:left="140"/>
              <w:spacing w:after="0"/>
              <w:rPr>
                <w:sz w:val="20"/>
                <w:szCs w:val="20"/>
                <w:color w:val="auto"/>
              </w:rPr>
            </w:pPr>
            <w:r>
              <w:rPr>
                <w:rFonts w:ascii="Arial" w:cs="Arial" w:eastAsia="Arial" w:hAnsi="Arial"/>
                <w:sz w:val="13"/>
                <w:szCs w:val="13"/>
                <w:b w:val="1"/>
                <w:bCs w:val="1"/>
                <w:color w:val="B2B3B6"/>
              </w:rPr>
              <w:t>Two</w:t>
            </w:r>
          </w:p>
        </w:tc>
        <w:tc>
          <w:tcPr>
            <w:tcW w:w="1180" w:type="dxa"/>
            <w:vAlign w:val="bottom"/>
          </w:tcPr>
          <w:p>
            <w:pPr>
              <w:ind w:left="40"/>
              <w:spacing w:after="0"/>
              <w:rPr>
                <w:sz w:val="20"/>
                <w:szCs w:val="20"/>
                <w:color w:val="auto"/>
              </w:rPr>
            </w:pPr>
            <w:r>
              <w:rPr>
                <w:rFonts w:ascii="Arial" w:cs="Arial" w:eastAsia="Arial" w:hAnsi="Arial"/>
                <w:sz w:val="13"/>
                <w:szCs w:val="13"/>
                <w:b w:val="1"/>
                <w:bCs w:val="1"/>
                <w:color w:val="6AAA37"/>
              </w:rPr>
              <w:t>Compensation</w:t>
            </w:r>
          </w:p>
        </w:tc>
        <w:tc>
          <w:tcPr>
            <w:tcW w:w="740" w:type="dxa"/>
            <w:vAlign w:val="bottom"/>
          </w:tcPr>
          <w:p>
            <w:pPr>
              <w:ind w:left="60"/>
              <w:spacing w:after="0"/>
              <w:rPr>
                <w:sz w:val="20"/>
                <w:szCs w:val="20"/>
                <w:color w:val="auto"/>
              </w:rPr>
            </w:pPr>
            <w:r>
              <w:rPr>
                <w:rFonts w:ascii="Arial" w:cs="Arial" w:eastAsia="Arial" w:hAnsi="Arial"/>
                <w:sz w:val="13"/>
                <w:szCs w:val="13"/>
                <w:b w:val="1"/>
                <w:bCs w:val="1"/>
                <w:color w:val="B2B3B6"/>
              </w:rPr>
              <w:t>Three</w:t>
            </w:r>
          </w:p>
        </w:tc>
        <w:tc>
          <w:tcPr>
            <w:tcW w:w="820" w:type="dxa"/>
            <w:vAlign w:val="bottom"/>
          </w:tcPr>
          <w:p>
            <w:pPr>
              <w:ind w:left="140"/>
              <w:spacing w:after="0"/>
              <w:rPr>
                <w:sz w:val="20"/>
                <w:szCs w:val="20"/>
                <w:color w:val="auto"/>
              </w:rPr>
            </w:pPr>
            <w:r>
              <w:rPr>
                <w:rFonts w:ascii="Arial" w:cs="Arial" w:eastAsia="Arial" w:hAnsi="Arial"/>
                <w:sz w:val="13"/>
                <w:szCs w:val="13"/>
                <w:b w:val="1"/>
                <w:bCs w:val="1"/>
                <w:color w:val="B2B3B6"/>
              </w:rPr>
              <w:t>Four</w:t>
            </w:r>
          </w:p>
        </w:tc>
        <w:tc>
          <w:tcPr>
            <w:tcW w:w="820" w:type="dxa"/>
            <w:vAlign w:val="bottom"/>
          </w:tcPr>
          <w:p>
            <w:pPr>
              <w:ind w:left="140"/>
              <w:spacing w:after="0"/>
              <w:rPr>
                <w:sz w:val="20"/>
                <w:szCs w:val="20"/>
                <w:color w:val="auto"/>
              </w:rPr>
            </w:pPr>
            <w:r>
              <w:rPr>
                <w:rFonts w:ascii="Arial" w:cs="Arial" w:eastAsia="Arial" w:hAnsi="Arial"/>
                <w:sz w:val="13"/>
                <w:szCs w:val="13"/>
                <w:b w:val="1"/>
                <w:bCs w:val="1"/>
                <w:color w:val="B2B3B6"/>
              </w:rPr>
              <w:t>Five</w:t>
            </w:r>
          </w:p>
        </w:tc>
        <w:tc>
          <w:tcPr>
            <w:tcW w:w="1020" w:type="dxa"/>
            <w:vAlign w:val="bottom"/>
          </w:tcPr>
          <w:p>
            <w:pPr>
              <w:ind w:left="140"/>
              <w:spacing w:after="0"/>
              <w:rPr>
                <w:sz w:val="20"/>
                <w:szCs w:val="20"/>
                <w:color w:val="auto"/>
              </w:rPr>
            </w:pPr>
            <w:r>
              <w:rPr>
                <w:rFonts w:ascii="Arial" w:cs="Arial" w:eastAsia="Arial" w:hAnsi="Arial"/>
                <w:sz w:val="13"/>
                <w:szCs w:val="13"/>
                <w:b w:val="1"/>
                <w:bCs w:val="1"/>
                <w:color w:val="B2B3B6"/>
              </w:rPr>
              <w:t>Proposals</w:t>
            </w:r>
          </w:p>
        </w:tc>
        <w:tc>
          <w:tcPr>
            <w:tcW w:w="620" w:type="dxa"/>
            <w:vAlign w:val="bottom"/>
          </w:tcPr>
          <w:p>
            <w:pPr>
              <w:ind w:left="160"/>
              <w:spacing w:after="0"/>
              <w:rPr>
                <w:sz w:val="20"/>
                <w:szCs w:val="20"/>
                <w:color w:val="auto"/>
              </w:rPr>
            </w:pPr>
            <w:r>
              <w:rPr>
                <w:rFonts w:ascii="Arial" w:cs="Arial" w:eastAsia="Arial" w:hAnsi="Arial"/>
                <w:sz w:val="13"/>
                <w:szCs w:val="13"/>
                <w:b w:val="1"/>
                <w:bCs w:val="1"/>
                <w:color w:val="B2B3B6"/>
                <w:w w:val="95"/>
              </w:rPr>
              <w:t>Matters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-185420</wp:posOffset>
            </wp:positionV>
            <wp:extent cx="6810375" cy="85401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10375" cy="8540115"/>
                    </a:xfrm>
                    <a:prstGeom prst="rect">
                      <a:avLst/>
                    </a:prstGeom>
                    <a:noFill/>
                  </pic:spPr>
                </pic:pic>
              </a:graphicData>
            </a:graphic>
          </wp:anchor>
        </w:drawing>
      </w:r>
    </w:p>
    <w:p>
      <w:pPr>
        <w:spacing w:after="0" w:line="271" w:lineRule="exact"/>
        <w:rPr>
          <w:sz w:val="20"/>
          <w:szCs w:val="20"/>
          <w:color w:val="auto"/>
        </w:rPr>
      </w:pPr>
    </w:p>
    <w:p>
      <w:pPr>
        <w:ind w:left="420" w:hanging="331"/>
        <w:spacing w:after="0"/>
        <w:tabs>
          <w:tab w:leader="none" w:pos="420" w:val="left"/>
        </w:tabs>
        <w:numPr>
          <w:ilvl w:val="0"/>
          <w:numId w:val="88"/>
        </w:numPr>
        <w:rPr>
          <w:rFonts w:ascii="Arial" w:cs="Arial" w:eastAsia="Arial" w:hAnsi="Arial"/>
          <w:sz w:val="14"/>
          <w:szCs w:val="14"/>
          <w:color w:val="auto"/>
        </w:rPr>
      </w:pPr>
      <w:r>
        <w:rPr>
          <w:rFonts w:ascii="Arial" w:cs="Arial" w:eastAsia="Arial" w:hAnsi="Arial"/>
          <w:sz w:val="14"/>
          <w:szCs w:val="14"/>
          <w:color w:val="auto"/>
        </w:rPr>
        <w:t>Consists of the unvested PSUs and unexercised performance stock options (PSOs) granted in 2022 that were earned based on the</w:t>
      </w:r>
    </w:p>
    <w:p>
      <w:pPr>
        <w:spacing w:after="0" w:line="15" w:lineRule="exact"/>
        <w:rPr>
          <w:rFonts w:ascii="Arial" w:cs="Arial" w:eastAsia="Arial" w:hAnsi="Arial"/>
          <w:sz w:val="14"/>
          <w:szCs w:val="14"/>
          <w:color w:val="auto"/>
        </w:rPr>
      </w:pPr>
    </w:p>
    <w:p>
      <w:pPr>
        <w:jc w:val="both"/>
        <w:ind w:left="420"/>
        <w:spacing w:after="0" w:line="272" w:lineRule="auto"/>
        <w:rPr>
          <w:rFonts w:ascii="Arial" w:cs="Arial" w:eastAsia="Arial" w:hAnsi="Arial"/>
          <w:sz w:val="14"/>
          <w:szCs w:val="14"/>
          <w:color w:val="auto"/>
        </w:rPr>
      </w:pPr>
      <w:r>
        <w:rPr>
          <w:rFonts w:ascii="Arial" w:cs="Arial" w:eastAsia="Arial" w:hAnsi="Arial"/>
          <w:sz w:val="14"/>
          <w:szCs w:val="14"/>
          <w:color w:val="auto"/>
        </w:rPr>
        <w:t>2022 annual performance of the Healthcare business unit. The amount reflected in the table equals the unvested PSUs and unexercised PSOs of the earned amount. The earned awards vest 33% annually over three years from the date of grant provided the individual is still employed by Huron on the applicable vesting date.</w:t>
      </w:r>
    </w:p>
    <w:p>
      <w:pPr>
        <w:spacing w:after="0" w:line="19" w:lineRule="exact"/>
        <w:rPr>
          <w:rFonts w:ascii="Arial" w:cs="Arial" w:eastAsia="Arial" w:hAnsi="Arial"/>
          <w:sz w:val="14"/>
          <w:szCs w:val="14"/>
          <w:color w:val="auto"/>
        </w:rPr>
      </w:pPr>
    </w:p>
    <w:p>
      <w:pPr>
        <w:ind w:left="420" w:right="280" w:hanging="331"/>
        <w:spacing w:after="0" w:line="269" w:lineRule="auto"/>
        <w:tabs>
          <w:tab w:leader="none" w:pos="420" w:val="left"/>
        </w:tabs>
        <w:numPr>
          <w:ilvl w:val="0"/>
          <w:numId w:val="88"/>
        </w:numPr>
        <w:rPr>
          <w:rFonts w:ascii="Arial" w:cs="Arial" w:eastAsia="Arial" w:hAnsi="Arial"/>
          <w:sz w:val="14"/>
          <w:szCs w:val="14"/>
          <w:color w:val="auto"/>
        </w:rPr>
      </w:pPr>
      <w:r>
        <w:rPr>
          <w:rFonts w:ascii="Arial" w:cs="Arial" w:eastAsia="Arial" w:hAnsi="Arial"/>
          <w:sz w:val="14"/>
          <w:szCs w:val="14"/>
          <w:color w:val="auto"/>
        </w:rPr>
        <w:t>As provided for in Mr. Torain’s senior management agreement and the related equity grant agreements, upon departure from the Company, these PSUs remained eligible to vest based on actual performance for the full performance period, prorated for his time served during the performance period. All of Mr. Torain’s outstanding RSU grants that had not vested as of the separation date were forfeited and canceled.</w:t>
      </w:r>
    </w:p>
    <w:p>
      <w:pPr>
        <w:spacing w:after="0" w:line="163" w:lineRule="exact"/>
        <w:rPr>
          <w:sz w:val="20"/>
          <w:szCs w:val="20"/>
          <w:color w:val="auto"/>
        </w:rPr>
      </w:pPr>
    </w:p>
    <w:p>
      <w:pPr>
        <w:spacing w:after="0"/>
        <w:tabs>
          <w:tab w:leader="none" w:pos="3060" w:val="left"/>
        </w:tabs>
        <w:rPr>
          <w:sz w:val="20"/>
          <w:szCs w:val="20"/>
          <w:color w:val="auto"/>
        </w:rPr>
      </w:pPr>
      <w:r>
        <w:rPr>
          <w:rFonts w:ascii="Arial" w:cs="Arial" w:eastAsia="Arial" w:hAnsi="Arial"/>
          <w:sz w:val="22"/>
          <w:szCs w:val="22"/>
          <w:b w:val="1"/>
          <w:bCs w:val="1"/>
          <w:color w:val="00558C"/>
        </w:rPr>
        <w:t>2024 Option Exercises and</w:t>
        <w:tab/>
        <w:t>Stock Vested</w:t>
      </w:r>
    </w:p>
    <w:p>
      <w:pPr>
        <w:spacing w:after="0" w:line="112" w:lineRule="exact"/>
        <w:rPr>
          <w:sz w:val="20"/>
          <w:szCs w:val="20"/>
          <w:color w:val="auto"/>
        </w:rPr>
      </w:pPr>
    </w:p>
    <w:p>
      <w:pPr>
        <w:ind w:right="160"/>
        <w:spacing w:after="0" w:line="321" w:lineRule="auto"/>
        <w:rPr>
          <w:sz w:val="20"/>
          <w:szCs w:val="20"/>
          <w:color w:val="auto"/>
        </w:rPr>
      </w:pPr>
      <w:r>
        <w:rPr>
          <w:rFonts w:ascii="Arial" w:cs="Arial" w:eastAsia="Arial" w:hAnsi="Arial"/>
          <w:sz w:val="16"/>
          <w:szCs w:val="16"/>
          <w:color w:val="auto"/>
        </w:rPr>
        <w:t>The following table sets forth certain information concerning stock options exercised and restricted stock and restricted stock units vested during 2024 for each named executive officer.</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349"/>
        </w:trPr>
        <w:tc>
          <w:tcPr>
            <w:tcW w:w="2380" w:type="dxa"/>
            <w:vAlign w:val="bottom"/>
            <w:shd w:val="clear" w:color="auto" w:fill="00558C"/>
          </w:tcPr>
          <w:p>
            <w:pPr>
              <w:spacing w:after="0"/>
              <w:rPr>
                <w:sz w:val="24"/>
                <w:szCs w:val="24"/>
                <w:color w:val="auto"/>
              </w:rPr>
            </w:pPr>
          </w:p>
        </w:tc>
        <w:tc>
          <w:tcPr>
            <w:tcW w:w="2060" w:type="dxa"/>
            <w:vAlign w:val="bottom"/>
            <w:shd w:val="clear" w:color="auto" w:fill="00558C"/>
          </w:tcPr>
          <w:p>
            <w:pPr>
              <w:ind w:left="1040"/>
              <w:spacing w:after="0"/>
              <w:rPr>
                <w:sz w:val="20"/>
                <w:szCs w:val="20"/>
                <w:color w:val="auto"/>
              </w:rPr>
            </w:pPr>
            <w:r>
              <w:rPr>
                <w:rFonts w:ascii="Arial" w:cs="Arial" w:eastAsia="Arial" w:hAnsi="Arial"/>
                <w:sz w:val="14"/>
                <w:szCs w:val="14"/>
                <w:b w:val="1"/>
                <w:bCs w:val="1"/>
                <w:color w:val="FFFFFF"/>
              </w:rPr>
              <w:t>Option Awards</w:t>
            </w:r>
          </w:p>
        </w:tc>
        <w:tc>
          <w:tcPr>
            <w:tcW w:w="1180" w:type="dxa"/>
            <w:vAlign w:val="bottom"/>
            <w:shd w:val="clear" w:color="auto" w:fill="00558C"/>
          </w:tcPr>
          <w:p>
            <w:pPr>
              <w:spacing w:after="0"/>
              <w:rPr>
                <w:sz w:val="24"/>
                <w:szCs w:val="24"/>
                <w:color w:val="auto"/>
              </w:rPr>
            </w:pPr>
          </w:p>
        </w:tc>
        <w:tc>
          <w:tcPr>
            <w:tcW w:w="2160" w:type="dxa"/>
            <w:vAlign w:val="bottom"/>
            <w:shd w:val="clear" w:color="auto" w:fill="00558C"/>
          </w:tcPr>
          <w:p>
            <w:pPr>
              <w:jc w:val="right"/>
              <w:spacing w:after="0"/>
              <w:rPr>
                <w:sz w:val="20"/>
                <w:szCs w:val="20"/>
                <w:color w:val="auto"/>
              </w:rPr>
            </w:pPr>
            <w:r>
              <w:rPr>
                <w:rFonts w:ascii="Arial" w:cs="Arial" w:eastAsia="Arial" w:hAnsi="Arial"/>
                <w:sz w:val="14"/>
                <w:szCs w:val="14"/>
                <w:b w:val="1"/>
                <w:bCs w:val="1"/>
                <w:color w:val="FFFFFF"/>
              </w:rPr>
              <w:t>Stock Awards</w:t>
            </w:r>
          </w:p>
        </w:tc>
        <w:tc>
          <w:tcPr>
            <w:tcW w:w="1300" w:type="dxa"/>
            <w:vAlign w:val="bottom"/>
            <w:shd w:val="clear" w:color="auto" w:fill="00558C"/>
          </w:tcPr>
          <w:p>
            <w:pPr>
              <w:spacing w:after="0"/>
              <w:rPr>
                <w:sz w:val="24"/>
                <w:szCs w:val="24"/>
                <w:color w:val="auto"/>
              </w:rPr>
            </w:pPr>
          </w:p>
        </w:tc>
      </w:tr>
      <w:tr>
        <w:trPr>
          <w:trHeight w:val="465"/>
        </w:trPr>
        <w:tc>
          <w:tcPr>
            <w:tcW w:w="2380" w:type="dxa"/>
            <w:vAlign w:val="bottom"/>
            <w:shd w:val="clear" w:color="auto" w:fill="00558C"/>
          </w:tcPr>
          <w:p>
            <w:pPr>
              <w:spacing w:after="0"/>
              <w:rPr>
                <w:sz w:val="24"/>
                <w:szCs w:val="24"/>
                <w:color w:val="auto"/>
              </w:rPr>
            </w:pPr>
          </w:p>
        </w:tc>
        <w:tc>
          <w:tcPr>
            <w:tcW w:w="2060" w:type="dxa"/>
            <w:vAlign w:val="bottom"/>
            <w:shd w:val="clear" w:color="auto" w:fill="00558C"/>
          </w:tcPr>
          <w:p>
            <w:pPr>
              <w:ind w:left="200"/>
              <w:spacing w:after="0"/>
              <w:rPr>
                <w:sz w:val="20"/>
                <w:szCs w:val="20"/>
                <w:color w:val="auto"/>
              </w:rPr>
            </w:pPr>
            <w:r>
              <w:rPr>
                <w:rFonts w:ascii="Arial" w:cs="Arial" w:eastAsia="Arial" w:hAnsi="Arial"/>
                <w:sz w:val="14"/>
                <w:szCs w:val="14"/>
                <w:b w:val="1"/>
                <w:bCs w:val="1"/>
                <w:color w:val="FFFFFF"/>
              </w:rPr>
              <w:t>Number of Shares</w:t>
            </w:r>
          </w:p>
        </w:tc>
        <w:tc>
          <w:tcPr>
            <w:tcW w:w="1180" w:type="dxa"/>
            <w:vAlign w:val="bottom"/>
            <w:shd w:val="clear" w:color="auto" w:fill="00558C"/>
          </w:tcPr>
          <w:p>
            <w:pPr>
              <w:spacing w:after="0"/>
              <w:rPr>
                <w:sz w:val="24"/>
                <w:szCs w:val="24"/>
                <w:color w:val="auto"/>
              </w:rPr>
            </w:pPr>
          </w:p>
        </w:tc>
        <w:tc>
          <w:tcPr>
            <w:tcW w:w="2160" w:type="dxa"/>
            <w:vAlign w:val="bottom"/>
            <w:shd w:val="clear" w:color="auto" w:fill="00558C"/>
          </w:tcPr>
          <w:p>
            <w:pPr>
              <w:jc w:val="right"/>
              <w:ind w:right="528"/>
              <w:spacing w:after="0"/>
              <w:rPr>
                <w:sz w:val="20"/>
                <w:szCs w:val="20"/>
                <w:color w:val="auto"/>
              </w:rPr>
            </w:pPr>
            <w:r>
              <w:rPr>
                <w:rFonts w:ascii="Arial" w:cs="Arial" w:eastAsia="Arial" w:hAnsi="Arial"/>
                <w:sz w:val="14"/>
                <w:szCs w:val="14"/>
                <w:b w:val="1"/>
                <w:bCs w:val="1"/>
                <w:color w:val="FFFFFF"/>
              </w:rPr>
              <w:t>Number of Shares</w:t>
            </w:r>
          </w:p>
        </w:tc>
        <w:tc>
          <w:tcPr>
            <w:tcW w:w="1300" w:type="dxa"/>
            <w:vAlign w:val="bottom"/>
            <w:shd w:val="clear" w:color="auto" w:fill="00558C"/>
          </w:tcPr>
          <w:p>
            <w:pPr>
              <w:spacing w:after="0"/>
              <w:rPr>
                <w:sz w:val="24"/>
                <w:szCs w:val="24"/>
                <w:color w:val="auto"/>
              </w:rPr>
            </w:pPr>
          </w:p>
        </w:tc>
      </w:tr>
      <w:tr>
        <w:trPr>
          <w:trHeight w:val="162"/>
        </w:trPr>
        <w:tc>
          <w:tcPr>
            <w:tcW w:w="2380" w:type="dxa"/>
            <w:vAlign w:val="bottom"/>
            <w:shd w:val="clear" w:color="auto" w:fill="00558C"/>
          </w:tcPr>
          <w:p>
            <w:pPr>
              <w:spacing w:after="0"/>
              <w:rPr>
                <w:sz w:val="14"/>
                <w:szCs w:val="14"/>
                <w:color w:val="auto"/>
              </w:rPr>
            </w:pPr>
          </w:p>
        </w:tc>
        <w:tc>
          <w:tcPr>
            <w:tcW w:w="2060" w:type="dxa"/>
            <w:vAlign w:val="bottom"/>
            <w:shd w:val="clear" w:color="auto" w:fill="00558C"/>
          </w:tcPr>
          <w:p>
            <w:pPr>
              <w:ind w:left="880"/>
              <w:spacing w:after="0"/>
              <w:rPr>
                <w:sz w:val="20"/>
                <w:szCs w:val="20"/>
                <w:color w:val="auto"/>
              </w:rPr>
            </w:pPr>
            <w:r>
              <w:rPr>
                <w:rFonts w:ascii="Arial" w:cs="Arial" w:eastAsia="Arial" w:hAnsi="Arial"/>
                <w:sz w:val="14"/>
                <w:szCs w:val="14"/>
                <w:b w:val="1"/>
                <w:bCs w:val="1"/>
                <w:color w:val="FFFFFF"/>
              </w:rPr>
              <w:t>Acquired</w:t>
            </w:r>
          </w:p>
        </w:tc>
        <w:tc>
          <w:tcPr>
            <w:tcW w:w="1180" w:type="dxa"/>
            <w:vAlign w:val="bottom"/>
            <w:shd w:val="clear" w:color="auto" w:fill="00558C"/>
          </w:tcPr>
          <w:p>
            <w:pPr>
              <w:ind w:left="20"/>
              <w:spacing w:after="0"/>
              <w:rPr>
                <w:sz w:val="20"/>
                <w:szCs w:val="20"/>
                <w:color w:val="auto"/>
              </w:rPr>
            </w:pPr>
            <w:r>
              <w:rPr>
                <w:rFonts w:ascii="Arial" w:cs="Arial" w:eastAsia="Arial" w:hAnsi="Arial"/>
                <w:sz w:val="14"/>
                <w:szCs w:val="14"/>
                <w:b w:val="1"/>
                <w:bCs w:val="1"/>
                <w:color w:val="FFFFFF"/>
              </w:rPr>
              <w:t>Value Realized</w:t>
            </w:r>
          </w:p>
        </w:tc>
        <w:tc>
          <w:tcPr>
            <w:tcW w:w="2160" w:type="dxa"/>
            <w:vAlign w:val="bottom"/>
            <w:shd w:val="clear" w:color="auto" w:fill="00558C"/>
          </w:tcPr>
          <w:p>
            <w:pPr>
              <w:jc w:val="right"/>
              <w:ind w:right="488"/>
              <w:spacing w:after="0"/>
              <w:rPr>
                <w:sz w:val="20"/>
                <w:szCs w:val="20"/>
                <w:color w:val="auto"/>
              </w:rPr>
            </w:pPr>
            <w:r>
              <w:rPr>
                <w:rFonts w:ascii="Arial" w:cs="Arial" w:eastAsia="Arial" w:hAnsi="Arial"/>
                <w:sz w:val="14"/>
                <w:szCs w:val="14"/>
                <w:b w:val="1"/>
                <w:bCs w:val="1"/>
                <w:color w:val="FFFFFF"/>
              </w:rPr>
              <w:t>Acquired</w:t>
            </w:r>
          </w:p>
        </w:tc>
        <w:tc>
          <w:tcPr>
            <w:tcW w:w="1300" w:type="dxa"/>
            <w:vAlign w:val="bottom"/>
            <w:shd w:val="clear" w:color="auto" w:fill="00558C"/>
          </w:tcPr>
          <w:p>
            <w:pPr>
              <w:jc w:val="right"/>
              <w:ind w:right="208"/>
              <w:spacing w:after="0"/>
              <w:rPr>
                <w:sz w:val="20"/>
                <w:szCs w:val="20"/>
                <w:color w:val="auto"/>
              </w:rPr>
            </w:pPr>
            <w:r>
              <w:rPr>
                <w:rFonts w:ascii="Arial" w:cs="Arial" w:eastAsia="Arial" w:hAnsi="Arial"/>
                <w:sz w:val="14"/>
                <w:szCs w:val="14"/>
                <w:b w:val="1"/>
                <w:bCs w:val="1"/>
                <w:color w:val="FFFFFF"/>
              </w:rPr>
              <w:t>Value Realized</w:t>
            </w:r>
          </w:p>
        </w:tc>
      </w:tr>
      <w:tr>
        <w:trPr>
          <w:trHeight w:val="144"/>
        </w:trPr>
        <w:tc>
          <w:tcPr>
            <w:tcW w:w="2380" w:type="dxa"/>
            <w:vAlign w:val="bottom"/>
            <w:shd w:val="clear" w:color="auto" w:fill="00558C"/>
          </w:tcPr>
          <w:p>
            <w:pPr>
              <w:spacing w:after="0"/>
              <w:rPr>
                <w:sz w:val="12"/>
                <w:szCs w:val="12"/>
                <w:color w:val="auto"/>
              </w:rPr>
            </w:pPr>
          </w:p>
        </w:tc>
        <w:tc>
          <w:tcPr>
            <w:tcW w:w="2060" w:type="dxa"/>
            <w:vAlign w:val="bottom"/>
            <w:shd w:val="clear" w:color="auto" w:fill="00558C"/>
          </w:tcPr>
          <w:p>
            <w:pPr>
              <w:ind w:left="700"/>
              <w:spacing w:after="0" w:line="145" w:lineRule="exact"/>
              <w:rPr>
                <w:sz w:val="20"/>
                <w:szCs w:val="20"/>
                <w:color w:val="auto"/>
              </w:rPr>
            </w:pPr>
            <w:r>
              <w:rPr>
                <w:rFonts w:ascii="Arial" w:cs="Arial" w:eastAsia="Arial" w:hAnsi="Arial"/>
                <w:sz w:val="14"/>
                <w:szCs w:val="14"/>
                <w:b w:val="1"/>
                <w:bCs w:val="1"/>
                <w:color w:val="FFFFFF"/>
              </w:rPr>
              <w:t>on Exercise</w:t>
            </w:r>
          </w:p>
        </w:tc>
        <w:tc>
          <w:tcPr>
            <w:tcW w:w="1180" w:type="dxa"/>
            <w:vAlign w:val="bottom"/>
            <w:shd w:val="clear" w:color="auto" w:fill="00558C"/>
          </w:tcPr>
          <w:p>
            <w:pPr>
              <w:ind w:left="260"/>
              <w:spacing w:after="0" w:line="145" w:lineRule="exact"/>
              <w:rPr>
                <w:sz w:val="20"/>
                <w:szCs w:val="20"/>
                <w:color w:val="auto"/>
              </w:rPr>
            </w:pPr>
            <w:r>
              <w:rPr>
                <w:rFonts w:ascii="Arial" w:cs="Arial" w:eastAsia="Arial" w:hAnsi="Arial"/>
                <w:sz w:val="14"/>
                <w:szCs w:val="14"/>
                <w:b w:val="1"/>
                <w:bCs w:val="1"/>
                <w:color w:val="FFFFFF"/>
              </w:rPr>
              <w:t>on Exercise</w:t>
            </w:r>
          </w:p>
        </w:tc>
        <w:tc>
          <w:tcPr>
            <w:tcW w:w="2160" w:type="dxa"/>
            <w:vAlign w:val="bottom"/>
            <w:shd w:val="clear" w:color="auto" w:fill="00558C"/>
          </w:tcPr>
          <w:p>
            <w:pPr>
              <w:jc w:val="right"/>
              <w:ind w:right="508"/>
              <w:spacing w:after="0" w:line="145" w:lineRule="exact"/>
              <w:rPr>
                <w:sz w:val="20"/>
                <w:szCs w:val="20"/>
                <w:color w:val="auto"/>
              </w:rPr>
            </w:pPr>
            <w:r>
              <w:rPr>
                <w:rFonts w:ascii="Arial" w:cs="Arial" w:eastAsia="Arial" w:hAnsi="Arial"/>
                <w:sz w:val="14"/>
                <w:szCs w:val="14"/>
                <w:b w:val="1"/>
                <w:bCs w:val="1"/>
                <w:color w:val="FFFFFF"/>
              </w:rPr>
              <w:t>on Vesting</w:t>
            </w:r>
          </w:p>
        </w:tc>
        <w:tc>
          <w:tcPr>
            <w:tcW w:w="1300" w:type="dxa"/>
            <w:vAlign w:val="bottom"/>
            <w:shd w:val="clear" w:color="auto" w:fill="00558C"/>
          </w:tcPr>
          <w:p>
            <w:pPr>
              <w:jc w:val="right"/>
              <w:ind w:right="188"/>
              <w:spacing w:after="0" w:line="145" w:lineRule="exact"/>
              <w:rPr>
                <w:sz w:val="20"/>
                <w:szCs w:val="20"/>
                <w:color w:val="auto"/>
              </w:rPr>
            </w:pPr>
            <w:r>
              <w:rPr>
                <w:rFonts w:ascii="Arial" w:cs="Arial" w:eastAsia="Arial" w:hAnsi="Arial"/>
                <w:sz w:val="14"/>
                <w:szCs w:val="14"/>
                <w:b w:val="1"/>
                <w:bCs w:val="1"/>
                <w:color w:val="FFFFFF"/>
              </w:rPr>
              <w:t>on Vesting</w:t>
            </w:r>
          </w:p>
        </w:tc>
      </w:tr>
      <w:tr>
        <w:trPr>
          <w:trHeight w:val="243"/>
        </w:trPr>
        <w:tc>
          <w:tcPr>
            <w:tcW w:w="2380" w:type="dxa"/>
            <w:vAlign w:val="bottom"/>
            <w:shd w:val="clear" w:color="auto" w:fill="00558C"/>
          </w:tcPr>
          <w:p>
            <w:pPr>
              <w:ind w:left="140"/>
              <w:spacing w:after="0"/>
              <w:rPr>
                <w:sz w:val="20"/>
                <w:szCs w:val="20"/>
                <w:color w:val="auto"/>
              </w:rPr>
            </w:pPr>
            <w:r>
              <w:rPr>
                <w:rFonts w:ascii="Arial" w:cs="Arial" w:eastAsia="Arial" w:hAnsi="Arial"/>
                <w:sz w:val="14"/>
                <w:szCs w:val="14"/>
                <w:b w:val="1"/>
                <w:bCs w:val="1"/>
                <w:color w:val="FFFFFF"/>
              </w:rPr>
              <w:t>Name</w:t>
            </w:r>
          </w:p>
        </w:tc>
        <w:tc>
          <w:tcPr>
            <w:tcW w:w="2060" w:type="dxa"/>
            <w:vAlign w:val="bottom"/>
            <w:shd w:val="clear" w:color="auto" w:fill="00558C"/>
          </w:tcPr>
          <w:p>
            <w:pPr>
              <w:ind w:left="1360"/>
              <w:spacing w:after="0"/>
              <w:rPr>
                <w:sz w:val="20"/>
                <w:szCs w:val="20"/>
                <w:color w:val="auto"/>
              </w:rPr>
            </w:pPr>
            <w:r>
              <w:rPr>
                <w:rFonts w:ascii="Arial" w:cs="Arial" w:eastAsia="Arial" w:hAnsi="Arial"/>
                <w:sz w:val="14"/>
                <w:szCs w:val="14"/>
                <w:b w:val="1"/>
                <w:bCs w:val="1"/>
                <w:color w:val="FFFFFF"/>
              </w:rPr>
              <w:t>(#)</w:t>
            </w:r>
          </w:p>
        </w:tc>
        <w:tc>
          <w:tcPr>
            <w:tcW w:w="1180" w:type="dxa"/>
            <w:vAlign w:val="bottom"/>
            <w:shd w:val="clear" w:color="auto" w:fill="00558C"/>
          </w:tcPr>
          <w:p>
            <w:pPr>
              <w:ind w:left="920"/>
              <w:spacing w:after="0"/>
              <w:rPr>
                <w:sz w:val="20"/>
                <w:szCs w:val="20"/>
                <w:color w:val="auto"/>
              </w:rPr>
            </w:pPr>
            <w:r>
              <w:rPr>
                <w:rFonts w:ascii="Arial" w:cs="Arial" w:eastAsia="Arial" w:hAnsi="Arial"/>
                <w:sz w:val="14"/>
                <w:szCs w:val="14"/>
                <w:b w:val="1"/>
                <w:bCs w:val="1"/>
                <w:color w:val="FFFFFF"/>
              </w:rPr>
              <w:t>($)</w:t>
            </w:r>
          </w:p>
        </w:tc>
        <w:tc>
          <w:tcPr>
            <w:tcW w:w="2160" w:type="dxa"/>
            <w:vAlign w:val="bottom"/>
            <w:shd w:val="clear" w:color="auto" w:fill="00558C"/>
          </w:tcPr>
          <w:p>
            <w:pPr>
              <w:jc w:val="right"/>
              <w:ind w:right="448"/>
              <w:spacing w:after="0"/>
              <w:rPr>
                <w:sz w:val="20"/>
                <w:szCs w:val="20"/>
                <w:color w:val="auto"/>
              </w:rPr>
            </w:pPr>
            <w:r>
              <w:rPr>
                <w:rFonts w:ascii="Arial" w:cs="Arial" w:eastAsia="Arial" w:hAnsi="Arial"/>
                <w:sz w:val="14"/>
                <w:szCs w:val="14"/>
                <w:b w:val="1"/>
                <w:bCs w:val="1"/>
                <w:color w:val="FFFFFF"/>
              </w:rPr>
              <w:t>(#)</w:t>
            </w:r>
          </w:p>
        </w:tc>
        <w:tc>
          <w:tcPr>
            <w:tcW w:w="1300" w:type="dxa"/>
            <w:vAlign w:val="bottom"/>
            <w:shd w:val="clear" w:color="auto" w:fill="00558C"/>
          </w:tcPr>
          <w:p>
            <w:pPr>
              <w:jc w:val="right"/>
              <w:ind w:right="88"/>
              <w:spacing w:after="0"/>
              <w:rPr>
                <w:sz w:val="20"/>
                <w:szCs w:val="20"/>
                <w:color w:val="auto"/>
              </w:rPr>
            </w:pPr>
            <w:r>
              <w:rPr>
                <w:rFonts w:ascii="Arial" w:cs="Arial" w:eastAsia="Arial" w:hAnsi="Arial"/>
                <w:sz w:val="14"/>
                <w:szCs w:val="14"/>
                <w:b w:val="1"/>
                <w:bCs w:val="1"/>
                <w:color w:val="FFFFFF"/>
              </w:rPr>
              <w:t xml:space="preserve">($) </w:t>
            </w:r>
            <w:r>
              <w:rPr>
                <w:rFonts w:ascii="Arial" w:cs="Arial" w:eastAsia="Arial" w:hAnsi="Arial"/>
                <w:sz w:val="18"/>
                <w:szCs w:val="18"/>
                <w:b w:val="1"/>
                <w:bCs w:val="1"/>
                <w:color w:val="FFFFFF"/>
                <w:vertAlign w:val="superscript"/>
              </w:rPr>
              <w:t>(1)</w:t>
            </w:r>
          </w:p>
        </w:tc>
      </w:tr>
      <w:tr>
        <w:trPr>
          <w:trHeight w:val="108"/>
        </w:trPr>
        <w:tc>
          <w:tcPr>
            <w:tcW w:w="2380" w:type="dxa"/>
            <w:vAlign w:val="bottom"/>
            <w:shd w:val="clear" w:color="auto" w:fill="00558C"/>
          </w:tcPr>
          <w:p>
            <w:pPr>
              <w:spacing w:after="0"/>
              <w:rPr>
                <w:sz w:val="9"/>
                <w:szCs w:val="9"/>
                <w:color w:val="auto"/>
              </w:rPr>
            </w:pPr>
          </w:p>
        </w:tc>
        <w:tc>
          <w:tcPr>
            <w:tcW w:w="2060" w:type="dxa"/>
            <w:vAlign w:val="bottom"/>
            <w:shd w:val="clear" w:color="auto" w:fill="00558C"/>
          </w:tcPr>
          <w:p>
            <w:pPr>
              <w:spacing w:after="0"/>
              <w:rPr>
                <w:sz w:val="9"/>
                <w:szCs w:val="9"/>
                <w:color w:val="auto"/>
              </w:rPr>
            </w:pPr>
          </w:p>
        </w:tc>
        <w:tc>
          <w:tcPr>
            <w:tcW w:w="1180" w:type="dxa"/>
            <w:vAlign w:val="bottom"/>
            <w:shd w:val="clear" w:color="auto" w:fill="00558C"/>
          </w:tcPr>
          <w:p>
            <w:pPr>
              <w:spacing w:after="0"/>
              <w:rPr>
                <w:sz w:val="9"/>
                <w:szCs w:val="9"/>
                <w:color w:val="auto"/>
              </w:rPr>
            </w:pPr>
          </w:p>
        </w:tc>
        <w:tc>
          <w:tcPr>
            <w:tcW w:w="2160" w:type="dxa"/>
            <w:vAlign w:val="bottom"/>
            <w:shd w:val="clear" w:color="auto" w:fill="00558C"/>
          </w:tcPr>
          <w:p>
            <w:pPr>
              <w:spacing w:after="0"/>
              <w:rPr>
                <w:sz w:val="9"/>
                <w:szCs w:val="9"/>
                <w:color w:val="auto"/>
              </w:rPr>
            </w:pPr>
          </w:p>
        </w:tc>
        <w:tc>
          <w:tcPr>
            <w:tcW w:w="1300" w:type="dxa"/>
            <w:vAlign w:val="bottom"/>
            <w:shd w:val="clear" w:color="auto" w:fill="00558C"/>
          </w:tcPr>
          <w:p>
            <w:pPr>
              <w:spacing w:after="0"/>
              <w:rPr>
                <w:sz w:val="9"/>
                <w:szCs w:val="9"/>
                <w:color w:val="auto"/>
              </w:rPr>
            </w:pPr>
          </w:p>
        </w:tc>
      </w:tr>
      <w:tr>
        <w:trPr>
          <w:trHeight w:val="322"/>
        </w:trPr>
        <w:tc>
          <w:tcPr>
            <w:tcW w:w="2380" w:type="dxa"/>
            <w:vAlign w:val="bottom"/>
            <w:shd w:val="clear" w:color="auto" w:fill="F2F3F2"/>
          </w:tcPr>
          <w:p>
            <w:pPr>
              <w:ind w:left="140"/>
              <w:spacing w:after="0"/>
              <w:rPr>
                <w:sz w:val="20"/>
                <w:szCs w:val="20"/>
                <w:color w:val="auto"/>
              </w:rPr>
            </w:pPr>
            <w:r>
              <w:rPr>
                <w:rFonts w:ascii="Arial" w:cs="Arial" w:eastAsia="Arial" w:hAnsi="Arial"/>
                <w:sz w:val="14"/>
                <w:szCs w:val="14"/>
                <w:b w:val="1"/>
                <w:bCs w:val="1"/>
                <w:color w:val="00558C"/>
              </w:rPr>
              <w:t>C. Mark Hussey</w:t>
            </w:r>
          </w:p>
        </w:tc>
        <w:tc>
          <w:tcPr>
            <w:tcW w:w="2060" w:type="dxa"/>
            <w:vAlign w:val="bottom"/>
            <w:shd w:val="clear" w:color="auto" w:fill="F2F3F2"/>
          </w:tcPr>
          <w:p>
            <w:pPr>
              <w:ind w:left="1460"/>
              <w:spacing w:after="0"/>
              <w:rPr>
                <w:sz w:val="20"/>
                <w:szCs w:val="20"/>
                <w:color w:val="auto"/>
              </w:rPr>
            </w:pPr>
            <w:r>
              <w:rPr>
                <w:rFonts w:ascii="Arial" w:cs="Arial" w:eastAsia="Arial" w:hAnsi="Arial"/>
                <w:sz w:val="13"/>
                <w:szCs w:val="13"/>
                <w:color w:val="auto"/>
              </w:rPr>
              <w:t>—</w:t>
            </w:r>
          </w:p>
        </w:tc>
        <w:tc>
          <w:tcPr>
            <w:tcW w:w="1180" w:type="dxa"/>
            <w:vAlign w:val="bottom"/>
            <w:shd w:val="clear" w:color="auto" w:fill="F2F3F2"/>
          </w:tcPr>
          <w:p>
            <w:pPr>
              <w:ind w:left="1020"/>
              <w:spacing w:after="0"/>
              <w:rPr>
                <w:sz w:val="20"/>
                <w:szCs w:val="20"/>
                <w:color w:val="auto"/>
              </w:rPr>
            </w:pPr>
            <w:r>
              <w:rPr>
                <w:rFonts w:ascii="Arial" w:cs="Arial" w:eastAsia="Arial" w:hAnsi="Arial"/>
                <w:sz w:val="13"/>
                <w:szCs w:val="13"/>
                <w:color w:val="auto"/>
              </w:rPr>
              <w:t>—</w:t>
            </w:r>
          </w:p>
        </w:tc>
        <w:tc>
          <w:tcPr>
            <w:tcW w:w="2160" w:type="dxa"/>
            <w:vAlign w:val="bottom"/>
            <w:shd w:val="clear" w:color="auto" w:fill="F2F3F2"/>
          </w:tcPr>
          <w:p>
            <w:pPr>
              <w:jc w:val="right"/>
              <w:ind w:right="408"/>
              <w:spacing w:after="0"/>
              <w:rPr>
                <w:sz w:val="20"/>
                <w:szCs w:val="20"/>
                <w:color w:val="auto"/>
              </w:rPr>
            </w:pPr>
            <w:r>
              <w:rPr>
                <w:rFonts w:ascii="Arial" w:cs="Arial" w:eastAsia="Arial" w:hAnsi="Arial"/>
                <w:sz w:val="14"/>
                <w:szCs w:val="14"/>
                <w:color w:val="auto"/>
              </w:rPr>
              <w:t>39,247</w:t>
            </w:r>
          </w:p>
        </w:tc>
        <w:tc>
          <w:tcPr>
            <w:tcW w:w="1300" w:type="dxa"/>
            <w:vAlign w:val="bottom"/>
            <w:shd w:val="clear" w:color="auto" w:fill="F2F3F2"/>
          </w:tcPr>
          <w:p>
            <w:pPr>
              <w:jc w:val="right"/>
              <w:ind w:right="88"/>
              <w:spacing w:after="0"/>
              <w:rPr>
                <w:sz w:val="20"/>
                <w:szCs w:val="20"/>
                <w:color w:val="auto"/>
              </w:rPr>
            </w:pPr>
            <w:r>
              <w:rPr>
                <w:rFonts w:ascii="Arial" w:cs="Arial" w:eastAsia="Arial" w:hAnsi="Arial"/>
                <w:sz w:val="14"/>
                <w:szCs w:val="14"/>
                <w:color w:val="auto"/>
              </w:rPr>
              <w:t>3,851,308</w:t>
            </w:r>
          </w:p>
        </w:tc>
      </w:tr>
      <w:tr>
        <w:trPr>
          <w:trHeight w:val="110"/>
        </w:trPr>
        <w:tc>
          <w:tcPr>
            <w:tcW w:w="2380" w:type="dxa"/>
            <w:vAlign w:val="bottom"/>
            <w:shd w:val="clear" w:color="auto" w:fill="F2F3F2"/>
          </w:tcPr>
          <w:p>
            <w:pPr>
              <w:spacing w:after="0"/>
              <w:rPr>
                <w:sz w:val="9"/>
                <w:szCs w:val="9"/>
                <w:color w:val="auto"/>
              </w:rPr>
            </w:pPr>
          </w:p>
        </w:tc>
        <w:tc>
          <w:tcPr>
            <w:tcW w:w="2060" w:type="dxa"/>
            <w:vAlign w:val="bottom"/>
            <w:shd w:val="clear" w:color="auto" w:fill="F2F3F2"/>
          </w:tcPr>
          <w:p>
            <w:pPr>
              <w:spacing w:after="0"/>
              <w:rPr>
                <w:sz w:val="9"/>
                <w:szCs w:val="9"/>
                <w:color w:val="auto"/>
              </w:rPr>
            </w:pPr>
          </w:p>
        </w:tc>
        <w:tc>
          <w:tcPr>
            <w:tcW w:w="1180" w:type="dxa"/>
            <w:vAlign w:val="bottom"/>
            <w:shd w:val="clear" w:color="auto" w:fill="F2F3F2"/>
          </w:tcPr>
          <w:p>
            <w:pPr>
              <w:spacing w:after="0"/>
              <w:rPr>
                <w:sz w:val="9"/>
                <w:szCs w:val="9"/>
                <w:color w:val="auto"/>
              </w:rPr>
            </w:pPr>
          </w:p>
        </w:tc>
        <w:tc>
          <w:tcPr>
            <w:tcW w:w="2160" w:type="dxa"/>
            <w:vAlign w:val="bottom"/>
            <w:shd w:val="clear" w:color="auto" w:fill="F2F3F2"/>
          </w:tcPr>
          <w:p>
            <w:pPr>
              <w:spacing w:after="0"/>
              <w:rPr>
                <w:sz w:val="9"/>
                <w:szCs w:val="9"/>
                <w:color w:val="auto"/>
              </w:rPr>
            </w:pPr>
          </w:p>
        </w:tc>
        <w:tc>
          <w:tcPr>
            <w:tcW w:w="1300" w:type="dxa"/>
            <w:vAlign w:val="bottom"/>
            <w:shd w:val="clear" w:color="auto" w:fill="F2F3F2"/>
          </w:tcPr>
          <w:p>
            <w:pPr>
              <w:spacing w:after="0"/>
              <w:rPr>
                <w:sz w:val="9"/>
                <w:szCs w:val="9"/>
                <w:color w:val="auto"/>
              </w:rPr>
            </w:pPr>
          </w:p>
        </w:tc>
      </w:tr>
      <w:tr>
        <w:trPr>
          <w:trHeight w:val="336"/>
        </w:trPr>
        <w:tc>
          <w:tcPr>
            <w:tcW w:w="2380" w:type="dxa"/>
            <w:vAlign w:val="bottom"/>
          </w:tcPr>
          <w:p>
            <w:pPr>
              <w:ind w:left="140"/>
              <w:spacing w:after="0"/>
              <w:rPr>
                <w:sz w:val="20"/>
                <w:szCs w:val="20"/>
                <w:color w:val="auto"/>
              </w:rPr>
            </w:pPr>
            <w:r>
              <w:rPr>
                <w:rFonts w:ascii="Arial" w:cs="Arial" w:eastAsia="Arial" w:hAnsi="Arial"/>
                <w:sz w:val="14"/>
                <w:szCs w:val="14"/>
                <w:b w:val="1"/>
                <w:bCs w:val="1"/>
                <w:color w:val="00558C"/>
              </w:rPr>
              <w:t>John D. Kelly</w:t>
            </w:r>
          </w:p>
        </w:tc>
        <w:tc>
          <w:tcPr>
            <w:tcW w:w="2060" w:type="dxa"/>
            <w:vAlign w:val="bottom"/>
          </w:tcPr>
          <w:p>
            <w:pPr>
              <w:ind w:left="1460"/>
              <w:spacing w:after="0"/>
              <w:rPr>
                <w:sz w:val="20"/>
                <w:szCs w:val="20"/>
                <w:color w:val="auto"/>
              </w:rPr>
            </w:pPr>
            <w:r>
              <w:rPr>
                <w:rFonts w:ascii="Arial" w:cs="Arial" w:eastAsia="Arial" w:hAnsi="Arial"/>
                <w:sz w:val="13"/>
                <w:szCs w:val="13"/>
                <w:color w:val="auto"/>
              </w:rPr>
              <w:t>—</w:t>
            </w:r>
          </w:p>
        </w:tc>
        <w:tc>
          <w:tcPr>
            <w:tcW w:w="1180" w:type="dxa"/>
            <w:vAlign w:val="bottom"/>
          </w:tcPr>
          <w:p>
            <w:pPr>
              <w:ind w:left="1020"/>
              <w:spacing w:after="0"/>
              <w:rPr>
                <w:sz w:val="20"/>
                <w:szCs w:val="20"/>
                <w:color w:val="auto"/>
              </w:rPr>
            </w:pPr>
            <w:r>
              <w:rPr>
                <w:rFonts w:ascii="Arial" w:cs="Arial" w:eastAsia="Arial" w:hAnsi="Arial"/>
                <w:sz w:val="13"/>
                <w:szCs w:val="13"/>
                <w:color w:val="auto"/>
              </w:rPr>
              <w:t>—</w:t>
            </w:r>
          </w:p>
        </w:tc>
        <w:tc>
          <w:tcPr>
            <w:tcW w:w="2160" w:type="dxa"/>
            <w:vAlign w:val="bottom"/>
          </w:tcPr>
          <w:p>
            <w:pPr>
              <w:jc w:val="right"/>
              <w:ind w:right="408"/>
              <w:spacing w:after="0"/>
              <w:rPr>
                <w:sz w:val="20"/>
                <w:szCs w:val="20"/>
                <w:color w:val="auto"/>
              </w:rPr>
            </w:pPr>
            <w:r>
              <w:rPr>
                <w:rFonts w:ascii="Arial" w:cs="Arial" w:eastAsia="Arial" w:hAnsi="Arial"/>
                <w:sz w:val="14"/>
                <w:szCs w:val="14"/>
                <w:color w:val="auto"/>
              </w:rPr>
              <w:t>34,732</w:t>
            </w: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3,408,251</w:t>
            </w:r>
          </w:p>
        </w:tc>
      </w:tr>
      <w:tr>
        <w:trPr>
          <w:trHeight w:val="110"/>
        </w:trPr>
        <w:tc>
          <w:tcPr>
            <w:tcW w:w="2380" w:type="dxa"/>
            <w:vAlign w:val="bottom"/>
          </w:tcPr>
          <w:p>
            <w:pPr>
              <w:spacing w:after="0"/>
              <w:rPr>
                <w:sz w:val="9"/>
                <w:szCs w:val="9"/>
                <w:color w:val="auto"/>
              </w:rPr>
            </w:pPr>
          </w:p>
        </w:tc>
        <w:tc>
          <w:tcPr>
            <w:tcW w:w="20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300" w:type="dxa"/>
            <w:vAlign w:val="bottom"/>
          </w:tcPr>
          <w:p>
            <w:pPr>
              <w:spacing w:after="0"/>
              <w:rPr>
                <w:sz w:val="9"/>
                <w:szCs w:val="9"/>
                <w:color w:val="auto"/>
              </w:rPr>
            </w:pPr>
          </w:p>
        </w:tc>
      </w:tr>
      <w:tr>
        <w:trPr>
          <w:trHeight w:val="335"/>
        </w:trPr>
        <w:tc>
          <w:tcPr>
            <w:tcW w:w="2380" w:type="dxa"/>
            <w:vAlign w:val="bottom"/>
            <w:shd w:val="clear" w:color="auto" w:fill="F2F3F2"/>
          </w:tcPr>
          <w:p>
            <w:pPr>
              <w:ind w:left="140"/>
              <w:spacing w:after="0"/>
              <w:rPr>
                <w:sz w:val="20"/>
                <w:szCs w:val="20"/>
                <w:color w:val="auto"/>
              </w:rPr>
            </w:pPr>
            <w:r>
              <w:rPr>
                <w:rFonts w:ascii="Arial" w:cs="Arial" w:eastAsia="Arial" w:hAnsi="Arial"/>
                <w:sz w:val="14"/>
                <w:szCs w:val="14"/>
                <w:b w:val="1"/>
                <w:bCs w:val="1"/>
                <w:color w:val="00558C"/>
              </w:rPr>
              <w:t>J. Ronald Dail</w:t>
            </w:r>
          </w:p>
        </w:tc>
        <w:tc>
          <w:tcPr>
            <w:tcW w:w="2060" w:type="dxa"/>
            <w:vAlign w:val="bottom"/>
            <w:shd w:val="clear" w:color="auto" w:fill="F2F3F2"/>
          </w:tcPr>
          <w:p>
            <w:pPr>
              <w:ind w:left="1460"/>
              <w:spacing w:after="0"/>
              <w:rPr>
                <w:sz w:val="20"/>
                <w:szCs w:val="20"/>
                <w:color w:val="auto"/>
              </w:rPr>
            </w:pPr>
            <w:r>
              <w:rPr>
                <w:rFonts w:ascii="Arial" w:cs="Arial" w:eastAsia="Arial" w:hAnsi="Arial"/>
                <w:sz w:val="13"/>
                <w:szCs w:val="13"/>
                <w:color w:val="auto"/>
              </w:rPr>
              <w:t>—</w:t>
            </w:r>
          </w:p>
        </w:tc>
        <w:tc>
          <w:tcPr>
            <w:tcW w:w="1180" w:type="dxa"/>
            <w:vAlign w:val="bottom"/>
            <w:shd w:val="clear" w:color="auto" w:fill="F2F3F2"/>
          </w:tcPr>
          <w:p>
            <w:pPr>
              <w:ind w:left="1020"/>
              <w:spacing w:after="0"/>
              <w:rPr>
                <w:sz w:val="20"/>
                <w:szCs w:val="20"/>
                <w:color w:val="auto"/>
              </w:rPr>
            </w:pPr>
            <w:r>
              <w:rPr>
                <w:rFonts w:ascii="Arial" w:cs="Arial" w:eastAsia="Arial" w:hAnsi="Arial"/>
                <w:sz w:val="13"/>
                <w:szCs w:val="13"/>
                <w:color w:val="auto"/>
              </w:rPr>
              <w:t>—</w:t>
            </w:r>
          </w:p>
        </w:tc>
        <w:tc>
          <w:tcPr>
            <w:tcW w:w="2160" w:type="dxa"/>
            <w:vAlign w:val="bottom"/>
            <w:shd w:val="clear" w:color="auto" w:fill="F2F3F2"/>
          </w:tcPr>
          <w:p>
            <w:pPr>
              <w:jc w:val="right"/>
              <w:ind w:right="408"/>
              <w:spacing w:after="0"/>
              <w:rPr>
                <w:sz w:val="20"/>
                <w:szCs w:val="20"/>
                <w:color w:val="auto"/>
              </w:rPr>
            </w:pPr>
            <w:r>
              <w:rPr>
                <w:rFonts w:ascii="Arial" w:cs="Arial" w:eastAsia="Arial" w:hAnsi="Arial"/>
                <w:sz w:val="14"/>
                <w:szCs w:val="14"/>
                <w:color w:val="auto"/>
              </w:rPr>
              <w:t>7,061</w:t>
            </w:r>
          </w:p>
        </w:tc>
        <w:tc>
          <w:tcPr>
            <w:tcW w:w="1300" w:type="dxa"/>
            <w:vAlign w:val="bottom"/>
            <w:shd w:val="clear" w:color="auto" w:fill="F2F3F2"/>
          </w:tcPr>
          <w:p>
            <w:pPr>
              <w:jc w:val="right"/>
              <w:ind w:right="88"/>
              <w:spacing w:after="0"/>
              <w:rPr>
                <w:sz w:val="20"/>
                <w:szCs w:val="20"/>
                <w:color w:val="auto"/>
              </w:rPr>
            </w:pPr>
            <w:r>
              <w:rPr>
                <w:rFonts w:ascii="Arial" w:cs="Arial" w:eastAsia="Arial" w:hAnsi="Arial"/>
                <w:sz w:val="14"/>
                <w:szCs w:val="14"/>
                <w:color w:val="auto"/>
              </w:rPr>
              <w:t>692,896</w:t>
            </w:r>
          </w:p>
        </w:tc>
      </w:tr>
      <w:tr>
        <w:trPr>
          <w:trHeight w:val="110"/>
        </w:trPr>
        <w:tc>
          <w:tcPr>
            <w:tcW w:w="2380" w:type="dxa"/>
            <w:vAlign w:val="bottom"/>
            <w:shd w:val="clear" w:color="auto" w:fill="F2F3F2"/>
          </w:tcPr>
          <w:p>
            <w:pPr>
              <w:spacing w:after="0"/>
              <w:rPr>
                <w:sz w:val="9"/>
                <w:szCs w:val="9"/>
                <w:color w:val="auto"/>
              </w:rPr>
            </w:pPr>
          </w:p>
        </w:tc>
        <w:tc>
          <w:tcPr>
            <w:tcW w:w="2060" w:type="dxa"/>
            <w:vAlign w:val="bottom"/>
            <w:shd w:val="clear" w:color="auto" w:fill="F2F3F2"/>
          </w:tcPr>
          <w:p>
            <w:pPr>
              <w:spacing w:after="0"/>
              <w:rPr>
                <w:sz w:val="9"/>
                <w:szCs w:val="9"/>
                <w:color w:val="auto"/>
              </w:rPr>
            </w:pPr>
          </w:p>
        </w:tc>
        <w:tc>
          <w:tcPr>
            <w:tcW w:w="1180" w:type="dxa"/>
            <w:vAlign w:val="bottom"/>
            <w:shd w:val="clear" w:color="auto" w:fill="F2F3F2"/>
          </w:tcPr>
          <w:p>
            <w:pPr>
              <w:spacing w:after="0"/>
              <w:rPr>
                <w:sz w:val="9"/>
                <w:szCs w:val="9"/>
                <w:color w:val="auto"/>
              </w:rPr>
            </w:pPr>
          </w:p>
        </w:tc>
        <w:tc>
          <w:tcPr>
            <w:tcW w:w="2160" w:type="dxa"/>
            <w:vAlign w:val="bottom"/>
            <w:shd w:val="clear" w:color="auto" w:fill="F2F3F2"/>
          </w:tcPr>
          <w:p>
            <w:pPr>
              <w:spacing w:after="0"/>
              <w:rPr>
                <w:sz w:val="9"/>
                <w:szCs w:val="9"/>
                <w:color w:val="auto"/>
              </w:rPr>
            </w:pPr>
          </w:p>
        </w:tc>
        <w:tc>
          <w:tcPr>
            <w:tcW w:w="1300" w:type="dxa"/>
            <w:vAlign w:val="bottom"/>
            <w:shd w:val="clear" w:color="auto" w:fill="F2F3F2"/>
          </w:tcPr>
          <w:p>
            <w:pPr>
              <w:spacing w:after="0"/>
              <w:rPr>
                <w:sz w:val="9"/>
                <w:szCs w:val="9"/>
                <w:color w:val="auto"/>
              </w:rPr>
            </w:pPr>
          </w:p>
        </w:tc>
      </w:tr>
      <w:tr>
        <w:trPr>
          <w:trHeight w:val="335"/>
        </w:trPr>
        <w:tc>
          <w:tcPr>
            <w:tcW w:w="2380" w:type="dxa"/>
            <w:vAlign w:val="bottom"/>
          </w:tcPr>
          <w:p>
            <w:pPr>
              <w:ind w:left="140"/>
              <w:spacing w:after="0"/>
              <w:rPr>
                <w:sz w:val="20"/>
                <w:szCs w:val="20"/>
                <w:color w:val="auto"/>
              </w:rPr>
            </w:pPr>
            <w:r>
              <w:rPr>
                <w:rFonts w:ascii="Arial" w:cs="Arial" w:eastAsia="Arial" w:hAnsi="Arial"/>
                <w:sz w:val="14"/>
                <w:szCs w:val="14"/>
                <w:b w:val="1"/>
                <w:bCs w:val="1"/>
                <w:color w:val="00558C"/>
              </w:rPr>
              <w:t>Ernest W. Torain, Jr.</w:t>
            </w:r>
          </w:p>
        </w:tc>
        <w:tc>
          <w:tcPr>
            <w:tcW w:w="2060" w:type="dxa"/>
            <w:vAlign w:val="bottom"/>
          </w:tcPr>
          <w:p>
            <w:pPr>
              <w:ind w:left="1460"/>
              <w:spacing w:after="0"/>
              <w:rPr>
                <w:sz w:val="20"/>
                <w:szCs w:val="20"/>
                <w:color w:val="auto"/>
              </w:rPr>
            </w:pPr>
            <w:r>
              <w:rPr>
                <w:rFonts w:ascii="Arial" w:cs="Arial" w:eastAsia="Arial" w:hAnsi="Arial"/>
                <w:sz w:val="13"/>
                <w:szCs w:val="13"/>
                <w:color w:val="auto"/>
              </w:rPr>
              <w:t>—</w:t>
            </w:r>
          </w:p>
        </w:tc>
        <w:tc>
          <w:tcPr>
            <w:tcW w:w="1180" w:type="dxa"/>
            <w:vAlign w:val="bottom"/>
          </w:tcPr>
          <w:p>
            <w:pPr>
              <w:ind w:left="1020"/>
              <w:spacing w:after="0"/>
              <w:rPr>
                <w:sz w:val="20"/>
                <w:szCs w:val="20"/>
                <w:color w:val="auto"/>
              </w:rPr>
            </w:pPr>
            <w:r>
              <w:rPr>
                <w:rFonts w:ascii="Arial" w:cs="Arial" w:eastAsia="Arial" w:hAnsi="Arial"/>
                <w:sz w:val="13"/>
                <w:szCs w:val="13"/>
                <w:color w:val="auto"/>
              </w:rPr>
              <w:t>—</w:t>
            </w:r>
          </w:p>
        </w:tc>
        <w:tc>
          <w:tcPr>
            <w:tcW w:w="2160" w:type="dxa"/>
            <w:vAlign w:val="bottom"/>
          </w:tcPr>
          <w:p>
            <w:pPr>
              <w:jc w:val="right"/>
              <w:ind w:right="408"/>
              <w:spacing w:after="0"/>
              <w:rPr>
                <w:sz w:val="20"/>
                <w:szCs w:val="20"/>
                <w:color w:val="auto"/>
              </w:rPr>
            </w:pPr>
            <w:r>
              <w:rPr>
                <w:rFonts w:ascii="Arial" w:cs="Arial" w:eastAsia="Arial" w:hAnsi="Arial"/>
                <w:sz w:val="14"/>
                <w:szCs w:val="14"/>
                <w:color w:val="auto"/>
              </w:rPr>
              <w:t>9,464</w:t>
            </w: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928,702</w:t>
            </w:r>
          </w:p>
        </w:tc>
      </w:tr>
      <w:tr>
        <w:trPr>
          <w:trHeight w:val="110"/>
        </w:trPr>
        <w:tc>
          <w:tcPr>
            <w:tcW w:w="2380" w:type="dxa"/>
            <w:vAlign w:val="bottom"/>
            <w:tcBorders>
              <w:bottom w:val="single" w:sz="8" w:color="B2B3B6"/>
            </w:tcBorders>
          </w:tcPr>
          <w:p>
            <w:pPr>
              <w:spacing w:after="0"/>
              <w:rPr>
                <w:sz w:val="9"/>
                <w:szCs w:val="9"/>
                <w:color w:val="auto"/>
              </w:rPr>
            </w:pPr>
          </w:p>
        </w:tc>
        <w:tc>
          <w:tcPr>
            <w:tcW w:w="2060" w:type="dxa"/>
            <w:vAlign w:val="bottom"/>
            <w:tcBorders>
              <w:bottom w:val="single" w:sz="8" w:color="B2B3B6"/>
            </w:tcBorders>
          </w:tcPr>
          <w:p>
            <w:pPr>
              <w:spacing w:after="0"/>
              <w:rPr>
                <w:sz w:val="9"/>
                <w:szCs w:val="9"/>
                <w:color w:val="auto"/>
              </w:rPr>
            </w:pPr>
          </w:p>
        </w:tc>
        <w:tc>
          <w:tcPr>
            <w:tcW w:w="1180" w:type="dxa"/>
            <w:vAlign w:val="bottom"/>
            <w:tcBorders>
              <w:bottom w:val="single" w:sz="8" w:color="B2B3B6"/>
            </w:tcBorders>
          </w:tcPr>
          <w:p>
            <w:pPr>
              <w:spacing w:after="0"/>
              <w:rPr>
                <w:sz w:val="9"/>
                <w:szCs w:val="9"/>
                <w:color w:val="auto"/>
              </w:rPr>
            </w:pPr>
          </w:p>
        </w:tc>
        <w:tc>
          <w:tcPr>
            <w:tcW w:w="2160" w:type="dxa"/>
            <w:vAlign w:val="bottom"/>
            <w:tcBorders>
              <w:bottom w:val="single" w:sz="8" w:color="B2B3B6"/>
            </w:tcBorders>
          </w:tcPr>
          <w:p>
            <w:pPr>
              <w:spacing w:after="0"/>
              <w:rPr>
                <w:sz w:val="9"/>
                <w:szCs w:val="9"/>
                <w:color w:val="auto"/>
              </w:rPr>
            </w:pPr>
          </w:p>
        </w:tc>
        <w:tc>
          <w:tcPr>
            <w:tcW w:w="1300" w:type="dxa"/>
            <w:vAlign w:val="bottom"/>
            <w:tcBorders>
              <w:bottom w:val="single" w:sz="8" w:color="B2B3B6"/>
            </w:tcBorders>
          </w:tcPr>
          <w:p>
            <w:pPr>
              <w:spacing w:after="0"/>
              <w:rPr>
                <w:sz w:val="9"/>
                <w:szCs w:val="9"/>
                <w:color w:val="auto"/>
              </w:rPr>
            </w:pPr>
          </w:p>
        </w:tc>
      </w:tr>
    </w:tbl>
    <w:p>
      <w:pPr>
        <w:spacing w:after="0" w:line="139" w:lineRule="exact"/>
        <w:rPr>
          <w:sz w:val="20"/>
          <w:szCs w:val="20"/>
          <w:color w:val="auto"/>
        </w:rPr>
      </w:pPr>
    </w:p>
    <w:p>
      <w:pPr>
        <w:ind w:left="420" w:right="320" w:hanging="331"/>
        <w:spacing w:after="0" w:line="305" w:lineRule="auto"/>
        <w:tabs>
          <w:tab w:leader="none" w:pos="420" w:val="left"/>
        </w:tabs>
        <w:numPr>
          <w:ilvl w:val="0"/>
          <w:numId w:val="89"/>
        </w:numPr>
        <w:rPr>
          <w:rFonts w:ascii="Arial" w:cs="Arial" w:eastAsia="Arial" w:hAnsi="Arial"/>
          <w:sz w:val="14"/>
          <w:szCs w:val="14"/>
          <w:color w:val="auto"/>
        </w:rPr>
      </w:pPr>
      <w:r>
        <w:rPr>
          <w:rFonts w:ascii="Arial" w:cs="Arial" w:eastAsia="Arial" w:hAnsi="Arial"/>
          <w:sz w:val="14"/>
          <w:szCs w:val="14"/>
          <w:color w:val="auto"/>
        </w:rPr>
        <w:t>The value realized on vesting equals the number of shares received on vesting multiplied by the closing price of Huron stock on the most recent business day preceding the vesting date.</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color w:val="00558C"/>
        </w:rPr>
        <w:t>2024 Nonqualified Deferred Compensation</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deferred compensation activity for the named executive officers in 2024.</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315"/>
        </w:trPr>
        <w:tc>
          <w:tcPr>
            <w:tcW w:w="2740" w:type="dxa"/>
            <w:vAlign w:val="bottom"/>
            <w:shd w:val="clear" w:color="auto" w:fill="00558C"/>
          </w:tcPr>
          <w:p>
            <w:pPr>
              <w:spacing w:after="0"/>
              <w:rPr>
                <w:sz w:val="24"/>
                <w:szCs w:val="24"/>
                <w:color w:val="auto"/>
              </w:rPr>
            </w:pPr>
          </w:p>
        </w:tc>
        <w:tc>
          <w:tcPr>
            <w:tcW w:w="1300" w:type="dxa"/>
            <w:vAlign w:val="bottom"/>
            <w:shd w:val="clear" w:color="auto" w:fill="00558C"/>
          </w:tcPr>
          <w:p>
            <w:pPr>
              <w:spacing w:after="0"/>
              <w:rPr>
                <w:sz w:val="24"/>
                <w:szCs w:val="24"/>
                <w:color w:val="auto"/>
              </w:rPr>
            </w:pPr>
          </w:p>
        </w:tc>
        <w:tc>
          <w:tcPr>
            <w:tcW w:w="1300" w:type="dxa"/>
            <w:vAlign w:val="bottom"/>
            <w:shd w:val="clear" w:color="auto" w:fill="00558C"/>
          </w:tcPr>
          <w:p>
            <w:pPr>
              <w:spacing w:after="0"/>
              <w:rPr>
                <w:sz w:val="24"/>
                <w:szCs w:val="24"/>
                <w:color w:val="auto"/>
              </w:rPr>
            </w:pPr>
          </w:p>
        </w:tc>
        <w:tc>
          <w:tcPr>
            <w:tcW w:w="1160" w:type="dxa"/>
            <w:vAlign w:val="bottom"/>
            <w:shd w:val="clear" w:color="auto" w:fill="00558C"/>
          </w:tcPr>
          <w:p>
            <w:pPr>
              <w:spacing w:after="0"/>
              <w:rPr>
                <w:sz w:val="24"/>
                <w:szCs w:val="24"/>
                <w:color w:val="auto"/>
              </w:rPr>
            </w:pPr>
          </w:p>
        </w:tc>
        <w:tc>
          <w:tcPr>
            <w:tcW w:w="1320" w:type="dxa"/>
            <w:vAlign w:val="bottom"/>
            <w:shd w:val="clear" w:color="auto" w:fill="00558C"/>
          </w:tcPr>
          <w:p>
            <w:pPr>
              <w:jc w:val="right"/>
              <w:ind w:right="170"/>
              <w:spacing w:after="0"/>
              <w:rPr>
                <w:sz w:val="20"/>
                <w:szCs w:val="20"/>
                <w:color w:val="auto"/>
              </w:rPr>
            </w:pPr>
            <w:r>
              <w:rPr>
                <w:rFonts w:ascii="Arial" w:cs="Arial" w:eastAsia="Arial" w:hAnsi="Arial"/>
                <w:sz w:val="14"/>
                <w:szCs w:val="14"/>
                <w:b w:val="1"/>
                <w:bCs w:val="1"/>
                <w:color w:val="FFFFFF"/>
              </w:rPr>
              <w:t>Aggregate</w:t>
            </w:r>
          </w:p>
        </w:tc>
        <w:tc>
          <w:tcPr>
            <w:tcW w:w="1260" w:type="dxa"/>
            <w:vAlign w:val="bottom"/>
            <w:shd w:val="clear" w:color="auto" w:fill="00558C"/>
          </w:tcPr>
          <w:p>
            <w:pPr>
              <w:spacing w:after="0"/>
              <w:rPr>
                <w:sz w:val="24"/>
                <w:szCs w:val="24"/>
                <w:color w:val="auto"/>
              </w:rPr>
            </w:pPr>
          </w:p>
        </w:tc>
      </w:tr>
      <w:tr>
        <w:trPr>
          <w:trHeight w:val="162"/>
        </w:trPr>
        <w:tc>
          <w:tcPr>
            <w:tcW w:w="2740" w:type="dxa"/>
            <w:vAlign w:val="bottom"/>
            <w:shd w:val="clear" w:color="auto" w:fill="00558C"/>
          </w:tcPr>
          <w:p>
            <w:pPr>
              <w:spacing w:after="0"/>
              <w:rPr>
                <w:sz w:val="14"/>
                <w:szCs w:val="14"/>
                <w:color w:val="auto"/>
              </w:rPr>
            </w:pPr>
          </w:p>
        </w:tc>
        <w:tc>
          <w:tcPr>
            <w:tcW w:w="1300" w:type="dxa"/>
            <w:vAlign w:val="bottom"/>
            <w:shd w:val="clear" w:color="auto" w:fill="00558C"/>
          </w:tcPr>
          <w:p>
            <w:pPr>
              <w:jc w:val="right"/>
              <w:ind w:right="93"/>
              <w:spacing w:after="0"/>
              <w:rPr>
                <w:sz w:val="20"/>
                <w:szCs w:val="20"/>
                <w:color w:val="auto"/>
              </w:rPr>
            </w:pPr>
            <w:r>
              <w:rPr>
                <w:rFonts w:ascii="Arial" w:cs="Arial" w:eastAsia="Arial" w:hAnsi="Arial"/>
                <w:sz w:val="14"/>
                <w:szCs w:val="14"/>
                <w:b w:val="1"/>
                <w:bCs w:val="1"/>
                <w:color w:val="FFFFFF"/>
              </w:rPr>
              <w:t>Executive</w:t>
            </w:r>
          </w:p>
        </w:tc>
        <w:tc>
          <w:tcPr>
            <w:tcW w:w="1300" w:type="dxa"/>
            <w:vAlign w:val="bottom"/>
            <w:shd w:val="clear" w:color="auto" w:fill="00558C"/>
          </w:tcPr>
          <w:p>
            <w:pPr>
              <w:ind w:left="320"/>
              <w:spacing w:after="0"/>
              <w:rPr>
                <w:sz w:val="20"/>
                <w:szCs w:val="20"/>
                <w:color w:val="auto"/>
              </w:rPr>
            </w:pPr>
            <w:r>
              <w:rPr>
                <w:rFonts w:ascii="Arial" w:cs="Arial" w:eastAsia="Arial" w:hAnsi="Arial"/>
                <w:sz w:val="14"/>
                <w:szCs w:val="14"/>
                <w:b w:val="1"/>
                <w:bCs w:val="1"/>
                <w:color w:val="FFFFFF"/>
              </w:rPr>
              <w:t>Registrant</w:t>
            </w:r>
          </w:p>
        </w:tc>
        <w:tc>
          <w:tcPr>
            <w:tcW w:w="1160" w:type="dxa"/>
            <w:vAlign w:val="bottom"/>
            <w:shd w:val="clear" w:color="auto" w:fill="00558C"/>
          </w:tcPr>
          <w:p>
            <w:pPr>
              <w:ind w:left="180"/>
              <w:spacing w:after="0"/>
              <w:rPr>
                <w:sz w:val="20"/>
                <w:szCs w:val="20"/>
                <w:color w:val="auto"/>
              </w:rPr>
            </w:pPr>
            <w:r>
              <w:rPr>
                <w:rFonts w:ascii="Arial" w:cs="Arial" w:eastAsia="Arial" w:hAnsi="Arial"/>
                <w:sz w:val="14"/>
                <w:szCs w:val="14"/>
                <w:b w:val="1"/>
                <w:bCs w:val="1"/>
                <w:color w:val="FFFFFF"/>
              </w:rPr>
              <w:t>Aggregate</w:t>
            </w:r>
          </w:p>
        </w:tc>
        <w:tc>
          <w:tcPr>
            <w:tcW w:w="1320" w:type="dxa"/>
            <w:vAlign w:val="bottom"/>
            <w:shd w:val="clear" w:color="auto" w:fill="00558C"/>
          </w:tcPr>
          <w:p>
            <w:pPr>
              <w:jc w:val="right"/>
              <w:ind w:right="210"/>
              <w:spacing w:after="0"/>
              <w:rPr>
                <w:sz w:val="20"/>
                <w:szCs w:val="20"/>
                <w:color w:val="auto"/>
              </w:rPr>
            </w:pPr>
            <w:r>
              <w:rPr>
                <w:rFonts w:ascii="Arial" w:cs="Arial" w:eastAsia="Arial" w:hAnsi="Arial"/>
                <w:sz w:val="14"/>
                <w:szCs w:val="14"/>
                <w:b w:val="1"/>
                <w:bCs w:val="1"/>
                <w:color w:val="FFFFFF"/>
              </w:rPr>
              <w:t>Withdrawals/</w:t>
            </w:r>
          </w:p>
        </w:tc>
        <w:tc>
          <w:tcPr>
            <w:tcW w:w="1260" w:type="dxa"/>
            <w:vAlign w:val="bottom"/>
            <w:shd w:val="clear" w:color="auto" w:fill="00558C"/>
          </w:tcPr>
          <w:p>
            <w:pPr>
              <w:jc w:val="right"/>
              <w:ind w:right="189"/>
              <w:spacing w:after="0"/>
              <w:rPr>
                <w:sz w:val="20"/>
                <w:szCs w:val="20"/>
                <w:color w:val="auto"/>
              </w:rPr>
            </w:pPr>
            <w:r>
              <w:rPr>
                <w:rFonts w:ascii="Arial" w:cs="Arial" w:eastAsia="Arial" w:hAnsi="Arial"/>
                <w:sz w:val="14"/>
                <w:szCs w:val="14"/>
                <w:b w:val="1"/>
                <w:bCs w:val="1"/>
                <w:color w:val="FFFFFF"/>
              </w:rPr>
              <w:t>Aggregate</w:t>
            </w:r>
          </w:p>
        </w:tc>
      </w:tr>
      <w:tr>
        <w:trPr>
          <w:trHeight w:val="175"/>
        </w:trPr>
        <w:tc>
          <w:tcPr>
            <w:tcW w:w="2740" w:type="dxa"/>
            <w:vAlign w:val="bottom"/>
            <w:shd w:val="clear" w:color="auto" w:fill="00558C"/>
          </w:tcPr>
          <w:p>
            <w:pPr>
              <w:spacing w:after="0"/>
              <w:rPr>
                <w:sz w:val="15"/>
                <w:szCs w:val="15"/>
                <w:color w:val="auto"/>
              </w:rPr>
            </w:pPr>
          </w:p>
        </w:tc>
        <w:tc>
          <w:tcPr>
            <w:tcW w:w="1300" w:type="dxa"/>
            <w:vAlign w:val="bottom"/>
            <w:shd w:val="clear" w:color="auto" w:fill="00558C"/>
          </w:tcPr>
          <w:p>
            <w:pPr>
              <w:ind w:left="160"/>
              <w:spacing w:after="0"/>
              <w:rPr>
                <w:sz w:val="20"/>
                <w:szCs w:val="20"/>
                <w:color w:val="auto"/>
              </w:rPr>
            </w:pPr>
            <w:r>
              <w:rPr>
                <w:rFonts w:ascii="Arial" w:cs="Arial" w:eastAsia="Arial" w:hAnsi="Arial"/>
                <w:sz w:val="14"/>
                <w:szCs w:val="14"/>
                <w:b w:val="1"/>
                <w:bCs w:val="1"/>
                <w:color w:val="FFFFFF"/>
              </w:rPr>
              <w:t>Contributions</w:t>
            </w:r>
          </w:p>
        </w:tc>
        <w:tc>
          <w:tcPr>
            <w:tcW w:w="1300" w:type="dxa"/>
            <w:vAlign w:val="bottom"/>
            <w:shd w:val="clear" w:color="auto" w:fill="00558C"/>
          </w:tcPr>
          <w:p>
            <w:pPr>
              <w:ind w:left="60"/>
              <w:spacing w:after="0"/>
              <w:rPr>
                <w:sz w:val="20"/>
                <w:szCs w:val="20"/>
                <w:color w:val="auto"/>
              </w:rPr>
            </w:pPr>
            <w:r>
              <w:rPr>
                <w:rFonts w:ascii="Arial" w:cs="Arial" w:eastAsia="Arial" w:hAnsi="Arial"/>
                <w:sz w:val="14"/>
                <w:szCs w:val="14"/>
                <w:b w:val="1"/>
                <w:bCs w:val="1"/>
                <w:color w:val="FFFFFF"/>
              </w:rPr>
              <w:t>Contributions</w:t>
            </w:r>
          </w:p>
        </w:tc>
        <w:tc>
          <w:tcPr>
            <w:tcW w:w="1160" w:type="dxa"/>
            <w:vAlign w:val="bottom"/>
            <w:shd w:val="clear" w:color="auto" w:fill="00558C"/>
          </w:tcPr>
          <w:p>
            <w:pPr>
              <w:ind w:left="320"/>
              <w:spacing w:after="0"/>
              <w:rPr>
                <w:sz w:val="20"/>
                <w:szCs w:val="20"/>
                <w:color w:val="auto"/>
              </w:rPr>
            </w:pPr>
            <w:r>
              <w:rPr>
                <w:rFonts w:ascii="Arial" w:cs="Arial" w:eastAsia="Arial" w:hAnsi="Arial"/>
                <w:sz w:val="14"/>
                <w:szCs w:val="14"/>
                <w:b w:val="1"/>
                <w:bCs w:val="1"/>
                <w:color w:val="FFFFFF"/>
              </w:rPr>
              <w:t>Earnings</w:t>
            </w:r>
          </w:p>
        </w:tc>
        <w:tc>
          <w:tcPr>
            <w:tcW w:w="1320" w:type="dxa"/>
            <w:vAlign w:val="bottom"/>
            <w:shd w:val="clear" w:color="auto" w:fill="00558C"/>
          </w:tcPr>
          <w:p>
            <w:pPr>
              <w:jc w:val="right"/>
              <w:ind w:right="170"/>
              <w:spacing w:after="0"/>
              <w:rPr>
                <w:sz w:val="20"/>
                <w:szCs w:val="20"/>
                <w:color w:val="auto"/>
              </w:rPr>
            </w:pPr>
            <w:r>
              <w:rPr>
                <w:rFonts w:ascii="Arial" w:cs="Arial" w:eastAsia="Arial" w:hAnsi="Arial"/>
                <w:sz w:val="14"/>
                <w:szCs w:val="14"/>
                <w:b w:val="1"/>
                <w:bCs w:val="1"/>
                <w:color w:val="FFFFFF"/>
              </w:rPr>
              <w:t>Distributions</w:t>
            </w:r>
          </w:p>
        </w:tc>
        <w:tc>
          <w:tcPr>
            <w:tcW w:w="1260" w:type="dxa"/>
            <w:vAlign w:val="bottom"/>
            <w:shd w:val="clear" w:color="auto" w:fill="00558C"/>
          </w:tcPr>
          <w:p>
            <w:pPr>
              <w:jc w:val="right"/>
              <w:ind w:right="169"/>
              <w:spacing w:after="0"/>
              <w:rPr>
                <w:sz w:val="20"/>
                <w:szCs w:val="20"/>
                <w:color w:val="auto"/>
              </w:rPr>
            </w:pPr>
            <w:r>
              <w:rPr>
                <w:rFonts w:ascii="Arial" w:cs="Arial" w:eastAsia="Arial" w:hAnsi="Arial"/>
                <w:sz w:val="14"/>
                <w:szCs w:val="14"/>
                <w:b w:val="1"/>
                <w:bCs w:val="1"/>
                <w:color w:val="FFFFFF"/>
              </w:rPr>
              <w:t>Balance as of</w:t>
            </w:r>
          </w:p>
        </w:tc>
      </w:tr>
      <w:tr>
        <w:trPr>
          <w:trHeight w:val="144"/>
        </w:trPr>
        <w:tc>
          <w:tcPr>
            <w:tcW w:w="2740" w:type="dxa"/>
            <w:vAlign w:val="bottom"/>
            <w:shd w:val="clear" w:color="auto" w:fill="00558C"/>
          </w:tcPr>
          <w:p>
            <w:pPr>
              <w:spacing w:after="0"/>
              <w:rPr>
                <w:sz w:val="12"/>
                <w:szCs w:val="12"/>
                <w:color w:val="auto"/>
              </w:rPr>
            </w:pPr>
          </w:p>
        </w:tc>
        <w:tc>
          <w:tcPr>
            <w:tcW w:w="1300" w:type="dxa"/>
            <w:vAlign w:val="bottom"/>
            <w:shd w:val="clear" w:color="auto" w:fill="00558C"/>
          </w:tcPr>
          <w:p>
            <w:pPr>
              <w:jc w:val="right"/>
              <w:ind w:right="93"/>
              <w:spacing w:after="0" w:line="145" w:lineRule="exact"/>
              <w:rPr>
                <w:sz w:val="20"/>
                <w:szCs w:val="20"/>
                <w:color w:val="auto"/>
              </w:rPr>
            </w:pPr>
            <w:r>
              <w:rPr>
                <w:rFonts w:ascii="Arial" w:cs="Arial" w:eastAsia="Arial" w:hAnsi="Arial"/>
                <w:sz w:val="14"/>
                <w:szCs w:val="14"/>
                <w:b w:val="1"/>
                <w:bCs w:val="1"/>
                <w:color w:val="FFFFFF"/>
              </w:rPr>
              <w:t>in 2024</w:t>
            </w:r>
          </w:p>
        </w:tc>
        <w:tc>
          <w:tcPr>
            <w:tcW w:w="1300" w:type="dxa"/>
            <w:vAlign w:val="bottom"/>
            <w:shd w:val="clear" w:color="auto" w:fill="00558C"/>
          </w:tcPr>
          <w:p>
            <w:pPr>
              <w:ind w:left="560"/>
              <w:spacing w:after="0" w:line="145" w:lineRule="exact"/>
              <w:rPr>
                <w:sz w:val="20"/>
                <w:szCs w:val="20"/>
                <w:color w:val="auto"/>
              </w:rPr>
            </w:pPr>
            <w:r>
              <w:rPr>
                <w:rFonts w:ascii="Arial" w:cs="Arial" w:eastAsia="Arial" w:hAnsi="Arial"/>
                <w:sz w:val="14"/>
                <w:szCs w:val="14"/>
                <w:b w:val="1"/>
                <w:bCs w:val="1"/>
                <w:color w:val="FFFFFF"/>
              </w:rPr>
              <w:t>in 2024</w:t>
            </w:r>
          </w:p>
        </w:tc>
        <w:tc>
          <w:tcPr>
            <w:tcW w:w="1160" w:type="dxa"/>
            <w:vAlign w:val="bottom"/>
            <w:shd w:val="clear" w:color="auto" w:fill="00558C"/>
          </w:tcPr>
          <w:p>
            <w:pPr>
              <w:ind w:left="420"/>
              <w:spacing w:after="0" w:line="145" w:lineRule="exact"/>
              <w:rPr>
                <w:sz w:val="20"/>
                <w:szCs w:val="20"/>
                <w:color w:val="auto"/>
              </w:rPr>
            </w:pPr>
            <w:r>
              <w:rPr>
                <w:rFonts w:ascii="Arial" w:cs="Arial" w:eastAsia="Arial" w:hAnsi="Arial"/>
                <w:sz w:val="14"/>
                <w:szCs w:val="14"/>
                <w:b w:val="1"/>
                <w:bCs w:val="1"/>
                <w:color w:val="FFFFFF"/>
              </w:rPr>
              <w:t>in 2024</w:t>
            </w:r>
          </w:p>
        </w:tc>
        <w:tc>
          <w:tcPr>
            <w:tcW w:w="1320" w:type="dxa"/>
            <w:vAlign w:val="bottom"/>
            <w:shd w:val="clear" w:color="auto" w:fill="00558C"/>
          </w:tcPr>
          <w:p>
            <w:pPr>
              <w:jc w:val="right"/>
              <w:ind w:right="130"/>
              <w:spacing w:after="0" w:line="145" w:lineRule="exact"/>
              <w:rPr>
                <w:sz w:val="20"/>
                <w:szCs w:val="20"/>
                <w:color w:val="auto"/>
              </w:rPr>
            </w:pPr>
            <w:r>
              <w:rPr>
                <w:rFonts w:ascii="Arial" w:cs="Arial" w:eastAsia="Arial" w:hAnsi="Arial"/>
                <w:sz w:val="14"/>
                <w:szCs w:val="14"/>
                <w:b w:val="1"/>
                <w:bCs w:val="1"/>
                <w:color w:val="FFFFFF"/>
              </w:rPr>
              <w:t>in 2024</w:t>
            </w:r>
          </w:p>
        </w:tc>
        <w:tc>
          <w:tcPr>
            <w:tcW w:w="1260" w:type="dxa"/>
            <w:vAlign w:val="bottom"/>
            <w:shd w:val="clear" w:color="auto" w:fill="00558C"/>
          </w:tcPr>
          <w:p>
            <w:pPr>
              <w:jc w:val="right"/>
              <w:ind w:right="109"/>
              <w:spacing w:after="0" w:line="145" w:lineRule="exact"/>
              <w:rPr>
                <w:sz w:val="20"/>
                <w:szCs w:val="20"/>
                <w:color w:val="auto"/>
              </w:rPr>
            </w:pPr>
            <w:r>
              <w:rPr>
                <w:rFonts w:ascii="Arial" w:cs="Arial" w:eastAsia="Arial" w:hAnsi="Arial"/>
                <w:sz w:val="14"/>
                <w:szCs w:val="14"/>
                <w:b w:val="1"/>
                <w:bCs w:val="1"/>
                <w:color w:val="FFFFFF"/>
              </w:rPr>
              <w:t>12/31/24</w:t>
            </w:r>
          </w:p>
        </w:tc>
      </w:tr>
      <w:tr>
        <w:trPr>
          <w:trHeight w:val="243"/>
        </w:trPr>
        <w:tc>
          <w:tcPr>
            <w:tcW w:w="2740" w:type="dxa"/>
            <w:vAlign w:val="bottom"/>
            <w:shd w:val="clear" w:color="auto" w:fill="00558C"/>
          </w:tcPr>
          <w:p>
            <w:pPr>
              <w:ind w:left="140"/>
              <w:spacing w:after="0"/>
              <w:rPr>
                <w:sz w:val="20"/>
                <w:szCs w:val="20"/>
                <w:color w:val="auto"/>
              </w:rPr>
            </w:pPr>
            <w:r>
              <w:rPr>
                <w:rFonts w:ascii="Arial" w:cs="Arial" w:eastAsia="Arial" w:hAnsi="Arial"/>
                <w:sz w:val="14"/>
                <w:szCs w:val="14"/>
                <w:b w:val="1"/>
                <w:bCs w:val="1"/>
                <w:color w:val="FFFFFF"/>
              </w:rPr>
              <w:t>Name</w:t>
            </w:r>
          </w:p>
        </w:tc>
        <w:tc>
          <w:tcPr>
            <w:tcW w:w="1300" w:type="dxa"/>
            <w:vAlign w:val="bottom"/>
            <w:shd w:val="clear" w:color="auto" w:fill="00558C"/>
          </w:tcPr>
          <w:p>
            <w:pPr>
              <w:jc w:val="right"/>
              <w:ind w:right="13"/>
              <w:spacing w:after="0" w:line="243" w:lineRule="exact"/>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9"/>
                <w:szCs w:val="9"/>
                <w:b w:val="1"/>
                <w:bCs w:val="1"/>
                <w:color w:val="FFFFFF"/>
              </w:rPr>
              <w:t xml:space="preserve"> (1)</w:t>
            </w:r>
          </w:p>
        </w:tc>
        <w:tc>
          <w:tcPr>
            <w:tcW w:w="1300" w:type="dxa"/>
            <w:vAlign w:val="bottom"/>
            <w:shd w:val="clear" w:color="auto" w:fill="00558C"/>
          </w:tcPr>
          <w:p>
            <w:pPr>
              <w:ind w:left="920"/>
              <w:spacing w:after="0"/>
              <w:rPr>
                <w:sz w:val="20"/>
                <w:szCs w:val="20"/>
                <w:color w:val="auto"/>
              </w:rPr>
            </w:pPr>
            <w:r>
              <w:rPr>
                <w:rFonts w:ascii="Arial" w:cs="Arial" w:eastAsia="Arial" w:hAnsi="Arial"/>
                <w:sz w:val="14"/>
                <w:szCs w:val="14"/>
                <w:b w:val="1"/>
                <w:bCs w:val="1"/>
                <w:color w:val="FFFFFF"/>
              </w:rPr>
              <w:t>($)</w:t>
            </w:r>
          </w:p>
        </w:tc>
        <w:tc>
          <w:tcPr>
            <w:tcW w:w="1160" w:type="dxa"/>
            <w:vAlign w:val="bottom"/>
            <w:shd w:val="clear" w:color="auto" w:fill="00558C"/>
          </w:tcPr>
          <w:p>
            <w:pPr>
              <w:jc w:val="right"/>
              <w:ind w:right="113"/>
              <w:spacing w:after="0" w:line="243" w:lineRule="exact"/>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9"/>
                <w:szCs w:val="9"/>
                <w:b w:val="1"/>
                <w:bCs w:val="1"/>
                <w:color w:val="FFFFFF"/>
              </w:rPr>
              <w:t xml:space="preserve"> (2)</w:t>
            </w:r>
          </w:p>
        </w:tc>
        <w:tc>
          <w:tcPr>
            <w:tcW w:w="1320" w:type="dxa"/>
            <w:vAlign w:val="bottom"/>
            <w:shd w:val="clear" w:color="auto" w:fill="00558C"/>
          </w:tcPr>
          <w:p>
            <w:pPr>
              <w:jc w:val="right"/>
              <w:ind w:right="90"/>
              <w:spacing w:after="0"/>
              <w:rPr>
                <w:sz w:val="20"/>
                <w:szCs w:val="20"/>
                <w:color w:val="auto"/>
              </w:rPr>
            </w:pPr>
            <w:r>
              <w:rPr>
                <w:rFonts w:ascii="Arial" w:cs="Arial" w:eastAsia="Arial" w:hAnsi="Arial"/>
                <w:sz w:val="14"/>
                <w:szCs w:val="14"/>
                <w:b w:val="1"/>
                <w:bCs w:val="1"/>
                <w:color w:val="FFFFFF"/>
              </w:rPr>
              <w:t>($)</w:t>
            </w:r>
          </w:p>
        </w:tc>
        <w:tc>
          <w:tcPr>
            <w:tcW w:w="1260" w:type="dxa"/>
            <w:vAlign w:val="bottom"/>
            <w:shd w:val="clear" w:color="auto" w:fill="00558C"/>
          </w:tcPr>
          <w:p>
            <w:pPr>
              <w:jc w:val="right"/>
              <w:ind w:right="109"/>
              <w:spacing w:after="0"/>
              <w:rPr>
                <w:sz w:val="20"/>
                <w:szCs w:val="20"/>
                <w:color w:val="auto"/>
              </w:rPr>
            </w:pPr>
            <w:r>
              <w:rPr>
                <w:rFonts w:ascii="Arial" w:cs="Arial" w:eastAsia="Arial" w:hAnsi="Arial"/>
                <w:sz w:val="14"/>
                <w:szCs w:val="14"/>
                <w:b w:val="1"/>
                <w:bCs w:val="1"/>
                <w:color w:val="FFFFFF"/>
              </w:rPr>
              <w:t>($)</w:t>
            </w:r>
          </w:p>
        </w:tc>
      </w:tr>
      <w:tr>
        <w:trPr>
          <w:trHeight w:val="95"/>
        </w:trPr>
        <w:tc>
          <w:tcPr>
            <w:tcW w:w="2740" w:type="dxa"/>
            <w:vAlign w:val="bottom"/>
            <w:shd w:val="clear" w:color="auto" w:fill="00558C"/>
          </w:tcPr>
          <w:p>
            <w:pPr>
              <w:spacing w:after="0"/>
              <w:rPr>
                <w:sz w:val="8"/>
                <w:szCs w:val="8"/>
                <w:color w:val="auto"/>
              </w:rPr>
            </w:pPr>
          </w:p>
        </w:tc>
        <w:tc>
          <w:tcPr>
            <w:tcW w:w="1300" w:type="dxa"/>
            <w:vAlign w:val="bottom"/>
            <w:shd w:val="clear" w:color="auto" w:fill="00558C"/>
          </w:tcPr>
          <w:p>
            <w:pPr>
              <w:spacing w:after="0"/>
              <w:rPr>
                <w:sz w:val="8"/>
                <w:szCs w:val="8"/>
                <w:color w:val="auto"/>
              </w:rPr>
            </w:pPr>
          </w:p>
        </w:tc>
        <w:tc>
          <w:tcPr>
            <w:tcW w:w="1300" w:type="dxa"/>
            <w:vAlign w:val="bottom"/>
            <w:shd w:val="clear" w:color="auto" w:fill="00558C"/>
          </w:tcPr>
          <w:p>
            <w:pPr>
              <w:spacing w:after="0"/>
              <w:rPr>
                <w:sz w:val="8"/>
                <w:szCs w:val="8"/>
                <w:color w:val="auto"/>
              </w:rPr>
            </w:pPr>
          </w:p>
        </w:tc>
        <w:tc>
          <w:tcPr>
            <w:tcW w:w="1160" w:type="dxa"/>
            <w:vAlign w:val="bottom"/>
            <w:shd w:val="clear" w:color="auto" w:fill="00558C"/>
          </w:tcPr>
          <w:p>
            <w:pPr>
              <w:spacing w:after="0"/>
              <w:rPr>
                <w:sz w:val="8"/>
                <w:szCs w:val="8"/>
                <w:color w:val="auto"/>
              </w:rPr>
            </w:pPr>
          </w:p>
        </w:tc>
        <w:tc>
          <w:tcPr>
            <w:tcW w:w="1320" w:type="dxa"/>
            <w:vAlign w:val="bottom"/>
            <w:shd w:val="clear" w:color="auto" w:fill="00558C"/>
          </w:tcPr>
          <w:p>
            <w:pPr>
              <w:spacing w:after="0"/>
              <w:rPr>
                <w:sz w:val="8"/>
                <w:szCs w:val="8"/>
                <w:color w:val="auto"/>
              </w:rPr>
            </w:pPr>
          </w:p>
        </w:tc>
        <w:tc>
          <w:tcPr>
            <w:tcW w:w="1260" w:type="dxa"/>
            <w:vAlign w:val="bottom"/>
            <w:shd w:val="clear" w:color="auto" w:fill="00558C"/>
          </w:tcPr>
          <w:p>
            <w:pPr>
              <w:spacing w:after="0"/>
              <w:rPr>
                <w:sz w:val="8"/>
                <w:szCs w:val="8"/>
                <w:color w:val="auto"/>
              </w:rPr>
            </w:pPr>
          </w:p>
        </w:tc>
      </w:tr>
      <w:tr>
        <w:trPr>
          <w:trHeight w:val="335"/>
        </w:trPr>
        <w:tc>
          <w:tcPr>
            <w:tcW w:w="2740" w:type="dxa"/>
            <w:vAlign w:val="bottom"/>
            <w:shd w:val="clear" w:color="auto" w:fill="F2F3F2"/>
          </w:tcPr>
          <w:p>
            <w:pPr>
              <w:ind w:left="140"/>
              <w:spacing w:after="0"/>
              <w:rPr>
                <w:sz w:val="20"/>
                <w:szCs w:val="20"/>
                <w:color w:val="auto"/>
              </w:rPr>
            </w:pPr>
            <w:r>
              <w:rPr>
                <w:rFonts w:ascii="Arial" w:cs="Arial" w:eastAsia="Arial" w:hAnsi="Arial"/>
                <w:sz w:val="14"/>
                <w:szCs w:val="14"/>
                <w:b w:val="1"/>
                <w:bCs w:val="1"/>
                <w:color w:val="00558C"/>
              </w:rPr>
              <w:t>C. Mark Hussey</w:t>
            </w:r>
          </w:p>
        </w:tc>
        <w:tc>
          <w:tcPr>
            <w:tcW w:w="1300" w:type="dxa"/>
            <w:vAlign w:val="bottom"/>
            <w:shd w:val="clear" w:color="auto" w:fill="F2F3F2"/>
          </w:tcPr>
          <w:p>
            <w:pPr>
              <w:ind w:left="1100"/>
              <w:spacing w:after="0"/>
              <w:rPr>
                <w:sz w:val="20"/>
                <w:szCs w:val="20"/>
                <w:color w:val="auto"/>
              </w:rPr>
            </w:pPr>
            <w:r>
              <w:rPr>
                <w:rFonts w:ascii="Arial" w:cs="Arial" w:eastAsia="Arial" w:hAnsi="Arial"/>
                <w:sz w:val="13"/>
                <w:szCs w:val="13"/>
                <w:color w:val="auto"/>
              </w:rPr>
              <w:t>—</w:t>
            </w:r>
          </w:p>
        </w:tc>
        <w:tc>
          <w:tcPr>
            <w:tcW w:w="1300" w:type="dxa"/>
            <w:vAlign w:val="bottom"/>
            <w:shd w:val="clear" w:color="auto" w:fill="F2F3F2"/>
          </w:tcPr>
          <w:p>
            <w:pPr>
              <w:ind w:left="1000"/>
              <w:spacing w:after="0"/>
              <w:rPr>
                <w:sz w:val="20"/>
                <w:szCs w:val="20"/>
                <w:color w:val="auto"/>
              </w:rPr>
            </w:pPr>
            <w:r>
              <w:rPr>
                <w:rFonts w:ascii="Arial" w:cs="Arial" w:eastAsia="Arial" w:hAnsi="Arial"/>
                <w:sz w:val="13"/>
                <w:szCs w:val="13"/>
                <w:color w:val="auto"/>
              </w:rPr>
              <w:t>—</w:t>
            </w:r>
          </w:p>
        </w:tc>
        <w:tc>
          <w:tcPr>
            <w:tcW w:w="1160" w:type="dxa"/>
            <w:vAlign w:val="bottom"/>
            <w:shd w:val="clear" w:color="auto" w:fill="F2F3F2"/>
          </w:tcPr>
          <w:p>
            <w:pPr>
              <w:jc w:val="right"/>
              <w:ind w:right="113"/>
              <w:spacing w:after="0"/>
              <w:rPr>
                <w:sz w:val="20"/>
                <w:szCs w:val="20"/>
                <w:color w:val="auto"/>
              </w:rPr>
            </w:pPr>
            <w:r>
              <w:rPr>
                <w:rFonts w:ascii="Arial" w:cs="Arial" w:eastAsia="Arial" w:hAnsi="Arial"/>
                <w:sz w:val="14"/>
                <w:szCs w:val="14"/>
                <w:color w:val="auto"/>
              </w:rPr>
              <w:t>159,966</w:t>
            </w:r>
          </w:p>
        </w:tc>
        <w:tc>
          <w:tcPr>
            <w:tcW w:w="1320" w:type="dxa"/>
            <w:vAlign w:val="bottom"/>
            <w:shd w:val="clear" w:color="auto" w:fill="F2F3F2"/>
          </w:tcPr>
          <w:p>
            <w:pPr>
              <w:jc w:val="right"/>
              <w:ind w:right="70"/>
              <w:spacing w:after="0"/>
              <w:rPr>
                <w:sz w:val="20"/>
                <w:szCs w:val="20"/>
                <w:color w:val="auto"/>
              </w:rPr>
            </w:pPr>
            <w:r>
              <w:rPr>
                <w:rFonts w:ascii="Arial" w:cs="Arial" w:eastAsia="Arial" w:hAnsi="Arial"/>
                <w:sz w:val="14"/>
                <w:szCs w:val="14"/>
                <w:color w:val="auto"/>
              </w:rPr>
              <w:t>—</w:t>
            </w:r>
          </w:p>
        </w:tc>
        <w:tc>
          <w:tcPr>
            <w:tcW w:w="1260" w:type="dxa"/>
            <w:vAlign w:val="bottom"/>
            <w:shd w:val="clear" w:color="auto" w:fill="F2F3F2"/>
          </w:tcPr>
          <w:p>
            <w:pPr>
              <w:jc w:val="right"/>
              <w:ind w:right="89"/>
              <w:spacing w:after="0"/>
              <w:rPr>
                <w:sz w:val="20"/>
                <w:szCs w:val="20"/>
                <w:color w:val="auto"/>
              </w:rPr>
            </w:pPr>
            <w:r>
              <w:rPr>
                <w:rFonts w:ascii="Arial" w:cs="Arial" w:eastAsia="Arial" w:hAnsi="Arial"/>
                <w:sz w:val="14"/>
                <w:szCs w:val="14"/>
                <w:color w:val="auto"/>
              </w:rPr>
              <w:t>1,912,253</w:t>
            </w:r>
          </w:p>
        </w:tc>
      </w:tr>
      <w:tr>
        <w:trPr>
          <w:trHeight w:val="110"/>
        </w:trPr>
        <w:tc>
          <w:tcPr>
            <w:tcW w:w="2740" w:type="dxa"/>
            <w:vAlign w:val="bottom"/>
            <w:shd w:val="clear" w:color="auto" w:fill="F2F3F2"/>
          </w:tcPr>
          <w:p>
            <w:pPr>
              <w:spacing w:after="0"/>
              <w:rPr>
                <w:sz w:val="9"/>
                <w:szCs w:val="9"/>
                <w:color w:val="auto"/>
              </w:rPr>
            </w:pPr>
          </w:p>
        </w:tc>
        <w:tc>
          <w:tcPr>
            <w:tcW w:w="1300" w:type="dxa"/>
            <w:vAlign w:val="bottom"/>
            <w:shd w:val="clear" w:color="auto" w:fill="F2F3F2"/>
          </w:tcPr>
          <w:p>
            <w:pPr>
              <w:spacing w:after="0"/>
              <w:rPr>
                <w:sz w:val="9"/>
                <w:szCs w:val="9"/>
                <w:color w:val="auto"/>
              </w:rPr>
            </w:pPr>
          </w:p>
        </w:tc>
        <w:tc>
          <w:tcPr>
            <w:tcW w:w="1300" w:type="dxa"/>
            <w:vAlign w:val="bottom"/>
            <w:shd w:val="clear" w:color="auto" w:fill="F2F3F2"/>
          </w:tcPr>
          <w:p>
            <w:pPr>
              <w:spacing w:after="0"/>
              <w:rPr>
                <w:sz w:val="9"/>
                <w:szCs w:val="9"/>
                <w:color w:val="auto"/>
              </w:rPr>
            </w:pPr>
          </w:p>
        </w:tc>
        <w:tc>
          <w:tcPr>
            <w:tcW w:w="1160" w:type="dxa"/>
            <w:vAlign w:val="bottom"/>
            <w:shd w:val="clear" w:color="auto" w:fill="F2F3F2"/>
          </w:tcPr>
          <w:p>
            <w:pPr>
              <w:spacing w:after="0"/>
              <w:rPr>
                <w:sz w:val="9"/>
                <w:szCs w:val="9"/>
                <w:color w:val="auto"/>
              </w:rPr>
            </w:pPr>
          </w:p>
        </w:tc>
        <w:tc>
          <w:tcPr>
            <w:tcW w:w="1320" w:type="dxa"/>
            <w:vAlign w:val="bottom"/>
            <w:shd w:val="clear" w:color="auto" w:fill="F2F3F2"/>
          </w:tcPr>
          <w:p>
            <w:pPr>
              <w:spacing w:after="0"/>
              <w:rPr>
                <w:sz w:val="9"/>
                <w:szCs w:val="9"/>
                <w:color w:val="auto"/>
              </w:rPr>
            </w:pPr>
          </w:p>
        </w:tc>
        <w:tc>
          <w:tcPr>
            <w:tcW w:w="1260" w:type="dxa"/>
            <w:vAlign w:val="bottom"/>
            <w:shd w:val="clear" w:color="auto" w:fill="F2F3F2"/>
          </w:tcPr>
          <w:p>
            <w:pPr>
              <w:spacing w:after="0"/>
              <w:rPr>
                <w:sz w:val="9"/>
                <w:szCs w:val="9"/>
                <w:color w:val="auto"/>
              </w:rPr>
            </w:pPr>
          </w:p>
        </w:tc>
      </w:tr>
      <w:tr>
        <w:trPr>
          <w:trHeight w:val="335"/>
        </w:trPr>
        <w:tc>
          <w:tcPr>
            <w:tcW w:w="2740" w:type="dxa"/>
            <w:vAlign w:val="bottom"/>
          </w:tcPr>
          <w:p>
            <w:pPr>
              <w:ind w:left="140"/>
              <w:spacing w:after="0"/>
              <w:rPr>
                <w:sz w:val="20"/>
                <w:szCs w:val="20"/>
                <w:color w:val="auto"/>
              </w:rPr>
            </w:pPr>
            <w:r>
              <w:rPr>
                <w:rFonts w:ascii="Arial" w:cs="Arial" w:eastAsia="Arial" w:hAnsi="Arial"/>
                <w:sz w:val="14"/>
                <w:szCs w:val="14"/>
                <w:b w:val="1"/>
                <w:bCs w:val="1"/>
                <w:color w:val="00558C"/>
              </w:rPr>
              <w:t>John D. Kelly</w:t>
            </w:r>
          </w:p>
        </w:tc>
        <w:tc>
          <w:tcPr>
            <w:tcW w:w="1300" w:type="dxa"/>
            <w:vAlign w:val="bottom"/>
          </w:tcPr>
          <w:p>
            <w:pPr>
              <w:ind w:left="1100"/>
              <w:spacing w:after="0"/>
              <w:rPr>
                <w:sz w:val="20"/>
                <w:szCs w:val="20"/>
                <w:color w:val="auto"/>
              </w:rPr>
            </w:pPr>
            <w:r>
              <w:rPr>
                <w:rFonts w:ascii="Arial" w:cs="Arial" w:eastAsia="Arial" w:hAnsi="Arial"/>
                <w:sz w:val="13"/>
                <w:szCs w:val="13"/>
                <w:color w:val="auto"/>
              </w:rPr>
              <w:t>—</w:t>
            </w:r>
          </w:p>
        </w:tc>
        <w:tc>
          <w:tcPr>
            <w:tcW w:w="1300" w:type="dxa"/>
            <w:vAlign w:val="bottom"/>
          </w:tcPr>
          <w:p>
            <w:pPr>
              <w:ind w:left="1000"/>
              <w:spacing w:after="0"/>
              <w:rPr>
                <w:sz w:val="20"/>
                <w:szCs w:val="20"/>
                <w:color w:val="auto"/>
              </w:rPr>
            </w:pPr>
            <w:r>
              <w:rPr>
                <w:rFonts w:ascii="Arial" w:cs="Arial" w:eastAsia="Arial" w:hAnsi="Arial"/>
                <w:sz w:val="13"/>
                <w:szCs w:val="13"/>
                <w:color w:val="auto"/>
              </w:rPr>
              <w:t>—</w:t>
            </w:r>
          </w:p>
        </w:tc>
        <w:tc>
          <w:tcPr>
            <w:tcW w:w="1160" w:type="dxa"/>
            <w:vAlign w:val="bottom"/>
          </w:tcPr>
          <w:p>
            <w:pPr>
              <w:ind w:left="880"/>
              <w:spacing w:after="0"/>
              <w:rPr>
                <w:sz w:val="20"/>
                <w:szCs w:val="20"/>
                <w:color w:val="auto"/>
              </w:rPr>
            </w:pPr>
            <w:r>
              <w:rPr>
                <w:rFonts w:ascii="Arial" w:cs="Arial" w:eastAsia="Arial" w:hAnsi="Arial"/>
                <w:sz w:val="13"/>
                <w:szCs w:val="13"/>
                <w:color w:val="auto"/>
              </w:rPr>
              <w:t>—</w:t>
            </w:r>
          </w:p>
        </w:tc>
        <w:tc>
          <w:tcPr>
            <w:tcW w:w="1320" w:type="dxa"/>
            <w:vAlign w:val="bottom"/>
          </w:tcPr>
          <w:p>
            <w:pPr>
              <w:ind w:left="1080"/>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89"/>
              <w:spacing w:after="0"/>
              <w:rPr>
                <w:sz w:val="20"/>
                <w:szCs w:val="20"/>
                <w:color w:val="auto"/>
              </w:rPr>
            </w:pPr>
            <w:r>
              <w:rPr>
                <w:rFonts w:ascii="Arial" w:cs="Arial" w:eastAsia="Arial" w:hAnsi="Arial"/>
                <w:sz w:val="14"/>
                <w:szCs w:val="14"/>
                <w:color w:val="auto"/>
              </w:rPr>
              <w:t>—</w:t>
            </w:r>
          </w:p>
        </w:tc>
      </w:tr>
      <w:tr>
        <w:trPr>
          <w:trHeight w:val="110"/>
        </w:trPr>
        <w:tc>
          <w:tcPr>
            <w:tcW w:w="27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260" w:type="dxa"/>
            <w:vAlign w:val="bottom"/>
          </w:tcPr>
          <w:p>
            <w:pPr>
              <w:spacing w:after="0"/>
              <w:rPr>
                <w:sz w:val="9"/>
                <w:szCs w:val="9"/>
                <w:color w:val="auto"/>
              </w:rPr>
            </w:pPr>
          </w:p>
        </w:tc>
      </w:tr>
      <w:tr>
        <w:trPr>
          <w:trHeight w:val="335"/>
        </w:trPr>
        <w:tc>
          <w:tcPr>
            <w:tcW w:w="2740" w:type="dxa"/>
            <w:vAlign w:val="bottom"/>
            <w:shd w:val="clear" w:color="auto" w:fill="F2F3F2"/>
          </w:tcPr>
          <w:p>
            <w:pPr>
              <w:ind w:left="140"/>
              <w:spacing w:after="0"/>
              <w:rPr>
                <w:sz w:val="20"/>
                <w:szCs w:val="20"/>
                <w:color w:val="auto"/>
              </w:rPr>
            </w:pPr>
            <w:r>
              <w:rPr>
                <w:rFonts w:ascii="Arial" w:cs="Arial" w:eastAsia="Arial" w:hAnsi="Arial"/>
                <w:sz w:val="14"/>
                <w:szCs w:val="14"/>
                <w:b w:val="1"/>
                <w:bCs w:val="1"/>
                <w:color w:val="00558C"/>
              </w:rPr>
              <w:t>J. Ronald Dail</w:t>
            </w:r>
          </w:p>
        </w:tc>
        <w:tc>
          <w:tcPr>
            <w:tcW w:w="1300" w:type="dxa"/>
            <w:vAlign w:val="bottom"/>
            <w:shd w:val="clear" w:color="auto" w:fill="F2F3F2"/>
          </w:tcPr>
          <w:p>
            <w:pPr>
              <w:ind w:left="1100"/>
              <w:spacing w:after="0"/>
              <w:rPr>
                <w:sz w:val="20"/>
                <w:szCs w:val="20"/>
                <w:color w:val="auto"/>
              </w:rPr>
            </w:pPr>
            <w:r>
              <w:rPr>
                <w:rFonts w:ascii="Arial" w:cs="Arial" w:eastAsia="Arial" w:hAnsi="Arial"/>
                <w:sz w:val="13"/>
                <w:szCs w:val="13"/>
                <w:color w:val="auto"/>
              </w:rPr>
              <w:t>—</w:t>
            </w:r>
          </w:p>
        </w:tc>
        <w:tc>
          <w:tcPr>
            <w:tcW w:w="1300" w:type="dxa"/>
            <w:vAlign w:val="bottom"/>
            <w:shd w:val="clear" w:color="auto" w:fill="F2F3F2"/>
          </w:tcPr>
          <w:p>
            <w:pPr>
              <w:ind w:left="1000"/>
              <w:spacing w:after="0"/>
              <w:rPr>
                <w:sz w:val="20"/>
                <w:szCs w:val="20"/>
                <w:color w:val="auto"/>
              </w:rPr>
            </w:pPr>
            <w:r>
              <w:rPr>
                <w:rFonts w:ascii="Arial" w:cs="Arial" w:eastAsia="Arial" w:hAnsi="Arial"/>
                <w:sz w:val="13"/>
                <w:szCs w:val="13"/>
                <w:color w:val="auto"/>
              </w:rPr>
              <w:t>—</w:t>
            </w:r>
          </w:p>
        </w:tc>
        <w:tc>
          <w:tcPr>
            <w:tcW w:w="1160" w:type="dxa"/>
            <w:vAlign w:val="bottom"/>
            <w:shd w:val="clear" w:color="auto" w:fill="F2F3F2"/>
          </w:tcPr>
          <w:p>
            <w:pPr>
              <w:ind w:left="880"/>
              <w:spacing w:after="0"/>
              <w:rPr>
                <w:sz w:val="20"/>
                <w:szCs w:val="20"/>
                <w:color w:val="auto"/>
              </w:rPr>
            </w:pPr>
            <w:r>
              <w:rPr>
                <w:rFonts w:ascii="Arial" w:cs="Arial" w:eastAsia="Arial" w:hAnsi="Arial"/>
                <w:sz w:val="13"/>
                <w:szCs w:val="13"/>
                <w:color w:val="auto"/>
              </w:rPr>
              <w:t>—</w:t>
            </w:r>
          </w:p>
        </w:tc>
        <w:tc>
          <w:tcPr>
            <w:tcW w:w="1320" w:type="dxa"/>
            <w:vAlign w:val="bottom"/>
            <w:shd w:val="clear" w:color="auto" w:fill="F2F3F2"/>
          </w:tcPr>
          <w:p>
            <w:pPr>
              <w:ind w:left="1080"/>
              <w:spacing w:after="0"/>
              <w:rPr>
                <w:sz w:val="20"/>
                <w:szCs w:val="20"/>
                <w:color w:val="auto"/>
              </w:rPr>
            </w:pPr>
            <w:r>
              <w:rPr>
                <w:rFonts w:ascii="Arial" w:cs="Arial" w:eastAsia="Arial" w:hAnsi="Arial"/>
                <w:sz w:val="13"/>
                <w:szCs w:val="13"/>
                <w:color w:val="auto"/>
              </w:rPr>
              <w:t>—</w:t>
            </w:r>
          </w:p>
        </w:tc>
        <w:tc>
          <w:tcPr>
            <w:tcW w:w="1260" w:type="dxa"/>
            <w:vAlign w:val="bottom"/>
            <w:shd w:val="clear" w:color="auto" w:fill="F2F3F2"/>
          </w:tcPr>
          <w:p>
            <w:pPr>
              <w:jc w:val="right"/>
              <w:ind w:right="69"/>
              <w:spacing w:after="0"/>
              <w:rPr>
                <w:sz w:val="20"/>
                <w:szCs w:val="20"/>
                <w:color w:val="auto"/>
              </w:rPr>
            </w:pPr>
            <w:r>
              <w:rPr>
                <w:rFonts w:ascii="Arial" w:cs="Arial" w:eastAsia="Arial" w:hAnsi="Arial"/>
                <w:sz w:val="13"/>
                <w:szCs w:val="13"/>
                <w:color w:val="auto"/>
              </w:rPr>
              <w:t>—</w:t>
            </w:r>
          </w:p>
        </w:tc>
      </w:tr>
      <w:tr>
        <w:trPr>
          <w:trHeight w:val="110"/>
        </w:trPr>
        <w:tc>
          <w:tcPr>
            <w:tcW w:w="2740" w:type="dxa"/>
            <w:vAlign w:val="bottom"/>
            <w:shd w:val="clear" w:color="auto" w:fill="F2F3F2"/>
          </w:tcPr>
          <w:p>
            <w:pPr>
              <w:spacing w:after="0"/>
              <w:rPr>
                <w:sz w:val="9"/>
                <w:szCs w:val="9"/>
                <w:color w:val="auto"/>
              </w:rPr>
            </w:pPr>
          </w:p>
        </w:tc>
        <w:tc>
          <w:tcPr>
            <w:tcW w:w="1300" w:type="dxa"/>
            <w:vAlign w:val="bottom"/>
            <w:shd w:val="clear" w:color="auto" w:fill="F2F3F2"/>
          </w:tcPr>
          <w:p>
            <w:pPr>
              <w:spacing w:after="0"/>
              <w:rPr>
                <w:sz w:val="9"/>
                <w:szCs w:val="9"/>
                <w:color w:val="auto"/>
              </w:rPr>
            </w:pPr>
          </w:p>
        </w:tc>
        <w:tc>
          <w:tcPr>
            <w:tcW w:w="1300" w:type="dxa"/>
            <w:vAlign w:val="bottom"/>
            <w:shd w:val="clear" w:color="auto" w:fill="F2F3F2"/>
          </w:tcPr>
          <w:p>
            <w:pPr>
              <w:spacing w:after="0"/>
              <w:rPr>
                <w:sz w:val="9"/>
                <w:szCs w:val="9"/>
                <w:color w:val="auto"/>
              </w:rPr>
            </w:pPr>
          </w:p>
        </w:tc>
        <w:tc>
          <w:tcPr>
            <w:tcW w:w="1160" w:type="dxa"/>
            <w:vAlign w:val="bottom"/>
            <w:shd w:val="clear" w:color="auto" w:fill="F2F3F2"/>
          </w:tcPr>
          <w:p>
            <w:pPr>
              <w:spacing w:after="0"/>
              <w:rPr>
                <w:sz w:val="9"/>
                <w:szCs w:val="9"/>
                <w:color w:val="auto"/>
              </w:rPr>
            </w:pPr>
          </w:p>
        </w:tc>
        <w:tc>
          <w:tcPr>
            <w:tcW w:w="1320" w:type="dxa"/>
            <w:vAlign w:val="bottom"/>
            <w:shd w:val="clear" w:color="auto" w:fill="F2F3F2"/>
          </w:tcPr>
          <w:p>
            <w:pPr>
              <w:spacing w:after="0"/>
              <w:rPr>
                <w:sz w:val="9"/>
                <w:szCs w:val="9"/>
                <w:color w:val="auto"/>
              </w:rPr>
            </w:pPr>
          </w:p>
        </w:tc>
        <w:tc>
          <w:tcPr>
            <w:tcW w:w="1260" w:type="dxa"/>
            <w:vAlign w:val="bottom"/>
            <w:shd w:val="clear" w:color="auto" w:fill="F2F3F2"/>
          </w:tcPr>
          <w:p>
            <w:pPr>
              <w:spacing w:after="0"/>
              <w:rPr>
                <w:sz w:val="9"/>
                <w:szCs w:val="9"/>
                <w:color w:val="auto"/>
              </w:rPr>
            </w:pPr>
          </w:p>
        </w:tc>
      </w:tr>
      <w:tr>
        <w:trPr>
          <w:trHeight w:val="335"/>
        </w:trPr>
        <w:tc>
          <w:tcPr>
            <w:tcW w:w="2740" w:type="dxa"/>
            <w:vAlign w:val="bottom"/>
          </w:tcPr>
          <w:p>
            <w:pPr>
              <w:ind w:left="140"/>
              <w:spacing w:after="0"/>
              <w:rPr>
                <w:sz w:val="20"/>
                <w:szCs w:val="20"/>
                <w:color w:val="auto"/>
              </w:rPr>
            </w:pPr>
            <w:r>
              <w:rPr>
                <w:rFonts w:ascii="Arial" w:cs="Arial" w:eastAsia="Arial" w:hAnsi="Arial"/>
                <w:sz w:val="14"/>
                <w:szCs w:val="14"/>
                <w:b w:val="1"/>
                <w:bCs w:val="1"/>
                <w:color w:val="00558C"/>
              </w:rPr>
              <w:t>Ernest W. Torain, Jr.</w:t>
            </w:r>
          </w:p>
        </w:tc>
        <w:tc>
          <w:tcPr>
            <w:tcW w:w="1300" w:type="dxa"/>
            <w:vAlign w:val="bottom"/>
          </w:tcPr>
          <w:p>
            <w:pPr>
              <w:ind w:left="1100"/>
              <w:spacing w:after="0"/>
              <w:rPr>
                <w:sz w:val="20"/>
                <w:szCs w:val="20"/>
                <w:color w:val="auto"/>
              </w:rPr>
            </w:pPr>
            <w:r>
              <w:rPr>
                <w:rFonts w:ascii="Arial" w:cs="Arial" w:eastAsia="Arial" w:hAnsi="Arial"/>
                <w:sz w:val="13"/>
                <w:szCs w:val="13"/>
                <w:color w:val="auto"/>
              </w:rPr>
              <w:t>—</w:t>
            </w:r>
          </w:p>
        </w:tc>
        <w:tc>
          <w:tcPr>
            <w:tcW w:w="1300" w:type="dxa"/>
            <w:vAlign w:val="bottom"/>
          </w:tcPr>
          <w:p>
            <w:pPr>
              <w:ind w:left="1000"/>
              <w:spacing w:after="0"/>
              <w:rPr>
                <w:sz w:val="20"/>
                <w:szCs w:val="20"/>
                <w:color w:val="auto"/>
              </w:rPr>
            </w:pPr>
            <w:r>
              <w:rPr>
                <w:rFonts w:ascii="Arial" w:cs="Arial" w:eastAsia="Arial" w:hAnsi="Arial"/>
                <w:sz w:val="13"/>
                <w:szCs w:val="13"/>
                <w:color w:val="auto"/>
              </w:rPr>
              <w:t>—</w:t>
            </w:r>
          </w:p>
        </w:tc>
        <w:tc>
          <w:tcPr>
            <w:tcW w:w="1160" w:type="dxa"/>
            <w:vAlign w:val="bottom"/>
          </w:tcPr>
          <w:p>
            <w:pPr>
              <w:ind w:left="880"/>
              <w:spacing w:after="0"/>
              <w:rPr>
                <w:sz w:val="20"/>
                <w:szCs w:val="20"/>
                <w:color w:val="auto"/>
              </w:rPr>
            </w:pPr>
            <w:r>
              <w:rPr>
                <w:rFonts w:ascii="Arial" w:cs="Arial" w:eastAsia="Arial" w:hAnsi="Arial"/>
                <w:sz w:val="13"/>
                <w:szCs w:val="13"/>
                <w:color w:val="auto"/>
              </w:rPr>
              <w:t>—</w:t>
            </w:r>
          </w:p>
        </w:tc>
        <w:tc>
          <w:tcPr>
            <w:tcW w:w="1320" w:type="dxa"/>
            <w:vAlign w:val="bottom"/>
          </w:tcPr>
          <w:p>
            <w:pPr>
              <w:ind w:left="1080"/>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69"/>
              <w:spacing w:after="0"/>
              <w:rPr>
                <w:sz w:val="20"/>
                <w:szCs w:val="20"/>
                <w:color w:val="auto"/>
              </w:rPr>
            </w:pPr>
            <w:r>
              <w:rPr>
                <w:rFonts w:ascii="Arial" w:cs="Arial" w:eastAsia="Arial" w:hAnsi="Arial"/>
                <w:sz w:val="13"/>
                <w:szCs w:val="13"/>
                <w:color w:val="auto"/>
              </w:rPr>
              <w:t>—</w:t>
            </w:r>
          </w:p>
        </w:tc>
      </w:tr>
      <w:tr>
        <w:trPr>
          <w:trHeight w:val="110"/>
        </w:trPr>
        <w:tc>
          <w:tcPr>
            <w:tcW w:w="2740" w:type="dxa"/>
            <w:vAlign w:val="bottom"/>
            <w:tcBorders>
              <w:bottom w:val="single" w:sz="8" w:color="B2B3B6"/>
            </w:tcBorders>
          </w:tcPr>
          <w:p>
            <w:pPr>
              <w:spacing w:after="0"/>
              <w:rPr>
                <w:sz w:val="9"/>
                <w:szCs w:val="9"/>
                <w:color w:val="auto"/>
              </w:rPr>
            </w:pPr>
          </w:p>
        </w:tc>
        <w:tc>
          <w:tcPr>
            <w:tcW w:w="1300" w:type="dxa"/>
            <w:vAlign w:val="bottom"/>
            <w:tcBorders>
              <w:bottom w:val="single" w:sz="8" w:color="B6B6B6"/>
            </w:tcBorders>
          </w:tcPr>
          <w:p>
            <w:pPr>
              <w:spacing w:after="0"/>
              <w:rPr>
                <w:sz w:val="9"/>
                <w:szCs w:val="9"/>
                <w:color w:val="auto"/>
              </w:rPr>
            </w:pPr>
          </w:p>
        </w:tc>
        <w:tc>
          <w:tcPr>
            <w:tcW w:w="1300" w:type="dxa"/>
            <w:vAlign w:val="bottom"/>
            <w:tcBorders>
              <w:bottom w:val="single" w:sz="8" w:color="B6B6B6"/>
            </w:tcBorders>
          </w:tcPr>
          <w:p>
            <w:pPr>
              <w:spacing w:after="0"/>
              <w:rPr>
                <w:sz w:val="9"/>
                <w:szCs w:val="9"/>
                <w:color w:val="auto"/>
              </w:rPr>
            </w:pPr>
          </w:p>
        </w:tc>
        <w:tc>
          <w:tcPr>
            <w:tcW w:w="1160" w:type="dxa"/>
            <w:vAlign w:val="bottom"/>
            <w:tcBorders>
              <w:bottom w:val="single" w:sz="8" w:color="B6B6B6"/>
            </w:tcBorders>
          </w:tcPr>
          <w:p>
            <w:pPr>
              <w:spacing w:after="0"/>
              <w:rPr>
                <w:sz w:val="9"/>
                <w:szCs w:val="9"/>
                <w:color w:val="auto"/>
              </w:rPr>
            </w:pPr>
          </w:p>
        </w:tc>
        <w:tc>
          <w:tcPr>
            <w:tcW w:w="1320" w:type="dxa"/>
            <w:vAlign w:val="bottom"/>
            <w:tcBorders>
              <w:bottom w:val="single" w:sz="8" w:color="B6B6B6"/>
            </w:tcBorders>
          </w:tcPr>
          <w:p>
            <w:pPr>
              <w:spacing w:after="0"/>
              <w:rPr>
                <w:sz w:val="9"/>
                <w:szCs w:val="9"/>
                <w:color w:val="auto"/>
              </w:rPr>
            </w:pPr>
          </w:p>
        </w:tc>
        <w:tc>
          <w:tcPr>
            <w:tcW w:w="1260" w:type="dxa"/>
            <w:vAlign w:val="bottom"/>
            <w:tcBorders>
              <w:bottom w:val="single" w:sz="8" w:color="B6B6B6"/>
            </w:tcBorders>
          </w:tcPr>
          <w:p>
            <w:pPr>
              <w:spacing w:after="0"/>
              <w:rPr>
                <w:sz w:val="9"/>
                <w:szCs w:val="9"/>
                <w:color w:val="auto"/>
              </w:rPr>
            </w:pPr>
          </w:p>
        </w:tc>
      </w:tr>
    </w:tbl>
    <w:p>
      <w:pPr>
        <w:spacing w:after="0" w:line="139" w:lineRule="exact"/>
        <w:rPr>
          <w:sz w:val="20"/>
          <w:szCs w:val="20"/>
          <w:color w:val="auto"/>
        </w:rPr>
      </w:pPr>
    </w:p>
    <w:p>
      <w:pPr>
        <w:ind w:left="420" w:hanging="331"/>
        <w:spacing w:after="0"/>
        <w:tabs>
          <w:tab w:leader="none" w:pos="420" w:val="left"/>
        </w:tabs>
        <w:numPr>
          <w:ilvl w:val="0"/>
          <w:numId w:val="90"/>
        </w:numPr>
        <w:rPr>
          <w:rFonts w:ascii="Arial" w:cs="Arial" w:eastAsia="Arial" w:hAnsi="Arial"/>
          <w:sz w:val="14"/>
          <w:szCs w:val="14"/>
          <w:color w:val="auto"/>
        </w:rPr>
      </w:pPr>
      <w:r>
        <w:rPr>
          <w:rFonts w:ascii="Arial" w:cs="Arial" w:eastAsia="Arial" w:hAnsi="Arial"/>
          <w:sz w:val="14"/>
          <w:szCs w:val="14"/>
          <w:color w:val="auto"/>
        </w:rPr>
        <w:t>There were no executive contributions made to the Deferred Compensation Plan for 2024.</w:t>
      </w:r>
    </w:p>
    <w:p>
      <w:pPr>
        <w:spacing w:after="0" w:line="190" w:lineRule="exact"/>
        <w:rPr>
          <w:rFonts w:ascii="Arial" w:cs="Arial" w:eastAsia="Arial" w:hAnsi="Arial"/>
          <w:sz w:val="14"/>
          <w:szCs w:val="14"/>
          <w:color w:val="auto"/>
        </w:rPr>
      </w:pPr>
    </w:p>
    <w:p>
      <w:pPr>
        <w:ind w:left="420" w:right="220" w:hanging="331"/>
        <w:spacing w:after="0" w:line="305" w:lineRule="auto"/>
        <w:tabs>
          <w:tab w:leader="none" w:pos="420" w:val="left"/>
        </w:tabs>
        <w:numPr>
          <w:ilvl w:val="0"/>
          <w:numId w:val="90"/>
        </w:numPr>
        <w:rPr>
          <w:rFonts w:ascii="Arial" w:cs="Arial" w:eastAsia="Arial" w:hAnsi="Arial"/>
          <w:sz w:val="14"/>
          <w:szCs w:val="14"/>
          <w:color w:val="auto"/>
        </w:rPr>
      </w:pPr>
      <w:r>
        <w:rPr>
          <w:rFonts w:ascii="Arial" w:cs="Arial" w:eastAsia="Arial" w:hAnsi="Arial"/>
          <w:sz w:val="14"/>
          <w:szCs w:val="14"/>
          <w:color w:val="auto"/>
        </w:rPr>
        <w:t>Huron does not pay above-market interest or preferential dividends on investments in the Deferred Compensation Plan and therefore the amounts in this column are not reported in the Summary Compensation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60"/>
        <w:spacing w:after="0"/>
        <w:tabs>
          <w:tab w:leader="none" w:pos="444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13"/>
          <w:szCs w:val="13"/>
          <w:b w:val="1"/>
          <w:bCs w:val="1"/>
          <w:color w:val="00558C"/>
        </w:rPr>
        <w:t>55</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420370</wp:posOffset>
            </wp:positionV>
            <wp:extent cx="6810375" cy="189357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10375" cy="1893570"/>
                    </a:xfrm>
                    <a:prstGeom prst="rect">
                      <a:avLst/>
                    </a:prstGeom>
                    <a:noFill/>
                  </pic:spPr>
                </pic:pic>
              </a:graphicData>
            </a:graphic>
          </wp:anchor>
        </w:drawing>
      </w:r>
    </w:p>
    <w:p>
      <w:pPr>
        <w:sectPr>
          <w:pgSz w:w="11900" w:h="16838" w:orient="portrait"/>
          <w:cols w:equalWidth="0" w:num="1">
            <w:col w:w="9080"/>
          </w:cols>
          <w:pgMar w:left="1400" w:top="112" w:right="14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0"/>
        <w:spacing w:after="0" w:line="274" w:lineRule="auto"/>
        <w:rPr>
          <w:sz w:val="20"/>
          <w:szCs w:val="20"/>
          <w:color w:val="auto"/>
        </w:rPr>
      </w:pPr>
      <w:r>
        <w:rPr>
          <w:rFonts w:ascii="Arial" w:cs="Arial" w:eastAsia="Arial" w:hAnsi="Arial"/>
          <w:sz w:val="13"/>
          <w:szCs w:val="13"/>
          <w:b w:val="1"/>
          <w:bCs w:val="1"/>
          <w:color w:val="B2B3B6"/>
        </w:rPr>
        <w:t>General Proposal Information 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line="274" w:lineRule="auto"/>
        <w:rPr>
          <w:sz w:val="20"/>
          <w:szCs w:val="20"/>
          <w:color w:val="auto"/>
        </w:rPr>
      </w:pPr>
      <w:r>
        <w:rPr>
          <w:rFonts w:ascii="Arial" w:cs="Arial" w:eastAsia="Arial" w:hAnsi="Arial"/>
          <w:sz w:val="13"/>
          <w:szCs w:val="13"/>
          <w:b w:val="1"/>
          <w:bCs w:val="1"/>
          <w:color w:val="B2B3B6"/>
        </w:rPr>
        <w:t xml:space="preserve">Corporate Proposal </w:t>
      </w:r>
      <w:r>
        <w:rPr>
          <w:rFonts w:ascii="Arial" w:cs="Arial" w:eastAsia="Arial" w:hAnsi="Arial"/>
          <w:sz w:val="13"/>
          <w:szCs w:val="13"/>
          <w:b w:val="1"/>
          <w:bCs w:val="1"/>
          <w:color w:val="6AAA37"/>
        </w:rPr>
        <w:t>Executive</w:t>
      </w:r>
      <w:r>
        <w:rPr>
          <w:rFonts w:ascii="Arial" w:cs="Arial" w:eastAsia="Arial" w:hAnsi="Arial"/>
          <w:sz w:val="13"/>
          <w:szCs w:val="13"/>
          <w:b w:val="1"/>
          <w:bCs w:val="1"/>
          <w:color w:val="B2B3B6"/>
        </w:rPr>
        <w:t xml:space="preserve"> Governance Two </w:t>
      </w:r>
      <w:r>
        <w:rPr>
          <w:rFonts w:ascii="Arial" w:cs="Arial" w:eastAsia="Arial" w:hAnsi="Arial"/>
          <w:sz w:val="13"/>
          <w:szCs w:val="13"/>
          <w:b w:val="1"/>
          <w:bCs w:val="1"/>
          <w:color w:val="6AAA37"/>
        </w:rPr>
        <w:t>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2"/>
          <w:szCs w:val="12"/>
          <w:b w:val="1"/>
          <w:bCs w:val="1"/>
          <w:color w:val="B2B3B6"/>
        </w:rPr>
        <w:t>Proposal</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b w:val="1"/>
          <w:bCs w:val="1"/>
          <w:color w:val="B2B3B6"/>
        </w:rPr>
        <w:t>Three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200"/>
        <w:spacing w:after="0" w:line="274" w:lineRule="auto"/>
        <w:rPr>
          <w:sz w:val="20"/>
          <w:szCs w:val="20"/>
          <w:color w:val="auto"/>
        </w:rPr>
      </w:pPr>
      <w:r>
        <w:rPr>
          <w:rFonts w:ascii="Arial" w:cs="Arial" w:eastAsia="Arial" w:hAnsi="Arial"/>
          <w:sz w:val="13"/>
          <w:szCs w:val="13"/>
          <w:b w:val="1"/>
          <w:bCs w:val="1"/>
          <w:color w:val="B2B3B6"/>
        </w:rPr>
        <w:t>Proposal Proposal Stockholder Other Four Five Proposals Matters</w:t>
      </w:r>
    </w:p>
    <w:p>
      <w:pPr>
        <w:spacing w:after="0" w:line="200" w:lineRule="exact"/>
        <w:rPr>
          <w:sz w:val="20"/>
          <w:szCs w:val="20"/>
          <w:color w:val="auto"/>
        </w:rPr>
      </w:pPr>
    </w:p>
    <w:p>
      <w:pPr>
        <w:sectPr>
          <w:pgSz w:w="11900" w:h="16838" w:orient="portrait"/>
          <w:cols w:equalWidth="0" w:num="4">
            <w:col w:w="1600" w:space="300"/>
            <w:col w:w="2700" w:space="320"/>
            <w:col w:w="540" w:space="280"/>
            <w:col w:w="3340"/>
          </w:cols>
          <w:pgMar w:left="1400" w:top="112" w:right="1419" w:bottom="0" w:gutter="0" w:footer="0" w:header="0"/>
          <w:type w:val="continuous"/>
        </w:sectPr>
      </w:pPr>
    </w:p>
    <w:p>
      <w:pPr>
        <w:spacing w:after="0" w:line="7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Company maintains the deferred compensation plan (the "DCP"), which became effective July 1, 2006, for principals, managing directors, corporate vice presidents, named executive officers and members of the Board. The DCP permits eligible employees to defer up to 75% of their base salary and 100% of their annual cash incentive and permits directors to defer up to 100% of their cash compensation. Participants are able to choose from a number of investment alternatives. Earnings are credited based on the returns of the investment options selected by the participant. Huron does not match any amounts deferred or otherwise contribute to the DCP except to make restoration payments to the accounts of participants who do not receive the maximum eligible 401(k) match as a result of participation in the DCP. Deferral elections for base salary and any guaranteed bonus must be made in the calendar year prior to earning such base salary or within 30 days of becoming eligible</w:t>
      </w:r>
    </w:p>
    <w:p>
      <w:pPr>
        <w:sectPr>
          <w:pgSz w:w="11900" w:h="16838" w:orient="portrait"/>
          <w:cols w:equalWidth="0" w:num="1">
            <w:col w:w="9080"/>
          </w:cols>
          <w:pgMar w:left="1400" w:top="112" w:right="1419" w:bottom="0" w:gutter="0" w:footer="0" w:header="0"/>
          <w:type w:val="continuous"/>
        </w:sectPr>
      </w:pPr>
    </w:p>
    <w:bookmarkStart w:id="58" w:name="page59"/>
    <w:bookmarkEnd w:id="58"/>
    <w:p>
      <w:pPr>
        <w:ind w:right="80"/>
        <w:spacing w:after="0" w:line="191" w:lineRule="auto"/>
        <w:rPr>
          <w:sz w:val="20"/>
          <w:szCs w:val="20"/>
          <w:color w:val="auto"/>
        </w:rPr>
      </w:pPr>
      <w:r>
        <w:rPr>
          <w:rFonts w:ascii="Arial" w:cs="Arial" w:eastAsia="Arial" w:hAnsi="Arial"/>
          <w:sz w:val="16"/>
          <w:szCs w:val="16"/>
          <w:color w:val="auto"/>
        </w:rPr>
        <w:t>for the plan. The Company requires that deferral elections of the annual cash incentive be made 12 months prior to the end of the applicable 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-168910</wp:posOffset>
            </wp:positionV>
            <wp:extent cx="6810375" cy="696277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10375" cy="6962775"/>
                    </a:xfrm>
                    <a:prstGeom prst="rect">
                      <a:avLst/>
                    </a:prstGeom>
                    <a:noFill/>
                  </pic:spPr>
                </pic:pic>
              </a:graphicData>
            </a:graphic>
          </wp:anchor>
        </w:drawing>
      </w:r>
    </w:p>
    <w:p>
      <w:pPr>
        <w:spacing w:after="0" w:line="131"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Payments from the plan automatically begin upon termination of employment or separation from service as a director. Key employees, including executive officers, must wait six months after termination to receive payment from the plan. Participants may elect payment in a lump sum or annual installments for up to 15 years. Upon proof of financial hardship and approval from the Compensation Committee, a participant may be allowed an early distribution. Participants may also elect to receive payments prior to termination through a scheduled distribution.</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color w:val="00558C"/>
        </w:rPr>
        <w:t>Potential Payments Upon Termination or Change of Control</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81" w:lineRule="exact"/>
        <w:rPr>
          <w:sz w:val="20"/>
          <w:szCs w:val="20"/>
          <w:color w:val="auto"/>
        </w:rPr>
      </w:pPr>
    </w:p>
    <w:p>
      <w:pPr>
        <w:ind w:right="160"/>
        <w:spacing w:after="0" w:line="321" w:lineRule="auto"/>
        <w:rPr>
          <w:sz w:val="20"/>
          <w:szCs w:val="20"/>
          <w:color w:val="auto"/>
        </w:rPr>
      </w:pPr>
      <w:r>
        <w:rPr>
          <w:rFonts w:ascii="Arial" w:cs="Arial" w:eastAsia="Arial" w:hAnsi="Arial"/>
          <w:sz w:val="16"/>
          <w:szCs w:val="16"/>
          <w:color w:val="auto"/>
        </w:rPr>
        <w:t>We have entered into agreements and maintain plans and arrangements that require us to pay or provide compensation and benefits to each of the named executive officers in the event of certain terminations of employment or a change of control.</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Management Agreements</w:t>
      </w:r>
    </w:p>
    <w:p>
      <w:pPr>
        <w:spacing w:after="0" w:line="81" w:lineRule="exact"/>
        <w:rPr>
          <w:sz w:val="20"/>
          <w:szCs w:val="20"/>
          <w:color w:val="auto"/>
        </w:rPr>
      </w:pPr>
    </w:p>
    <w:p>
      <w:pPr>
        <w:ind w:right="280"/>
        <w:spacing w:after="0" w:line="295" w:lineRule="auto"/>
        <w:rPr>
          <w:sz w:val="20"/>
          <w:szCs w:val="20"/>
          <w:color w:val="auto"/>
        </w:rPr>
      </w:pPr>
      <w:r>
        <w:rPr>
          <w:rFonts w:ascii="Arial" w:cs="Arial" w:eastAsia="Arial" w:hAnsi="Arial"/>
          <w:sz w:val="16"/>
          <w:szCs w:val="16"/>
          <w:color w:val="auto"/>
        </w:rPr>
        <w:t>Mr. Hussey's senior management agreement as chief executive officer, effective January 1, 2023, continues for three years from the effective date. Following the expiration of the initial three-year term, the agreement will be automatically renewed every twelve months unless Mr. Hussey or the Company provides 60 days' advance written notice of the cessation of such automatic renewal. The agreement may be earlier terminated by Mr. Hussey or the Company pursuant to its terms.</w:t>
      </w:r>
    </w:p>
    <w:p>
      <w:pPr>
        <w:spacing w:after="0" w:line="108"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Mr. Kelly and Mr. Dail’s senior management agreements do not specify an initial term and instead provide that employment will continue unless either the Company or the executive delivers to the other 60 days’ advance written notice of the cessation of employment. These may be earlier terminated by the executive or the Company pursuant to their terms.</w:t>
      </w:r>
    </w:p>
    <w:p>
      <w:pPr>
        <w:spacing w:after="0" w:line="104" w:lineRule="exact"/>
        <w:rPr>
          <w:sz w:val="20"/>
          <w:szCs w:val="20"/>
          <w:color w:val="auto"/>
        </w:rPr>
      </w:pPr>
    </w:p>
    <w:p>
      <w:pPr>
        <w:ind w:right="160"/>
        <w:spacing w:after="0" w:line="321" w:lineRule="auto"/>
        <w:rPr>
          <w:sz w:val="20"/>
          <w:szCs w:val="20"/>
          <w:color w:val="auto"/>
        </w:rPr>
      </w:pPr>
      <w:r>
        <w:rPr>
          <w:rFonts w:ascii="Arial" w:cs="Arial" w:eastAsia="Arial" w:hAnsi="Arial"/>
          <w:sz w:val="16"/>
          <w:szCs w:val="16"/>
          <w:color w:val="auto"/>
        </w:rPr>
        <w:t>The following table summarizes how unvested equity awards will be addressed in the event of a termination under the senior management agreements, the Plan and the applicable grant agreements for each of our active NEOs.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88"/>
        </w:trPr>
        <w:tc>
          <w:tcPr>
            <w:tcW w:w="2320" w:type="dxa"/>
            <w:vAlign w:val="bottom"/>
            <w:shd w:val="clear" w:color="auto" w:fill="00558C"/>
          </w:tcPr>
          <w:p>
            <w:pPr>
              <w:spacing w:after="0"/>
              <w:rPr>
                <w:sz w:val="24"/>
                <w:szCs w:val="24"/>
                <w:color w:val="auto"/>
              </w:rPr>
            </w:pPr>
          </w:p>
        </w:tc>
        <w:tc>
          <w:tcPr>
            <w:tcW w:w="2600" w:type="dxa"/>
            <w:vAlign w:val="bottom"/>
            <w:shd w:val="clear" w:color="auto" w:fill="00558C"/>
          </w:tcPr>
          <w:p>
            <w:pPr>
              <w:ind w:left="140"/>
              <w:spacing w:after="0"/>
              <w:rPr>
                <w:sz w:val="20"/>
                <w:szCs w:val="20"/>
                <w:color w:val="auto"/>
              </w:rPr>
            </w:pPr>
            <w:r>
              <w:rPr>
                <w:rFonts w:ascii="Arial" w:cs="Arial" w:eastAsia="Arial" w:hAnsi="Arial"/>
                <w:sz w:val="14"/>
                <w:szCs w:val="14"/>
                <w:b w:val="1"/>
                <w:bCs w:val="1"/>
                <w:color w:val="FFFFFF"/>
              </w:rPr>
              <w:t>Restricted Stock Units and</w:t>
            </w:r>
          </w:p>
        </w:tc>
        <w:tc>
          <w:tcPr>
            <w:tcW w:w="4160" w:type="dxa"/>
            <w:vAlign w:val="bottom"/>
            <w:shd w:val="clear" w:color="auto" w:fill="00558C"/>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320" w:type="dxa"/>
            <w:vAlign w:val="bottom"/>
            <w:shd w:val="clear" w:color="auto" w:fill="00558C"/>
          </w:tcPr>
          <w:p>
            <w:pPr>
              <w:ind w:left="140"/>
              <w:spacing w:after="0"/>
              <w:rPr>
                <w:sz w:val="20"/>
                <w:szCs w:val="20"/>
                <w:color w:val="auto"/>
              </w:rPr>
            </w:pPr>
            <w:r>
              <w:rPr>
                <w:rFonts w:ascii="Arial" w:cs="Arial" w:eastAsia="Arial" w:hAnsi="Arial"/>
                <w:sz w:val="14"/>
                <w:szCs w:val="14"/>
                <w:b w:val="1"/>
                <w:bCs w:val="1"/>
                <w:color w:val="FFFFFF"/>
              </w:rPr>
              <w:t>Event</w:t>
            </w:r>
          </w:p>
        </w:tc>
        <w:tc>
          <w:tcPr>
            <w:tcW w:w="2600" w:type="dxa"/>
            <w:vAlign w:val="bottom"/>
            <w:shd w:val="clear" w:color="auto" w:fill="00558C"/>
          </w:tcPr>
          <w:p>
            <w:pPr>
              <w:ind w:left="140"/>
              <w:spacing w:after="0"/>
              <w:rPr>
                <w:sz w:val="20"/>
                <w:szCs w:val="20"/>
                <w:color w:val="auto"/>
              </w:rPr>
            </w:pPr>
            <w:r>
              <w:rPr>
                <w:rFonts w:ascii="Arial" w:cs="Arial" w:eastAsia="Arial" w:hAnsi="Arial"/>
                <w:sz w:val="14"/>
                <w:szCs w:val="14"/>
                <w:b w:val="1"/>
                <w:bCs w:val="1"/>
                <w:color w:val="FFFFFF"/>
              </w:rPr>
              <w:t>Options</w:t>
            </w:r>
          </w:p>
        </w:tc>
        <w:tc>
          <w:tcPr>
            <w:tcW w:w="4160" w:type="dxa"/>
            <w:vAlign w:val="bottom"/>
            <w:shd w:val="clear" w:color="auto" w:fill="00558C"/>
          </w:tcPr>
          <w:p>
            <w:pPr>
              <w:ind w:left="300"/>
              <w:spacing w:after="0"/>
              <w:rPr>
                <w:sz w:val="20"/>
                <w:szCs w:val="20"/>
                <w:color w:val="auto"/>
              </w:rPr>
            </w:pPr>
            <w:r>
              <w:rPr>
                <w:rFonts w:ascii="Arial" w:cs="Arial" w:eastAsia="Arial" w:hAnsi="Arial"/>
                <w:sz w:val="14"/>
                <w:szCs w:val="14"/>
                <w:b w:val="1"/>
                <w:bCs w:val="1"/>
                <w:color w:val="FFFFFF"/>
              </w:rPr>
              <w:t>2022, 2023 and 2024 Performance Stock Units</w:t>
            </w:r>
          </w:p>
        </w:tc>
        <w:tc>
          <w:tcPr>
            <w:tcW w:w="0" w:type="dxa"/>
            <w:vAlign w:val="bottom"/>
          </w:tcPr>
          <w:p>
            <w:pPr>
              <w:spacing w:after="0"/>
              <w:rPr>
                <w:sz w:val="1"/>
                <w:szCs w:val="1"/>
                <w:color w:val="auto"/>
              </w:rPr>
            </w:pPr>
          </w:p>
        </w:tc>
      </w:tr>
      <w:tr>
        <w:trPr>
          <w:trHeight w:val="97"/>
        </w:trPr>
        <w:tc>
          <w:tcPr>
            <w:tcW w:w="2320" w:type="dxa"/>
            <w:vAlign w:val="bottom"/>
            <w:shd w:val="clear" w:color="auto" w:fill="00558C"/>
          </w:tcPr>
          <w:p>
            <w:pPr>
              <w:spacing w:after="0"/>
              <w:rPr>
                <w:sz w:val="8"/>
                <w:szCs w:val="8"/>
                <w:color w:val="auto"/>
              </w:rPr>
            </w:pPr>
          </w:p>
        </w:tc>
        <w:tc>
          <w:tcPr>
            <w:tcW w:w="2600" w:type="dxa"/>
            <w:vAlign w:val="bottom"/>
            <w:shd w:val="clear" w:color="auto" w:fill="00558C"/>
          </w:tcPr>
          <w:p>
            <w:pPr>
              <w:spacing w:after="0"/>
              <w:rPr>
                <w:sz w:val="8"/>
                <w:szCs w:val="8"/>
                <w:color w:val="auto"/>
              </w:rPr>
            </w:pPr>
          </w:p>
        </w:tc>
        <w:tc>
          <w:tcPr>
            <w:tcW w:w="4160" w:type="dxa"/>
            <w:vAlign w:val="bottom"/>
            <w:shd w:val="clear" w:color="auto" w:fill="00558C"/>
          </w:tcPr>
          <w:p>
            <w:pPr>
              <w:spacing w:after="0"/>
              <w:rPr>
                <w:sz w:val="8"/>
                <w:szCs w:val="8"/>
                <w:color w:val="auto"/>
              </w:rPr>
            </w:pPr>
          </w:p>
        </w:tc>
        <w:tc>
          <w:tcPr>
            <w:tcW w:w="0" w:type="dxa"/>
            <w:vAlign w:val="bottom"/>
          </w:tcPr>
          <w:p>
            <w:pPr>
              <w:spacing w:after="0"/>
              <w:rPr>
                <w:sz w:val="1"/>
                <w:szCs w:val="1"/>
                <w:color w:val="auto"/>
              </w:rPr>
            </w:pPr>
          </w:p>
        </w:tc>
      </w:tr>
      <w:tr>
        <w:trPr>
          <w:trHeight w:val="301"/>
        </w:trPr>
        <w:tc>
          <w:tcPr>
            <w:tcW w:w="2320" w:type="dxa"/>
            <w:vAlign w:val="bottom"/>
            <w:vMerge w:val="restart"/>
            <w:shd w:val="clear" w:color="auto" w:fill="F2F3F2"/>
          </w:tcPr>
          <w:p>
            <w:pPr>
              <w:ind w:left="140"/>
              <w:spacing w:after="0"/>
              <w:rPr>
                <w:sz w:val="20"/>
                <w:szCs w:val="20"/>
                <w:color w:val="auto"/>
              </w:rPr>
            </w:pPr>
            <w:r>
              <w:rPr>
                <w:rFonts w:ascii="Arial" w:cs="Arial" w:eastAsia="Arial" w:hAnsi="Arial"/>
                <w:sz w:val="14"/>
                <w:szCs w:val="14"/>
                <w:b w:val="1"/>
                <w:bCs w:val="1"/>
                <w:color w:val="auto"/>
              </w:rPr>
              <w:t>Normal Vesting</w:t>
            </w:r>
          </w:p>
        </w:tc>
        <w:tc>
          <w:tcPr>
            <w:tcW w:w="2600" w:type="dxa"/>
            <w:vAlign w:val="bottom"/>
            <w:vMerge w:val="restart"/>
            <w:shd w:val="clear" w:color="auto" w:fill="F2F3F2"/>
          </w:tcPr>
          <w:p>
            <w:pPr>
              <w:ind w:left="140"/>
              <w:spacing w:after="0"/>
              <w:rPr>
                <w:sz w:val="20"/>
                <w:szCs w:val="20"/>
                <w:color w:val="auto"/>
              </w:rPr>
            </w:pPr>
            <w:r>
              <w:rPr>
                <w:rFonts w:ascii="Arial" w:cs="Arial" w:eastAsia="Arial" w:hAnsi="Arial"/>
                <w:sz w:val="14"/>
                <w:szCs w:val="14"/>
                <w:color w:val="auto"/>
              </w:rPr>
              <w:t>33% annual vesting over 3 years</w:t>
            </w:r>
          </w:p>
        </w:tc>
        <w:tc>
          <w:tcPr>
            <w:tcW w:w="4160" w:type="dxa"/>
            <w:vAlign w:val="bottom"/>
            <w:shd w:val="clear" w:color="auto" w:fill="F2F3F2"/>
          </w:tcPr>
          <w:p>
            <w:pPr>
              <w:ind w:left="300"/>
              <w:spacing w:after="0"/>
              <w:rPr>
                <w:sz w:val="20"/>
                <w:szCs w:val="20"/>
                <w:color w:val="auto"/>
              </w:rPr>
            </w:pPr>
            <w:r>
              <w:rPr>
                <w:rFonts w:ascii="Arial" w:cs="Arial" w:eastAsia="Arial" w:hAnsi="Arial"/>
                <w:sz w:val="14"/>
                <w:szCs w:val="14"/>
                <w:color w:val="auto"/>
              </w:rPr>
              <w:t>100% of the earned PSUs vest on March 1 of the year</w:t>
            </w:r>
          </w:p>
        </w:tc>
        <w:tc>
          <w:tcPr>
            <w:tcW w:w="0" w:type="dxa"/>
            <w:vAlign w:val="bottom"/>
          </w:tcPr>
          <w:p>
            <w:pPr>
              <w:spacing w:after="0"/>
              <w:rPr>
                <w:sz w:val="1"/>
                <w:szCs w:val="1"/>
                <w:color w:val="auto"/>
              </w:rPr>
            </w:pPr>
          </w:p>
        </w:tc>
      </w:tr>
      <w:tr>
        <w:trPr>
          <w:trHeight w:val="115"/>
        </w:trPr>
        <w:tc>
          <w:tcPr>
            <w:tcW w:w="2320" w:type="dxa"/>
            <w:vAlign w:val="bottom"/>
            <w:vMerge w:val="continue"/>
            <w:shd w:val="clear" w:color="auto" w:fill="F2F3F2"/>
          </w:tcPr>
          <w:p>
            <w:pPr>
              <w:spacing w:after="0"/>
              <w:rPr>
                <w:sz w:val="10"/>
                <w:szCs w:val="10"/>
                <w:color w:val="auto"/>
              </w:rPr>
            </w:pPr>
          </w:p>
        </w:tc>
        <w:tc>
          <w:tcPr>
            <w:tcW w:w="2600" w:type="dxa"/>
            <w:vAlign w:val="bottom"/>
            <w:vMerge w:val="continue"/>
            <w:shd w:val="clear" w:color="auto" w:fill="F2F3F2"/>
          </w:tcPr>
          <w:p>
            <w:pPr>
              <w:spacing w:after="0"/>
              <w:rPr>
                <w:sz w:val="10"/>
                <w:szCs w:val="10"/>
                <w:color w:val="auto"/>
              </w:rPr>
            </w:pPr>
          </w:p>
        </w:tc>
        <w:tc>
          <w:tcPr>
            <w:tcW w:w="4160" w:type="dxa"/>
            <w:vAlign w:val="bottom"/>
            <w:vMerge w:val="restart"/>
            <w:shd w:val="clear" w:color="auto" w:fill="F2F3F2"/>
          </w:tcPr>
          <w:p>
            <w:pPr>
              <w:ind w:left="300"/>
              <w:spacing w:after="0"/>
              <w:rPr>
                <w:sz w:val="20"/>
                <w:szCs w:val="20"/>
                <w:color w:val="auto"/>
              </w:rPr>
            </w:pPr>
            <w:r>
              <w:rPr>
                <w:rFonts w:ascii="Arial" w:cs="Arial" w:eastAsia="Arial" w:hAnsi="Arial"/>
                <w:sz w:val="14"/>
                <w:szCs w:val="14"/>
                <w:color w:val="auto"/>
              </w:rPr>
              <w:t>following the end of the three year performance period.</w:t>
            </w:r>
          </w:p>
        </w:tc>
        <w:tc>
          <w:tcPr>
            <w:tcW w:w="0" w:type="dxa"/>
            <w:vAlign w:val="bottom"/>
          </w:tcPr>
          <w:p>
            <w:pPr>
              <w:spacing w:after="0"/>
              <w:rPr>
                <w:sz w:val="1"/>
                <w:szCs w:val="1"/>
                <w:color w:val="auto"/>
              </w:rPr>
            </w:pPr>
          </w:p>
        </w:tc>
      </w:tr>
      <w:tr>
        <w:trPr>
          <w:trHeight w:val="75"/>
        </w:trPr>
        <w:tc>
          <w:tcPr>
            <w:tcW w:w="2320" w:type="dxa"/>
            <w:vAlign w:val="bottom"/>
            <w:shd w:val="clear" w:color="auto" w:fill="F2F3F2"/>
          </w:tcPr>
          <w:p>
            <w:pPr>
              <w:spacing w:after="0"/>
              <w:rPr>
                <w:sz w:val="6"/>
                <w:szCs w:val="6"/>
                <w:color w:val="auto"/>
              </w:rPr>
            </w:pPr>
          </w:p>
        </w:tc>
        <w:tc>
          <w:tcPr>
            <w:tcW w:w="2600" w:type="dxa"/>
            <w:vAlign w:val="bottom"/>
            <w:shd w:val="clear" w:color="auto" w:fill="F2F3F2"/>
          </w:tcPr>
          <w:p>
            <w:pPr>
              <w:spacing w:after="0"/>
              <w:rPr>
                <w:sz w:val="6"/>
                <w:szCs w:val="6"/>
                <w:color w:val="auto"/>
              </w:rPr>
            </w:pPr>
          </w:p>
        </w:tc>
        <w:tc>
          <w:tcPr>
            <w:tcW w:w="4160" w:type="dxa"/>
            <w:vAlign w:val="bottom"/>
            <w:vMerge w:val="continue"/>
            <w:shd w:val="clear" w:color="auto" w:fill="F2F3F2"/>
          </w:tcPr>
          <w:p>
            <w:pPr>
              <w:spacing w:after="0"/>
              <w:rPr>
                <w:sz w:val="6"/>
                <w:szCs w:val="6"/>
                <w:color w:val="auto"/>
              </w:rPr>
            </w:pPr>
          </w:p>
        </w:tc>
        <w:tc>
          <w:tcPr>
            <w:tcW w:w="0" w:type="dxa"/>
            <w:vAlign w:val="bottom"/>
          </w:tcPr>
          <w:p>
            <w:pPr>
              <w:spacing w:after="0"/>
              <w:rPr>
                <w:sz w:val="1"/>
                <w:szCs w:val="1"/>
                <w:color w:val="auto"/>
              </w:rPr>
            </w:pPr>
          </w:p>
        </w:tc>
      </w:tr>
      <w:tr>
        <w:trPr>
          <w:trHeight w:val="103"/>
        </w:trPr>
        <w:tc>
          <w:tcPr>
            <w:tcW w:w="2320" w:type="dxa"/>
            <w:vAlign w:val="bottom"/>
            <w:shd w:val="clear" w:color="auto" w:fill="F2F3F2"/>
          </w:tcPr>
          <w:p>
            <w:pPr>
              <w:spacing w:after="0"/>
              <w:rPr>
                <w:sz w:val="8"/>
                <w:szCs w:val="8"/>
                <w:color w:val="auto"/>
              </w:rPr>
            </w:pPr>
          </w:p>
        </w:tc>
        <w:tc>
          <w:tcPr>
            <w:tcW w:w="2600" w:type="dxa"/>
            <w:vAlign w:val="bottom"/>
            <w:shd w:val="clear" w:color="auto" w:fill="F2F3F2"/>
          </w:tcPr>
          <w:p>
            <w:pPr>
              <w:spacing w:after="0"/>
              <w:rPr>
                <w:sz w:val="8"/>
                <w:szCs w:val="8"/>
                <w:color w:val="auto"/>
              </w:rPr>
            </w:pPr>
          </w:p>
        </w:tc>
        <w:tc>
          <w:tcPr>
            <w:tcW w:w="4160" w:type="dxa"/>
            <w:vAlign w:val="bottom"/>
            <w:shd w:val="clear" w:color="auto" w:fill="F2F3F2"/>
          </w:tcPr>
          <w:p>
            <w:pPr>
              <w:spacing w:after="0"/>
              <w:rPr>
                <w:sz w:val="8"/>
                <w:szCs w:val="8"/>
                <w:color w:val="auto"/>
              </w:rPr>
            </w:pPr>
          </w:p>
        </w:tc>
        <w:tc>
          <w:tcPr>
            <w:tcW w:w="0" w:type="dxa"/>
            <w:vAlign w:val="bottom"/>
          </w:tcPr>
          <w:p>
            <w:pPr>
              <w:spacing w:after="0"/>
              <w:rPr>
                <w:sz w:val="1"/>
                <w:szCs w:val="1"/>
                <w:color w:val="auto"/>
              </w:rPr>
            </w:pPr>
          </w:p>
        </w:tc>
      </w:tr>
      <w:tr>
        <w:trPr>
          <w:trHeight w:val="349"/>
        </w:trPr>
        <w:tc>
          <w:tcPr>
            <w:tcW w:w="2320" w:type="dxa"/>
            <w:vAlign w:val="bottom"/>
          </w:tcPr>
          <w:p>
            <w:pPr>
              <w:ind w:left="140"/>
              <w:spacing w:after="0"/>
              <w:rPr>
                <w:sz w:val="20"/>
                <w:szCs w:val="20"/>
                <w:color w:val="auto"/>
              </w:rPr>
            </w:pPr>
            <w:r>
              <w:rPr>
                <w:rFonts w:ascii="Arial" w:cs="Arial" w:eastAsia="Arial" w:hAnsi="Arial"/>
                <w:sz w:val="14"/>
                <w:szCs w:val="14"/>
                <w:b w:val="1"/>
                <w:bCs w:val="1"/>
                <w:color w:val="auto"/>
              </w:rPr>
              <w:t>Voluntary Termination</w:t>
            </w:r>
          </w:p>
        </w:tc>
        <w:tc>
          <w:tcPr>
            <w:tcW w:w="2600" w:type="dxa"/>
            <w:vAlign w:val="bottom"/>
          </w:tcPr>
          <w:p>
            <w:pPr>
              <w:ind w:left="140"/>
              <w:spacing w:after="0"/>
              <w:rPr>
                <w:sz w:val="20"/>
                <w:szCs w:val="20"/>
                <w:color w:val="auto"/>
              </w:rPr>
            </w:pPr>
            <w:r>
              <w:rPr>
                <w:rFonts w:ascii="Arial" w:cs="Arial" w:eastAsia="Arial" w:hAnsi="Arial"/>
                <w:sz w:val="14"/>
                <w:szCs w:val="14"/>
                <w:color w:val="auto"/>
              </w:rPr>
              <w:t>Forfeit.</w:t>
            </w:r>
          </w:p>
        </w:tc>
        <w:tc>
          <w:tcPr>
            <w:tcW w:w="4160" w:type="dxa"/>
            <w:vAlign w:val="bottom"/>
          </w:tcPr>
          <w:p>
            <w:pPr>
              <w:ind w:left="300"/>
              <w:spacing w:after="0"/>
              <w:rPr>
                <w:sz w:val="20"/>
                <w:szCs w:val="20"/>
                <w:color w:val="auto"/>
              </w:rPr>
            </w:pPr>
            <w:r>
              <w:rPr>
                <w:rFonts w:ascii="Arial" w:cs="Arial" w:eastAsia="Arial" w:hAnsi="Arial"/>
                <w:sz w:val="14"/>
                <w:szCs w:val="14"/>
                <w:color w:val="auto"/>
              </w:rPr>
              <w:t>Forfeit.</w:t>
            </w:r>
          </w:p>
        </w:tc>
        <w:tc>
          <w:tcPr>
            <w:tcW w:w="0" w:type="dxa"/>
            <w:vAlign w:val="bottom"/>
          </w:tcPr>
          <w:p>
            <w:pPr>
              <w:spacing w:after="0"/>
              <w:rPr>
                <w:sz w:val="1"/>
                <w:szCs w:val="1"/>
                <w:color w:val="auto"/>
              </w:rPr>
            </w:pPr>
          </w:p>
        </w:tc>
      </w:tr>
      <w:tr>
        <w:trPr>
          <w:trHeight w:val="96"/>
        </w:trPr>
        <w:tc>
          <w:tcPr>
            <w:tcW w:w="23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4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49"/>
        </w:trPr>
        <w:tc>
          <w:tcPr>
            <w:tcW w:w="2320" w:type="dxa"/>
            <w:vAlign w:val="bottom"/>
            <w:shd w:val="clear" w:color="auto" w:fill="F2F3F2"/>
          </w:tcPr>
          <w:p>
            <w:pPr>
              <w:ind w:left="140"/>
              <w:spacing w:after="0"/>
              <w:rPr>
                <w:sz w:val="20"/>
                <w:szCs w:val="20"/>
                <w:color w:val="auto"/>
              </w:rPr>
            </w:pPr>
            <w:r>
              <w:rPr>
                <w:rFonts w:ascii="Arial" w:cs="Arial" w:eastAsia="Arial" w:hAnsi="Arial"/>
                <w:sz w:val="14"/>
                <w:szCs w:val="14"/>
                <w:b w:val="1"/>
                <w:bCs w:val="1"/>
                <w:color w:val="auto"/>
              </w:rPr>
              <w:t>Termination for "Cause"</w:t>
            </w:r>
          </w:p>
        </w:tc>
        <w:tc>
          <w:tcPr>
            <w:tcW w:w="2600" w:type="dxa"/>
            <w:vAlign w:val="bottom"/>
            <w:shd w:val="clear" w:color="auto" w:fill="F2F3F2"/>
          </w:tcPr>
          <w:p>
            <w:pPr>
              <w:ind w:left="140"/>
              <w:spacing w:after="0"/>
              <w:rPr>
                <w:sz w:val="20"/>
                <w:szCs w:val="20"/>
                <w:color w:val="auto"/>
              </w:rPr>
            </w:pPr>
            <w:r>
              <w:rPr>
                <w:rFonts w:ascii="Arial" w:cs="Arial" w:eastAsia="Arial" w:hAnsi="Arial"/>
                <w:sz w:val="14"/>
                <w:szCs w:val="14"/>
                <w:color w:val="auto"/>
              </w:rPr>
              <w:t>Forfeit.</w:t>
            </w:r>
          </w:p>
        </w:tc>
        <w:tc>
          <w:tcPr>
            <w:tcW w:w="4160" w:type="dxa"/>
            <w:vAlign w:val="bottom"/>
            <w:shd w:val="clear" w:color="auto" w:fill="F2F3F2"/>
          </w:tcPr>
          <w:p>
            <w:pPr>
              <w:ind w:left="300"/>
              <w:spacing w:after="0"/>
              <w:rPr>
                <w:sz w:val="20"/>
                <w:szCs w:val="20"/>
                <w:color w:val="auto"/>
              </w:rPr>
            </w:pPr>
            <w:r>
              <w:rPr>
                <w:rFonts w:ascii="Arial" w:cs="Arial" w:eastAsia="Arial" w:hAnsi="Arial"/>
                <w:sz w:val="14"/>
                <w:szCs w:val="14"/>
                <w:color w:val="auto"/>
              </w:rPr>
              <w:t>Forfeit.</w:t>
            </w:r>
          </w:p>
        </w:tc>
        <w:tc>
          <w:tcPr>
            <w:tcW w:w="0" w:type="dxa"/>
            <w:vAlign w:val="bottom"/>
          </w:tcPr>
          <w:p>
            <w:pPr>
              <w:spacing w:after="0"/>
              <w:rPr>
                <w:sz w:val="1"/>
                <w:szCs w:val="1"/>
                <w:color w:val="auto"/>
              </w:rPr>
            </w:pPr>
          </w:p>
        </w:tc>
      </w:tr>
      <w:tr>
        <w:trPr>
          <w:trHeight w:val="96"/>
        </w:trPr>
        <w:tc>
          <w:tcPr>
            <w:tcW w:w="2320" w:type="dxa"/>
            <w:vAlign w:val="bottom"/>
            <w:shd w:val="clear" w:color="auto" w:fill="F2F3F2"/>
          </w:tcPr>
          <w:p>
            <w:pPr>
              <w:spacing w:after="0"/>
              <w:rPr>
                <w:sz w:val="8"/>
                <w:szCs w:val="8"/>
                <w:color w:val="auto"/>
              </w:rPr>
            </w:pPr>
          </w:p>
        </w:tc>
        <w:tc>
          <w:tcPr>
            <w:tcW w:w="2600" w:type="dxa"/>
            <w:vAlign w:val="bottom"/>
            <w:shd w:val="clear" w:color="auto" w:fill="F2F3F2"/>
          </w:tcPr>
          <w:p>
            <w:pPr>
              <w:spacing w:after="0"/>
              <w:rPr>
                <w:sz w:val="8"/>
                <w:szCs w:val="8"/>
                <w:color w:val="auto"/>
              </w:rPr>
            </w:pPr>
          </w:p>
        </w:tc>
        <w:tc>
          <w:tcPr>
            <w:tcW w:w="4160" w:type="dxa"/>
            <w:vAlign w:val="bottom"/>
            <w:shd w:val="clear" w:color="auto" w:fill="F2F3F2"/>
          </w:tcPr>
          <w:p>
            <w:pPr>
              <w:spacing w:after="0"/>
              <w:rPr>
                <w:sz w:val="8"/>
                <w:szCs w:val="8"/>
                <w:color w:val="auto"/>
              </w:rPr>
            </w:pPr>
          </w:p>
        </w:tc>
        <w:tc>
          <w:tcPr>
            <w:tcW w:w="0" w:type="dxa"/>
            <w:vAlign w:val="bottom"/>
          </w:tcPr>
          <w:p>
            <w:pPr>
              <w:spacing w:after="0"/>
              <w:rPr>
                <w:sz w:val="1"/>
                <w:szCs w:val="1"/>
                <w:color w:val="auto"/>
              </w:rPr>
            </w:pPr>
          </w:p>
        </w:tc>
      </w:tr>
      <w:tr>
        <w:trPr>
          <w:trHeight w:val="342"/>
        </w:trPr>
        <w:tc>
          <w:tcPr>
            <w:tcW w:w="23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4160" w:type="dxa"/>
            <w:vAlign w:val="bottom"/>
          </w:tcPr>
          <w:p>
            <w:pPr>
              <w:ind w:left="300"/>
              <w:spacing w:after="0"/>
              <w:rPr>
                <w:sz w:val="20"/>
                <w:szCs w:val="20"/>
                <w:color w:val="auto"/>
              </w:rPr>
            </w:pPr>
            <w:r>
              <w:rPr>
                <w:rFonts w:ascii="Arial" w:cs="Arial" w:eastAsia="Arial" w:hAnsi="Arial"/>
                <w:sz w:val="14"/>
                <w:szCs w:val="14"/>
                <w:color w:val="auto"/>
              </w:rPr>
              <w:t>Earned based on actual performance and will vest pro</w:t>
            </w:r>
          </w:p>
        </w:tc>
        <w:tc>
          <w:tcPr>
            <w:tcW w:w="0" w:type="dxa"/>
            <w:vAlign w:val="bottom"/>
          </w:tcPr>
          <w:p>
            <w:pPr>
              <w:spacing w:after="0"/>
              <w:rPr>
                <w:sz w:val="1"/>
                <w:szCs w:val="1"/>
                <w:color w:val="auto"/>
              </w:rPr>
            </w:pPr>
          </w:p>
        </w:tc>
      </w:tr>
      <w:tr>
        <w:trPr>
          <w:trHeight w:val="175"/>
        </w:trPr>
        <w:tc>
          <w:tcPr>
            <w:tcW w:w="232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Approved Retirement (comply</w:t>
            </w:r>
          </w:p>
        </w:tc>
        <w:tc>
          <w:tcPr>
            <w:tcW w:w="2600" w:type="dxa"/>
            <w:vAlign w:val="bottom"/>
          </w:tcPr>
          <w:p>
            <w:pPr>
              <w:ind w:left="140"/>
              <w:spacing w:after="0"/>
              <w:rPr>
                <w:sz w:val="20"/>
                <w:szCs w:val="20"/>
                <w:color w:val="auto"/>
              </w:rPr>
            </w:pPr>
            <w:r>
              <w:rPr>
                <w:rFonts w:ascii="Arial" w:cs="Arial" w:eastAsia="Arial" w:hAnsi="Arial"/>
                <w:sz w:val="14"/>
                <w:szCs w:val="14"/>
                <w:color w:val="auto"/>
              </w:rPr>
              <w:t>Subject to non-compete, vesting</w:t>
            </w:r>
          </w:p>
        </w:tc>
        <w:tc>
          <w:tcPr>
            <w:tcW w:w="4160" w:type="dxa"/>
            <w:vAlign w:val="bottom"/>
          </w:tcPr>
          <w:p>
            <w:pPr>
              <w:ind w:left="300"/>
              <w:spacing w:after="0"/>
              <w:rPr>
                <w:sz w:val="20"/>
                <w:szCs w:val="20"/>
                <w:color w:val="auto"/>
              </w:rPr>
            </w:pPr>
            <w:r>
              <w:rPr>
                <w:rFonts w:ascii="Arial" w:cs="Arial" w:eastAsia="Arial" w:hAnsi="Arial"/>
                <w:sz w:val="14"/>
                <w:szCs w:val="14"/>
                <w:color w:val="auto"/>
              </w:rPr>
              <w:t>rata on March 1 of the year following the three year</w:t>
            </w:r>
          </w:p>
        </w:tc>
        <w:tc>
          <w:tcPr>
            <w:tcW w:w="0" w:type="dxa"/>
            <w:vAlign w:val="bottom"/>
          </w:tcPr>
          <w:p>
            <w:pPr>
              <w:spacing w:after="0"/>
              <w:rPr>
                <w:sz w:val="1"/>
                <w:szCs w:val="1"/>
                <w:color w:val="auto"/>
              </w:rPr>
            </w:pPr>
          </w:p>
        </w:tc>
      </w:tr>
      <w:tr>
        <w:trPr>
          <w:trHeight w:val="81"/>
        </w:trPr>
        <w:tc>
          <w:tcPr>
            <w:tcW w:w="2320" w:type="dxa"/>
            <w:vAlign w:val="bottom"/>
            <w:vMerge w:val="continue"/>
          </w:tcPr>
          <w:p>
            <w:pPr>
              <w:spacing w:after="0"/>
              <w:rPr>
                <w:sz w:val="7"/>
                <w:szCs w:val="7"/>
                <w:color w:val="auto"/>
              </w:rPr>
            </w:pPr>
          </w:p>
        </w:tc>
        <w:tc>
          <w:tcPr>
            <w:tcW w:w="2600" w:type="dxa"/>
            <w:vAlign w:val="bottom"/>
            <w:vMerge w:val="restart"/>
          </w:tcPr>
          <w:p>
            <w:pPr>
              <w:ind w:left="140"/>
              <w:spacing w:after="0"/>
              <w:rPr>
                <w:sz w:val="20"/>
                <w:szCs w:val="20"/>
                <w:color w:val="auto"/>
              </w:rPr>
            </w:pPr>
            <w:r>
              <w:rPr>
                <w:rFonts w:ascii="Arial" w:cs="Arial" w:eastAsia="Arial" w:hAnsi="Arial"/>
                <w:sz w:val="14"/>
                <w:szCs w:val="14"/>
                <w:color w:val="auto"/>
              </w:rPr>
              <w:t>continues per normal course post-</w:t>
            </w:r>
          </w:p>
        </w:tc>
        <w:tc>
          <w:tcPr>
            <w:tcW w:w="4160" w:type="dxa"/>
            <w:vAlign w:val="bottom"/>
            <w:vMerge w:val="restart"/>
          </w:tcPr>
          <w:p>
            <w:pPr>
              <w:ind w:left="300"/>
              <w:spacing w:after="0"/>
              <w:rPr>
                <w:sz w:val="20"/>
                <w:szCs w:val="20"/>
                <w:color w:val="auto"/>
              </w:rPr>
            </w:pPr>
            <w:r>
              <w:rPr>
                <w:rFonts w:ascii="Arial" w:cs="Arial" w:eastAsia="Arial" w:hAnsi="Arial"/>
                <w:sz w:val="14"/>
                <w:szCs w:val="14"/>
                <w:color w:val="auto"/>
              </w:rPr>
              <w:t>performance period based on number of days employed</w:t>
            </w:r>
          </w:p>
        </w:tc>
        <w:tc>
          <w:tcPr>
            <w:tcW w:w="0" w:type="dxa"/>
            <w:vAlign w:val="bottom"/>
          </w:tcPr>
          <w:p>
            <w:pPr>
              <w:spacing w:after="0"/>
              <w:rPr>
                <w:sz w:val="1"/>
                <w:szCs w:val="1"/>
                <w:color w:val="auto"/>
              </w:rPr>
            </w:pPr>
          </w:p>
        </w:tc>
      </w:tr>
      <w:tr>
        <w:trPr>
          <w:trHeight w:val="81"/>
        </w:trPr>
        <w:tc>
          <w:tcPr>
            <w:tcW w:w="232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with non-compete provisions)</w:t>
            </w:r>
          </w:p>
        </w:tc>
        <w:tc>
          <w:tcPr>
            <w:tcW w:w="2600" w:type="dxa"/>
            <w:vAlign w:val="bottom"/>
            <w:vMerge w:val="continue"/>
          </w:tcPr>
          <w:p>
            <w:pPr>
              <w:spacing w:after="0"/>
              <w:rPr>
                <w:sz w:val="7"/>
                <w:szCs w:val="7"/>
                <w:color w:val="auto"/>
              </w:rPr>
            </w:pPr>
          </w:p>
        </w:tc>
        <w:tc>
          <w:tcPr>
            <w:tcW w:w="4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2320" w:type="dxa"/>
            <w:vAlign w:val="bottom"/>
            <w:vMerge w:val="continue"/>
          </w:tcPr>
          <w:p>
            <w:pPr>
              <w:spacing w:after="0"/>
              <w:rPr>
                <w:sz w:val="10"/>
                <w:szCs w:val="10"/>
                <w:color w:val="auto"/>
              </w:rPr>
            </w:pPr>
          </w:p>
        </w:tc>
        <w:tc>
          <w:tcPr>
            <w:tcW w:w="2600" w:type="dxa"/>
            <w:vAlign w:val="bottom"/>
            <w:vMerge w:val="restart"/>
          </w:tcPr>
          <w:p>
            <w:pPr>
              <w:ind w:left="140"/>
              <w:spacing w:after="0"/>
              <w:rPr>
                <w:sz w:val="20"/>
                <w:szCs w:val="20"/>
                <w:color w:val="auto"/>
              </w:rPr>
            </w:pPr>
            <w:r>
              <w:rPr>
                <w:rFonts w:ascii="Arial" w:cs="Arial" w:eastAsia="Arial" w:hAnsi="Arial"/>
                <w:sz w:val="14"/>
                <w:szCs w:val="14"/>
                <w:color w:val="auto"/>
              </w:rPr>
              <w:t>retirement.</w:t>
            </w:r>
          </w:p>
        </w:tc>
        <w:tc>
          <w:tcPr>
            <w:tcW w:w="4160" w:type="dxa"/>
            <w:vAlign w:val="bottom"/>
            <w:vMerge w:val="restart"/>
          </w:tcPr>
          <w:p>
            <w:pPr>
              <w:ind w:left="300"/>
              <w:spacing w:after="0"/>
              <w:rPr>
                <w:sz w:val="20"/>
                <w:szCs w:val="20"/>
                <w:color w:val="auto"/>
              </w:rPr>
            </w:pPr>
            <w:r>
              <w:rPr>
                <w:rFonts w:ascii="Arial" w:cs="Arial" w:eastAsia="Arial" w:hAnsi="Arial"/>
                <w:sz w:val="14"/>
                <w:szCs w:val="14"/>
                <w:color w:val="auto"/>
              </w:rPr>
              <w:t>during the performance period. Subject to non-compete,</w:t>
            </w:r>
          </w:p>
        </w:tc>
        <w:tc>
          <w:tcPr>
            <w:tcW w:w="0" w:type="dxa"/>
            <w:vAlign w:val="bottom"/>
          </w:tcPr>
          <w:p>
            <w:pPr>
              <w:spacing w:after="0"/>
              <w:rPr>
                <w:sz w:val="1"/>
                <w:szCs w:val="1"/>
                <w:color w:val="auto"/>
              </w:rPr>
            </w:pPr>
          </w:p>
        </w:tc>
      </w:tr>
      <w:tr>
        <w:trPr>
          <w:trHeight w:val="60"/>
        </w:trPr>
        <w:tc>
          <w:tcPr>
            <w:tcW w:w="2320" w:type="dxa"/>
            <w:vAlign w:val="bottom"/>
          </w:tcPr>
          <w:p>
            <w:pPr>
              <w:spacing w:after="0"/>
              <w:rPr>
                <w:sz w:val="5"/>
                <w:szCs w:val="5"/>
                <w:color w:val="auto"/>
              </w:rPr>
            </w:pPr>
          </w:p>
        </w:tc>
        <w:tc>
          <w:tcPr>
            <w:tcW w:w="2600" w:type="dxa"/>
            <w:vAlign w:val="bottom"/>
            <w:vMerge w:val="continue"/>
          </w:tcPr>
          <w:p>
            <w:pPr>
              <w:spacing w:after="0"/>
              <w:rPr>
                <w:sz w:val="5"/>
                <w:szCs w:val="5"/>
                <w:color w:val="auto"/>
              </w:rPr>
            </w:pPr>
          </w:p>
        </w:tc>
        <w:tc>
          <w:tcPr>
            <w:tcW w:w="4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23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4160" w:type="dxa"/>
            <w:vAlign w:val="bottom"/>
          </w:tcPr>
          <w:p>
            <w:pPr>
              <w:ind w:left="300"/>
              <w:spacing w:after="0"/>
              <w:rPr>
                <w:sz w:val="20"/>
                <w:szCs w:val="20"/>
                <w:color w:val="auto"/>
              </w:rPr>
            </w:pPr>
            <w:r>
              <w:rPr>
                <w:rFonts w:ascii="Arial" w:cs="Arial" w:eastAsia="Arial" w:hAnsi="Arial"/>
                <w:sz w:val="14"/>
                <w:szCs w:val="14"/>
                <w:color w:val="auto"/>
              </w:rPr>
              <w:t>vesting continues per normal course post-retirement.</w:t>
            </w:r>
          </w:p>
        </w:tc>
        <w:tc>
          <w:tcPr>
            <w:tcW w:w="0" w:type="dxa"/>
            <w:vAlign w:val="bottom"/>
          </w:tcPr>
          <w:p>
            <w:pPr>
              <w:spacing w:after="0"/>
              <w:rPr>
                <w:sz w:val="1"/>
                <w:szCs w:val="1"/>
                <w:color w:val="auto"/>
              </w:rPr>
            </w:pPr>
          </w:p>
        </w:tc>
      </w:tr>
      <w:tr>
        <w:trPr>
          <w:trHeight w:val="130"/>
        </w:trPr>
        <w:tc>
          <w:tcPr>
            <w:tcW w:w="23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8"/>
        </w:trPr>
        <w:tc>
          <w:tcPr>
            <w:tcW w:w="2320" w:type="dxa"/>
            <w:vAlign w:val="bottom"/>
            <w:shd w:val="clear" w:color="auto" w:fill="F2F3F2"/>
          </w:tcPr>
          <w:p>
            <w:pPr>
              <w:spacing w:after="0"/>
              <w:rPr>
                <w:sz w:val="24"/>
                <w:szCs w:val="24"/>
                <w:color w:val="auto"/>
              </w:rPr>
            </w:pPr>
          </w:p>
        </w:tc>
        <w:tc>
          <w:tcPr>
            <w:tcW w:w="2600" w:type="dxa"/>
            <w:vAlign w:val="bottom"/>
            <w:shd w:val="clear" w:color="auto" w:fill="F2F3F2"/>
          </w:tcPr>
          <w:p>
            <w:pPr>
              <w:spacing w:after="0"/>
              <w:rPr>
                <w:sz w:val="24"/>
                <w:szCs w:val="24"/>
                <w:color w:val="auto"/>
              </w:rPr>
            </w:pPr>
          </w:p>
        </w:tc>
        <w:tc>
          <w:tcPr>
            <w:tcW w:w="4160" w:type="dxa"/>
            <w:vAlign w:val="bottom"/>
            <w:shd w:val="clear" w:color="auto" w:fill="F2F3F2"/>
          </w:tcPr>
          <w:p>
            <w:pPr>
              <w:ind w:left="300"/>
              <w:spacing w:after="0"/>
              <w:rPr>
                <w:sz w:val="20"/>
                <w:szCs w:val="20"/>
                <w:color w:val="auto"/>
              </w:rPr>
            </w:pPr>
            <w:r>
              <w:rPr>
                <w:rFonts w:ascii="Arial" w:cs="Arial" w:eastAsia="Arial" w:hAnsi="Arial"/>
                <w:sz w:val="14"/>
                <w:szCs w:val="14"/>
                <w:color w:val="auto"/>
              </w:rPr>
              <w:t>Earned based on actual performance and will vest pro rata</w:t>
            </w:r>
          </w:p>
        </w:tc>
        <w:tc>
          <w:tcPr>
            <w:tcW w:w="0" w:type="dxa"/>
            <w:vAlign w:val="bottom"/>
          </w:tcPr>
          <w:p>
            <w:pPr>
              <w:spacing w:after="0"/>
              <w:rPr>
                <w:sz w:val="1"/>
                <w:szCs w:val="1"/>
                <w:color w:val="auto"/>
              </w:rPr>
            </w:pPr>
          </w:p>
        </w:tc>
      </w:tr>
      <w:tr>
        <w:trPr>
          <w:trHeight w:val="175"/>
        </w:trPr>
        <w:tc>
          <w:tcPr>
            <w:tcW w:w="2320" w:type="dxa"/>
            <w:vAlign w:val="bottom"/>
            <w:vMerge w:val="restart"/>
            <w:shd w:val="clear" w:color="auto" w:fill="F2F3F2"/>
          </w:tcPr>
          <w:p>
            <w:pPr>
              <w:ind w:left="140"/>
              <w:spacing w:after="0"/>
              <w:rPr>
                <w:sz w:val="20"/>
                <w:szCs w:val="20"/>
                <w:color w:val="auto"/>
              </w:rPr>
            </w:pPr>
            <w:r>
              <w:rPr>
                <w:rFonts w:ascii="Arial" w:cs="Arial" w:eastAsia="Arial" w:hAnsi="Arial"/>
                <w:sz w:val="14"/>
                <w:szCs w:val="14"/>
                <w:b w:val="1"/>
                <w:bCs w:val="1"/>
                <w:color w:val="auto"/>
              </w:rPr>
              <w:t>Death or Disability</w:t>
            </w:r>
          </w:p>
        </w:tc>
        <w:tc>
          <w:tcPr>
            <w:tcW w:w="2600" w:type="dxa"/>
            <w:vAlign w:val="bottom"/>
            <w:vMerge w:val="restart"/>
            <w:shd w:val="clear" w:color="auto" w:fill="F2F3F2"/>
          </w:tcPr>
          <w:p>
            <w:pPr>
              <w:ind w:left="140"/>
              <w:spacing w:after="0"/>
              <w:rPr>
                <w:sz w:val="20"/>
                <w:szCs w:val="20"/>
                <w:color w:val="auto"/>
              </w:rPr>
            </w:pPr>
            <w:r>
              <w:rPr>
                <w:rFonts w:ascii="Arial" w:cs="Arial" w:eastAsia="Arial" w:hAnsi="Arial"/>
                <w:sz w:val="14"/>
                <w:szCs w:val="14"/>
                <w:color w:val="auto"/>
              </w:rPr>
              <w:t>Full acceleration.</w:t>
            </w:r>
          </w:p>
        </w:tc>
        <w:tc>
          <w:tcPr>
            <w:tcW w:w="4160" w:type="dxa"/>
            <w:vAlign w:val="bottom"/>
            <w:shd w:val="clear" w:color="auto" w:fill="F2F3F2"/>
          </w:tcPr>
          <w:p>
            <w:pPr>
              <w:ind w:left="300"/>
              <w:spacing w:after="0"/>
              <w:rPr>
                <w:sz w:val="20"/>
                <w:szCs w:val="20"/>
                <w:color w:val="auto"/>
              </w:rPr>
            </w:pPr>
            <w:r>
              <w:rPr>
                <w:rFonts w:ascii="Arial" w:cs="Arial" w:eastAsia="Arial" w:hAnsi="Arial"/>
                <w:sz w:val="14"/>
                <w:szCs w:val="14"/>
                <w:color w:val="auto"/>
              </w:rPr>
              <w:t>on March 1 of the year following the three year</w:t>
            </w:r>
          </w:p>
        </w:tc>
        <w:tc>
          <w:tcPr>
            <w:tcW w:w="0" w:type="dxa"/>
            <w:vAlign w:val="bottom"/>
          </w:tcPr>
          <w:p>
            <w:pPr>
              <w:spacing w:after="0"/>
              <w:rPr>
                <w:sz w:val="1"/>
                <w:szCs w:val="1"/>
                <w:color w:val="auto"/>
              </w:rPr>
            </w:pPr>
          </w:p>
        </w:tc>
      </w:tr>
      <w:tr>
        <w:trPr>
          <w:trHeight w:val="115"/>
        </w:trPr>
        <w:tc>
          <w:tcPr>
            <w:tcW w:w="2320" w:type="dxa"/>
            <w:vAlign w:val="bottom"/>
            <w:vMerge w:val="continue"/>
            <w:shd w:val="clear" w:color="auto" w:fill="F2F3F2"/>
          </w:tcPr>
          <w:p>
            <w:pPr>
              <w:spacing w:after="0"/>
              <w:rPr>
                <w:sz w:val="10"/>
                <w:szCs w:val="10"/>
                <w:color w:val="auto"/>
              </w:rPr>
            </w:pPr>
          </w:p>
        </w:tc>
        <w:tc>
          <w:tcPr>
            <w:tcW w:w="2600" w:type="dxa"/>
            <w:vAlign w:val="bottom"/>
            <w:vMerge w:val="continue"/>
            <w:shd w:val="clear" w:color="auto" w:fill="F2F3F2"/>
          </w:tcPr>
          <w:p>
            <w:pPr>
              <w:spacing w:after="0"/>
              <w:rPr>
                <w:sz w:val="10"/>
                <w:szCs w:val="10"/>
                <w:color w:val="auto"/>
              </w:rPr>
            </w:pPr>
          </w:p>
        </w:tc>
        <w:tc>
          <w:tcPr>
            <w:tcW w:w="4160" w:type="dxa"/>
            <w:vAlign w:val="bottom"/>
            <w:vMerge w:val="restart"/>
            <w:shd w:val="clear" w:color="auto" w:fill="F2F3F2"/>
          </w:tcPr>
          <w:p>
            <w:pPr>
              <w:ind w:left="300"/>
              <w:spacing w:after="0"/>
              <w:rPr>
                <w:sz w:val="20"/>
                <w:szCs w:val="20"/>
                <w:color w:val="auto"/>
              </w:rPr>
            </w:pPr>
            <w:r>
              <w:rPr>
                <w:rFonts w:ascii="Arial" w:cs="Arial" w:eastAsia="Arial" w:hAnsi="Arial"/>
                <w:sz w:val="14"/>
                <w:szCs w:val="14"/>
                <w:color w:val="auto"/>
              </w:rPr>
              <w:t>performance period based on number of days employed</w:t>
            </w:r>
          </w:p>
        </w:tc>
        <w:tc>
          <w:tcPr>
            <w:tcW w:w="0" w:type="dxa"/>
            <w:vAlign w:val="bottom"/>
          </w:tcPr>
          <w:p>
            <w:pPr>
              <w:spacing w:after="0"/>
              <w:rPr>
                <w:sz w:val="1"/>
                <w:szCs w:val="1"/>
                <w:color w:val="auto"/>
              </w:rPr>
            </w:pPr>
          </w:p>
        </w:tc>
      </w:tr>
      <w:tr>
        <w:trPr>
          <w:trHeight w:val="60"/>
        </w:trPr>
        <w:tc>
          <w:tcPr>
            <w:tcW w:w="2320" w:type="dxa"/>
            <w:vAlign w:val="bottom"/>
            <w:shd w:val="clear" w:color="auto" w:fill="F2F3F2"/>
          </w:tcPr>
          <w:p>
            <w:pPr>
              <w:spacing w:after="0"/>
              <w:rPr>
                <w:sz w:val="5"/>
                <w:szCs w:val="5"/>
                <w:color w:val="auto"/>
              </w:rPr>
            </w:pPr>
          </w:p>
        </w:tc>
        <w:tc>
          <w:tcPr>
            <w:tcW w:w="2600" w:type="dxa"/>
            <w:vAlign w:val="bottom"/>
            <w:shd w:val="clear" w:color="auto" w:fill="F2F3F2"/>
          </w:tcPr>
          <w:p>
            <w:pPr>
              <w:spacing w:after="0"/>
              <w:rPr>
                <w:sz w:val="5"/>
                <w:szCs w:val="5"/>
                <w:color w:val="auto"/>
              </w:rPr>
            </w:pPr>
          </w:p>
        </w:tc>
        <w:tc>
          <w:tcPr>
            <w:tcW w:w="4160" w:type="dxa"/>
            <w:vAlign w:val="bottom"/>
            <w:vMerge w:val="continue"/>
            <w:shd w:val="clear" w:color="auto" w:fill="F2F3F2"/>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2320" w:type="dxa"/>
            <w:vAlign w:val="bottom"/>
            <w:shd w:val="clear" w:color="auto" w:fill="F2F3F2"/>
          </w:tcPr>
          <w:p>
            <w:pPr>
              <w:spacing w:after="0"/>
              <w:rPr>
                <w:sz w:val="16"/>
                <w:szCs w:val="16"/>
                <w:color w:val="auto"/>
              </w:rPr>
            </w:pPr>
          </w:p>
        </w:tc>
        <w:tc>
          <w:tcPr>
            <w:tcW w:w="2600" w:type="dxa"/>
            <w:vAlign w:val="bottom"/>
            <w:shd w:val="clear" w:color="auto" w:fill="F2F3F2"/>
          </w:tcPr>
          <w:p>
            <w:pPr>
              <w:spacing w:after="0"/>
              <w:rPr>
                <w:sz w:val="16"/>
                <w:szCs w:val="16"/>
                <w:color w:val="auto"/>
              </w:rPr>
            </w:pPr>
          </w:p>
        </w:tc>
        <w:tc>
          <w:tcPr>
            <w:tcW w:w="4160" w:type="dxa"/>
            <w:vAlign w:val="bottom"/>
            <w:shd w:val="clear" w:color="auto" w:fill="F2F3F2"/>
          </w:tcPr>
          <w:p>
            <w:pPr>
              <w:ind w:left="300"/>
              <w:spacing w:after="0"/>
              <w:rPr>
                <w:sz w:val="20"/>
                <w:szCs w:val="20"/>
                <w:color w:val="auto"/>
              </w:rPr>
            </w:pPr>
            <w:r>
              <w:rPr>
                <w:rFonts w:ascii="Arial" w:cs="Arial" w:eastAsia="Arial" w:hAnsi="Arial"/>
                <w:sz w:val="14"/>
                <w:szCs w:val="14"/>
                <w:color w:val="auto"/>
              </w:rPr>
              <w:t>during the performance period.</w:t>
            </w:r>
          </w:p>
        </w:tc>
        <w:tc>
          <w:tcPr>
            <w:tcW w:w="0" w:type="dxa"/>
            <w:vAlign w:val="bottom"/>
          </w:tcPr>
          <w:p>
            <w:pPr>
              <w:spacing w:after="0"/>
              <w:rPr>
                <w:sz w:val="1"/>
                <w:szCs w:val="1"/>
                <w:color w:val="auto"/>
              </w:rPr>
            </w:pPr>
          </w:p>
        </w:tc>
      </w:tr>
      <w:tr>
        <w:trPr>
          <w:trHeight w:val="116"/>
        </w:trPr>
        <w:tc>
          <w:tcPr>
            <w:tcW w:w="2320" w:type="dxa"/>
            <w:vAlign w:val="bottom"/>
            <w:shd w:val="clear" w:color="auto" w:fill="F2F3F2"/>
          </w:tcPr>
          <w:p>
            <w:pPr>
              <w:spacing w:after="0"/>
              <w:rPr>
                <w:sz w:val="10"/>
                <w:szCs w:val="10"/>
                <w:color w:val="auto"/>
              </w:rPr>
            </w:pPr>
          </w:p>
        </w:tc>
        <w:tc>
          <w:tcPr>
            <w:tcW w:w="2600" w:type="dxa"/>
            <w:vAlign w:val="bottom"/>
            <w:shd w:val="clear" w:color="auto" w:fill="F2F3F2"/>
          </w:tcPr>
          <w:p>
            <w:pPr>
              <w:spacing w:after="0"/>
              <w:rPr>
                <w:sz w:val="10"/>
                <w:szCs w:val="10"/>
                <w:color w:val="auto"/>
              </w:rPr>
            </w:pPr>
          </w:p>
        </w:tc>
        <w:tc>
          <w:tcPr>
            <w:tcW w:w="4160" w:type="dxa"/>
            <w:vAlign w:val="bottom"/>
            <w:shd w:val="clear" w:color="auto" w:fill="F2F3F2"/>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320" w:type="dxa"/>
            <w:vAlign w:val="bottom"/>
            <w:tcBorders>
              <w:bottom w:val="single" w:sz="8" w:color="B2B3B6"/>
            </w:tcBorders>
          </w:tcPr>
          <w:p>
            <w:pPr>
              <w:spacing w:after="0"/>
              <w:rPr>
                <w:sz w:val="24"/>
                <w:szCs w:val="24"/>
                <w:color w:val="auto"/>
              </w:rPr>
            </w:pPr>
          </w:p>
        </w:tc>
        <w:tc>
          <w:tcPr>
            <w:tcW w:w="2600" w:type="dxa"/>
            <w:vAlign w:val="bottom"/>
            <w:tcBorders>
              <w:bottom w:val="single" w:sz="8" w:color="B2B3B6"/>
            </w:tcBorders>
          </w:tcPr>
          <w:p>
            <w:pPr>
              <w:spacing w:after="0"/>
              <w:rPr>
                <w:sz w:val="24"/>
                <w:szCs w:val="24"/>
                <w:color w:val="auto"/>
              </w:rPr>
            </w:pPr>
          </w:p>
        </w:tc>
        <w:tc>
          <w:tcPr>
            <w:tcW w:w="4160" w:type="dxa"/>
            <w:vAlign w:val="bottom"/>
            <w:tcBorders>
              <w:bottom w:val="single" w:sz="8" w:color="B2B3B6"/>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20" w:type="dxa"/>
            <w:vAlign w:val="bottom"/>
          </w:tcPr>
          <w:p>
            <w:pPr>
              <w:ind w:left="60"/>
              <w:spacing w:after="0"/>
              <w:rPr>
                <w:sz w:val="20"/>
                <w:szCs w:val="20"/>
                <w:color w:val="auto"/>
              </w:rPr>
            </w:pPr>
            <w:r>
              <w:rPr>
                <w:rFonts w:ascii="Arial" w:cs="Arial" w:eastAsia="Arial" w:hAnsi="Arial"/>
                <w:sz w:val="13"/>
                <w:szCs w:val="13"/>
                <w:color w:val="auto"/>
              </w:rPr>
              <w:t>Huron Consulting Group Inc.</w:t>
            </w:r>
          </w:p>
        </w:tc>
        <w:tc>
          <w:tcPr>
            <w:tcW w:w="2600" w:type="dxa"/>
            <w:vAlign w:val="bottom"/>
          </w:tcPr>
          <w:p>
            <w:pPr>
              <w:ind w:left="2140"/>
              <w:spacing w:after="0"/>
              <w:rPr>
                <w:sz w:val="20"/>
                <w:szCs w:val="20"/>
                <w:color w:val="auto"/>
              </w:rPr>
            </w:pPr>
            <w:r>
              <w:rPr>
                <w:rFonts w:ascii="Arial" w:cs="Arial" w:eastAsia="Arial" w:hAnsi="Arial"/>
                <w:sz w:val="13"/>
                <w:szCs w:val="13"/>
                <w:b w:val="1"/>
                <w:bCs w:val="1"/>
                <w:color w:val="00558C"/>
              </w:rPr>
              <w:t>56</w:t>
            </w:r>
          </w:p>
        </w:tc>
        <w:tc>
          <w:tcPr>
            <w:tcW w:w="4160" w:type="dxa"/>
            <w:vAlign w:val="bottom"/>
          </w:tcPr>
          <w:p>
            <w:pPr>
              <w:ind w:left="2860"/>
              <w:spacing w:after="0"/>
              <w:rPr>
                <w:sz w:val="20"/>
                <w:szCs w:val="20"/>
                <w:color w:val="auto"/>
              </w:rPr>
            </w:pPr>
            <w:r>
              <w:rPr>
                <w:rFonts w:ascii="Arial" w:cs="Arial" w:eastAsia="Arial" w:hAnsi="Arial"/>
                <w:sz w:val="13"/>
                <w:szCs w:val="13"/>
                <w:color w:val="auto"/>
                <w:w w:val="99"/>
              </w:rPr>
              <w:t>2025 Proxy Statement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397510</wp:posOffset>
            </wp:positionV>
            <wp:extent cx="6810375" cy="3470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10375" cy="3470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540" w:val="left"/>
          <w:tab w:leader="none" w:pos="7360" w:val="left"/>
          <w:tab w:leader="none" w:pos="8400" w:val="left"/>
        </w:tabs>
        <w:rPr>
          <w:sz w:val="20"/>
          <w:szCs w:val="20"/>
          <w:color w:val="auto"/>
        </w:rPr>
      </w:pPr>
      <w:r>
        <w:rPr>
          <w:rFonts w:ascii="Arial" w:cs="Arial" w:eastAsia="Arial" w:hAnsi="Arial"/>
          <w:sz w:val="13"/>
          <w:szCs w:val="13"/>
          <w:b w:val="1"/>
          <w:bCs w:val="1"/>
          <w:color w:val="B2B3B6"/>
        </w:rPr>
        <w:t>General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Corporate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6AAA37"/>
        </w:rPr>
        <w:t>Executive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Stockholder</w:t>
      </w:r>
      <w:r>
        <w:rPr>
          <w:sz w:val="20"/>
          <w:szCs w:val="20"/>
          <w:color w:val="auto"/>
        </w:rPr>
        <w:tab/>
      </w:r>
      <w:r>
        <w:rPr>
          <w:rFonts w:ascii="Arial" w:cs="Arial" w:eastAsia="Arial" w:hAnsi="Arial"/>
          <w:sz w:val="12"/>
          <w:szCs w:val="12"/>
          <w:b w:val="1"/>
          <w:bCs w:val="1"/>
          <w:color w:val="B2B3B6"/>
        </w:rPr>
        <w:t>Other</w:t>
      </w:r>
    </w:p>
    <w:p>
      <w:pPr>
        <w:spacing w:after="0" w:line="11"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540" w:val="left"/>
          <w:tab w:leader="none" w:pos="7360" w:val="left"/>
          <w:tab w:leader="none" w:pos="8400" w:val="left"/>
        </w:tabs>
        <w:rPr>
          <w:sz w:val="20"/>
          <w:szCs w:val="20"/>
          <w:color w:val="auto"/>
        </w:rPr>
      </w:pPr>
      <w:r>
        <w:rPr>
          <w:rFonts w:ascii="Arial" w:cs="Arial" w:eastAsia="Arial" w:hAnsi="Arial"/>
          <w:sz w:val="13"/>
          <w:szCs w:val="13"/>
          <w:b w:val="1"/>
          <w:bCs w:val="1"/>
          <w:color w:val="B2B3B6"/>
        </w:rPr>
        <w:t>Information</w:t>
      </w:r>
      <w:r>
        <w:rPr>
          <w:sz w:val="20"/>
          <w:szCs w:val="20"/>
          <w:color w:val="auto"/>
        </w:rPr>
        <w:tab/>
      </w:r>
      <w:r>
        <w:rPr>
          <w:rFonts w:ascii="Arial" w:cs="Arial" w:eastAsia="Arial" w:hAnsi="Arial"/>
          <w:sz w:val="13"/>
          <w:szCs w:val="13"/>
          <w:b w:val="1"/>
          <w:bCs w:val="1"/>
          <w:color w:val="B2B3B6"/>
        </w:rPr>
        <w:t>One</w:t>
      </w:r>
      <w:r>
        <w:rPr>
          <w:sz w:val="20"/>
          <w:szCs w:val="20"/>
          <w:color w:val="auto"/>
        </w:rPr>
        <w:tab/>
      </w:r>
      <w:r>
        <w:rPr>
          <w:rFonts w:ascii="Arial" w:cs="Arial" w:eastAsia="Arial" w:hAnsi="Arial"/>
          <w:sz w:val="13"/>
          <w:szCs w:val="13"/>
          <w:b w:val="1"/>
          <w:bCs w:val="1"/>
          <w:color w:val="B2B3B6"/>
        </w:rPr>
        <w:t>Governance</w:t>
      </w:r>
      <w:r>
        <w:rPr>
          <w:sz w:val="20"/>
          <w:szCs w:val="20"/>
          <w:color w:val="auto"/>
        </w:rPr>
        <w:tab/>
      </w:r>
      <w:r>
        <w:rPr>
          <w:rFonts w:ascii="Arial" w:cs="Arial" w:eastAsia="Arial" w:hAnsi="Arial"/>
          <w:sz w:val="13"/>
          <w:szCs w:val="13"/>
          <w:b w:val="1"/>
          <w:bCs w:val="1"/>
          <w:color w:val="B2B3B6"/>
        </w:rPr>
        <w:t>Two</w:t>
      </w:r>
      <w:r>
        <w:rPr>
          <w:sz w:val="20"/>
          <w:szCs w:val="20"/>
          <w:color w:val="auto"/>
        </w:rPr>
        <w:tab/>
      </w:r>
      <w:r>
        <w:rPr>
          <w:rFonts w:ascii="Arial" w:cs="Arial" w:eastAsia="Arial" w:hAnsi="Arial"/>
          <w:sz w:val="13"/>
          <w:szCs w:val="13"/>
          <w:b w:val="1"/>
          <w:bCs w:val="1"/>
          <w:color w:val="6AAA37"/>
        </w:rPr>
        <w:t>Compensation</w:t>
      </w:r>
      <w:r>
        <w:rPr>
          <w:sz w:val="20"/>
          <w:szCs w:val="20"/>
          <w:color w:val="auto"/>
        </w:rPr>
        <w:tab/>
      </w:r>
      <w:r>
        <w:rPr>
          <w:rFonts w:ascii="Arial" w:cs="Arial" w:eastAsia="Arial" w:hAnsi="Arial"/>
          <w:sz w:val="13"/>
          <w:szCs w:val="13"/>
          <w:b w:val="1"/>
          <w:bCs w:val="1"/>
          <w:color w:val="B2B3B6"/>
        </w:rPr>
        <w:t>Three</w:t>
      </w:r>
      <w:r>
        <w:rPr>
          <w:sz w:val="20"/>
          <w:szCs w:val="20"/>
          <w:color w:val="auto"/>
        </w:rPr>
        <w:tab/>
      </w:r>
      <w:r>
        <w:rPr>
          <w:rFonts w:ascii="Arial" w:cs="Arial" w:eastAsia="Arial" w:hAnsi="Arial"/>
          <w:sz w:val="13"/>
          <w:szCs w:val="13"/>
          <w:b w:val="1"/>
          <w:bCs w:val="1"/>
          <w:color w:val="B2B3B6"/>
        </w:rPr>
        <w:t>Four</w:t>
      </w:r>
      <w:r>
        <w:rPr>
          <w:sz w:val="20"/>
          <w:szCs w:val="20"/>
          <w:color w:val="auto"/>
        </w:rPr>
        <w:tab/>
      </w:r>
      <w:r>
        <w:rPr>
          <w:rFonts w:ascii="Arial" w:cs="Arial" w:eastAsia="Arial" w:hAnsi="Arial"/>
          <w:sz w:val="13"/>
          <w:szCs w:val="13"/>
          <w:b w:val="1"/>
          <w:bCs w:val="1"/>
          <w:color w:val="B2B3B6"/>
        </w:rPr>
        <w:t>Five</w:t>
      </w:r>
      <w:r>
        <w:rPr>
          <w:sz w:val="20"/>
          <w:szCs w:val="20"/>
          <w:color w:val="auto"/>
        </w:rPr>
        <w:tab/>
      </w:r>
      <w:r>
        <w:rPr>
          <w:rFonts w:ascii="Arial" w:cs="Arial" w:eastAsia="Arial" w:hAnsi="Arial"/>
          <w:sz w:val="13"/>
          <w:szCs w:val="13"/>
          <w:b w:val="1"/>
          <w:bCs w:val="1"/>
          <w:color w:val="B2B3B6"/>
        </w:rPr>
        <w:t>Proposals</w:t>
      </w:r>
      <w:r>
        <w:rPr>
          <w:sz w:val="20"/>
          <w:szCs w:val="20"/>
          <w:color w:val="auto"/>
        </w:rPr>
        <w:tab/>
      </w:r>
      <w:r>
        <w:rPr>
          <w:rFonts w:ascii="Arial" w:cs="Arial" w:eastAsia="Arial" w:hAnsi="Arial"/>
          <w:sz w:val="12"/>
          <w:szCs w:val="12"/>
          <w:b w:val="1"/>
          <w:bCs w:val="1"/>
          <w:color w:val="B2B3B6"/>
        </w:rPr>
        <w:t>Matters</w:t>
      </w:r>
    </w:p>
    <w:p>
      <w:pPr>
        <w:sectPr>
          <w:pgSz w:w="11900" w:h="16838" w:orient="portrait"/>
          <w:cols w:equalWidth="0" w:num="1">
            <w:col w:w="9080"/>
          </w:cols>
          <w:pgMar w:left="1400" w:top="114" w:right="14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FFFFFF"/>
        </w:rPr>
        <w:t>Event</w:t>
      </w:r>
    </w:p>
    <w:p>
      <w:pPr>
        <w:spacing w:after="0" w:line="200" w:lineRule="exact"/>
        <w:rPr>
          <w:sz w:val="20"/>
          <w:szCs w:val="20"/>
          <w:color w:val="auto"/>
        </w:rPr>
      </w:pPr>
    </w:p>
    <w:p>
      <w:pPr>
        <w:spacing w:after="0" w:line="260" w:lineRule="exact"/>
        <w:rPr>
          <w:sz w:val="20"/>
          <w:szCs w:val="20"/>
          <w:color w:val="auto"/>
        </w:rPr>
      </w:pPr>
    </w:p>
    <w:p>
      <w:pPr>
        <w:ind w:left="140" w:right="320"/>
        <w:spacing w:after="0" w:line="314" w:lineRule="auto"/>
        <w:rPr>
          <w:sz w:val="20"/>
          <w:szCs w:val="20"/>
          <w:color w:val="auto"/>
        </w:rPr>
      </w:pPr>
      <w:r>
        <w:rPr>
          <w:rFonts w:ascii="Arial" w:cs="Arial" w:eastAsia="Arial" w:hAnsi="Arial"/>
          <w:sz w:val="14"/>
          <w:szCs w:val="14"/>
          <w:b w:val="1"/>
          <w:bCs w:val="1"/>
          <w:color w:val="auto"/>
        </w:rPr>
        <w:t>Involuntary/Good Reason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40"/>
        <w:spacing w:after="0" w:line="314" w:lineRule="auto"/>
        <w:rPr>
          <w:sz w:val="20"/>
          <w:szCs w:val="20"/>
          <w:color w:val="auto"/>
        </w:rPr>
      </w:pPr>
      <w:r>
        <w:rPr>
          <w:rFonts w:ascii="Arial" w:cs="Arial" w:eastAsia="Arial" w:hAnsi="Arial"/>
          <w:sz w:val="14"/>
          <w:szCs w:val="14"/>
          <w:b w:val="1"/>
          <w:bCs w:val="1"/>
          <w:color w:val="auto"/>
        </w:rPr>
        <w:t>Change of Control ("COC"), No Termination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ind w:right="680"/>
        <w:spacing w:after="0" w:line="314" w:lineRule="auto"/>
        <w:rPr>
          <w:sz w:val="20"/>
          <w:szCs w:val="20"/>
          <w:color w:val="auto"/>
        </w:rPr>
      </w:pPr>
      <w:r>
        <w:rPr>
          <w:rFonts w:ascii="Arial" w:cs="Arial" w:eastAsia="Arial" w:hAnsi="Arial"/>
          <w:sz w:val="14"/>
          <w:szCs w:val="14"/>
          <w:b w:val="1"/>
          <w:bCs w:val="1"/>
          <w:color w:val="FFFFFF"/>
        </w:rPr>
        <w:t>Restricted Stock Units and Options</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4"/>
          <w:szCs w:val="14"/>
          <w:color w:val="auto"/>
        </w:rPr>
        <w:t>Forfeit.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line="305" w:lineRule="auto"/>
        <w:rPr>
          <w:sz w:val="20"/>
          <w:szCs w:val="20"/>
          <w:color w:val="auto"/>
        </w:rPr>
      </w:pPr>
      <w:r>
        <w:rPr>
          <w:rFonts w:ascii="Arial" w:cs="Arial" w:eastAsia="Arial" w:hAnsi="Arial"/>
          <w:sz w:val="14"/>
          <w:szCs w:val="14"/>
          <w:color w:val="auto"/>
        </w:rPr>
        <w:t>No vesting impact, may be assumed by acquirer.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4"/>
          <w:szCs w:val="14"/>
          <w:b w:val="1"/>
          <w:bCs w:val="1"/>
          <w:color w:val="FFFFFF"/>
        </w:rPr>
        <w:t>2022, 2023 and 2024 Performance Stock Units</w:t>
      </w:r>
    </w:p>
    <w:p>
      <w:pPr>
        <w:spacing w:after="0" w:line="298" w:lineRule="exact"/>
        <w:rPr>
          <w:sz w:val="20"/>
          <w:szCs w:val="20"/>
          <w:color w:val="auto"/>
        </w:rPr>
      </w:pPr>
    </w:p>
    <w:p>
      <w:pPr>
        <w:ind w:right="280"/>
        <w:spacing w:after="0" w:line="269" w:lineRule="auto"/>
        <w:rPr>
          <w:sz w:val="20"/>
          <w:szCs w:val="20"/>
          <w:color w:val="auto"/>
        </w:rPr>
      </w:pPr>
      <w:r>
        <w:rPr>
          <w:rFonts w:ascii="Arial" w:cs="Arial" w:eastAsia="Arial" w:hAnsi="Arial"/>
          <w:sz w:val="14"/>
          <w:szCs w:val="14"/>
          <w:color w:val="auto"/>
        </w:rPr>
        <w:t>Earned based on actual performance and will vest pro rata on March 1 of the year following the three year performance period based on number of days employed during the performance period.</w:t>
      </w:r>
    </w:p>
    <w:p>
      <w:pPr>
        <w:spacing w:after="0" w:line="196" w:lineRule="exact"/>
        <w:rPr>
          <w:sz w:val="20"/>
          <w:szCs w:val="20"/>
          <w:color w:val="auto"/>
        </w:rPr>
      </w:pPr>
    </w:p>
    <w:p>
      <w:pPr>
        <w:ind w:right="180"/>
        <w:spacing w:after="0" w:line="283" w:lineRule="auto"/>
        <w:rPr>
          <w:sz w:val="20"/>
          <w:szCs w:val="20"/>
          <w:color w:val="auto"/>
        </w:rPr>
      </w:pPr>
      <w:r>
        <w:rPr>
          <w:rFonts w:ascii="Arial" w:cs="Arial" w:eastAsia="Arial" w:hAnsi="Arial"/>
          <w:sz w:val="14"/>
          <w:szCs w:val="14"/>
          <w:color w:val="auto"/>
        </w:rPr>
        <w:t>If assumed by acquirer and converts shares into right to receive equivalent value shares in new entity then vesting continues per normal course.</w:t>
      </w:r>
    </w:p>
    <w:p>
      <w:pPr>
        <w:spacing w:after="0" w:line="119" w:lineRule="exact"/>
        <w:rPr>
          <w:sz w:val="20"/>
          <w:szCs w:val="20"/>
          <w:color w:val="auto"/>
        </w:rPr>
      </w:pPr>
    </w:p>
    <w:p>
      <w:pPr>
        <w:jc w:val="both"/>
        <w:ind w:right="200"/>
        <w:spacing w:after="0" w:line="266" w:lineRule="auto"/>
        <w:rPr>
          <w:sz w:val="20"/>
          <w:szCs w:val="20"/>
          <w:color w:val="auto"/>
        </w:rPr>
      </w:pPr>
      <w:r>
        <w:rPr>
          <w:rFonts w:ascii="Arial" w:cs="Arial" w:eastAsia="Arial" w:hAnsi="Arial"/>
          <w:sz w:val="14"/>
          <w:szCs w:val="14"/>
          <w:color w:val="auto"/>
        </w:rPr>
        <w:t>If not assumed by acquirer or acquirer does not convert shares into right to receive equivalent value in shares of new entity and the COC occurs during the performance period, then the PSUs will vest at the greater of target or the level dictated by actual performance at the time of the COC.</w:t>
      </w:r>
    </w:p>
    <w:p>
      <w:pPr>
        <w:spacing w:after="0" w:line="144" w:lineRule="exact"/>
        <w:rPr>
          <w:sz w:val="20"/>
          <w:szCs w:val="20"/>
          <w:color w:val="auto"/>
        </w:rPr>
      </w:pPr>
    </w:p>
    <w:p>
      <w:pPr>
        <w:ind w:right="180"/>
        <w:spacing w:after="0" w:line="269" w:lineRule="auto"/>
        <w:rPr>
          <w:sz w:val="20"/>
          <w:szCs w:val="20"/>
          <w:color w:val="auto"/>
        </w:rPr>
      </w:pPr>
      <w:r>
        <w:rPr>
          <w:rFonts w:ascii="Arial" w:cs="Arial" w:eastAsia="Arial" w:hAnsi="Arial"/>
          <w:sz w:val="14"/>
          <w:szCs w:val="14"/>
          <w:color w:val="auto"/>
        </w:rPr>
        <w:t>If not assumed by acquirer or acquirer does not convert shares into a right to receive equivalent value in shares of the new entity and the COC occurs after the performance period, then the PSUs will vest at the greater of target or</w:t>
      </w:r>
    </w:p>
    <w:p>
      <w:pPr>
        <w:sectPr>
          <w:pgSz w:w="11900" w:h="16838" w:orient="portrait"/>
          <w:cols w:equalWidth="0" w:num="3">
            <w:col w:w="1820" w:space="640"/>
            <w:col w:w="2500" w:space="260"/>
            <w:col w:w="3860"/>
          </w:cols>
          <w:pgMar w:left="1400" w:top="114" w:right="1419" w:bottom="0" w:gutter="0" w:footer="0" w:header="0"/>
          <w:type w:val="continuous"/>
        </w:sectPr>
      </w:pPr>
    </w:p>
    <w:bookmarkStart w:id="59" w:name="page60"/>
    <w:bookmarkEnd w:id="59"/>
    <w:tbl>
      <w:tblPr>
        <w:tblLayout w:type="fixed"/>
        <w:tblInd w:w="0" w:type="dxa"/>
        <w:tblCellMar>
          <w:top w:w="0" w:type="dxa"/>
          <w:left w:w="0" w:type="dxa"/>
          <w:bottom w:w="0" w:type="dxa"/>
          <w:right w:w="0" w:type="dxa"/>
        </w:tblCellMar>
      </w:tblPr>
      <w:tr>
        <w:trPr>
          <w:trHeight w:val="161"/>
        </w:trPr>
        <w:tc>
          <w:tcPr>
            <w:tcW w:w="2320" w:type="dxa"/>
            <w:vAlign w:val="bottom"/>
            <w:shd w:val="clear" w:color="auto" w:fill="00558C"/>
          </w:tcPr>
          <w:p>
            <w:pPr>
              <w:spacing w:after="0"/>
              <w:rPr>
                <w:sz w:val="14"/>
                <w:szCs w:val="14"/>
                <w:color w:val="auto"/>
              </w:rPr>
            </w:pPr>
          </w:p>
        </w:tc>
        <w:tc>
          <w:tcPr>
            <w:tcW w:w="2060" w:type="dxa"/>
            <w:vAlign w:val="bottom"/>
          </w:tcPr>
          <w:p>
            <w:pPr>
              <w:spacing w:after="0"/>
              <w:rPr>
                <w:sz w:val="14"/>
                <w:szCs w:val="14"/>
                <w:color w:val="auto"/>
              </w:rPr>
            </w:pPr>
          </w:p>
        </w:tc>
        <w:tc>
          <w:tcPr>
            <w:tcW w:w="4700" w:type="dxa"/>
            <w:vAlign w:val="bottom"/>
          </w:tcPr>
          <w:p>
            <w:pPr>
              <w:ind w:left="840"/>
              <w:spacing w:after="0"/>
              <w:rPr>
                <w:sz w:val="20"/>
                <w:szCs w:val="20"/>
                <w:color w:val="auto"/>
              </w:rPr>
            </w:pPr>
            <w:r>
              <w:rPr>
                <w:rFonts w:ascii="Arial" w:cs="Arial" w:eastAsia="Arial" w:hAnsi="Arial"/>
                <w:sz w:val="14"/>
                <w:szCs w:val="14"/>
                <w:color w:val="auto"/>
              </w:rPr>
              <w:t>the level dictated by actual performance at the time of the</w:t>
            </w:r>
          </w:p>
        </w:tc>
        <w:tc>
          <w:tcPr>
            <w:tcW w:w="0" w:type="dxa"/>
            <w:vAlign w:val="bottom"/>
          </w:tcPr>
          <w:p>
            <w:pPr>
              <w:spacing w:after="0"/>
              <w:rPr>
                <w:sz w:val="1"/>
                <w:szCs w:val="1"/>
                <w:color w:val="auto"/>
              </w:rPr>
            </w:pPr>
          </w:p>
        </w:tc>
      </w:tr>
      <w:tr>
        <w:trPr>
          <w:trHeight w:val="190"/>
        </w:trPr>
        <w:tc>
          <w:tcPr>
            <w:tcW w:w="2320" w:type="dxa"/>
            <w:vAlign w:val="bottom"/>
            <w:shd w:val="clear" w:color="auto" w:fill="00558C"/>
          </w:tcPr>
          <w:p>
            <w:pPr>
              <w:spacing w:after="0"/>
              <w:rPr>
                <w:sz w:val="16"/>
                <w:szCs w:val="16"/>
                <w:color w:val="auto"/>
              </w:rPr>
            </w:pPr>
          </w:p>
        </w:tc>
        <w:tc>
          <w:tcPr>
            <w:tcW w:w="2060" w:type="dxa"/>
            <w:vAlign w:val="bottom"/>
          </w:tcPr>
          <w:p>
            <w:pPr>
              <w:spacing w:after="0"/>
              <w:rPr>
                <w:sz w:val="16"/>
                <w:szCs w:val="16"/>
                <w:color w:val="auto"/>
              </w:rPr>
            </w:pPr>
          </w:p>
        </w:tc>
        <w:tc>
          <w:tcPr>
            <w:tcW w:w="4700" w:type="dxa"/>
            <w:vAlign w:val="bottom"/>
          </w:tcPr>
          <w:p>
            <w:pPr>
              <w:ind w:left="840"/>
              <w:spacing w:after="0"/>
              <w:rPr>
                <w:sz w:val="20"/>
                <w:szCs w:val="20"/>
                <w:color w:val="auto"/>
              </w:rPr>
            </w:pPr>
            <w:r>
              <w:rPr>
                <w:rFonts w:ascii="Arial" w:cs="Arial" w:eastAsia="Arial" w:hAnsi="Arial"/>
                <w:sz w:val="14"/>
                <w:szCs w:val="14"/>
                <w:color w:val="auto"/>
              </w:rPr>
              <w:t>COC.</w:t>
            </w:r>
          </w:p>
        </w:tc>
        <w:tc>
          <w:tcPr>
            <w:tcW w:w="0" w:type="dxa"/>
            <w:vAlign w:val="bottom"/>
          </w:tcPr>
          <w:p>
            <w:pPr>
              <w:spacing w:after="0"/>
              <w:rPr>
                <w:sz w:val="1"/>
                <w:szCs w:val="1"/>
                <w:color w:val="auto"/>
              </w:rPr>
            </w:pPr>
          </w:p>
        </w:tc>
      </w:tr>
      <w:tr>
        <w:trPr>
          <w:trHeight w:val="269"/>
        </w:trPr>
        <w:tc>
          <w:tcPr>
            <w:tcW w:w="2320" w:type="dxa"/>
            <w:vAlign w:val="bottom"/>
            <w:shd w:val="clear" w:color="auto" w:fill="00558C"/>
          </w:tcPr>
          <w:p>
            <w:pPr>
              <w:spacing w:after="0"/>
              <w:rPr>
                <w:sz w:val="23"/>
                <w:szCs w:val="23"/>
                <w:color w:val="auto"/>
              </w:rPr>
            </w:pPr>
          </w:p>
        </w:tc>
        <w:tc>
          <w:tcPr>
            <w:tcW w:w="2060" w:type="dxa"/>
            <w:vAlign w:val="bottom"/>
          </w:tcPr>
          <w:p>
            <w:pPr>
              <w:spacing w:after="0"/>
              <w:rPr>
                <w:sz w:val="23"/>
                <w:szCs w:val="23"/>
                <w:color w:val="auto"/>
              </w:rPr>
            </w:pPr>
          </w:p>
        </w:tc>
        <w:tc>
          <w:tcPr>
            <w:tcW w:w="4700" w:type="dxa"/>
            <w:vAlign w:val="bottom"/>
          </w:tcPr>
          <w:p>
            <w:pPr>
              <w:ind w:left="840"/>
              <w:spacing w:after="0"/>
              <w:rPr>
                <w:sz w:val="20"/>
                <w:szCs w:val="20"/>
                <w:color w:val="auto"/>
              </w:rPr>
            </w:pPr>
            <w:r>
              <w:rPr>
                <w:rFonts w:ascii="Arial" w:cs="Arial" w:eastAsia="Arial" w:hAnsi="Arial"/>
                <w:sz w:val="14"/>
                <w:szCs w:val="14"/>
                <w:color w:val="auto"/>
              </w:rPr>
              <w:t>If not assumed by acquirer or acquirer does not convert</w:t>
            </w:r>
          </w:p>
        </w:tc>
        <w:tc>
          <w:tcPr>
            <w:tcW w:w="0" w:type="dxa"/>
            <w:vAlign w:val="bottom"/>
          </w:tcPr>
          <w:p>
            <w:pPr>
              <w:spacing w:after="0"/>
              <w:rPr>
                <w:sz w:val="1"/>
                <w:szCs w:val="1"/>
                <w:color w:val="auto"/>
              </w:rPr>
            </w:pPr>
          </w:p>
        </w:tc>
      </w:tr>
      <w:tr>
        <w:trPr>
          <w:trHeight w:val="166"/>
        </w:trPr>
        <w:tc>
          <w:tcPr>
            <w:tcW w:w="23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4700" w:type="dxa"/>
            <w:vAlign w:val="bottom"/>
          </w:tcPr>
          <w:p>
            <w:pPr>
              <w:ind w:left="840"/>
              <w:spacing w:after="0"/>
              <w:rPr>
                <w:sz w:val="20"/>
                <w:szCs w:val="20"/>
                <w:color w:val="auto"/>
              </w:rPr>
            </w:pPr>
            <w:r>
              <w:rPr>
                <w:rFonts w:ascii="Arial" w:cs="Arial" w:eastAsia="Arial" w:hAnsi="Arial"/>
                <w:sz w:val="14"/>
                <w:szCs w:val="14"/>
                <w:color w:val="auto"/>
              </w:rPr>
              <w:t>shares into a right to receive equivalent value in shares of</w:t>
            </w:r>
          </w:p>
        </w:tc>
        <w:tc>
          <w:tcPr>
            <w:tcW w:w="0" w:type="dxa"/>
            <w:vAlign w:val="bottom"/>
          </w:tcPr>
          <w:p>
            <w:pPr>
              <w:spacing w:after="0"/>
              <w:rPr>
                <w:sz w:val="1"/>
                <w:szCs w:val="1"/>
                <w:color w:val="auto"/>
              </w:rPr>
            </w:pPr>
          </w:p>
        </w:tc>
      </w:tr>
      <w:tr>
        <w:trPr>
          <w:trHeight w:val="175"/>
        </w:trPr>
        <w:tc>
          <w:tcPr>
            <w:tcW w:w="23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4700" w:type="dxa"/>
            <w:vAlign w:val="bottom"/>
          </w:tcPr>
          <w:p>
            <w:pPr>
              <w:ind w:left="840"/>
              <w:spacing w:after="0"/>
              <w:rPr>
                <w:sz w:val="20"/>
                <w:szCs w:val="20"/>
                <w:color w:val="auto"/>
              </w:rPr>
            </w:pPr>
            <w:r>
              <w:rPr>
                <w:rFonts w:ascii="Arial" w:cs="Arial" w:eastAsia="Arial" w:hAnsi="Arial"/>
                <w:sz w:val="14"/>
                <w:szCs w:val="14"/>
                <w:color w:val="auto"/>
              </w:rPr>
              <w:t>the new entity, one share of Company common stock will</w:t>
            </w:r>
          </w:p>
        </w:tc>
        <w:tc>
          <w:tcPr>
            <w:tcW w:w="0" w:type="dxa"/>
            <w:vAlign w:val="bottom"/>
          </w:tcPr>
          <w:p>
            <w:pPr>
              <w:spacing w:after="0"/>
              <w:rPr>
                <w:sz w:val="1"/>
                <w:szCs w:val="1"/>
                <w:color w:val="auto"/>
              </w:rPr>
            </w:pPr>
          </w:p>
        </w:tc>
      </w:tr>
      <w:tr>
        <w:trPr>
          <w:trHeight w:val="176"/>
        </w:trPr>
        <w:tc>
          <w:tcPr>
            <w:tcW w:w="23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4700" w:type="dxa"/>
            <w:vAlign w:val="bottom"/>
          </w:tcPr>
          <w:p>
            <w:pPr>
              <w:ind w:left="840"/>
              <w:spacing w:after="0"/>
              <w:rPr>
                <w:sz w:val="20"/>
                <w:szCs w:val="20"/>
                <w:color w:val="auto"/>
              </w:rPr>
            </w:pPr>
            <w:r>
              <w:rPr>
                <w:rFonts w:ascii="Arial" w:cs="Arial" w:eastAsia="Arial" w:hAnsi="Arial"/>
                <w:sz w:val="14"/>
                <w:szCs w:val="14"/>
                <w:color w:val="auto"/>
              </w:rPr>
              <w:t>be exchanged for each vested PSU and such common</w:t>
            </w:r>
          </w:p>
        </w:tc>
        <w:tc>
          <w:tcPr>
            <w:tcW w:w="0" w:type="dxa"/>
            <w:vAlign w:val="bottom"/>
          </w:tcPr>
          <w:p>
            <w:pPr>
              <w:spacing w:after="0"/>
              <w:rPr>
                <w:sz w:val="1"/>
                <w:szCs w:val="1"/>
                <w:color w:val="auto"/>
              </w:rPr>
            </w:pPr>
          </w:p>
        </w:tc>
      </w:tr>
      <w:tr>
        <w:trPr>
          <w:trHeight w:val="176"/>
        </w:trPr>
        <w:tc>
          <w:tcPr>
            <w:tcW w:w="23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4700" w:type="dxa"/>
            <w:vAlign w:val="bottom"/>
          </w:tcPr>
          <w:p>
            <w:pPr>
              <w:ind w:left="840"/>
              <w:spacing w:after="0"/>
              <w:rPr>
                <w:sz w:val="20"/>
                <w:szCs w:val="20"/>
                <w:color w:val="auto"/>
              </w:rPr>
            </w:pPr>
            <w:r>
              <w:rPr>
                <w:rFonts w:ascii="Arial" w:cs="Arial" w:eastAsia="Arial" w:hAnsi="Arial"/>
                <w:sz w:val="14"/>
                <w:szCs w:val="14"/>
                <w:color w:val="auto"/>
              </w:rPr>
              <w:t>stock will receive the consideration paid by the acquirer in</w:t>
            </w:r>
          </w:p>
        </w:tc>
        <w:tc>
          <w:tcPr>
            <w:tcW w:w="0" w:type="dxa"/>
            <w:vAlign w:val="bottom"/>
          </w:tcPr>
          <w:p>
            <w:pPr>
              <w:spacing w:after="0"/>
              <w:rPr>
                <w:sz w:val="1"/>
                <w:szCs w:val="1"/>
                <w:color w:val="auto"/>
              </w:rPr>
            </w:pPr>
          </w:p>
        </w:tc>
      </w:tr>
      <w:tr>
        <w:trPr>
          <w:trHeight w:val="190"/>
        </w:trPr>
        <w:tc>
          <w:tcPr>
            <w:tcW w:w="23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4700" w:type="dxa"/>
            <w:vAlign w:val="bottom"/>
          </w:tcPr>
          <w:p>
            <w:pPr>
              <w:ind w:left="840"/>
              <w:spacing w:after="0"/>
              <w:rPr>
                <w:sz w:val="20"/>
                <w:szCs w:val="20"/>
                <w:color w:val="auto"/>
              </w:rPr>
            </w:pPr>
            <w:r>
              <w:rPr>
                <w:rFonts w:ascii="Arial" w:cs="Arial" w:eastAsia="Arial" w:hAnsi="Arial"/>
                <w:sz w:val="14"/>
                <w:szCs w:val="14"/>
                <w:color w:val="auto"/>
              </w:rPr>
              <w:t>the COC.</w:t>
            </w:r>
          </w:p>
        </w:tc>
        <w:tc>
          <w:tcPr>
            <w:tcW w:w="0" w:type="dxa"/>
            <w:vAlign w:val="bottom"/>
          </w:tcPr>
          <w:p>
            <w:pPr>
              <w:spacing w:after="0"/>
              <w:rPr>
                <w:sz w:val="1"/>
                <w:szCs w:val="1"/>
                <w:color w:val="auto"/>
              </w:rPr>
            </w:pPr>
          </w:p>
        </w:tc>
      </w:tr>
      <w:tr>
        <w:trPr>
          <w:trHeight w:val="350"/>
        </w:trPr>
        <w:tc>
          <w:tcPr>
            <w:tcW w:w="2320" w:type="dxa"/>
            <w:vAlign w:val="bottom"/>
          </w:tcPr>
          <w:p>
            <w:pPr>
              <w:ind w:left="140"/>
              <w:spacing w:after="0"/>
              <w:rPr>
                <w:sz w:val="20"/>
                <w:szCs w:val="20"/>
                <w:color w:val="auto"/>
              </w:rPr>
            </w:pPr>
            <w:r>
              <w:rPr>
                <w:rFonts w:ascii="Arial" w:cs="Arial" w:eastAsia="Arial" w:hAnsi="Arial"/>
                <w:sz w:val="14"/>
                <w:szCs w:val="14"/>
                <w:b w:val="1"/>
                <w:bCs w:val="1"/>
                <w:color w:val="auto"/>
              </w:rPr>
              <w:t>Involuntary/COC Good Reason</w:t>
            </w:r>
          </w:p>
        </w:tc>
        <w:tc>
          <w:tcPr>
            <w:tcW w:w="206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320" w:type="dxa"/>
            <w:vAlign w:val="bottom"/>
          </w:tcPr>
          <w:p>
            <w:pPr>
              <w:ind w:left="140"/>
              <w:spacing w:after="0"/>
              <w:rPr>
                <w:sz w:val="20"/>
                <w:szCs w:val="20"/>
                <w:color w:val="auto"/>
              </w:rPr>
            </w:pPr>
            <w:r>
              <w:rPr>
                <w:rFonts w:ascii="Arial" w:cs="Arial" w:eastAsia="Arial" w:hAnsi="Arial"/>
                <w:sz w:val="14"/>
                <w:szCs w:val="14"/>
                <w:b w:val="1"/>
                <w:bCs w:val="1"/>
                <w:color w:val="auto"/>
              </w:rPr>
              <w:t>Termination (A) 24 Months</w:t>
            </w:r>
          </w:p>
        </w:tc>
        <w:tc>
          <w:tcPr>
            <w:tcW w:w="206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320" w:type="dxa"/>
            <w:vAlign w:val="bottom"/>
          </w:tcPr>
          <w:p>
            <w:pPr>
              <w:ind w:left="140"/>
              <w:spacing w:after="0"/>
              <w:rPr>
                <w:sz w:val="20"/>
                <w:szCs w:val="20"/>
                <w:color w:val="auto"/>
              </w:rPr>
            </w:pPr>
            <w:r>
              <w:rPr>
                <w:rFonts w:ascii="Arial" w:cs="Arial" w:eastAsia="Arial" w:hAnsi="Arial"/>
                <w:sz w:val="14"/>
                <w:szCs w:val="14"/>
                <w:b w:val="1"/>
                <w:bCs w:val="1"/>
                <w:color w:val="auto"/>
              </w:rPr>
              <w:t>Post-COC, or (B) Within 12</w:t>
            </w:r>
          </w:p>
        </w:tc>
        <w:tc>
          <w:tcPr>
            <w:tcW w:w="2060" w:type="dxa"/>
            <w:vAlign w:val="bottom"/>
            <w:vMerge w:val="restart"/>
          </w:tcPr>
          <w:p>
            <w:pPr>
              <w:ind w:left="140"/>
              <w:spacing w:after="0"/>
              <w:rPr>
                <w:sz w:val="20"/>
                <w:szCs w:val="20"/>
                <w:color w:val="auto"/>
              </w:rPr>
            </w:pPr>
            <w:r>
              <w:rPr>
                <w:rFonts w:ascii="Arial" w:cs="Arial" w:eastAsia="Arial" w:hAnsi="Arial"/>
                <w:sz w:val="14"/>
                <w:szCs w:val="14"/>
                <w:color w:val="auto"/>
              </w:rPr>
              <w:t>Full acceleration.</w:t>
            </w:r>
          </w:p>
        </w:tc>
        <w:tc>
          <w:tcPr>
            <w:tcW w:w="4700" w:type="dxa"/>
            <w:vAlign w:val="bottom"/>
          </w:tcPr>
          <w:p>
            <w:pPr>
              <w:ind w:left="840"/>
              <w:spacing w:after="0"/>
              <w:rPr>
                <w:sz w:val="20"/>
                <w:szCs w:val="20"/>
                <w:color w:val="auto"/>
              </w:rPr>
            </w:pPr>
            <w:r>
              <w:rPr>
                <w:rFonts w:ascii="Arial" w:cs="Arial" w:eastAsia="Arial" w:hAnsi="Arial"/>
                <w:sz w:val="14"/>
                <w:szCs w:val="14"/>
                <w:color w:val="auto"/>
              </w:rPr>
              <w:t>Shares shall immediately fully vest at the greater of</w:t>
            </w:r>
          </w:p>
        </w:tc>
        <w:tc>
          <w:tcPr>
            <w:tcW w:w="0" w:type="dxa"/>
            <w:vAlign w:val="bottom"/>
          </w:tcPr>
          <w:p>
            <w:pPr>
              <w:spacing w:after="0"/>
              <w:rPr>
                <w:sz w:val="1"/>
                <w:szCs w:val="1"/>
                <w:color w:val="auto"/>
              </w:rPr>
            </w:pPr>
          </w:p>
        </w:tc>
      </w:tr>
      <w:tr>
        <w:trPr>
          <w:trHeight w:val="109"/>
        </w:trPr>
        <w:tc>
          <w:tcPr>
            <w:tcW w:w="232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Months Prior to COC</w:t>
            </w:r>
          </w:p>
        </w:tc>
        <w:tc>
          <w:tcPr>
            <w:tcW w:w="2060" w:type="dxa"/>
            <w:vAlign w:val="bottom"/>
            <w:vMerge w:val="continue"/>
          </w:tcPr>
          <w:p>
            <w:pPr>
              <w:spacing w:after="0"/>
              <w:rPr>
                <w:sz w:val="9"/>
                <w:szCs w:val="9"/>
                <w:color w:val="auto"/>
              </w:rPr>
            </w:pPr>
          </w:p>
        </w:tc>
        <w:tc>
          <w:tcPr>
            <w:tcW w:w="4700" w:type="dxa"/>
            <w:vAlign w:val="bottom"/>
            <w:vMerge w:val="restart"/>
          </w:tcPr>
          <w:p>
            <w:pPr>
              <w:ind w:left="840"/>
              <w:spacing w:after="0"/>
              <w:rPr>
                <w:sz w:val="20"/>
                <w:szCs w:val="20"/>
                <w:color w:val="auto"/>
              </w:rPr>
            </w:pPr>
            <w:r>
              <w:rPr>
                <w:rFonts w:ascii="Arial" w:cs="Arial" w:eastAsia="Arial" w:hAnsi="Arial"/>
                <w:sz w:val="14"/>
                <w:szCs w:val="14"/>
                <w:color w:val="auto"/>
              </w:rPr>
              <w:t>target or level dictated by actual performance.</w:t>
            </w:r>
          </w:p>
        </w:tc>
        <w:tc>
          <w:tcPr>
            <w:tcW w:w="0" w:type="dxa"/>
            <w:vAlign w:val="bottom"/>
          </w:tcPr>
          <w:p>
            <w:pPr>
              <w:spacing w:after="0"/>
              <w:rPr>
                <w:sz w:val="1"/>
                <w:szCs w:val="1"/>
                <w:color w:val="auto"/>
              </w:rPr>
            </w:pPr>
          </w:p>
        </w:tc>
      </w:tr>
      <w:tr>
        <w:trPr>
          <w:trHeight w:val="66"/>
        </w:trPr>
        <w:tc>
          <w:tcPr>
            <w:tcW w:w="2320" w:type="dxa"/>
            <w:vAlign w:val="bottom"/>
            <w:vMerge w:val="continue"/>
          </w:tcPr>
          <w:p>
            <w:pPr>
              <w:spacing w:after="0"/>
              <w:rPr>
                <w:sz w:val="5"/>
                <w:szCs w:val="5"/>
                <w:color w:val="auto"/>
              </w:rPr>
            </w:pPr>
          </w:p>
        </w:tc>
        <w:tc>
          <w:tcPr>
            <w:tcW w:w="2060" w:type="dxa"/>
            <w:vAlign w:val="bottom"/>
          </w:tcPr>
          <w:p>
            <w:pPr>
              <w:spacing w:after="0"/>
              <w:rPr>
                <w:sz w:val="5"/>
                <w:szCs w:val="5"/>
                <w:color w:val="auto"/>
              </w:rPr>
            </w:pPr>
          </w:p>
        </w:tc>
        <w:tc>
          <w:tcPr>
            <w:tcW w:w="4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320" w:type="dxa"/>
            <w:vAlign w:val="bottom"/>
          </w:tcPr>
          <w:p>
            <w:pPr>
              <w:ind w:left="140"/>
              <w:spacing w:after="0"/>
              <w:rPr>
                <w:sz w:val="20"/>
                <w:szCs w:val="20"/>
                <w:color w:val="auto"/>
              </w:rPr>
            </w:pPr>
            <w:r>
              <w:rPr>
                <w:rFonts w:ascii="Arial" w:cs="Arial" w:eastAsia="Arial" w:hAnsi="Arial"/>
                <w:sz w:val="14"/>
                <w:szCs w:val="14"/>
                <w:b w:val="1"/>
                <w:bCs w:val="1"/>
                <w:color w:val="auto"/>
              </w:rPr>
              <w:t>Reasonably Attributable to</w:t>
            </w:r>
          </w:p>
        </w:tc>
        <w:tc>
          <w:tcPr>
            <w:tcW w:w="206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320" w:type="dxa"/>
            <w:vAlign w:val="bottom"/>
          </w:tcPr>
          <w:p>
            <w:pPr>
              <w:ind w:left="140"/>
              <w:spacing w:after="0"/>
              <w:rPr>
                <w:sz w:val="20"/>
                <w:szCs w:val="20"/>
                <w:color w:val="auto"/>
              </w:rPr>
            </w:pPr>
            <w:r>
              <w:rPr>
                <w:rFonts w:ascii="Arial" w:cs="Arial" w:eastAsia="Arial" w:hAnsi="Arial"/>
                <w:sz w:val="14"/>
                <w:szCs w:val="14"/>
                <w:b w:val="1"/>
                <w:bCs w:val="1"/>
                <w:color w:val="auto"/>
              </w:rPr>
              <w:t>COC</w:t>
            </w:r>
          </w:p>
        </w:tc>
        <w:tc>
          <w:tcPr>
            <w:tcW w:w="206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53854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10375" cy="5385435"/>
                    </a:xfrm>
                    <a:prstGeom prst="rect">
                      <a:avLst/>
                    </a:prstGeom>
                    <a:noFill/>
                  </pic:spPr>
                </pic:pic>
              </a:graphicData>
            </a:graphic>
          </wp:anchor>
        </w:drawing>
      </w:r>
    </w:p>
    <w:p>
      <w:pPr>
        <w:ind w:right="140"/>
        <w:spacing w:after="0" w:line="321" w:lineRule="auto"/>
        <w:rPr>
          <w:sz w:val="20"/>
          <w:szCs w:val="20"/>
          <w:color w:val="auto"/>
        </w:rPr>
      </w:pPr>
      <w:r>
        <w:rPr>
          <w:rFonts w:ascii="Arial" w:cs="Arial" w:eastAsia="Arial" w:hAnsi="Arial"/>
          <w:sz w:val="16"/>
          <w:szCs w:val="16"/>
          <w:color w:val="auto"/>
        </w:rPr>
        <w:t>The treatment of unvested equity awards granted to Mr. Hussey in the event of termination did not change with the execution of his senior management agreement as a chief executive officer, which was effective January 1, 2023.</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Benefits</w:t>
      </w:r>
    </w:p>
    <w:p>
      <w:pPr>
        <w:spacing w:after="0" w:line="68" w:lineRule="exact"/>
        <w:rPr>
          <w:sz w:val="20"/>
          <w:szCs w:val="20"/>
          <w:color w:val="auto"/>
        </w:rPr>
      </w:pPr>
    </w:p>
    <w:p>
      <w:pPr>
        <w:ind w:right="180"/>
        <w:spacing w:after="0" w:line="339" w:lineRule="auto"/>
        <w:rPr>
          <w:sz w:val="20"/>
          <w:szCs w:val="20"/>
          <w:color w:val="auto"/>
        </w:rPr>
      </w:pPr>
      <w:r>
        <w:rPr>
          <w:rFonts w:ascii="Arial" w:cs="Arial" w:eastAsia="Arial" w:hAnsi="Arial"/>
          <w:sz w:val="16"/>
          <w:szCs w:val="16"/>
          <w:color w:val="auto"/>
        </w:rPr>
        <w:t>Mr. Hussey, Mr. Kelly, and Mr. Dail are eligible to participate in the Company’s various health and welfare benefit plans for its similarly situated key management employees.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Restrictive Covenants on Termination</w:t>
      </w:r>
    </w:p>
    <w:p>
      <w:pPr>
        <w:spacing w:after="0" w:line="8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For the applicable restricted period set forth in the senior management agreements of all executive officers, except for Mr. Dail, such executive officers may not directly or indirectly (i) hire any employees of the Company or solicit, induce or encourage any employee of the Company or any client of the Company to leave, alter or cease his/her/its relationship with the Company or (ii) provide services that are the same as or similar to those offered by the Company to any client of the Company that he obtained as a client for the Company, to whom he provided services within the 12 months preceding termination of employment, or to whom he submitted a proposal during the six months prior to termination of employment. The restricted period for Mr. Hussey is 12 to 24 months (depending on the type of termination) following termination of employment. The restricted period for Mr. Kelly is 12 months following termination of employment for any reason.</w:t>
      </w:r>
    </w:p>
    <w:p>
      <w:pPr>
        <w:spacing w:after="0" w:line="118" w:lineRule="exact"/>
        <w:rPr>
          <w:sz w:val="20"/>
          <w:szCs w:val="20"/>
          <w:color w:val="auto"/>
        </w:rPr>
      </w:pPr>
    </w:p>
    <w:p>
      <w:pPr>
        <w:jc w:val="both"/>
        <w:ind w:right="40"/>
        <w:spacing w:after="0" w:line="310" w:lineRule="auto"/>
        <w:rPr>
          <w:sz w:val="20"/>
          <w:szCs w:val="20"/>
          <w:color w:val="auto"/>
        </w:rPr>
      </w:pPr>
      <w:r>
        <w:rPr>
          <w:rFonts w:ascii="Arial" w:cs="Arial" w:eastAsia="Arial" w:hAnsi="Arial"/>
          <w:sz w:val="16"/>
          <w:szCs w:val="16"/>
          <w:color w:val="auto"/>
        </w:rPr>
        <w:t>In addition, for a period of 12 to 24 months (depending on the type of termination) following the termination of his employment, Mr. Hussey may not, directly or indirectly, provide services that are competitive with those of the Company to any person, firm or other business entity.</w:t>
      </w:r>
    </w:p>
    <w:p>
      <w:pPr>
        <w:spacing w:after="0" w:line="200" w:lineRule="exact"/>
        <w:rPr>
          <w:sz w:val="20"/>
          <w:szCs w:val="20"/>
          <w:color w:val="auto"/>
        </w:rPr>
      </w:pPr>
    </w:p>
    <w:p>
      <w:pPr>
        <w:spacing w:after="0" w:line="204" w:lineRule="exact"/>
        <w:rPr>
          <w:sz w:val="20"/>
          <w:szCs w:val="20"/>
          <w:color w:val="auto"/>
        </w:rPr>
      </w:pPr>
    </w:p>
    <w:p>
      <w:pPr>
        <w:ind w:left="60"/>
        <w:spacing w:after="0"/>
        <w:tabs>
          <w:tab w:leader="none" w:pos="444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13"/>
          <w:szCs w:val="13"/>
          <w:b w:val="1"/>
          <w:bCs w:val="1"/>
          <w:color w:val="00558C"/>
        </w:rPr>
        <w:t>57</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420370</wp:posOffset>
            </wp:positionV>
            <wp:extent cx="6810375" cy="50482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10375" cy="5048250"/>
                    </a:xfrm>
                    <a:prstGeom prst="rect">
                      <a:avLst/>
                    </a:prstGeom>
                    <a:noFill/>
                  </pic:spPr>
                </pic:pic>
              </a:graphicData>
            </a:graphic>
          </wp:anchor>
        </w:drawing>
      </w:r>
    </w:p>
    <w:p>
      <w:pPr>
        <w:sectPr>
          <w:pgSz w:w="11900" w:h="16838" w:orient="portrait"/>
          <w:cols w:equalWidth="0" w:num="1">
            <w:col w:w="9080"/>
          </w:cols>
          <w:pgMar w:left="1400" w:top="100" w:right="14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0"/>
        <w:spacing w:after="0" w:line="274" w:lineRule="auto"/>
        <w:rPr>
          <w:sz w:val="20"/>
          <w:szCs w:val="20"/>
          <w:color w:val="auto"/>
        </w:rPr>
      </w:pPr>
      <w:r>
        <w:rPr>
          <w:rFonts w:ascii="Arial" w:cs="Arial" w:eastAsia="Arial" w:hAnsi="Arial"/>
          <w:sz w:val="13"/>
          <w:szCs w:val="13"/>
          <w:b w:val="1"/>
          <w:bCs w:val="1"/>
          <w:color w:val="B2B3B6"/>
        </w:rPr>
        <w:t>General Proposal Information 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line="274" w:lineRule="auto"/>
        <w:rPr>
          <w:sz w:val="20"/>
          <w:szCs w:val="20"/>
          <w:color w:val="auto"/>
        </w:rPr>
      </w:pPr>
      <w:r>
        <w:rPr>
          <w:rFonts w:ascii="Arial" w:cs="Arial" w:eastAsia="Arial" w:hAnsi="Arial"/>
          <w:sz w:val="13"/>
          <w:szCs w:val="13"/>
          <w:b w:val="1"/>
          <w:bCs w:val="1"/>
          <w:color w:val="B2B3B6"/>
        </w:rPr>
        <w:t xml:space="preserve">Corporate Proposal </w:t>
      </w:r>
      <w:r>
        <w:rPr>
          <w:rFonts w:ascii="Arial" w:cs="Arial" w:eastAsia="Arial" w:hAnsi="Arial"/>
          <w:sz w:val="13"/>
          <w:szCs w:val="13"/>
          <w:b w:val="1"/>
          <w:bCs w:val="1"/>
          <w:color w:val="6AAA37"/>
        </w:rPr>
        <w:t>Executive</w:t>
      </w:r>
      <w:r>
        <w:rPr>
          <w:rFonts w:ascii="Arial" w:cs="Arial" w:eastAsia="Arial" w:hAnsi="Arial"/>
          <w:sz w:val="13"/>
          <w:szCs w:val="13"/>
          <w:b w:val="1"/>
          <w:bCs w:val="1"/>
          <w:color w:val="B2B3B6"/>
        </w:rPr>
        <w:t xml:space="preserve"> Governance Two </w:t>
      </w:r>
      <w:r>
        <w:rPr>
          <w:rFonts w:ascii="Arial" w:cs="Arial" w:eastAsia="Arial" w:hAnsi="Arial"/>
          <w:sz w:val="13"/>
          <w:szCs w:val="13"/>
          <w:b w:val="1"/>
          <w:bCs w:val="1"/>
          <w:color w:val="6AAA37"/>
        </w:rPr>
        <w:t>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200"/>
        <w:spacing w:after="0" w:line="274" w:lineRule="auto"/>
        <w:rPr>
          <w:sz w:val="20"/>
          <w:szCs w:val="20"/>
          <w:color w:val="auto"/>
        </w:rPr>
      </w:pPr>
      <w:r>
        <w:rPr>
          <w:rFonts w:ascii="Arial" w:cs="Arial" w:eastAsia="Arial" w:hAnsi="Arial"/>
          <w:sz w:val="13"/>
          <w:szCs w:val="13"/>
          <w:b w:val="1"/>
          <w:bCs w:val="1"/>
          <w:color w:val="B2B3B6"/>
        </w:rPr>
        <w:t>Proposal Proposal Proposal Stockholder Other Three Four Five Proposals Matters</w:t>
      </w:r>
    </w:p>
    <w:p>
      <w:pPr>
        <w:spacing w:after="0" w:line="200" w:lineRule="exact"/>
        <w:rPr>
          <w:sz w:val="20"/>
          <w:szCs w:val="20"/>
          <w:color w:val="auto"/>
        </w:rPr>
      </w:pPr>
    </w:p>
    <w:p>
      <w:pPr>
        <w:sectPr>
          <w:pgSz w:w="11900" w:h="16838" w:orient="portrait"/>
          <w:cols w:equalWidth="0" w:num="3">
            <w:col w:w="1600" w:space="300"/>
            <w:col w:w="2700" w:space="320"/>
            <w:col w:w="4160"/>
          </w:cols>
          <w:pgMar w:left="1400" w:top="100" w:right="1419" w:bottom="0" w:gutter="0" w:footer="0" w:header="0"/>
          <w:type w:val="continuous"/>
        </w:sectPr>
      </w:pPr>
    </w:p>
    <w:p>
      <w:pPr>
        <w:spacing w:after="0" w:line="70" w:lineRule="exact"/>
        <w:rPr>
          <w:sz w:val="20"/>
          <w:szCs w:val="20"/>
          <w:color w:val="auto"/>
        </w:rPr>
      </w:pPr>
    </w:p>
    <w:p>
      <w:pPr>
        <w:ind w:right="100"/>
        <w:spacing w:after="0" w:line="295" w:lineRule="auto"/>
        <w:rPr>
          <w:sz w:val="20"/>
          <w:szCs w:val="20"/>
          <w:color w:val="auto"/>
        </w:rPr>
      </w:pPr>
      <w:r>
        <w:rPr>
          <w:rFonts w:ascii="Arial" w:cs="Arial" w:eastAsia="Arial" w:hAnsi="Arial"/>
          <w:sz w:val="16"/>
          <w:szCs w:val="16"/>
          <w:color w:val="auto"/>
        </w:rPr>
        <w:t>Under Mr. Dail's senior management agreement, during his employment with the Company he may not directly or indirectly solicit, induce or encourage any employee of the Company or any client or other business relation to leave, alter or cease his/ her/its relationship with the Company. In addition, for a period of 12 months following termination of his employment with the Company, he may not interfere with the Company's business relationship with a Company employee.</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All executives are also subject to a confidentiality and non-disclosure covenant.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Definitions</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Definition of "Change of Control"</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A Change of Control is defined in each of the executive's senior management agreements as:</w:t>
      </w:r>
    </w:p>
    <w:p>
      <w:pPr>
        <w:spacing w:after="0" w:line="127" w:lineRule="exact"/>
        <w:rPr>
          <w:sz w:val="20"/>
          <w:szCs w:val="20"/>
          <w:color w:val="auto"/>
        </w:rPr>
      </w:pPr>
    </w:p>
    <w:p>
      <w:pPr>
        <w:ind w:left="180" w:hanging="172"/>
        <w:spacing w:after="0"/>
        <w:tabs>
          <w:tab w:leader="none" w:pos="180" w:val="left"/>
        </w:tabs>
        <w:numPr>
          <w:ilvl w:val="0"/>
          <w:numId w:val="91"/>
        </w:numPr>
        <w:rPr>
          <w:rFonts w:ascii="Arial" w:cs="Arial" w:eastAsia="Arial" w:hAnsi="Arial"/>
          <w:sz w:val="16"/>
          <w:szCs w:val="16"/>
          <w:b w:val="1"/>
          <w:bCs w:val="1"/>
          <w:color w:val="6AAA37"/>
        </w:rPr>
      </w:pPr>
      <w:r>
        <w:rPr>
          <w:rFonts w:ascii="Arial" w:cs="Arial" w:eastAsia="Arial" w:hAnsi="Arial"/>
          <w:sz w:val="16"/>
          <w:szCs w:val="16"/>
          <w:color w:val="auto"/>
        </w:rPr>
        <w:t>any person becomes a beneficial owner of 40% or more of the Company’s outstanding securities;</w:t>
      </w:r>
    </w:p>
    <w:p>
      <w:pPr>
        <w:spacing w:after="0" w:line="126" w:lineRule="exact"/>
        <w:rPr>
          <w:rFonts w:ascii="Arial" w:cs="Arial" w:eastAsia="Arial" w:hAnsi="Arial"/>
          <w:sz w:val="16"/>
          <w:szCs w:val="16"/>
          <w:b w:val="1"/>
          <w:bCs w:val="1"/>
          <w:color w:val="6AAA37"/>
        </w:rPr>
      </w:pPr>
    </w:p>
    <w:p>
      <w:pPr>
        <w:ind w:left="180" w:right="220" w:hanging="172"/>
        <w:spacing w:after="0" w:line="296" w:lineRule="auto"/>
        <w:tabs>
          <w:tab w:leader="none" w:pos="180" w:val="left"/>
        </w:tabs>
        <w:numPr>
          <w:ilvl w:val="0"/>
          <w:numId w:val="91"/>
        </w:numPr>
        <w:rPr>
          <w:rFonts w:ascii="Arial" w:cs="Arial" w:eastAsia="Arial" w:hAnsi="Arial"/>
          <w:sz w:val="16"/>
          <w:szCs w:val="16"/>
          <w:b w:val="1"/>
          <w:bCs w:val="1"/>
          <w:color w:val="6AAA37"/>
        </w:rPr>
      </w:pPr>
      <w:r>
        <w:rPr>
          <w:rFonts w:ascii="Arial" w:cs="Arial" w:eastAsia="Arial" w:hAnsi="Arial"/>
          <w:sz w:val="16"/>
          <w:szCs w:val="16"/>
          <w:color w:val="auto"/>
        </w:rPr>
        <w:t>there is a consummation of a merger or consolidation with any person unless (a) the voting securities of the Company outstanding immediately prior to the transaction continue to represent at least 50% of the combined voting power of the securities of the Company or such other surviving entity; (b) the merger is a recapitalization in which no person other than existing security holders becomes a beneficial owner representing 50% or more of the Company’s then outstanding securities; or (c) the merger does not represent a sale of all or substantially all of the Company’s assets;</w:t>
      </w:r>
    </w:p>
    <w:p>
      <w:pPr>
        <w:spacing w:after="0" w:line="53" w:lineRule="exact"/>
        <w:rPr>
          <w:rFonts w:ascii="Arial" w:cs="Arial" w:eastAsia="Arial" w:hAnsi="Arial"/>
          <w:sz w:val="16"/>
          <w:szCs w:val="16"/>
          <w:b w:val="1"/>
          <w:bCs w:val="1"/>
          <w:color w:val="6AAA37"/>
        </w:rPr>
      </w:pPr>
    </w:p>
    <w:p>
      <w:pPr>
        <w:ind w:left="180" w:hanging="172"/>
        <w:spacing w:after="0"/>
        <w:tabs>
          <w:tab w:leader="none" w:pos="180" w:val="left"/>
        </w:tabs>
        <w:numPr>
          <w:ilvl w:val="0"/>
          <w:numId w:val="91"/>
        </w:numPr>
        <w:rPr>
          <w:rFonts w:ascii="Arial" w:cs="Arial" w:eastAsia="Arial" w:hAnsi="Arial"/>
          <w:sz w:val="16"/>
          <w:szCs w:val="16"/>
          <w:b w:val="1"/>
          <w:bCs w:val="1"/>
          <w:color w:val="6AAA37"/>
        </w:rPr>
      </w:pPr>
      <w:r>
        <w:rPr>
          <w:rFonts w:ascii="Arial" w:cs="Arial" w:eastAsia="Arial" w:hAnsi="Arial"/>
          <w:sz w:val="16"/>
          <w:szCs w:val="16"/>
          <w:color w:val="auto"/>
        </w:rPr>
        <w:t>the stockholders approve a plan of complete liquidation or dissolution; or</w:t>
      </w:r>
    </w:p>
    <w:p>
      <w:pPr>
        <w:spacing w:after="0" w:line="126" w:lineRule="exact"/>
        <w:rPr>
          <w:rFonts w:ascii="Arial" w:cs="Arial" w:eastAsia="Arial" w:hAnsi="Arial"/>
          <w:sz w:val="16"/>
          <w:szCs w:val="16"/>
          <w:b w:val="1"/>
          <w:bCs w:val="1"/>
          <w:color w:val="6AAA37"/>
        </w:rPr>
      </w:pPr>
    </w:p>
    <w:p>
      <w:pPr>
        <w:ind w:left="180" w:right="300" w:hanging="172"/>
        <w:spacing w:after="0" w:line="321" w:lineRule="auto"/>
        <w:tabs>
          <w:tab w:leader="none" w:pos="180" w:val="left"/>
        </w:tabs>
        <w:numPr>
          <w:ilvl w:val="0"/>
          <w:numId w:val="91"/>
        </w:numPr>
        <w:rPr>
          <w:rFonts w:ascii="Arial" w:cs="Arial" w:eastAsia="Arial" w:hAnsi="Arial"/>
          <w:sz w:val="16"/>
          <w:szCs w:val="16"/>
          <w:b w:val="1"/>
          <w:bCs w:val="1"/>
          <w:color w:val="6AAA37"/>
        </w:rPr>
      </w:pPr>
      <w:r>
        <w:rPr>
          <w:rFonts w:ascii="Arial" w:cs="Arial" w:eastAsia="Arial" w:hAnsi="Arial"/>
          <w:sz w:val="16"/>
          <w:szCs w:val="16"/>
          <w:color w:val="auto"/>
        </w:rPr>
        <w:t>there is a disposition or sale of all or substantially all of the Company’s assets other than a sale or disposition in which at least 50% of the combined voting power of the voting securities are owned by stockholders of Huron.</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Definition of "Good Reason"</w:t>
      </w:r>
    </w:p>
    <w:p>
      <w:pPr>
        <w:spacing w:after="0" w:line="113"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definition of "Good Reason" is defined under all of the senior management agreements to mean a resignation following: (i) a failure to comply with any material term of the agreement by the Company; (ii) a material reduction in base salary or benefits coverage, provided that such reduction is without his or her consent, is not warranted by the Company’s financial condition, and is not a change that applies uniformly to similarly situated Company executives; or in the case of the senior management agreements for Mr. Hussey and Mr. Kelly (iii) a change in primary location of employment to a location that is more than 50 miles from Chicago, Illinois. The senior management agreements provide the Company the right to cure prior to a senior executive’s resignation for Good Reason.</w:t>
      </w:r>
    </w:p>
    <w:p>
      <w:pPr>
        <w:sectPr>
          <w:pgSz w:w="11900" w:h="16838" w:orient="portrait"/>
          <w:cols w:equalWidth="0" w:num="1">
            <w:col w:w="9080"/>
          </w:cols>
          <w:pgMar w:left="1400" w:top="100" w:right="1419" w:bottom="0" w:gutter="0" w:footer="0" w:header="0"/>
          <w:type w:val="continuous"/>
        </w:sectPr>
      </w:pPr>
    </w:p>
    <w:bookmarkStart w:id="60" w:name="page61"/>
    <w:bookmarkEnd w:id="60"/>
    <w:p>
      <w:pPr>
        <w:spacing w:after="0"/>
        <w:rPr>
          <w:sz w:val="20"/>
          <w:szCs w:val="20"/>
          <w:color w:val="auto"/>
        </w:rPr>
      </w:pPr>
      <w:r>
        <w:rPr>
          <w:rFonts w:ascii="Arial" w:cs="Arial" w:eastAsia="Arial" w:hAnsi="Arial"/>
          <w:sz w:val="16"/>
          <w:szCs w:val="16"/>
          <w:b w:val="1"/>
          <w:bCs w:val="1"/>
          <w:color w:val="00558C"/>
        </w:rPr>
        <w:t>Definition of "Good Reason" in Relation to a Change of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-94615</wp:posOffset>
            </wp:positionV>
            <wp:extent cx="6810375" cy="380809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10375" cy="3808095"/>
                    </a:xfrm>
                    <a:prstGeom prst="rect">
                      <a:avLst/>
                    </a:prstGeom>
                    <a:noFill/>
                  </pic:spPr>
                </pic:pic>
              </a:graphicData>
            </a:graphic>
          </wp:anchor>
        </w:drawing>
      </w:r>
    </w:p>
    <w:p>
      <w:pPr>
        <w:ind w:right="180"/>
        <w:spacing w:after="0" w:line="300" w:lineRule="auto"/>
        <w:rPr>
          <w:sz w:val="20"/>
          <w:szCs w:val="20"/>
          <w:color w:val="auto"/>
        </w:rPr>
      </w:pPr>
      <w:r>
        <w:rPr>
          <w:rFonts w:ascii="Arial" w:cs="Arial" w:eastAsia="Arial" w:hAnsi="Arial"/>
          <w:sz w:val="16"/>
          <w:szCs w:val="16"/>
          <w:color w:val="auto"/>
        </w:rPr>
        <w:t>Under each of the executive's senior management agreements, a Change of Control Good Reason occurs if certain adverse changes occur in anticipation of, or within 24 months following, a Change of Control including:</w:t>
      </w:r>
    </w:p>
    <w:p>
      <w:pPr>
        <w:spacing w:after="0" w:line="105" w:lineRule="exact"/>
        <w:rPr>
          <w:sz w:val="20"/>
          <w:szCs w:val="20"/>
          <w:color w:val="auto"/>
        </w:rPr>
      </w:pPr>
    </w:p>
    <w:p>
      <w:pPr>
        <w:ind w:left="660" w:hanging="328"/>
        <w:spacing w:after="0"/>
        <w:tabs>
          <w:tab w:leader="none" w:pos="6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any material breach of the senior management agreement by the Company;</w:t>
      </w:r>
    </w:p>
    <w:p>
      <w:pPr>
        <w:spacing w:after="0" w:line="126" w:lineRule="exact"/>
        <w:rPr>
          <w:rFonts w:ascii="Arial" w:cs="Arial" w:eastAsia="Arial" w:hAnsi="Arial"/>
          <w:sz w:val="16"/>
          <w:szCs w:val="16"/>
          <w:color w:val="auto"/>
        </w:rPr>
      </w:pPr>
    </w:p>
    <w:p>
      <w:pPr>
        <w:ind w:left="660" w:hanging="328"/>
        <w:spacing w:after="0"/>
        <w:tabs>
          <w:tab w:leader="none" w:pos="6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any material adverse change in the executive’s status, responsibilities or position with the Company;</w:t>
      </w:r>
    </w:p>
    <w:p>
      <w:pPr>
        <w:spacing w:after="0" w:line="126" w:lineRule="exact"/>
        <w:rPr>
          <w:rFonts w:ascii="Arial" w:cs="Arial" w:eastAsia="Arial" w:hAnsi="Arial"/>
          <w:sz w:val="16"/>
          <w:szCs w:val="16"/>
          <w:color w:val="auto"/>
        </w:rPr>
      </w:pPr>
    </w:p>
    <w:p>
      <w:pPr>
        <w:ind w:left="660" w:right="40" w:hanging="328"/>
        <w:spacing w:after="0" w:line="301" w:lineRule="auto"/>
        <w:tabs>
          <w:tab w:leader="none" w:pos="6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any material reduction in his base salary or target bonus, other than in connection with an across-the-board reduction in base salaries applicable in like proportions to all similarly situated executives of the Company and any direct or indirect parent of the Company;</w:t>
      </w:r>
    </w:p>
    <w:p>
      <w:pPr>
        <w:spacing w:after="0" w:line="50" w:lineRule="exact"/>
        <w:rPr>
          <w:rFonts w:ascii="Arial" w:cs="Arial" w:eastAsia="Arial" w:hAnsi="Arial"/>
          <w:sz w:val="16"/>
          <w:szCs w:val="16"/>
          <w:color w:val="auto"/>
        </w:rPr>
      </w:pPr>
    </w:p>
    <w:p>
      <w:pPr>
        <w:ind w:left="660" w:hanging="328"/>
        <w:spacing w:after="0" w:line="310" w:lineRule="auto"/>
        <w:tabs>
          <w:tab w:leader="none" w:pos="6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assignment of duties to the executive that are materially inconsistent with his position and responsibilities described in the senior management agreement, (which in the case of Mr. Hussey, specifically includes assignment of a position other than as chief executive officer of the ultimate parent surviving Company); or</w:t>
      </w:r>
    </w:p>
    <w:p>
      <w:pPr>
        <w:spacing w:after="0" w:line="43" w:lineRule="exact"/>
        <w:rPr>
          <w:rFonts w:ascii="Arial" w:cs="Arial" w:eastAsia="Arial" w:hAnsi="Arial"/>
          <w:sz w:val="16"/>
          <w:szCs w:val="16"/>
          <w:color w:val="auto"/>
        </w:rPr>
      </w:pPr>
    </w:p>
    <w:p>
      <w:pPr>
        <w:ind w:left="660" w:right="60" w:hanging="328"/>
        <w:spacing w:after="0" w:line="301" w:lineRule="auto"/>
        <w:tabs>
          <w:tab w:leader="none" w:pos="6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requiring the executive to be principally based at any office or location that is greater than 50 miles from Chicago, Illinois (or, in the case of Mr. Dail, from the executive’s agreed upon primary place of employment prior to the Change of Control).</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without Cause or Resignation for Good Reason</w:t>
      </w:r>
    </w:p>
    <w:p>
      <w:pPr>
        <w:spacing w:after="0" w:line="68" w:lineRule="exact"/>
        <w:rPr>
          <w:sz w:val="20"/>
          <w:szCs w:val="20"/>
          <w:color w:val="auto"/>
        </w:rPr>
      </w:pPr>
    </w:p>
    <w:p>
      <w:pPr>
        <w:ind w:right="380"/>
        <w:spacing w:after="0" w:line="300" w:lineRule="auto"/>
        <w:rPr>
          <w:sz w:val="20"/>
          <w:szCs w:val="20"/>
          <w:color w:val="auto"/>
        </w:rPr>
      </w:pPr>
      <w:r>
        <w:rPr>
          <w:rFonts w:ascii="Arial" w:cs="Arial" w:eastAsia="Arial" w:hAnsi="Arial"/>
          <w:sz w:val="16"/>
          <w:szCs w:val="16"/>
          <w:color w:val="auto"/>
        </w:rPr>
        <w:t>If any of the executives is terminated without Cause or resigns for Good Reason, as defined in his senior management agreement, upon executing a general release and waiver, the Company is obligated to pay severance and continuation of benefits in varying amounts. In addition, executives will receive pro rata vesting of performance stock units that would otherwise have been earned in the performance period.</w:t>
      </w:r>
    </w:p>
    <w:p>
      <w:pPr>
        <w:spacing w:after="0" w:line="200" w:lineRule="exact"/>
        <w:rPr>
          <w:sz w:val="20"/>
          <w:szCs w:val="20"/>
          <w:color w:val="auto"/>
        </w:rPr>
      </w:pPr>
    </w:p>
    <w:p>
      <w:pPr>
        <w:spacing w:after="0" w:line="267" w:lineRule="exact"/>
        <w:rPr>
          <w:sz w:val="20"/>
          <w:szCs w:val="20"/>
          <w:color w:val="auto"/>
        </w:rPr>
      </w:pPr>
    </w:p>
    <w:p>
      <w:pPr>
        <w:ind w:left="60"/>
        <w:spacing w:after="0"/>
        <w:tabs>
          <w:tab w:leader="none" w:pos="444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13"/>
          <w:szCs w:val="13"/>
          <w:b w:val="1"/>
          <w:bCs w:val="1"/>
          <w:color w:val="00558C"/>
        </w:rPr>
        <w:t>58</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420370</wp:posOffset>
            </wp:positionV>
            <wp:extent cx="6810375" cy="6625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10375" cy="6625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540" w:val="left"/>
          <w:tab w:leader="none" w:pos="7360" w:val="left"/>
          <w:tab w:leader="none" w:pos="8400" w:val="left"/>
        </w:tabs>
        <w:rPr>
          <w:sz w:val="20"/>
          <w:szCs w:val="20"/>
          <w:color w:val="auto"/>
        </w:rPr>
      </w:pPr>
      <w:r>
        <w:rPr>
          <w:rFonts w:ascii="Arial" w:cs="Arial" w:eastAsia="Arial" w:hAnsi="Arial"/>
          <w:sz w:val="13"/>
          <w:szCs w:val="13"/>
          <w:b w:val="1"/>
          <w:bCs w:val="1"/>
          <w:color w:val="B2B3B6"/>
        </w:rPr>
        <w:t>General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Corporate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6AAA37"/>
        </w:rPr>
        <w:t>Executive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Stockholder</w:t>
      </w:r>
      <w:r>
        <w:rPr>
          <w:sz w:val="20"/>
          <w:szCs w:val="20"/>
          <w:color w:val="auto"/>
        </w:rPr>
        <w:tab/>
      </w:r>
      <w:r>
        <w:rPr>
          <w:rFonts w:ascii="Arial" w:cs="Arial" w:eastAsia="Arial" w:hAnsi="Arial"/>
          <w:sz w:val="12"/>
          <w:szCs w:val="12"/>
          <w:b w:val="1"/>
          <w:bCs w:val="1"/>
          <w:color w:val="B2B3B6"/>
        </w:rPr>
        <w:t>Other</w:t>
      </w:r>
    </w:p>
    <w:p>
      <w:pPr>
        <w:spacing w:after="0" w:line="11"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540" w:val="left"/>
          <w:tab w:leader="none" w:pos="7360" w:val="left"/>
          <w:tab w:leader="none" w:pos="8400" w:val="left"/>
        </w:tabs>
        <w:rPr>
          <w:sz w:val="20"/>
          <w:szCs w:val="20"/>
          <w:color w:val="auto"/>
        </w:rPr>
      </w:pPr>
      <w:r>
        <w:rPr>
          <w:rFonts w:ascii="Arial" w:cs="Arial" w:eastAsia="Arial" w:hAnsi="Arial"/>
          <w:sz w:val="13"/>
          <w:szCs w:val="13"/>
          <w:b w:val="1"/>
          <w:bCs w:val="1"/>
          <w:color w:val="B2B3B6"/>
        </w:rPr>
        <w:t>Information</w:t>
      </w:r>
      <w:r>
        <w:rPr>
          <w:sz w:val="20"/>
          <w:szCs w:val="20"/>
          <w:color w:val="auto"/>
        </w:rPr>
        <w:tab/>
      </w:r>
      <w:r>
        <w:rPr>
          <w:rFonts w:ascii="Arial" w:cs="Arial" w:eastAsia="Arial" w:hAnsi="Arial"/>
          <w:sz w:val="13"/>
          <w:szCs w:val="13"/>
          <w:b w:val="1"/>
          <w:bCs w:val="1"/>
          <w:color w:val="B2B3B6"/>
        </w:rPr>
        <w:t>One</w:t>
      </w:r>
      <w:r>
        <w:rPr>
          <w:sz w:val="20"/>
          <w:szCs w:val="20"/>
          <w:color w:val="auto"/>
        </w:rPr>
        <w:tab/>
      </w:r>
      <w:r>
        <w:rPr>
          <w:rFonts w:ascii="Arial" w:cs="Arial" w:eastAsia="Arial" w:hAnsi="Arial"/>
          <w:sz w:val="13"/>
          <w:szCs w:val="13"/>
          <w:b w:val="1"/>
          <w:bCs w:val="1"/>
          <w:color w:val="B2B3B6"/>
        </w:rPr>
        <w:t>Governance</w:t>
      </w:r>
      <w:r>
        <w:rPr>
          <w:sz w:val="20"/>
          <w:szCs w:val="20"/>
          <w:color w:val="auto"/>
        </w:rPr>
        <w:tab/>
      </w:r>
      <w:r>
        <w:rPr>
          <w:rFonts w:ascii="Arial" w:cs="Arial" w:eastAsia="Arial" w:hAnsi="Arial"/>
          <w:sz w:val="13"/>
          <w:szCs w:val="13"/>
          <w:b w:val="1"/>
          <w:bCs w:val="1"/>
          <w:color w:val="B2B3B6"/>
        </w:rPr>
        <w:t>Two</w:t>
      </w:r>
      <w:r>
        <w:rPr>
          <w:sz w:val="20"/>
          <w:szCs w:val="20"/>
          <w:color w:val="auto"/>
        </w:rPr>
        <w:tab/>
      </w:r>
      <w:r>
        <w:rPr>
          <w:rFonts w:ascii="Arial" w:cs="Arial" w:eastAsia="Arial" w:hAnsi="Arial"/>
          <w:sz w:val="13"/>
          <w:szCs w:val="13"/>
          <w:b w:val="1"/>
          <w:bCs w:val="1"/>
          <w:color w:val="6AAA37"/>
        </w:rPr>
        <w:t>Compensation</w:t>
      </w:r>
      <w:r>
        <w:rPr>
          <w:sz w:val="20"/>
          <w:szCs w:val="20"/>
          <w:color w:val="auto"/>
        </w:rPr>
        <w:tab/>
      </w:r>
      <w:r>
        <w:rPr>
          <w:rFonts w:ascii="Arial" w:cs="Arial" w:eastAsia="Arial" w:hAnsi="Arial"/>
          <w:sz w:val="13"/>
          <w:szCs w:val="13"/>
          <w:b w:val="1"/>
          <w:bCs w:val="1"/>
          <w:color w:val="B2B3B6"/>
        </w:rPr>
        <w:t>Three</w:t>
      </w:r>
      <w:r>
        <w:rPr>
          <w:sz w:val="20"/>
          <w:szCs w:val="20"/>
          <w:color w:val="auto"/>
        </w:rPr>
        <w:tab/>
      </w:r>
      <w:r>
        <w:rPr>
          <w:rFonts w:ascii="Arial" w:cs="Arial" w:eastAsia="Arial" w:hAnsi="Arial"/>
          <w:sz w:val="13"/>
          <w:szCs w:val="13"/>
          <w:b w:val="1"/>
          <w:bCs w:val="1"/>
          <w:color w:val="B2B3B6"/>
        </w:rPr>
        <w:t>Four</w:t>
      </w:r>
      <w:r>
        <w:rPr>
          <w:sz w:val="20"/>
          <w:szCs w:val="20"/>
          <w:color w:val="auto"/>
        </w:rPr>
        <w:tab/>
      </w:r>
      <w:r>
        <w:rPr>
          <w:rFonts w:ascii="Arial" w:cs="Arial" w:eastAsia="Arial" w:hAnsi="Arial"/>
          <w:sz w:val="13"/>
          <w:szCs w:val="13"/>
          <w:b w:val="1"/>
          <w:bCs w:val="1"/>
          <w:color w:val="B2B3B6"/>
        </w:rPr>
        <w:t>Five</w:t>
      </w:r>
      <w:r>
        <w:rPr>
          <w:sz w:val="20"/>
          <w:szCs w:val="20"/>
          <w:color w:val="auto"/>
        </w:rPr>
        <w:tab/>
      </w:r>
      <w:r>
        <w:rPr>
          <w:rFonts w:ascii="Arial" w:cs="Arial" w:eastAsia="Arial" w:hAnsi="Arial"/>
          <w:sz w:val="13"/>
          <w:szCs w:val="13"/>
          <w:b w:val="1"/>
          <w:bCs w:val="1"/>
          <w:color w:val="B2B3B6"/>
        </w:rPr>
        <w:t>Proposals</w:t>
      </w:r>
      <w:r>
        <w:rPr>
          <w:sz w:val="20"/>
          <w:szCs w:val="20"/>
          <w:color w:val="auto"/>
        </w:rPr>
        <w:tab/>
      </w:r>
      <w:r>
        <w:rPr>
          <w:rFonts w:ascii="Arial" w:cs="Arial" w:eastAsia="Arial" w:hAnsi="Arial"/>
          <w:sz w:val="12"/>
          <w:szCs w:val="12"/>
          <w:b w:val="1"/>
          <w:bCs w:val="1"/>
          <w:color w:val="B2B3B6"/>
        </w:rPr>
        <w:t>Matters</w:t>
      </w:r>
    </w:p>
    <w:p>
      <w:pPr>
        <w:spacing w:after="0" w:line="301" w:lineRule="exact"/>
        <w:rPr>
          <w:sz w:val="20"/>
          <w:szCs w:val="20"/>
          <w:color w:val="auto"/>
        </w:rPr>
      </w:pPr>
    </w:p>
    <w:p>
      <w:pPr>
        <w:ind w:right="440"/>
        <w:spacing w:after="0" w:line="321" w:lineRule="auto"/>
        <w:rPr>
          <w:sz w:val="20"/>
          <w:szCs w:val="20"/>
          <w:color w:val="auto"/>
        </w:rPr>
      </w:pPr>
      <w:r>
        <w:rPr>
          <w:rFonts w:ascii="Arial" w:cs="Arial" w:eastAsia="Arial" w:hAnsi="Arial"/>
          <w:sz w:val="16"/>
          <w:szCs w:val="16"/>
          <w:color w:val="auto"/>
        </w:rPr>
        <w:t>The following severance benefits are payable to each of our named executive officers upon termination without Cause or resignation for Good Reason, except in the case of a Change of Control, as of December 31, 2024:</w:t>
      </w:r>
    </w:p>
    <w:p>
      <w:pPr>
        <w:sectPr>
          <w:pgSz w:w="11900" w:h="16838" w:orient="portrait"/>
          <w:cols w:equalWidth="0" w:num="1">
            <w:col w:w="9080"/>
          </w:cols>
          <w:pgMar w:left="1400" w:top="106" w:right="1419" w:bottom="0" w:gutter="0" w:footer="0" w:header="0"/>
        </w:sectPr>
      </w:pPr>
    </w:p>
    <w:p>
      <w:pPr>
        <w:spacing w:after="0" w:line="269"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FFFFFF"/>
        </w:rPr>
        <w:t>Executive</w:t>
      </w:r>
    </w:p>
    <w:p>
      <w:pPr>
        <w:spacing w:after="0" w:line="200" w:lineRule="exact"/>
        <w:rPr>
          <w:sz w:val="20"/>
          <w:szCs w:val="20"/>
          <w:color w:val="auto"/>
        </w:rPr>
      </w:pPr>
    </w:p>
    <w:p>
      <w:pPr>
        <w:spacing w:after="0" w:line="355"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00558C"/>
        </w:rPr>
        <w:t>C. Mark Hussey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00558C"/>
        </w:rPr>
        <w:t>John D. Kelly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00558C"/>
        </w:rPr>
        <w:t>J. Ronald Dail</w:t>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b w:val="1"/>
          <w:bCs w:val="1"/>
          <w:color w:val="FFFFFF"/>
        </w:rPr>
        <w:t>Severance Benefits</w:t>
      </w:r>
    </w:p>
    <w:p>
      <w:pPr>
        <w:spacing w:after="0" w:line="298" w:lineRule="exact"/>
        <w:rPr>
          <w:sz w:val="20"/>
          <w:szCs w:val="20"/>
          <w:color w:val="auto"/>
        </w:rPr>
      </w:pPr>
    </w:p>
    <w:p>
      <w:pPr>
        <w:ind w:right="320"/>
        <w:spacing w:after="0" w:line="269" w:lineRule="auto"/>
        <w:rPr>
          <w:sz w:val="20"/>
          <w:szCs w:val="20"/>
          <w:color w:val="auto"/>
        </w:rPr>
      </w:pPr>
      <w:r>
        <w:rPr>
          <w:rFonts w:ascii="Arial" w:cs="Arial" w:eastAsia="Arial" w:hAnsi="Arial"/>
          <w:sz w:val="14"/>
          <w:szCs w:val="14"/>
          <w:color w:val="auto"/>
        </w:rPr>
        <w:t>An amount in cash equal to two times the sum of his then current annual base salary and his then current target bonus; pro rata bonus in the year of termination based on actual results; 24 months’ continuation of medical insurance; and pro rata vesting of performance stock units that would otherwise have been earned in the performance period. Severance amounts are payable in a lump sum.</w:t>
      </w:r>
    </w:p>
    <w:p>
      <w:pPr>
        <w:spacing w:after="0" w:line="264" w:lineRule="exact"/>
        <w:rPr>
          <w:sz w:val="20"/>
          <w:szCs w:val="20"/>
          <w:color w:val="auto"/>
        </w:rPr>
      </w:pPr>
    </w:p>
    <w:p>
      <w:pPr>
        <w:ind w:right="40"/>
        <w:spacing w:after="0" w:line="269" w:lineRule="auto"/>
        <w:rPr>
          <w:sz w:val="20"/>
          <w:szCs w:val="20"/>
          <w:color w:val="auto"/>
        </w:rPr>
      </w:pPr>
      <w:r>
        <w:rPr>
          <w:rFonts w:ascii="Arial" w:cs="Arial" w:eastAsia="Arial" w:hAnsi="Arial"/>
          <w:sz w:val="14"/>
          <w:szCs w:val="14"/>
          <w:color w:val="auto"/>
        </w:rPr>
        <w:t>An amount in cash equal to the sum of his then current annual base salary and his then current target bonus; pro rata bonus in the year of termination based on actual results; 12 months’ continuation of medical insurance; and pro rata vesting of performance stock units that would otherwise have been earned in the performance period. Severance amounts are payable in a lump sum.</w:t>
      </w:r>
    </w:p>
    <w:p>
      <w:pPr>
        <w:spacing w:after="0" w:line="264" w:lineRule="exact"/>
        <w:rPr>
          <w:sz w:val="20"/>
          <w:szCs w:val="20"/>
          <w:color w:val="auto"/>
        </w:rPr>
      </w:pPr>
    </w:p>
    <w:p>
      <w:pPr>
        <w:ind w:right="280"/>
        <w:spacing w:after="0" w:line="269" w:lineRule="auto"/>
        <w:rPr>
          <w:sz w:val="20"/>
          <w:szCs w:val="20"/>
          <w:color w:val="auto"/>
        </w:rPr>
      </w:pPr>
      <w:r>
        <w:rPr>
          <w:rFonts w:ascii="Arial" w:cs="Arial" w:eastAsia="Arial" w:hAnsi="Arial"/>
          <w:sz w:val="14"/>
          <w:szCs w:val="14"/>
          <w:color w:val="auto"/>
        </w:rPr>
        <w:t>An amount in cash equal to the sum of his then current annual base salary and his then current target bonus; pro rata bonus in the year of termination based on actual results; 12 months’ continuation of medical insurance; and pro rata vesting of performance stock units that would otherwise have been earned in the performance period. Severance amounts are payable in a lump sum.</w:t>
      </w:r>
    </w:p>
    <w:p>
      <w:pPr>
        <w:spacing w:after="0" w:line="200" w:lineRule="exact"/>
        <w:rPr>
          <w:sz w:val="20"/>
          <w:szCs w:val="20"/>
          <w:color w:val="auto"/>
        </w:rPr>
      </w:pPr>
    </w:p>
    <w:p>
      <w:pPr>
        <w:sectPr>
          <w:pgSz w:w="11900" w:h="16838" w:orient="portrait"/>
          <w:cols w:equalWidth="0" w:num="2">
            <w:col w:w="1260" w:space="720"/>
            <w:col w:w="7100"/>
          </w:cols>
          <w:pgMar w:left="1400" w:top="106" w:right="1419" w:bottom="0" w:gutter="0" w:footer="0" w:header="0"/>
          <w:type w:val="continuous"/>
        </w:sectPr>
      </w:pPr>
    </w:p>
    <w:p>
      <w:pPr>
        <w:spacing w:after="0" w:line="15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Under the applicable equity award agreements, in the event an executive qualifies for an approved retirement and signs a non-compete agreement, he would receive continued vesting of his stock options, restricted stock and restricted stock units. There would be no acceleration, but the equity would continue to vest per the schedule as outlined in the grant agreements.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Employment Due to Death or Disability</w:t>
      </w:r>
    </w:p>
    <w:p>
      <w:pPr>
        <w:spacing w:after="0" w:line="81" w:lineRule="exact"/>
        <w:rPr>
          <w:sz w:val="20"/>
          <w:szCs w:val="20"/>
          <w:color w:val="auto"/>
        </w:rPr>
      </w:pPr>
    </w:p>
    <w:p>
      <w:pPr>
        <w:ind w:right="120"/>
        <w:spacing w:after="0" w:line="295" w:lineRule="auto"/>
        <w:rPr>
          <w:sz w:val="20"/>
          <w:szCs w:val="20"/>
          <w:color w:val="auto"/>
        </w:rPr>
      </w:pPr>
      <w:r>
        <w:rPr>
          <w:rFonts w:ascii="Arial" w:cs="Arial" w:eastAsia="Arial" w:hAnsi="Arial"/>
          <w:sz w:val="16"/>
          <w:szCs w:val="16"/>
          <w:color w:val="auto"/>
        </w:rPr>
        <w:t>Under each of the senior management agreements, if any of our executives dies or becomes disabled, his estate will receive payment of base salary and a pro rata bonus at target through the date of termination. The executive and/or his eligible dependents shall receive continuation of medical benefits for six months. In addition, unvested time-based equity outstanding will vest and unvested performance-based awards will vest in accordance with the applicable grant agreement.</w:t>
      </w:r>
    </w:p>
    <w:p>
      <w:pPr>
        <w:spacing w:after="0" w:line="130" w:lineRule="exact"/>
        <w:rPr>
          <w:sz w:val="20"/>
          <w:szCs w:val="20"/>
          <w:color w:val="auto"/>
        </w:rPr>
      </w:pPr>
    </w:p>
    <w:p>
      <w:pPr>
        <w:ind w:right="1000"/>
        <w:spacing w:after="0" w:line="292" w:lineRule="auto"/>
        <w:rPr>
          <w:sz w:val="20"/>
          <w:szCs w:val="20"/>
          <w:color w:val="auto"/>
        </w:rPr>
      </w:pPr>
      <w:r>
        <w:rPr>
          <w:rFonts w:ascii="Arial" w:cs="Arial" w:eastAsia="Arial" w:hAnsi="Arial"/>
          <w:sz w:val="18"/>
          <w:szCs w:val="18"/>
          <w:b w:val="1"/>
          <w:bCs w:val="1"/>
          <w:color w:val="auto"/>
        </w:rPr>
        <w:t>Termination of Employment Due to Termination other than for Resignation for Good Reason or Due to Cause</w:t>
      </w:r>
    </w:p>
    <w:p>
      <w:pPr>
        <w:spacing w:after="0" w:line="1" w:lineRule="exact"/>
        <w:rPr>
          <w:sz w:val="20"/>
          <w:szCs w:val="20"/>
          <w:color w:val="auto"/>
        </w:rPr>
      </w:pPr>
    </w:p>
    <w:p>
      <w:pPr>
        <w:ind w:right="140"/>
        <w:spacing w:after="0" w:line="321" w:lineRule="auto"/>
        <w:rPr>
          <w:sz w:val="20"/>
          <w:szCs w:val="20"/>
          <w:color w:val="auto"/>
        </w:rPr>
      </w:pPr>
      <w:r>
        <w:rPr>
          <w:rFonts w:ascii="Arial" w:cs="Arial" w:eastAsia="Arial" w:hAnsi="Arial"/>
          <w:sz w:val="16"/>
          <w:szCs w:val="16"/>
          <w:color w:val="auto"/>
        </w:rPr>
        <w:t>No severance or benefits are paid if an executive officer’s employment is terminated for Cause or the executive resigns other than for Good Reason as defined in the executive’s senior management agreement.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without Cause or Resignation for Good Reason Related to a Change of Control</w:t>
      </w:r>
    </w:p>
    <w:p>
      <w:pPr>
        <w:spacing w:after="0" w:line="68"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If any of our executives is terminated without Cause or resigns for Change of Control Good Reason, in either case, within 24 months following a Change of Control (or within 12 months prior to a Change of Control if the executive reasonably demonstrates that the termination of his employment without Cause or his resignation for an event which, had it occurred following a Change of Control, would have constituted Change of Control Good Reason, was attributable to or otherwise in contemplation of a Change of Control), as defined in his senior management agreement, upon executing a general release and waiver, the Company is obligated to pay severance and continuation of benefits in varying amounts.</w:t>
      </w:r>
    </w:p>
    <w:p>
      <w:pPr>
        <w:sectPr>
          <w:pgSz w:w="11900" w:h="16838" w:orient="portrait"/>
          <w:cols w:equalWidth="0" w:num="1">
            <w:col w:w="9080"/>
          </w:cols>
          <w:pgMar w:left="1400" w:top="106" w:right="1419" w:bottom="0" w:gutter="0" w:footer="0" w:header="0"/>
          <w:type w:val="continuous"/>
        </w:sectPr>
      </w:pPr>
    </w:p>
    <w:bookmarkStart w:id="61" w:name="page62"/>
    <w:bookmarkEnd w:id="6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22307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10375" cy="2230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60"/>
        <w:spacing w:after="0"/>
        <w:tabs>
          <w:tab w:leader="none" w:pos="444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13"/>
          <w:szCs w:val="13"/>
          <w:b w:val="1"/>
          <w:bCs w:val="1"/>
          <w:color w:val="00558C"/>
        </w:rPr>
        <w:t>59</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420370</wp:posOffset>
            </wp:positionV>
            <wp:extent cx="6810375" cy="82029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10375" cy="820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540" w:val="left"/>
          <w:tab w:leader="none" w:pos="7360" w:val="left"/>
          <w:tab w:leader="none" w:pos="8400" w:val="left"/>
        </w:tabs>
        <w:rPr>
          <w:sz w:val="20"/>
          <w:szCs w:val="20"/>
          <w:color w:val="auto"/>
        </w:rPr>
      </w:pPr>
      <w:r>
        <w:rPr>
          <w:rFonts w:ascii="Arial" w:cs="Arial" w:eastAsia="Arial" w:hAnsi="Arial"/>
          <w:sz w:val="13"/>
          <w:szCs w:val="13"/>
          <w:b w:val="1"/>
          <w:bCs w:val="1"/>
          <w:color w:val="B2B3B6"/>
        </w:rPr>
        <w:t>General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Corporate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6AAA37"/>
        </w:rPr>
        <w:t>Executive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Stockholder</w:t>
      </w:r>
      <w:r>
        <w:rPr>
          <w:sz w:val="20"/>
          <w:szCs w:val="20"/>
          <w:color w:val="auto"/>
        </w:rPr>
        <w:tab/>
      </w:r>
      <w:r>
        <w:rPr>
          <w:rFonts w:ascii="Arial" w:cs="Arial" w:eastAsia="Arial" w:hAnsi="Arial"/>
          <w:sz w:val="12"/>
          <w:szCs w:val="12"/>
          <w:b w:val="1"/>
          <w:bCs w:val="1"/>
          <w:color w:val="B2B3B6"/>
        </w:rPr>
        <w:t>Other</w:t>
      </w:r>
    </w:p>
    <w:p>
      <w:pPr>
        <w:spacing w:after="0" w:line="11"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540" w:val="left"/>
          <w:tab w:leader="none" w:pos="7360" w:val="left"/>
          <w:tab w:leader="none" w:pos="8400" w:val="left"/>
        </w:tabs>
        <w:rPr>
          <w:sz w:val="20"/>
          <w:szCs w:val="20"/>
          <w:color w:val="auto"/>
        </w:rPr>
      </w:pPr>
      <w:r>
        <w:rPr>
          <w:rFonts w:ascii="Arial" w:cs="Arial" w:eastAsia="Arial" w:hAnsi="Arial"/>
          <w:sz w:val="13"/>
          <w:szCs w:val="13"/>
          <w:b w:val="1"/>
          <w:bCs w:val="1"/>
          <w:color w:val="B2B3B6"/>
        </w:rPr>
        <w:t>Information</w:t>
      </w:r>
      <w:r>
        <w:rPr>
          <w:sz w:val="20"/>
          <w:szCs w:val="20"/>
          <w:color w:val="auto"/>
        </w:rPr>
        <w:tab/>
      </w:r>
      <w:r>
        <w:rPr>
          <w:rFonts w:ascii="Arial" w:cs="Arial" w:eastAsia="Arial" w:hAnsi="Arial"/>
          <w:sz w:val="13"/>
          <w:szCs w:val="13"/>
          <w:b w:val="1"/>
          <w:bCs w:val="1"/>
          <w:color w:val="B2B3B6"/>
        </w:rPr>
        <w:t>One</w:t>
      </w:r>
      <w:r>
        <w:rPr>
          <w:sz w:val="20"/>
          <w:szCs w:val="20"/>
          <w:color w:val="auto"/>
        </w:rPr>
        <w:tab/>
      </w:r>
      <w:r>
        <w:rPr>
          <w:rFonts w:ascii="Arial" w:cs="Arial" w:eastAsia="Arial" w:hAnsi="Arial"/>
          <w:sz w:val="13"/>
          <w:szCs w:val="13"/>
          <w:b w:val="1"/>
          <w:bCs w:val="1"/>
          <w:color w:val="B2B3B6"/>
        </w:rPr>
        <w:t>Governance</w:t>
      </w:r>
      <w:r>
        <w:rPr>
          <w:sz w:val="20"/>
          <w:szCs w:val="20"/>
          <w:color w:val="auto"/>
        </w:rPr>
        <w:tab/>
      </w:r>
      <w:r>
        <w:rPr>
          <w:rFonts w:ascii="Arial" w:cs="Arial" w:eastAsia="Arial" w:hAnsi="Arial"/>
          <w:sz w:val="13"/>
          <w:szCs w:val="13"/>
          <w:b w:val="1"/>
          <w:bCs w:val="1"/>
          <w:color w:val="B2B3B6"/>
        </w:rPr>
        <w:t>Two</w:t>
      </w:r>
      <w:r>
        <w:rPr>
          <w:sz w:val="20"/>
          <w:szCs w:val="20"/>
          <w:color w:val="auto"/>
        </w:rPr>
        <w:tab/>
      </w:r>
      <w:r>
        <w:rPr>
          <w:rFonts w:ascii="Arial" w:cs="Arial" w:eastAsia="Arial" w:hAnsi="Arial"/>
          <w:sz w:val="13"/>
          <w:szCs w:val="13"/>
          <w:b w:val="1"/>
          <w:bCs w:val="1"/>
          <w:color w:val="6AAA37"/>
        </w:rPr>
        <w:t>Compensation</w:t>
      </w:r>
      <w:r>
        <w:rPr>
          <w:sz w:val="20"/>
          <w:szCs w:val="20"/>
          <w:color w:val="auto"/>
        </w:rPr>
        <w:tab/>
      </w:r>
      <w:r>
        <w:rPr>
          <w:rFonts w:ascii="Arial" w:cs="Arial" w:eastAsia="Arial" w:hAnsi="Arial"/>
          <w:sz w:val="13"/>
          <w:szCs w:val="13"/>
          <w:b w:val="1"/>
          <w:bCs w:val="1"/>
          <w:color w:val="B2B3B6"/>
        </w:rPr>
        <w:t>Three</w:t>
      </w:r>
      <w:r>
        <w:rPr>
          <w:sz w:val="20"/>
          <w:szCs w:val="20"/>
          <w:color w:val="auto"/>
        </w:rPr>
        <w:tab/>
      </w:r>
      <w:r>
        <w:rPr>
          <w:rFonts w:ascii="Arial" w:cs="Arial" w:eastAsia="Arial" w:hAnsi="Arial"/>
          <w:sz w:val="13"/>
          <w:szCs w:val="13"/>
          <w:b w:val="1"/>
          <w:bCs w:val="1"/>
          <w:color w:val="B2B3B6"/>
        </w:rPr>
        <w:t>Four</w:t>
      </w:r>
      <w:r>
        <w:rPr>
          <w:sz w:val="20"/>
          <w:szCs w:val="20"/>
          <w:color w:val="auto"/>
        </w:rPr>
        <w:tab/>
      </w:r>
      <w:r>
        <w:rPr>
          <w:rFonts w:ascii="Arial" w:cs="Arial" w:eastAsia="Arial" w:hAnsi="Arial"/>
          <w:sz w:val="13"/>
          <w:szCs w:val="13"/>
          <w:b w:val="1"/>
          <w:bCs w:val="1"/>
          <w:color w:val="B2B3B6"/>
        </w:rPr>
        <w:t>Five</w:t>
      </w:r>
      <w:r>
        <w:rPr>
          <w:sz w:val="20"/>
          <w:szCs w:val="20"/>
          <w:color w:val="auto"/>
        </w:rPr>
        <w:tab/>
      </w:r>
      <w:r>
        <w:rPr>
          <w:rFonts w:ascii="Arial" w:cs="Arial" w:eastAsia="Arial" w:hAnsi="Arial"/>
          <w:sz w:val="13"/>
          <w:szCs w:val="13"/>
          <w:b w:val="1"/>
          <w:bCs w:val="1"/>
          <w:color w:val="B2B3B6"/>
        </w:rPr>
        <w:t>Proposals</w:t>
      </w:r>
      <w:r>
        <w:rPr>
          <w:sz w:val="20"/>
          <w:szCs w:val="20"/>
          <w:color w:val="auto"/>
        </w:rPr>
        <w:tab/>
      </w:r>
      <w:r>
        <w:rPr>
          <w:rFonts w:ascii="Arial" w:cs="Arial" w:eastAsia="Arial" w:hAnsi="Arial"/>
          <w:sz w:val="12"/>
          <w:szCs w:val="12"/>
          <w:b w:val="1"/>
          <w:bCs w:val="1"/>
          <w:color w:val="B2B3B6"/>
        </w:rPr>
        <w:t>Matters</w:t>
      </w:r>
    </w:p>
    <w:p>
      <w:pPr>
        <w:spacing w:after="0" w:line="301" w:lineRule="exact"/>
        <w:rPr>
          <w:sz w:val="20"/>
          <w:szCs w:val="20"/>
          <w:color w:val="auto"/>
        </w:rPr>
      </w:pPr>
    </w:p>
    <w:p>
      <w:pPr>
        <w:ind w:right="420"/>
        <w:spacing w:after="0" w:line="321" w:lineRule="auto"/>
        <w:rPr>
          <w:sz w:val="20"/>
          <w:szCs w:val="20"/>
          <w:color w:val="auto"/>
        </w:rPr>
      </w:pPr>
      <w:r>
        <w:rPr>
          <w:rFonts w:ascii="Arial" w:cs="Arial" w:eastAsia="Arial" w:hAnsi="Arial"/>
          <w:sz w:val="16"/>
          <w:szCs w:val="16"/>
          <w:color w:val="auto"/>
        </w:rPr>
        <w:t>The following severance benefits are payable to each of our named executive officers upon termination without Cause or resignation for Good Reason, in the case of a Change of Control, as of December 31, 2024:</w:t>
      </w:r>
    </w:p>
    <w:p>
      <w:pPr>
        <w:sectPr>
          <w:pgSz w:w="11900" w:h="16838" w:orient="portrait"/>
          <w:cols w:equalWidth="0" w:num="1">
            <w:col w:w="9060"/>
          </w:cols>
          <w:pgMar w:left="1400" w:top="1440" w:right="1439" w:bottom="1440" w:gutter="0" w:footer="0" w:header="0"/>
        </w:sectPr>
      </w:pPr>
    </w:p>
    <w:p>
      <w:pPr>
        <w:spacing w:after="0" w:line="269"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FFFFFF"/>
        </w:rPr>
        <w:t>Executive</w:t>
      </w:r>
    </w:p>
    <w:p>
      <w:pPr>
        <w:spacing w:after="0" w:line="200" w:lineRule="exact"/>
        <w:rPr>
          <w:sz w:val="20"/>
          <w:szCs w:val="20"/>
          <w:color w:val="auto"/>
        </w:rPr>
      </w:pPr>
    </w:p>
    <w:p>
      <w:pPr>
        <w:spacing w:after="0" w:line="355"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00558C"/>
        </w:rPr>
        <w:t>C. Mark Hussey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00558C"/>
        </w:rPr>
        <w:t>John D. Kelly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00558C"/>
        </w:rPr>
        <w:t>J. Ronald Dail</w:t>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b w:val="1"/>
          <w:bCs w:val="1"/>
          <w:color w:val="FFFFFF"/>
        </w:rPr>
        <w:t>Severance Benefits</w:t>
      </w:r>
    </w:p>
    <w:p>
      <w:pPr>
        <w:spacing w:after="0" w:line="298" w:lineRule="exact"/>
        <w:rPr>
          <w:sz w:val="20"/>
          <w:szCs w:val="20"/>
          <w:color w:val="auto"/>
        </w:rPr>
      </w:pPr>
    </w:p>
    <w:p>
      <w:pPr>
        <w:ind w:right="300"/>
        <w:spacing w:after="0" w:line="269" w:lineRule="auto"/>
        <w:rPr>
          <w:sz w:val="20"/>
          <w:szCs w:val="20"/>
          <w:color w:val="auto"/>
        </w:rPr>
      </w:pPr>
      <w:r>
        <w:rPr>
          <w:rFonts w:ascii="Arial" w:cs="Arial" w:eastAsia="Arial" w:hAnsi="Arial"/>
          <w:sz w:val="14"/>
          <w:szCs w:val="14"/>
          <w:color w:val="auto"/>
        </w:rPr>
        <w:t>An amount in cash equal to two and one-half times the sum of his then current annual base salary and his then current target bonus; pro rata target bonus in the year of termination; 30 months’ continuation of medical insurance; and accelerated vesting of all outstanding equity grants that were awarded at or prior to the time of the Change of Control. Severance amounts are payable in a lump sum.</w:t>
      </w:r>
    </w:p>
    <w:p>
      <w:pPr>
        <w:spacing w:after="0" w:line="264" w:lineRule="exact"/>
        <w:rPr>
          <w:sz w:val="20"/>
          <w:szCs w:val="20"/>
          <w:color w:val="auto"/>
        </w:rPr>
      </w:pPr>
    </w:p>
    <w:p>
      <w:pPr>
        <w:ind w:right="300"/>
        <w:spacing w:after="0" w:line="269" w:lineRule="auto"/>
        <w:rPr>
          <w:sz w:val="20"/>
          <w:szCs w:val="20"/>
          <w:color w:val="auto"/>
        </w:rPr>
      </w:pPr>
      <w:r>
        <w:rPr>
          <w:rFonts w:ascii="Arial" w:cs="Arial" w:eastAsia="Arial" w:hAnsi="Arial"/>
          <w:sz w:val="14"/>
          <w:szCs w:val="14"/>
          <w:color w:val="auto"/>
        </w:rPr>
        <w:t>An amount in cash equal to one and one-half times the sum of his then current annual base salary and his then current target bonus; pro rata target bonus in the year of termination; 18 months’ continuation of medical insurance; and accelerated vesting of all outstanding equity grants that were awarded at or prior to the time of the Change of Control. Severance amounts are payable in a lump sum.</w:t>
      </w:r>
    </w:p>
    <w:p>
      <w:pPr>
        <w:spacing w:after="0" w:line="264" w:lineRule="exact"/>
        <w:rPr>
          <w:sz w:val="20"/>
          <w:szCs w:val="20"/>
          <w:color w:val="auto"/>
        </w:rPr>
      </w:pPr>
    </w:p>
    <w:p>
      <w:pPr>
        <w:ind w:right="300"/>
        <w:spacing w:after="0" w:line="269" w:lineRule="auto"/>
        <w:rPr>
          <w:sz w:val="20"/>
          <w:szCs w:val="20"/>
          <w:color w:val="auto"/>
        </w:rPr>
      </w:pPr>
      <w:r>
        <w:rPr>
          <w:rFonts w:ascii="Arial" w:cs="Arial" w:eastAsia="Arial" w:hAnsi="Arial"/>
          <w:sz w:val="14"/>
          <w:szCs w:val="14"/>
          <w:color w:val="auto"/>
        </w:rPr>
        <w:t>An amount in cash equal to one and one-half times the sum of his then current annual base salary and his then current target bonus; pro rata target bonus in the year of termination; 18 months’ continuation of medical insurance; and accelerated vesting of all outstanding equity grants that were awarded at or prior to the time of the Change of Control. Severance amounts are payable in a lump sum.</w:t>
      </w:r>
    </w:p>
    <w:p>
      <w:pPr>
        <w:spacing w:after="0" w:line="200" w:lineRule="exact"/>
        <w:rPr>
          <w:sz w:val="20"/>
          <w:szCs w:val="20"/>
          <w:color w:val="auto"/>
        </w:rPr>
      </w:pPr>
    </w:p>
    <w:p>
      <w:pPr>
        <w:sectPr>
          <w:pgSz w:w="11900" w:h="16838" w:orient="portrait"/>
          <w:cols w:equalWidth="0" w:num="2">
            <w:col w:w="1260" w:space="720"/>
            <w:col w:w="7080"/>
          </w:cols>
          <w:pgMar w:left="1400" w:top="1440" w:right="1439" w:bottom="1440" w:gutter="0" w:footer="0" w:header="0"/>
          <w:type w:val="continuous"/>
        </w:sectPr>
      </w:pP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Golden Parachute Cutback</w:t>
      </w:r>
    </w:p>
    <w:p>
      <w:pPr>
        <w:spacing w:after="0" w:line="68"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All executive senior management agreements provide that, if any amount, right or benefit paid or payable to the executive under his senior management agreement or any other plan, program or arrangement would constitute an "excess parachute payment" under Section 280G of the Code, subject to the excise tax imposed by Section 4999 of the Code, then the amount of payments payable to the executive under his senior management agreement will be reduced to the extent necessary so that no portion of such payments is subject to such excise tax.</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of Control</w:t>
      </w:r>
    </w:p>
    <w:p>
      <w:pPr>
        <w:spacing w:after="0" w:line="81"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estimated amount payable or provided to each named executive officer in each situation is summarized below. These estimates are based on the assumption that the various triggering events occurred on the last day of 2024, along with other material assumptions noted below. The actual amounts that would be paid to a named executive officer upon termination or a change of control can only be determined at the time the actual triggering event occurs. The estimated amount of compensation and benefits described below does not take into account compensation and benefits that a named executive officer has earned prior to the applicable triggering event, such as equity awards that have previously vested in accordance with their terms or vested benefits otherwise payable under our compensation programs.</w:t>
      </w:r>
    </w:p>
    <w:p>
      <w:pPr>
        <w:sectPr>
          <w:pgSz w:w="11900" w:h="16838" w:orient="portrait"/>
          <w:cols w:equalWidth="0" w:num="1">
            <w:col w:w="9060"/>
          </w:cols>
          <w:pgMar w:left="1400" w:top="1440" w:right="1439" w:bottom="1440" w:gutter="0" w:footer="0" w:header="0"/>
          <w:type w:val="continuous"/>
        </w:sectPr>
      </w:pPr>
    </w:p>
    <w:bookmarkStart w:id="62" w:name="page63"/>
    <w:bookmarkEnd w:id="62"/>
    <w:p>
      <w:pPr>
        <w:spacing w:after="0" w:line="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6534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10375" cy="653415"/>
                    </a:xfrm>
                    <a:prstGeom prst="rect">
                      <a:avLst/>
                    </a:prstGeom>
                    <a:noFill/>
                  </pic:spPr>
                </pic:pic>
              </a:graphicData>
            </a:graphic>
          </wp:anchor>
        </w:drawing>
      </w:r>
    </w:p>
    <w:p>
      <w:pPr>
        <w:ind w:left="60"/>
        <w:spacing w:after="0"/>
        <w:tabs>
          <w:tab w:leader="none" w:pos="444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13"/>
          <w:szCs w:val="13"/>
          <w:b w:val="1"/>
          <w:bCs w:val="1"/>
          <w:color w:val="00558C"/>
        </w:rPr>
        <w:t>60</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420370</wp:posOffset>
            </wp:positionV>
            <wp:extent cx="6810375" cy="88677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540" w:val="left"/>
          <w:tab w:leader="none" w:pos="7360" w:val="left"/>
          <w:tab w:leader="none" w:pos="8400" w:val="left"/>
        </w:tabs>
        <w:rPr>
          <w:sz w:val="20"/>
          <w:szCs w:val="20"/>
          <w:color w:val="auto"/>
        </w:rPr>
      </w:pPr>
      <w:r>
        <w:rPr>
          <w:rFonts w:ascii="Arial" w:cs="Arial" w:eastAsia="Arial" w:hAnsi="Arial"/>
          <w:sz w:val="13"/>
          <w:szCs w:val="13"/>
          <w:b w:val="1"/>
          <w:bCs w:val="1"/>
          <w:color w:val="B2B3B6"/>
        </w:rPr>
        <w:t>General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Corporate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6AAA37"/>
        </w:rPr>
        <w:t>Executive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Stockholder</w:t>
      </w:r>
      <w:r>
        <w:rPr>
          <w:sz w:val="20"/>
          <w:szCs w:val="20"/>
          <w:color w:val="auto"/>
        </w:rPr>
        <w:tab/>
      </w:r>
      <w:r>
        <w:rPr>
          <w:rFonts w:ascii="Arial" w:cs="Arial" w:eastAsia="Arial" w:hAnsi="Arial"/>
          <w:sz w:val="12"/>
          <w:szCs w:val="12"/>
          <w:b w:val="1"/>
          <w:bCs w:val="1"/>
          <w:color w:val="B2B3B6"/>
        </w:rPr>
        <w:t>Other</w:t>
      </w:r>
    </w:p>
    <w:p>
      <w:pPr>
        <w:spacing w:after="0" w:line="11"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540" w:val="left"/>
          <w:tab w:leader="none" w:pos="7360" w:val="left"/>
          <w:tab w:leader="none" w:pos="8400" w:val="left"/>
        </w:tabs>
        <w:rPr>
          <w:sz w:val="20"/>
          <w:szCs w:val="20"/>
          <w:color w:val="auto"/>
        </w:rPr>
      </w:pPr>
      <w:r>
        <w:rPr>
          <w:rFonts w:ascii="Arial" w:cs="Arial" w:eastAsia="Arial" w:hAnsi="Arial"/>
          <w:sz w:val="13"/>
          <w:szCs w:val="13"/>
          <w:b w:val="1"/>
          <w:bCs w:val="1"/>
          <w:color w:val="B2B3B6"/>
        </w:rPr>
        <w:t>Information</w:t>
      </w:r>
      <w:r>
        <w:rPr>
          <w:sz w:val="20"/>
          <w:szCs w:val="20"/>
          <w:color w:val="auto"/>
        </w:rPr>
        <w:tab/>
      </w:r>
      <w:r>
        <w:rPr>
          <w:rFonts w:ascii="Arial" w:cs="Arial" w:eastAsia="Arial" w:hAnsi="Arial"/>
          <w:sz w:val="13"/>
          <w:szCs w:val="13"/>
          <w:b w:val="1"/>
          <w:bCs w:val="1"/>
          <w:color w:val="B2B3B6"/>
        </w:rPr>
        <w:t>One</w:t>
      </w:r>
      <w:r>
        <w:rPr>
          <w:sz w:val="20"/>
          <w:szCs w:val="20"/>
          <w:color w:val="auto"/>
        </w:rPr>
        <w:tab/>
      </w:r>
      <w:r>
        <w:rPr>
          <w:rFonts w:ascii="Arial" w:cs="Arial" w:eastAsia="Arial" w:hAnsi="Arial"/>
          <w:sz w:val="13"/>
          <w:szCs w:val="13"/>
          <w:b w:val="1"/>
          <w:bCs w:val="1"/>
          <w:color w:val="B2B3B6"/>
        </w:rPr>
        <w:t>Governance</w:t>
      </w:r>
      <w:r>
        <w:rPr>
          <w:sz w:val="20"/>
          <w:szCs w:val="20"/>
          <w:color w:val="auto"/>
        </w:rPr>
        <w:tab/>
      </w:r>
      <w:r>
        <w:rPr>
          <w:rFonts w:ascii="Arial" w:cs="Arial" w:eastAsia="Arial" w:hAnsi="Arial"/>
          <w:sz w:val="13"/>
          <w:szCs w:val="13"/>
          <w:b w:val="1"/>
          <w:bCs w:val="1"/>
          <w:color w:val="B2B3B6"/>
        </w:rPr>
        <w:t>Two</w:t>
      </w:r>
      <w:r>
        <w:rPr>
          <w:sz w:val="20"/>
          <w:szCs w:val="20"/>
          <w:color w:val="auto"/>
        </w:rPr>
        <w:tab/>
      </w:r>
      <w:r>
        <w:rPr>
          <w:rFonts w:ascii="Arial" w:cs="Arial" w:eastAsia="Arial" w:hAnsi="Arial"/>
          <w:sz w:val="13"/>
          <w:szCs w:val="13"/>
          <w:b w:val="1"/>
          <w:bCs w:val="1"/>
          <w:color w:val="6AAA37"/>
        </w:rPr>
        <w:t>Compensation</w:t>
      </w:r>
      <w:r>
        <w:rPr>
          <w:sz w:val="20"/>
          <w:szCs w:val="20"/>
          <w:color w:val="auto"/>
        </w:rPr>
        <w:tab/>
      </w:r>
      <w:r>
        <w:rPr>
          <w:rFonts w:ascii="Arial" w:cs="Arial" w:eastAsia="Arial" w:hAnsi="Arial"/>
          <w:sz w:val="13"/>
          <w:szCs w:val="13"/>
          <w:b w:val="1"/>
          <w:bCs w:val="1"/>
          <w:color w:val="B2B3B6"/>
        </w:rPr>
        <w:t>Three</w:t>
      </w:r>
      <w:r>
        <w:rPr>
          <w:sz w:val="20"/>
          <w:szCs w:val="20"/>
          <w:color w:val="auto"/>
        </w:rPr>
        <w:tab/>
      </w:r>
      <w:r>
        <w:rPr>
          <w:rFonts w:ascii="Arial" w:cs="Arial" w:eastAsia="Arial" w:hAnsi="Arial"/>
          <w:sz w:val="13"/>
          <w:szCs w:val="13"/>
          <w:b w:val="1"/>
          <w:bCs w:val="1"/>
          <w:color w:val="B2B3B6"/>
        </w:rPr>
        <w:t>Four</w:t>
      </w:r>
      <w:r>
        <w:rPr>
          <w:sz w:val="20"/>
          <w:szCs w:val="20"/>
          <w:color w:val="auto"/>
        </w:rPr>
        <w:tab/>
      </w:r>
      <w:r>
        <w:rPr>
          <w:rFonts w:ascii="Arial" w:cs="Arial" w:eastAsia="Arial" w:hAnsi="Arial"/>
          <w:sz w:val="13"/>
          <w:szCs w:val="13"/>
          <w:b w:val="1"/>
          <w:bCs w:val="1"/>
          <w:color w:val="B2B3B6"/>
        </w:rPr>
        <w:t>Five</w:t>
      </w:r>
      <w:r>
        <w:rPr>
          <w:sz w:val="20"/>
          <w:szCs w:val="20"/>
          <w:color w:val="auto"/>
        </w:rPr>
        <w:tab/>
      </w:r>
      <w:r>
        <w:rPr>
          <w:rFonts w:ascii="Arial" w:cs="Arial" w:eastAsia="Arial" w:hAnsi="Arial"/>
          <w:sz w:val="13"/>
          <w:szCs w:val="13"/>
          <w:b w:val="1"/>
          <w:bCs w:val="1"/>
          <w:color w:val="B2B3B6"/>
        </w:rPr>
        <w:t>Proposals</w:t>
      </w:r>
      <w:r>
        <w:rPr>
          <w:sz w:val="20"/>
          <w:szCs w:val="20"/>
          <w:color w:val="auto"/>
        </w:rPr>
        <w:tab/>
      </w:r>
      <w:r>
        <w:rPr>
          <w:rFonts w:ascii="Arial" w:cs="Arial" w:eastAsia="Arial" w:hAnsi="Arial"/>
          <w:sz w:val="12"/>
          <w:szCs w:val="12"/>
          <w:b w:val="1"/>
          <w:bCs w:val="1"/>
          <w:color w:val="B2B3B6"/>
        </w:rPr>
        <w:t>Matters</w:t>
      </w:r>
    </w:p>
    <w:p>
      <w:pPr>
        <w:spacing w:after="0" w:line="301"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The following table and summary set forth potential payments we would be required to make to our named executive officers upon termination of employment or change of control. The table assumes termination of employment on December 31, 2024 and uses a share price of $124.26, the closing price of our stock on December 31, 2024, the last trading day of the fiscal year.</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315"/>
        </w:trPr>
        <w:tc>
          <w:tcPr>
            <w:tcW w:w="1120" w:type="dxa"/>
            <w:vAlign w:val="bottom"/>
            <w:shd w:val="clear" w:color="auto" w:fill="00558C"/>
          </w:tcPr>
          <w:p>
            <w:pPr>
              <w:spacing w:after="0"/>
              <w:rPr>
                <w:sz w:val="24"/>
                <w:szCs w:val="24"/>
                <w:color w:val="auto"/>
              </w:rPr>
            </w:pPr>
          </w:p>
        </w:tc>
        <w:tc>
          <w:tcPr>
            <w:tcW w:w="1880" w:type="dxa"/>
            <w:vAlign w:val="bottom"/>
            <w:shd w:val="clear" w:color="auto" w:fill="00558C"/>
          </w:tcPr>
          <w:p>
            <w:pPr>
              <w:spacing w:after="0"/>
              <w:rPr>
                <w:sz w:val="24"/>
                <w:szCs w:val="24"/>
                <w:color w:val="auto"/>
              </w:rPr>
            </w:pPr>
          </w:p>
        </w:tc>
        <w:tc>
          <w:tcPr>
            <w:tcW w:w="1120" w:type="dxa"/>
            <w:vAlign w:val="bottom"/>
            <w:shd w:val="clear" w:color="auto" w:fill="00558C"/>
          </w:tcPr>
          <w:p>
            <w:pPr>
              <w:spacing w:after="0"/>
              <w:rPr>
                <w:sz w:val="24"/>
                <w:szCs w:val="24"/>
                <w:color w:val="auto"/>
              </w:rPr>
            </w:pPr>
          </w:p>
        </w:tc>
        <w:tc>
          <w:tcPr>
            <w:tcW w:w="1620" w:type="dxa"/>
            <w:vAlign w:val="bottom"/>
            <w:shd w:val="clear" w:color="auto" w:fill="00558C"/>
          </w:tcPr>
          <w:p>
            <w:pPr>
              <w:jc w:val="right"/>
              <w:ind w:right="89"/>
              <w:spacing w:after="0"/>
              <w:rPr>
                <w:sz w:val="20"/>
                <w:szCs w:val="20"/>
                <w:color w:val="auto"/>
              </w:rPr>
            </w:pPr>
            <w:r>
              <w:rPr>
                <w:rFonts w:ascii="Arial" w:cs="Arial" w:eastAsia="Arial" w:hAnsi="Arial"/>
                <w:sz w:val="14"/>
                <w:szCs w:val="14"/>
                <w:b w:val="1"/>
                <w:bCs w:val="1"/>
                <w:color w:val="FFFFFF"/>
              </w:rPr>
              <w:t>Termination</w:t>
            </w:r>
          </w:p>
        </w:tc>
        <w:tc>
          <w:tcPr>
            <w:tcW w:w="1440" w:type="dxa"/>
            <w:vAlign w:val="bottom"/>
            <w:shd w:val="clear" w:color="auto" w:fill="00558C"/>
          </w:tcPr>
          <w:p>
            <w:pPr>
              <w:spacing w:after="0"/>
              <w:rPr>
                <w:sz w:val="24"/>
                <w:szCs w:val="24"/>
                <w:color w:val="auto"/>
              </w:rPr>
            </w:pPr>
          </w:p>
        </w:tc>
        <w:tc>
          <w:tcPr>
            <w:tcW w:w="1900" w:type="dxa"/>
            <w:vAlign w:val="bottom"/>
            <w:shd w:val="clear" w:color="auto" w:fill="00558C"/>
          </w:tcPr>
          <w:p>
            <w:pPr>
              <w:jc w:val="right"/>
              <w:ind w:right="188"/>
              <w:spacing w:after="0"/>
              <w:rPr>
                <w:sz w:val="20"/>
                <w:szCs w:val="20"/>
                <w:color w:val="auto"/>
              </w:rPr>
            </w:pPr>
            <w:r>
              <w:rPr>
                <w:rFonts w:ascii="Arial" w:cs="Arial" w:eastAsia="Arial" w:hAnsi="Arial"/>
                <w:sz w:val="14"/>
                <w:szCs w:val="14"/>
                <w:b w:val="1"/>
                <w:bCs w:val="1"/>
                <w:color w:val="FFFFFF"/>
              </w:rPr>
              <w:t>Involuntary</w:t>
            </w:r>
          </w:p>
        </w:tc>
      </w:tr>
      <w:tr>
        <w:trPr>
          <w:trHeight w:val="176"/>
        </w:trPr>
        <w:tc>
          <w:tcPr>
            <w:tcW w:w="1120" w:type="dxa"/>
            <w:vAlign w:val="bottom"/>
            <w:shd w:val="clear" w:color="auto" w:fill="00558C"/>
          </w:tcPr>
          <w:p>
            <w:pPr>
              <w:spacing w:after="0"/>
              <w:rPr>
                <w:sz w:val="15"/>
                <w:szCs w:val="15"/>
                <w:color w:val="auto"/>
              </w:rPr>
            </w:pPr>
          </w:p>
        </w:tc>
        <w:tc>
          <w:tcPr>
            <w:tcW w:w="1880" w:type="dxa"/>
            <w:vAlign w:val="bottom"/>
            <w:shd w:val="clear" w:color="auto" w:fill="00558C"/>
          </w:tcPr>
          <w:p>
            <w:pPr>
              <w:spacing w:after="0"/>
              <w:rPr>
                <w:sz w:val="15"/>
                <w:szCs w:val="15"/>
                <w:color w:val="auto"/>
              </w:rPr>
            </w:pPr>
          </w:p>
        </w:tc>
        <w:tc>
          <w:tcPr>
            <w:tcW w:w="1120" w:type="dxa"/>
            <w:vAlign w:val="bottom"/>
            <w:shd w:val="clear" w:color="auto" w:fill="00558C"/>
          </w:tcPr>
          <w:p>
            <w:pPr>
              <w:ind w:left="340"/>
              <w:spacing w:after="0"/>
              <w:rPr>
                <w:sz w:val="20"/>
                <w:szCs w:val="20"/>
                <w:color w:val="auto"/>
              </w:rPr>
            </w:pPr>
            <w:r>
              <w:rPr>
                <w:rFonts w:ascii="Arial" w:cs="Arial" w:eastAsia="Arial" w:hAnsi="Arial"/>
                <w:sz w:val="14"/>
                <w:szCs w:val="14"/>
                <w:b w:val="1"/>
                <w:bCs w:val="1"/>
                <w:color w:val="FFFFFF"/>
              </w:rPr>
              <w:t>Voluntary</w:t>
            </w:r>
          </w:p>
        </w:tc>
        <w:tc>
          <w:tcPr>
            <w:tcW w:w="1620" w:type="dxa"/>
            <w:vAlign w:val="bottom"/>
            <w:shd w:val="clear" w:color="auto" w:fill="00558C"/>
          </w:tcPr>
          <w:p>
            <w:pPr>
              <w:jc w:val="right"/>
              <w:ind w:right="109"/>
              <w:spacing w:after="0"/>
              <w:rPr>
                <w:sz w:val="20"/>
                <w:szCs w:val="20"/>
                <w:color w:val="auto"/>
              </w:rPr>
            </w:pPr>
            <w:r>
              <w:rPr>
                <w:rFonts w:ascii="Arial" w:cs="Arial" w:eastAsia="Arial" w:hAnsi="Arial"/>
                <w:sz w:val="14"/>
                <w:szCs w:val="14"/>
                <w:b w:val="1"/>
                <w:bCs w:val="1"/>
                <w:color w:val="FFFFFF"/>
              </w:rPr>
              <w:t>without Cause or</w:t>
            </w:r>
          </w:p>
        </w:tc>
        <w:tc>
          <w:tcPr>
            <w:tcW w:w="1440" w:type="dxa"/>
            <w:vAlign w:val="bottom"/>
            <w:shd w:val="clear" w:color="auto" w:fill="00558C"/>
          </w:tcPr>
          <w:p>
            <w:pPr>
              <w:jc w:val="right"/>
              <w:ind w:right="70"/>
              <w:spacing w:after="0"/>
              <w:rPr>
                <w:sz w:val="20"/>
                <w:szCs w:val="20"/>
                <w:color w:val="auto"/>
              </w:rPr>
            </w:pPr>
            <w:r>
              <w:rPr>
                <w:rFonts w:ascii="Arial" w:cs="Arial" w:eastAsia="Arial" w:hAnsi="Arial"/>
                <w:sz w:val="14"/>
                <w:szCs w:val="14"/>
                <w:b w:val="1"/>
                <w:bCs w:val="1"/>
                <w:color w:val="FFFFFF"/>
              </w:rPr>
              <w:t>Permanent</w:t>
            </w:r>
          </w:p>
        </w:tc>
        <w:tc>
          <w:tcPr>
            <w:tcW w:w="1900" w:type="dxa"/>
            <w:vAlign w:val="bottom"/>
            <w:shd w:val="clear" w:color="auto" w:fill="00558C"/>
          </w:tcPr>
          <w:p>
            <w:pPr>
              <w:jc w:val="right"/>
              <w:ind w:right="208"/>
              <w:spacing w:after="0"/>
              <w:rPr>
                <w:sz w:val="20"/>
                <w:szCs w:val="20"/>
                <w:color w:val="auto"/>
              </w:rPr>
            </w:pPr>
            <w:r>
              <w:rPr>
                <w:rFonts w:ascii="Arial" w:cs="Arial" w:eastAsia="Arial" w:hAnsi="Arial"/>
                <w:sz w:val="14"/>
                <w:szCs w:val="14"/>
                <w:b w:val="1"/>
                <w:bCs w:val="1"/>
                <w:color w:val="FFFFFF"/>
              </w:rPr>
              <w:t>Termination</w:t>
            </w:r>
          </w:p>
        </w:tc>
      </w:tr>
      <w:tr>
        <w:trPr>
          <w:trHeight w:val="162"/>
        </w:trPr>
        <w:tc>
          <w:tcPr>
            <w:tcW w:w="1120" w:type="dxa"/>
            <w:vAlign w:val="bottom"/>
            <w:shd w:val="clear" w:color="auto" w:fill="00558C"/>
          </w:tcPr>
          <w:p>
            <w:pPr>
              <w:spacing w:after="0"/>
              <w:rPr>
                <w:sz w:val="14"/>
                <w:szCs w:val="14"/>
                <w:color w:val="auto"/>
              </w:rPr>
            </w:pPr>
          </w:p>
        </w:tc>
        <w:tc>
          <w:tcPr>
            <w:tcW w:w="1880" w:type="dxa"/>
            <w:vAlign w:val="bottom"/>
            <w:shd w:val="clear" w:color="auto" w:fill="00558C"/>
          </w:tcPr>
          <w:p>
            <w:pPr>
              <w:spacing w:after="0"/>
              <w:rPr>
                <w:sz w:val="14"/>
                <w:szCs w:val="14"/>
                <w:color w:val="auto"/>
              </w:rPr>
            </w:pPr>
          </w:p>
        </w:tc>
        <w:tc>
          <w:tcPr>
            <w:tcW w:w="1120" w:type="dxa"/>
            <w:vAlign w:val="bottom"/>
            <w:shd w:val="clear" w:color="auto" w:fill="00558C"/>
          </w:tcPr>
          <w:p>
            <w:pPr>
              <w:ind w:left="100"/>
              <w:spacing w:after="0"/>
              <w:rPr>
                <w:sz w:val="20"/>
                <w:szCs w:val="20"/>
                <w:color w:val="auto"/>
              </w:rPr>
            </w:pPr>
            <w:r>
              <w:rPr>
                <w:rFonts w:ascii="Arial" w:cs="Arial" w:eastAsia="Arial" w:hAnsi="Arial"/>
                <w:sz w:val="14"/>
                <w:szCs w:val="14"/>
                <w:b w:val="1"/>
                <w:bCs w:val="1"/>
                <w:color w:val="FFFFFF"/>
              </w:rPr>
              <w:t>Termination/</w:t>
            </w:r>
          </w:p>
        </w:tc>
        <w:tc>
          <w:tcPr>
            <w:tcW w:w="1620" w:type="dxa"/>
            <w:vAlign w:val="bottom"/>
            <w:shd w:val="clear" w:color="auto" w:fill="00558C"/>
          </w:tcPr>
          <w:p>
            <w:pPr>
              <w:jc w:val="right"/>
              <w:ind w:right="89"/>
              <w:spacing w:after="0"/>
              <w:rPr>
                <w:sz w:val="20"/>
                <w:szCs w:val="20"/>
                <w:color w:val="auto"/>
              </w:rPr>
            </w:pPr>
            <w:r>
              <w:rPr>
                <w:rFonts w:ascii="Arial" w:cs="Arial" w:eastAsia="Arial" w:hAnsi="Arial"/>
                <w:sz w:val="14"/>
                <w:szCs w:val="14"/>
                <w:b w:val="1"/>
                <w:bCs w:val="1"/>
                <w:color w:val="FFFFFF"/>
              </w:rPr>
              <w:t>resignation for</w:t>
            </w:r>
          </w:p>
        </w:tc>
        <w:tc>
          <w:tcPr>
            <w:tcW w:w="1440" w:type="dxa"/>
            <w:vAlign w:val="bottom"/>
            <w:shd w:val="clear" w:color="auto" w:fill="00558C"/>
          </w:tcPr>
          <w:p>
            <w:pPr>
              <w:jc w:val="right"/>
              <w:ind w:right="50"/>
              <w:spacing w:after="0"/>
              <w:rPr>
                <w:sz w:val="20"/>
                <w:szCs w:val="20"/>
                <w:color w:val="auto"/>
              </w:rPr>
            </w:pPr>
            <w:r>
              <w:rPr>
                <w:rFonts w:ascii="Arial" w:cs="Arial" w:eastAsia="Arial" w:hAnsi="Arial"/>
                <w:sz w:val="14"/>
                <w:szCs w:val="14"/>
                <w:b w:val="1"/>
                <w:bCs w:val="1"/>
                <w:color w:val="FFFFFF"/>
              </w:rPr>
              <w:t>Disability or</w:t>
            </w:r>
          </w:p>
        </w:tc>
        <w:tc>
          <w:tcPr>
            <w:tcW w:w="1900" w:type="dxa"/>
            <w:vAlign w:val="bottom"/>
            <w:shd w:val="clear" w:color="auto" w:fill="00558C"/>
          </w:tcPr>
          <w:p>
            <w:pPr>
              <w:jc w:val="right"/>
              <w:ind w:right="228"/>
              <w:spacing w:after="0"/>
              <w:rPr>
                <w:sz w:val="20"/>
                <w:szCs w:val="20"/>
                <w:color w:val="auto"/>
              </w:rPr>
            </w:pPr>
            <w:r>
              <w:rPr>
                <w:rFonts w:ascii="Arial" w:cs="Arial" w:eastAsia="Arial" w:hAnsi="Arial"/>
                <w:sz w:val="14"/>
                <w:szCs w:val="14"/>
                <w:b w:val="1"/>
                <w:bCs w:val="1"/>
                <w:color w:val="FFFFFF"/>
              </w:rPr>
              <w:t>Following Change</w:t>
            </w:r>
          </w:p>
        </w:tc>
      </w:tr>
      <w:tr>
        <w:trPr>
          <w:trHeight w:val="176"/>
        </w:trPr>
        <w:tc>
          <w:tcPr>
            <w:tcW w:w="1120" w:type="dxa"/>
            <w:vAlign w:val="bottom"/>
            <w:shd w:val="clear" w:color="auto" w:fill="00558C"/>
          </w:tcPr>
          <w:p>
            <w:pPr>
              <w:spacing w:after="0"/>
              <w:rPr>
                <w:sz w:val="15"/>
                <w:szCs w:val="15"/>
                <w:color w:val="auto"/>
              </w:rPr>
            </w:pPr>
          </w:p>
        </w:tc>
        <w:tc>
          <w:tcPr>
            <w:tcW w:w="1880" w:type="dxa"/>
            <w:vAlign w:val="bottom"/>
            <w:shd w:val="clear" w:color="auto" w:fill="00558C"/>
          </w:tcPr>
          <w:p>
            <w:pPr>
              <w:spacing w:after="0"/>
              <w:rPr>
                <w:sz w:val="15"/>
                <w:szCs w:val="15"/>
                <w:color w:val="auto"/>
              </w:rPr>
            </w:pPr>
          </w:p>
        </w:tc>
        <w:tc>
          <w:tcPr>
            <w:tcW w:w="1120" w:type="dxa"/>
            <w:vAlign w:val="bottom"/>
            <w:shd w:val="clear" w:color="auto" w:fill="00558C"/>
          </w:tcPr>
          <w:p>
            <w:pPr>
              <w:ind w:left="220"/>
              <w:spacing w:after="0"/>
              <w:rPr>
                <w:sz w:val="20"/>
                <w:szCs w:val="20"/>
                <w:color w:val="auto"/>
              </w:rPr>
            </w:pPr>
            <w:r>
              <w:rPr>
                <w:rFonts w:ascii="Arial" w:cs="Arial" w:eastAsia="Arial" w:hAnsi="Arial"/>
                <w:sz w:val="14"/>
                <w:szCs w:val="14"/>
                <w:b w:val="1"/>
                <w:bCs w:val="1"/>
                <w:color w:val="FFFFFF"/>
              </w:rPr>
              <w:t>Retirement</w:t>
            </w:r>
          </w:p>
        </w:tc>
        <w:tc>
          <w:tcPr>
            <w:tcW w:w="1620" w:type="dxa"/>
            <w:vAlign w:val="bottom"/>
            <w:shd w:val="clear" w:color="auto" w:fill="00558C"/>
          </w:tcPr>
          <w:p>
            <w:pPr>
              <w:jc w:val="right"/>
              <w:ind w:right="49"/>
              <w:spacing w:after="0"/>
              <w:rPr>
                <w:sz w:val="20"/>
                <w:szCs w:val="20"/>
                <w:color w:val="auto"/>
              </w:rPr>
            </w:pPr>
            <w:r>
              <w:rPr>
                <w:rFonts w:ascii="Arial" w:cs="Arial" w:eastAsia="Arial" w:hAnsi="Arial"/>
                <w:sz w:val="14"/>
                <w:szCs w:val="14"/>
                <w:b w:val="1"/>
                <w:bCs w:val="1"/>
                <w:color w:val="FFFFFF"/>
              </w:rPr>
              <w:t>Good Reason</w:t>
            </w:r>
          </w:p>
        </w:tc>
        <w:tc>
          <w:tcPr>
            <w:tcW w:w="1440" w:type="dxa"/>
            <w:vAlign w:val="bottom"/>
            <w:shd w:val="clear" w:color="auto" w:fill="00558C"/>
          </w:tcPr>
          <w:p>
            <w:pPr>
              <w:jc w:val="right"/>
              <w:ind w:right="30"/>
              <w:spacing w:after="0"/>
              <w:rPr>
                <w:sz w:val="20"/>
                <w:szCs w:val="20"/>
                <w:color w:val="auto"/>
              </w:rPr>
            </w:pPr>
            <w:r>
              <w:rPr>
                <w:rFonts w:ascii="Arial" w:cs="Arial" w:eastAsia="Arial" w:hAnsi="Arial"/>
                <w:sz w:val="14"/>
                <w:szCs w:val="14"/>
                <w:b w:val="1"/>
                <w:bCs w:val="1"/>
                <w:color w:val="FFFFFF"/>
              </w:rPr>
              <w:t>Death</w:t>
            </w:r>
          </w:p>
        </w:tc>
        <w:tc>
          <w:tcPr>
            <w:tcW w:w="1900" w:type="dxa"/>
            <w:vAlign w:val="bottom"/>
            <w:shd w:val="clear" w:color="auto" w:fill="00558C"/>
          </w:tcPr>
          <w:p>
            <w:pPr>
              <w:jc w:val="right"/>
              <w:ind w:right="168"/>
              <w:spacing w:after="0"/>
              <w:rPr>
                <w:sz w:val="20"/>
                <w:szCs w:val="20"/>
                <w:color w:val="auto"/>
              </w:rPr>
            </w:pPr>
            <w:r>
              <w:rPr>
                <w:rFonts w:ascii="Arial" w:cs="Arial" w:eastAsia="Arial" w:hAnsi="Arial"/>
                <w:sz w:val="14"/>
                <w:szCs w:val="14"/>
                <w:b w:val="1"/>
                <w:bCs w:val="1"/>
                <w:color w:val="FFFFFF"/>
              </w:rPr>
              <w:t>of Control</w:t>
            </w:r>
          </w:p>
        </w:tc>
      </w:tr>
      <w:tr>
        <w:trPr>
          <w:trHeight w:val="196"/>
        </w:trPr>
        <w:tc>
          <w:tcPr>
            <w:tcW w:w="1120" w:type="dxa"/>
            <w:vAlign w:val="bottom"/>
            <w:shd w:val="clear" w:color="auto" w:fill="00558C"/>
          </w:tcPr>
          <w:p>
            <w:pPr>
              <w:ind w:left="140"/>
              <w:spacing w:after="0"/>
              <w:rPr>
                <w:sz w:val="20"/>
                <w:szCs w:val="20"/>
                <w:color w:val="auto"/>
              </w:rPr>
            </w:pPr>
            <w:r>
              <w:rPr>
                <w:rFonts w:ascii="Arial" w:cs="Arial" w:eastAsia="Arial" w:hAnsi="Arial"/>
                <w:sz w:val="14"/>
                <w:szCs w:val="14"/>
                <w:b w:val="1"/>
                <w:bCs w:val="1"/>
                <w:color w:val="FFFFFF"/>
              </w:rPr>
              <w:t>Name</w:t>
            </w:r>
          </w:p>
        </w:tc>
        <w:tc>
          <w:tcPr>
            <w:tcW w:w="1880" w:type="dxa"/>
            <w:vAlign w:val="bottom"/>
            <w:shd w:val="clear" w:color="auto" w:fill="00558C"/>
          </w:tcPr>
          <w:p>
            <w:pPr>
              <w:ind w:left="120"/>
              <w:spacing w:after="0"/>
              <w:rPr>
                <w:sz w:val="20"/>
                <w:szCs w:val="20"/>
                <w:color w:val="auto"/>
              </w:rPr>
            </w:pPr>
            <w:r>
              <w:rPr>
                <w:rFonts w:ascii="Arial" w:cs="Arial" w:eastAsia="Arial" w:hAnsi="Arial"/>
                <w:sz w:val="14"/>
                <w:szCs w:val="14"/>
                <w:b w:val="1"/>
                <w:bCs w:val="1"/>
                <w:color w:val="FFFFFF"/>
              </w:rPr>
              <w:t>Benefit</w:t>
            </w:r>
          </w:p>
        </w:tc>
        <w:tc>
          <w:tcPr>
            <w:tcW w:w="1120" w:type="dxa"/>
            <w:vAlign w:val="bottom"/>
            <w:shd w:val="clear" w:color="auto" w:fill="00558C"/>
          </w:tcPr>
          <w:p>
            <w:pPr>
              <w:ind w:left="880"/>
              <w:spacing w:after="0"/>
              <w:rPr>
                <w:sz w:val="20"/>
                <w:szCs w:val="20"/>
                <w:color w:val="auto"/>
              </w:rPr>
            </w:pPr>
            <w:r>
              <w:rPr>
                <w:rFonts w:ascii="Arial" w:cs="Arial" w:eastAsia="Arial" w:hAnsi="Arial"/>
                <w:sz w:val="14"/>
                <w:szCs w:val="14"/>
                <w:b w:val="1"/>
                <w:bCs w:val="1"/>
                <w:color w:val="FFFFFF"/>
              </w:rPr>
              <w:t>($)</w:t>
            </w:r>
          </w:p>
        </w:tc>
        <w:tc>
          <w:tcPr>
            <w:tcW w:w="1620" w:type="dxa"/>
            <w:vAlign w:val="bottom"/>
            <w:shd w:val="clear" w:color="auto" w:fill="00558C"/>
          </w:tcPr>
          <w:p>
            <w:pPr>
              <w:jc w:val="right"/>
              <w:ind w:right="9"/>
              <w:spacing w:after="0"/>
              <w:rPr>
                <w:sz w:val="20"/>
                <w:szCs w:val="20"/>
                <w:color w:val="auto"/>
              </w:rPr>
            </w:pPr>
            <w:r>
              <w:rPr>
                <w:rFonts w:ascii="Arial" w:cs="Arial" w:eastAsia="Arial" w:hAnsi="Arial"/>
                <w:sz w:val="14"/>
                <w:szCs w:val="14"/>
                <w:b w:val="1"/>
                <w:bCs w:val="1"/>
                <w:color w:val="FFFFFF"/>
              </w:rPr>
              <w:t>($)</w:t>
            </w:r>
          </w:p>
        </w:tc>
        <w:tc>
          <w:tcPr>
            <w:tcW w:w="1440" w:type="dxa"/>
            <w:vAlign w:val="bottom"/>
            <w:shd w:val="clear" w:color="auto" w:fill="00558C"/>
          </w:tcPr>
          <w:p>
            <w:pPr>
              <w:jc w:val="right"/>
              <w:spacing w:after="0"/>
              <w:rPr>
                <w:sz w:val="20"/>
                <w:szCs w:val="20"/>
                <w:color w:val="auto"/>
              </w:rPr>
            </w:pPr>
            <w:r>
              <w:rPr>
                <w:rFonts w:ascii="Arial" w:cs="Arial" w:eastAsia="Arial" w:hAnsi="Arial"/>
                <w:sz w:val="14"/>
                <w:szCs w:val="14"/>
                <w:b w:val="1"/>
                <w:bCs w:val="1"/>
                <w:color w:val="FFFFFF"/>
              </w:rPr>
              <w:t>($)</w:t>
            </w:r>
          </w:p>
        </w:tc>
        <w:tc>
          <w:tcPr>
            <w:tcW w:w="1900" w:type="dxa"/>
            <w:vAlign w:val="bottom"/>
            <w:shd w:val="clear" w:color="auto" w:fill="00558C"/>
          </w:tcPr>
          <w:p>
            <w:pPr>
              <w:jc w:val="right"/>
              <w:ind w:right="108"/>
              <w:spacing w:after="0"/>
              <w:rPr>
                <w:sz w:val="20"/>
                <w:szCs w:val="20"/>
                <w:color w:val="auto"/>
              </w:rPr>
            </w:pPr>
            <w:r>
              <w:rPr>
                <w:rFonts w:ascii="Arial" w:cs="Arial" w:eastAsia="Arial" w:hAnsi="Arial"/>
                <w:sz w:val="14"/>
                <w:szCs w:val="14"/>
                <w:b w:val="1"/>
                <w:bCs w:val="1"/>
                <w:color w:val="FFFFFF"/>
              </w:rPr>
              <w:t>($)</w:t>
            </w:r>
          </w:p>
        </w:tc>
      </w:tr>
      <w:tr>
        <w:trPr>
          <w:trHeight w:val="124"/>
        </w:trPr>
        <w:tc>
          <w:tcPr>
            <w:tcW w:w="1120" w:type="dxa"/>
            <w:vAlign w:val="bottom"/>
            <w:shd w:val="clear" w:color="auto" w:fill="00558C"/>
          </w:tcPr>
          <w:p>
            <w:pPr>
              <w:spacing w:after="0"/>
              <w:rPr>
                <w:sz w:val="10"/>
                <w:szCs w:val="10"/>
                <w:color w:val="auto"/>
              </w:rPr>
            </w:pPr>
          </w:p>
        </w:tc>
        <w:tc>
          <w:tcPr>
            <w:tcW w:w="1880" w:type="dxa"/>
            <w:vAlign w:val="bottom"/>
            <w:shd w:val="clear" w:color="auto" w:fill="00558C"/>
          </w:tcPr>
          <w:p>
            <w:pPr>
              <w:spacing w:after="0"/>
              <w:rPr>
                <w:sz w:val="10"/>
                <w:szCs w:val="10"/>
                <w:color w:val="auto"/>
              </w:rPr>
            </w:pPr>
          </w:p>
        </w:tc>
        <w:tc>
          <w:tcPr>
            <w:tcW w:w="1120" w:type="dxa"/>
            <w:vAlign w:val="bottom"/>
            <w:shd w:val="clear" w:color="auto" w:fill="00558C"/>
          </w:tcPr>
          <w:p>
            <w:pPr>
              <w:spacing w:after="0"/>
              <w:rPr>
                <w:sz w:val="10"/>
                <w:szCs w:val="10"/>
                <w:color w:val="auto"/>
              </w:rPr>
            </w:pPr>
          </w:p>
        </w:tc>
        <w:tc>
          <w:tcPr>
            <w:tcW w:w="1620" w:type="dxa"/>
            <w:vAlign w:val="bottom"/>
            <w:shd w:val="clear" w:color="auto" w:fill="00558C"/>
          </w:tcPr>
          <w:p>
            <w:pPr>
              <w:spacing w:after="0"/>
              <w:rPr>
                <w:sz w:val="10"/>
                <w:szCs w:val="10"/>
                <w:color w:val="auto"/>
              </w:rPr>
            </w:pPr>
          </w:p>
        </w:tc>
        <w:tc>
          <w:tcPr>
            <w:tcW w:w="1440" w:type="dxa"/>
            <w:vAlign w:val="bottom"/>
            <w:shd w:val="clear" w:color="auto" w:fill="00558C"/>
          </w:tcPr>
          <w:p>
            <w:pPr>
              <w:spacing w:after="0"/>
              <w:rPr>
                <w:sz w:val="10"/>
                <w:szCs w:val="10"/>
                <w:color w:val="auto"/>
              </w:rPr>
            </w:pPr>
          </w:p>
        </w:tc>
        <w:tc>
          <w:tcPr>
            <w:tcW w:w="1900" w:type="dxa"/>
            <w:vAlign w:val="bottom"/>
            <w:shd w:val="clear" w:color="auto" w:fill="00558C"/>
          </w:tcPr>
          <w:p>
            <w:pPr>
              <w:spacing w:after="0"/>
              <w:rPr>
                <w:sz w:val="10"/>
                <w:szCs w:val="10"/>
                <w:color w:val="auto"/>
              </w:rPr>
            </w:pPr>
          </w:p>
        </w:tc>
      </w:tr>
      <w:tr>
        <w:trPr>
          <w:trHeight w:val="302"/>
        </w:trPr>
        <w:tc>
          <w:tcPr>
            <w:tcW w:w="1120" w:type="dxa"/>
            <w:vAlign w:val="bottom"/>
            <w:tcBorders>
              <w:bottom w:val="single" w:sz="8" w:color="F2F3F2"/>
            </w:tcBorders>
            <w:shd w:val="clear" w:color="auto" w:fill="F2F3F2"/>
          </w:tcPr>
          <w:p>
            <w:pPr>
              <w:spacing w:after="0"/>
              <w:rPr>
                <w:sz w:val="24"/>
                <w:szCs w:val="24"/>
                <w:color w:val="auto"/>
              </w:rPr>
            </w:pPr>
          </w:p>
        </w:tc>
        <w:tc>
          <w:tcPr>
            <w:tcW w:w="1880" w:type="dxa"/>
            <w:vAlign w:val="bottom"/>
            <w:tcBorders>
              <w:bottom w:val="single" w:sz="8" w:color="F2F3F2"/>
            </w:tcBorders>
            <w:shd w:val="clear" w:color="auto" w:fill="F2F3F2"/>
          </w:tcPr>
          <w:p>
            <w:pPr>
              <w:ind w:left="120"/>
              <w:spacing w:after="0"/>
              <w:rPr>
                <w:sz w:val="20"/>
                <w:szCs w:val="20"/>
                <w:color w:val="auto"/>
              </w:rPr>
            </w:pPr>
            <w:r>
              <w:rPr>
                <w:rFonts w:ascii="Arial" w:cs="Arial" w:eastAsia="Arial" w:hAnsi="Arial"/>
                <w:sz w:val="14"/>
                <w:szCs w:val="14"/>
                <w:color w:val="auto"/>
              </w:rPr>
              <w:t>Salary</w:t>
            </w:r>
          </w:p>
        </w:tc>
        <w:tc>
          <w:tcPr>
            <w:tcW w:w="1120" w:type="dxa"/>
            <w:vAlign w:val="bottom"/>
            <w:tcBorders>
              <w:bottom w:val="single" w:sz="8" w:color="F2F3F2"/>
            </w:tcBorders>
            <w:shd w:val="clear" w:color="auto" w:fill="F2F3F2"/>
          </w:tcPr>
          <w:p>
            <w:pPr>
              <w:ind w:left="980"/>
              <w:spacing w:after="0"/>
              <w:rPr>
                <w:sz w:val="20"/>
                <w:szCs w:val="20"/>
                <w:color w:val="auto"/>
              </w:rPr>
            </w:pPr>
            <w:r>
              <w:rPr>
                <w:rFonts w:ascii="Arial" w:cs="Arial" w:eastAsia="Arial" w:hAnsi="Arial"/>
                <w:sz w:val="13"/>
                <w:szCs w:val="13"/>
                <w:color w:val="auto"/>
                <w:w w:val="91"/>
              </w:rPr>
              <w:t>—</w:t>
            </w:r>
          </w:p>
        </w:tc>
        <w:tc>
          <w:tcPr>
            <w:tcW w:w="1620" w:type="dxa"/>
            <w:vAlign w:val="bottom"/>
            <w:tcBorders>
              <w:bottom w:val="single" w:sz="8" w:color="F2F3F2"/>
            </w:tcBorders>
            <w:shd w:val="clear" w:color="auto" w:fill="F2F3F2"/>
          </w:tcPr>
          <w:p>
            <w:pPr>
              <w:jc w:val="right"/>
              <w:spacing w:after="0"/>
              <w:rPr>
                <w:sz w:val="20"/>
                <w:szCs w:val="20"/>
                <w:color w:val="auto"/>
              </w:rPr>
            </w:pPr>
            <w:r>
              <w:rPr>
                <w:rFonts w:ascii="Arial" w:cs="Arial" w:eastAsia="Arial" w:hAnsi="Arial"/>
                <w:sz w:val="14"/>
                <w:szCs w:val="14"/>
                <w:color w:val="auto"/>
              </w:rPr>
              <w:t>1,900,000</w:t>
            </w:r>
          </w:p>
        </w:tc>
        <w:tc>
          <w:tcPr>
            <w:tcW w:w="1440" w:type="dxa"/>
            <w:vAlign w:val="bottom"/>
            <w:tcBorders>
              <w:bottom w:val="single" w:sz="8" w:color="F2F3F2"/>
            </w:tcBorders>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1900" w:type="dxa"/>
            <w:vAlign w:val="bottom"/>
            <w:tcBorders>
              <w:bottom w:val="single" w:sz="8" w:color="F2F3F2"/>
            </w:tcBorders>
            <w:shd w:val="clear" w:color="auto" w:fill="F2F3F2"/>
          </w:tcPr>
          <w:p>
            <w:pPr>
              <w:jc w:val="right"/>
              <w:ind w:right="88"/>
              <w:spacing w:after="0"/>
              <w:rPr>
                <w:sz w:val="20"/>
                <w:szCs w:val="20"/>
                <w:color w:val="auto"/>
              </w:rPr>
            </w:pPr>
            <w:r>
              <w:rPr>
                <w:rFonts w:ascii="Arial" w:cs="Arial" w:eastAsia="Arial" w:hAnsi="Arial"/>
                <w:sz w:val="14"/>
                <w:szCs w:val="14"/>
                <w:color w:val="auto"/>
              </w:rPr>
              <w:t>2,375,000</w:t>
            </w:r>
          </w:p>
        </w:tc>
      </w:tr>
      <w:tr>
        <w:trPr>
          <w:trHeight w:val="296"/>
        </w:trPr>
        <w:tc>
          <w:tcPr>
            <w:tcW w:w="1120" w:type="dxa"/>
            <w:vAlign w:val="bottom"/>
            <w:tcBorders>
              <w:top w:val="single" w:sz="8" w:color="F2F3F2"/>
              <w:bottom w:val="single" w:sz="8" w:color="F2F3F2"/>
            </w:tcBorders>
            <w:shd w:val="clear" w:color="auto" w:fill="F2F3F2"/>
          </w:tcPr>
          <w:p>
            <w:pPr>
              <w:spacing w:after="0"/>
              <w:rPr>
                <w:sz w:val="24"/>
                <w:szCs w:val="24"/>
                <w:color w:val="auto"/>
              </w:rPr>
            </w:pPr>
          </w:p>
        </w:tc>
        <w:tc>
          <w:tcPr>
            <w:tcW w:w="1880" w:type="dxa"/>
            <w:vAlign w:val="bottom"/>
            <w:tcBorders>
              <w:top w:val="single" w:sz="8" w:color="B2B3B6"/>
              <w:bottom w:val="single" w:sz="8" w:color="F2F3F2"/>
            </w:tcBorders>
            <w:shd w:val="clear" w:color="auto" w:fill="F2F3F2"/>
          </w:tcPr>
          <w:p>
            <w:pPr>
              <w:ind w:left="120"/>
              <w:spacing w:after="0"/>
              <w:rPr>
                <w:sz w:val="20"/>
                <w:szCs w:val="20"/>
                <w:color w:val="auto"/>
              </w:rPr>
            </w:pPr>
            <w:r>
              <w:rPr>
                <w:rFonts w:ascii="Arial" w:cs="Arial" w:eastAsia="Arial" w:hAnsi="Arial"/>
                <w:sz w:val="14"/>
                <w:szCs w:val="14"/>
                <w:color w:val="auto"/>
              </w:rPr>
              <w:t>Bonus</w:t>
            </w:r>
          </w:p>
        </w:tc>
        <w:tc>
          <w:tcPr>
            <w:tcW w:w="1120" w:type="dxa"/>
            <w:vAlign w:val="bottom"/>
            <w:tcBorders>
              <w:top w:val="single" w:sz="8" w:color="B2B3B6"/>
              <w:bottom w:val="single" w:sz="8" w:color="F2F3F2"/>
            </w:tcBorders>
            <w:shd w:val="clear" w:color="auto" w:fill="F2F3F2"/>
          </w:tcPr>
          <w:p>
            <w:pPr>
              <w:ind w:left="980"/>
              <w:spacing w:after="0"/>
              <w:rPr>
                <w:sz w:val="20"/>
                <w:szCs w:val="20"/>
                <w:color w:val="auto"/>
              </w:rPr>
            </w:pPr>
            <w:r>
              <w:rPr>
                <w:rFonts w:ascii="Arial" w:cs="Arial" w:eastAsia="Arial" w:hAnsi="Arial"/>
                <w:sz w:val="13"/>
                <w:szCs w:val="13"/>
                <w:color w:val="auto"/>
                <w:w w:val="91"/>
              </w:rPr>
              <w:t>—</w:t>
            </w:r>
          </w:p>
        </w:tc>
        <w:tc>
          <w:tcPr>
            <w:tcW w:w="1620" w:type="dxa"/>
            <w:vAlign w:val="bottom"/>
            <w:tcBorders>
              <w:top w:val="single" w:sz="8" w:color="B2B3B6"/>
              <w:bottom w:val="single" w:sz="8" w:color="F2F3F2"/>
            </w:tcBorders>
            <w:shd w:val="clear" w:color="auto" w:fill="F2F3F2"/>
          </w:tcPr>
          <w:p>
            <w:pPr>
              <w:jc w:val="right"/>
              <w:spacing w:after="0"/>
              <w:rPr>
                <w:sz w:val="20"/>
                <w:szCs w:val="20"/>
                <w:color w:val="auto"/>
              </w:rPr>
            </w:pPr>
            <w:r>
              <w:rPr>
                <w:rFonts w:ascii="Arial" w:cs="Arial" w:eastAsia="Arial" w:hAnsi="Arial"/>
                <w:sz w:val="14"/>
                <w:szCs w:val="14"/>
                <w:color w:val="auto"/>
              </w:rPr>
              <w:t>2,660,000</w:t>
            </w:r>
          </w:p>
        </w:tc>
        <w:tc>
          <w:tcPr>
            <w:tcW w:w="1440" w:type="dxa"/>
            <w:vAlign w:val="bottom"/>
            <w:tcBorders>
              <w:top w:val="single" w:sz="8" w:color="B2B3B6"/>
              <w:bottom w:val="single" w:sz="8" w:color="F2F3F2"/>
            </w:tcBorders>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1900" w:type="dxa"/>
            <w:vAlign w:val="bottom"/>
            <w:tcBorders>
              <w:top w:val="single" w:sz="8" w:color="B2B3B6"/>
              <w:bottom w:val="single" w:sz="8" w:color="F2F3F2"/>
            </w:tcBorders>
            <w:shd w:val="clear" w:color="auto" w:fill="F2F3F2"/>
          </w:tcPr>
          <w:p>
            <w:pPr>
              <w:jc w:val="right"/>
              <w:ind w:right="88"/>
              <w:spacing w:after="0"/>
              <w:rPr>
                <w:sz w:val="20"/>
                <w:szCs w:val="20"/>
                <w:color w:val="auto"/>
              </w:rPr>
            </w:pPr>
            <w:r>
              <w:rPr>
                <w:rFonts w:ascii="Arial" w:cs="Arial" w:eastAsia="Arial" w:hAnsi="Arial"/>
                <w:sz w:val="14"/>
                <w:szCs w:val="14"/>
                <w:color w:val="auto"/>
              </w:rPr>
              <w:t>3,325,000</w:t>
            </w:r>
          </w:p>
        </w:tc>
      </w:tr>
      <w:tr>
        <w:trPr>
          <w:trHeight w:val="285"/>
        </w:trPr>
        <w:tc>
          <w:tcPr>
            <w:tcW w:w="1120" w:type="dxa"/>
            <w:vAlign w:val="bottom"/>
            <w:tcBorders>
              <w:top w:val="single" w:sz="8" w:color="F2F3F2"/>
              <w:bottom w:val="single" w:sz="8" w:color="F2F3F2"/>
            </w:tcBorders>
            <w:shd w:val="clear" w:color="auto" w:fill="F2F3F2"/>
          </w:tcPr>
          <w:p>
            <w:pPr>
              <w:spacing w:after="0"/>
              <w:rPr>
                <w:sz w:val="24"/>
                <w:szCs w:val="24"/>
                <w:color w:val="auto"/>
              </w:rPr>
            </w:pPr>
          </w:p>
        </w:tc>
        <w:tc>
          <w:tcPr>
            <w:tcW w:w="1880" w:type="dxa"/>
            <w:vAlign w:val="bottom"/>
            <w:tcBorders>
              <w:top w:val="single" w:sz="8" w:color="B2B3B6"/>
              <w:bottom w:val="single" w:sz="8" w:color="B2B3B6"/>
            </w:tcBorders>
            <w:shd w:val="clear" w:color="auto" w:fill="F2F3F2"/>
          </w:tcPr>
          <w:p>
            <w:pPr>
              <w:ind w:left="120"/>
              <w:spacing w:after="0"/>
              <w:rPr>
                <w:sz w:val="20"/>
                <w:szCs w:val="20"/>
                <w:color w:val="auto"/>
              </w:rPr>
            </w:pPr>
            <w:r>
              <w:rPr>
                <w:rFonts w:ascii="Arial" w:cs="Arial" w:eastAsia="Arial" w:hAnsi="Arial"/>
                <w:sz w:val="14"/>
                <w:szCs w:val="14"/>
                <w:color w:val="auto"/>
              </w:rPr>
              <w:t xml:space="preserve">Pro rata annual bonus </w:t>
            </w:r>
            <w:r>
              <w:rPr>
                <w:rFonts w:ascii="Arial" w:cs="Arial" w:eastAsia="Arial" w:hAnsi="Arial"/>
                <w:sz w:val="18"/>
                <w:szCs w:val="18"/>
                <w:color w:val="auto"/>
                <w:vertAlign w:val="superscript"/>
              </w:rPr>
              <w:t>(1)</w:t>
            </w:r>
          </w:p>
        </w:tc>
        <w:tc>
          <w:tcPr>
            <w:tcW w:w="1120" w:type="dxa"/>
            <w:vAlign w:val="bottom"/>
            <w:tcBorders>
              <w:top w:val="single" w:sz="8" w:color="B2B3B6"/>
              <w:bottom w:val="single" w:sz="8" w:color="B2B3B6"/>
            </w:tcBorders>
            <w:shd w:val="clear" w:color="auto" w:fill="F2F3F2"/>
          </w:tcPr>
          <w:p>
            <w:pPr>
              <w:ind w:left="980"/>
              <w:spacing w:after="0"/>
              <w:rPr>
                <w:sz w:val="20"/>
                <w:szCs w:val="20"/>
                <w:color w:val="auto"/>
              </w:rPr>
            </w:pPr>
            <w:r>
              <w:rPr>
                <w:rFonts w:ascii="Arial" w:cs="Arial" w:eastAsia="Arial" w:hAnsi="Arial"/>
                <w:sz w:val="13"/>
                <w:szCs w:val="13"/>
                <w:color w:val="auto"/>
                <w:w w:val="91"/>
              </w:rPr>
              <w:t>—</w:t>
            </w:r>
          </w:p>
        </w:tc>
        <w:tc>
          <w:tcPr>
            <w:tcW w:w="1620" w:type="dxa"/>
            <w:vAlign w:val="bottom"/>
            <w:tcBorders>
              <w:top w:val="single" w:sz="8" w:color="B2B3B6"/>
              <w:bottom w:val="single" w:sz="8" w:color="B2B3B6"/>
            </w:tcBorders>
            <w:shd w:val="clear" w:color="auto" w:fill="F2F3F2"/>
          </w:tcPr>
          <w:p>
            <w:pPr>
              <w:jc w:val="right"/>
              <w:spacing w:after="0"/>
              <w:rPr>
                <w:sz w:val="20"/>
                <w:szCs w:val="20"/>
                <w:color w:val="auto"/>
              </w:rPr>
            </w:pPr>
            <w:r>
              <w:rPr>
                <w:rFonts w:ascii="Arial" w:cs="Arial" w:eastAsia="Arial" w:hAnsi="Arial"/>
                <w:sz w:val="14"/>
                <w:szCs w:val="14"/>
                <w:color w:val="auto"/>
              </w:rPr>
              <w:t>1,538,810</w:t>
            </w:r>
          </w:p>
        </w:tc>
        <w:tc>
          <w:tcPr>
            <w:tcW w:w="1440" w:type="dxa"/>
            <w:vAlign w:val="bottom"/>
            <w:tcBorders>
              <w:top w:val="single" w:sz="8" w:color="B2B3B6"/>
              <w:bottom w:val="single" w:sz="8" w:color="B2B3B6"/>
            </w:tcBorders>
            <w:shd w:val="clear" w:color="auto" w:fill="F2F3F2"/>
          </w:tcPr>
          <w:p>
            <w:pPr>
              <w:jc w:val="right"/>
              <w:spacing w:after="0"/>
              <w:rPr>
                <w:sz w:val="20"/>
                <w:szCs w:val="20"/>
                <w:color w:val="auto"/>
              </w:rPr>
            </w:pPr>
            <w:r>
              <w:rPr>
                <w:rFonts w:ascii="Arial" w:cs="Arial" w:eastAsia="Arial" w:hAnsi="Arial"/>
                <w:sz w:val="14"/>
                <w:szCs w:val="14"/>
                <w:color w:val="auto"/>
              </w:rPr>
              <w:t>1,330,000</w:t>
            </w:r>
          </w:p>
        </w:tc>
        <w:tc>
          <w:tcPr>
            <w:tcW w:w="1900" w:type="dxa"/>
            <w:vAlign w:val="bottom"/>
            <w:tcBorders>
              <w:top w:val="single" w:sz="8" w:color="B2B3B6"/>
              <w:bottom w:val="single" w:sz="8" w:color="B2B3B6"/>
            </w:tcBorders>
            <w:shd w:val="clear" w:color="auto" w:fill="F2F3F2"/>
          </w:tcPr>
          <w:p>
            <w:pPr>
              <w:jc w:val="right"/>
              <w:ind w:right="88"/>
              <w:spacing w:after="0"/>
              <w:rPr>
                <w:sz w:val="20"/>
                <w:szCs w:val="20"/>
                <w:color w:val="auto"/>
              </w:rPr>
            </w:pPr>
            <w:r>
              <w:rPr>
                <w:rFonts w:ascii="Arial" w:cs="Arial" w:eastAsia="Arial" w:hAnsi="Arial"/>
                <w:sz w:val="14"/>
                <w:szCs w:val="14"/>
                <w:color w:val="auto"/>
              </w:rPr>
              <w:t>1,538,810</w:t>
            </w:r>
          </w:p>
        </w:tc>
      </w:tr>
      <w:tr>
        <w:trPr>
          <w:trHeight w:val="201"/>
        </w:trPr>
        <w:tc>
          <w:tcPr>
            <w:tcW w:w="1120" w:type="dxa"/>
            <w:vAlign w:val="bottom"/>
            <w:shd w:val="clear" w:color="auto" w:fill="F2F3F2"/>
          </w:tcPr>
          <w:p>
            <w:pPr>
              <w:ind w:left="140"/>
              <w:spacing w:after="0"/>
              <w:rPr>
                <w:sz w:val="20"/>
                <w:szCs w:val="20"/>
                <w:color w:val="auto"/>
              </w:rPr>
            </w:pPr>
            <w:r>
              <w:rPr>
                <w:rFonts w:ascii="Arial" w:cs="Arial" w:eastAsia="Arial" w:hAnsi="Arial"/>
                <w:sz w:val="14"/>
                <w:szCs w:val="14"/>
                <w:b w:val="1"/>
                <w:bCs w:val="1"/>
                <w:color w:val="00558C"/>
              </w:rPr>
              <w:t>C. Mark</w:t>
            </w:r>
          </w:p>
        </w:tc>
        <w:tc>
          <w:tcPr>
            <w:tcW w:w="1880" w:type="dxa"/>
            <w:vAlign w:val="bottom"/>
            <w:shd w:val="clear" w:color="auto" w:fill="F2F3F2"/>
          </w:tcPr>
          <w:p>
            <w:pPr>
              <w:ind w:left="120"/>
              <w:spacing w:after="0" w:line="201" w:lineRule="exact"/>
              <w:rPr>
                <w:sz w:val="20"/>
                <w:szCs w:val="20"/>
                <w:color w:val="auto"/>
              </w:rPr>
            </w:pPr>
            <w:r>
              <w:rPr>
                <w:rFonts w:ascii="Arial" w:cs="Arial" w:eastAsia="Arial" w:hAnsi="Arial"/>
                <w:sz w:val="14"/>
                <w:szCs w:val="14"/>
                <w:color w:val="auto"/>
              </w:rPr>
              <w:t xml:space="preserve">Equity acceleration </w:t>
            </w:r>
            <w:r>
              <w:rPr>
                <w:rFonts w:ascii="Arial" w:cs="Arial" w:eastAsia="Arial" w:hAnsi="Arial"/>
                <w:sz w:val="18"/>
                <w:szCs w:val="18"/>
                <w:color w:val="auto"/>
                <w:vertAlign w:val="superscript"/>
              </w:rPr>
              <w:t>(2)</w:t>
            </w:r>
          </w:p>
        </w:tc>
        <w:tc>
          <w:tcPr>
            <w:tcW w:w="1120" w:type="dxa"/>
            <w:vAlign w:val="bottom"/>
            <w:shd w:val="clear" w:color="auto" w:fill="F2F3F2"/>
          </w:tcPr>
          <w:p>
            <w:pPr>
              <w:ind w:left="980"/>
              <w:spacing w:after="0"/>
              <w:rPr>
                <w:sz w:val="20"/>
                <w:szCs w:val="20"/>
                <w:color w:val="auto"/>
              </w:rPr>
            </w:pPr>
            <w:r>
              <w:rPr>
                <w:rFonts w:ascii="Arial" w:cs="Arial" w:eastAsia="Arial" w:hAnsi="Arial"/>
                <w:sz w:val="13"/>
                <w:szCs w:val="13"/>
                <w:color w:val="auto"/>
                <w:w w:val="91"/>
              </w:rPr>
              <w:t>—</w:t>
            </w:r>
          </w:p>
        </w:tc>
        <w:tc>
          <w:tcPr>
            <w:tcW w:w="1620" w:type="dxa"/>
            <w:vAlign w:val="bottom"/>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1440" w:type="dxa"/>
            <w:vAlign w:val="bottom"/>
            <w:shd w:val="clear" w:color="auto" w:fill="F2F3F2"/>
          </w:tcPr>
          <w:p>
            <w:pPr>
              <w:jc w:val="right"/>
              <w:spacing w:after="0"/>
              <w:rPr>
                <w:sz w:val="20"/>
                <w:szCs w:val="20"/>
                <w:color w:val="auto"/>
              </w:rPr>
            </w:pPr>
            <w:r>
              <w:rPr>
                <w:rFonts w:ascii="Arial" w:cs="Arial" w:eastAsia="Arial" w:hAnsi="Arial"/>
                <w:sz w:val="14"/>
                <w:szCs w:val="14"/>
                <w:color w:val="auto"/>
              </w:rPr>
              <w:t>2,331,242</w:t>
            </w:r>
          </w:p>
        </w:tc>
        <w:tc>
          <w:tcPr>
            <w:tcW w:w="1900" w:type="dxa"/>
            <w:vAlign w:val="bottom"/>
            <w:shd w:val="clear" w:color="auto" w:fill="F2F3F2"/>
          </w:tcPr>
          <w:p>
            <w:pPr>
              <w:jc w:val="right"/>
              <w:ind w:right="88"/>
              <w:spacing w:after="0"/>
              <w:rPr>
                <w:sz w:val="20"/>
                <w:szCs w:val="20"/>
                <w:color w:val="auto"/>
              </w:rPr>
            </w:pPr>
            <w:r>
              <w:rPr>
                <w:rFonts w:ascii="Arial" w:cs="Arial" w:eastAsia="Arial" w:hAnsi="Arial"/>
                <w:sz w:val="14"/>
                <w:szCs w:val="14"/>
                <w:color w:val="auto"/>
              </w:rPr>
              <w:t>2,331,242</w:t>
            </w:r>
          </w:p>
        </w:tc>
      </w:tr>
      <w:tr>
        <w:trPr>
          <w:trHeight w:val="94"/>
        </w:trPr>
        <w:tc>
          <w:tcPr>
            <w:tcW w:w="1120" w:type="dxa"/>
            <w:vAlign w:val="bottom"/>
            <w:tcBorders>
              <w:bottom w:val="single" w:sz="8" w:color="F2F3F2"/>
            </w:tcBorders>
            <w:shd w:val="clear" w:color="auto" w:fill="F2F3F2"/>
          </w:tcPr>
          <w:p>
            <w:pPr>
              <w:ind w:left="140"/>
              <w:spacing w:after="0" w:line="75" w:lineRule="exact"/>
              <w:rPr>
                <w:sz w:val="20"/>
                <w:szCs w:val="20"/>
                <w:color w:val="auto"/>
              </w:rPr>
            </w:pPr>
            <w:r>
              <w:rPr>
                <w:rFonts w:ascii="Arial" w:cs="Arial" w:eastAsia="Arial" w:hAnsi="Arial"/>
                <w:sz w:val="8"/>
                <w:szCs w:val="8"/>
                <w:b w:val="1"/>
                <w:bCs w:val="1"/>
                <w:color w:val="00558C"/>
              </w:rPr>
              <w:t>Hussey</w:t>
            </w:r>
          </w:p>
        </w:tc>
        <w:tc>
          <w:tcPr>
            <w:tcW w:w="1880" w:type="dxa"/>
            <w:vAlign w:val="bottom"/>
            <w:tcBorders>
              <w:bottom w:val="single" w:sz="8" w:color="B2B3B6"/>
            </w:tcBorders>
            <w:shd w:val="clear" w:color="auto" w:fill="F2F3F2"/>
          </w:tcPr>
          <w:p>
            <w:pPr>
              <w:spacing w:after="0"/>
              <w:rPr>
                <w:sz w:val="8"/>
                <w:szCs w:val="8"/>
                <w:color w:val="auto"/>
              </w:rPr>
            </w:pPr>
          </w:p>
        </w:tc>
        <w:tc>
          <w:tcPr>
            <w:tcW w:w="1120" w:type="dxa"/>
            <w:vAlign w:val="bottom"/>
            <w:tcBorders>
              <w:bottom w:val="single" w:sz="8" w:color="B2B3B6"/>
            </w:tcBorders>
            <w:shd w:val="clear" w:color="auto" w:fill="F2F3F2"/>
          </w:tcPr>
          <w:p>
            <w:pPr>
              <w:spacing w:after="0"/>
              <w:rPr>
                <w:sz w:val="8"/>
                <w:szCs w:val="8"/>
                <w:color w:val="auto"/>
              </w:rPr>
            </w:pPr>
          </w:p>
        </w:tc>
        <w:tc>
          <w:tcPr>
            <w:tcW w:w="1620" w:type="dxa"/>
            <w:vAlign w:val="bottom"/>
            <w:tcBorders>
              <w:bottom w:val="single" w:sz="8" w:color="B2B3B6"/>
            </w:tcBorders>
            <w:shd w:val="clear" w:color="auto" w:fill="F2F3F2"/>
          </w:tcPr>
          <w:p>
            <w:pPr>
              <w:spacing w:after="0"/>
              <w:rPr>
                <w:sz w:val="8"/>
                <w:szCs w:val="8"/>
                <w:color w:val="auto"/>
              </w:rPr>
            </w:pPr>
          </w:p>
        </w:tc>
        <w:tc>
          <w:tcPr>
            <w:tcW w:w="1440" w:type="dxa"/>
            <w:vAlign w:val="bottom"/>
            <w:tcBorders>
              <w:bottom w:val="single" w:sz="8" w:color="B2B3B6"/>
            </w:tcBorders>
            <w:shd w:val="clear" w:color="auto" w:fill="F2F3F2"/>
          </w:tcPr>
          <w:p>
            <w:pPr>
              <w:spacing w:after="0"/>
              <w:rPr>
                <w:sz w:val="8"/>
                <w:szCs w:val="8"/>
                <w:color w:val="auto"/>
              </w:rPr>
            </w:pPr>
          </w:p>
        </w:tc>
        <w:tc>
          <w:tcPr>
            <w:tcW w:w="1900" w:type="dxa"/>
            <w:vAlign w:val="bottom"/>
            <w:tcBorders>
              <w:bottom w:val="single" w:sz="8" w:color="B2B3B6"/>
            </w:tcBorders>
            <w:shd w:val="clear" w:color="auto" w:fill="F2F3F2"/>
          </w:tcPr>
          <w:p>
            <w:pPr>
              <w:spacing w:after="0"/>
              <w:rPr>
                <w:sz w:val="8"/>
                <w:szCs w:val="8"/>
                <w:color w:val="auto"/>
              </w:rPr>
            </w:pPr>
          </w:p>
        </w:tc>
      </w:tr>
      <w:tr>
        <w:trPr>
          <w:trHeight w:val="295"/>
        </w:trPr>
        <w:tc>
          <w:tcPr>
            <w:tcW w:w="1120" w:type="dxa"/>
            <w:vAlign w:val="bottom"/>
            <w:tcBorders>
              <w:bottom w:val="single" w:sz="8" w:color="F2F3F2"/>
            </w:tcBorders>
            <w:shd w:val="clear" w:color="auto" w:fill="F2F3F2"/>
          </w:tcPr>
          <w:p>
            <w:pPr>
              <w:spacing w:after="0"/>
              <w:rPr>
                <w:sz w:val="24"/>
                <w:szCs w:val="24"/>
                <w:color w:val="auto"/>
              </w:rPr>
            </w:pPr>
          </w:p>
        </w:tc>
        <w:tc>
          <w:tcPr>
            <w:tcW w:w="1880" w:type="dxa"/>
            <w:vAlign w:val="bottom"/>
            <w:tcBorders>
              <w:bottom w:val="single" w:sz="8" w:color="F2F3F2"/>
            </w:tcBorders>
            <w:shd w:val="clear" w:color="auto" w:fill="F2F3F2"/>
          </w:tcPr>
          <w:p>
            <w:pPr>
              <w:ind w:left="120"/>
              <w:spacing w:after="0"/>
              <w:rPr>
                <w:sz w:val="20"/>
                <w:szCs w:val="20"/>
                <w:color w:val="auto"/>
              </w:rPr>
            </w:pPr>
            <w:r>
              <w:rPr>
                <w:rFonts w:ascii="Arial" w:cs="Arial" w:eastAsia="Arial" w:hAnsi="Arial"/>
                <w:sz w:val="14"/>
                <w:szCs w:val="14"/>
                <w:color w:val="auto"/>
              </w:rPr>
              <w:t>Benefits continuation</w:t>
            </w:r>
          </w:p>
        </w:tc>
        <w:tc>
          <w:tcPr>
            <w:tcW w:w="1120" w:type="dxa"/>
            <w:vAlign w:val="bottom"/>
            <w:tcBorders>
              <w:bottom w:val="single" w:sz="8" w:color="F2F3F2"/>
            </w:tcBorders>
            <w:shd w:val="clear" w:color="auto" w:fill="F2F3F2"/>
          </w:tcPr>
          <w:p>
            <w:pPr>
              <w:ind w:left="980"/>
              <w:spacing w:after="0"/>
              <w:rPr>
                <w:sz w:val="20"/>
                <w:szCs w:val="20"/>
                <w:color w:val="auto"/>
              </w:rPr>
            </w:pPr>
            <w:r>
              <w:rPr>
                <w:rFonts w:ascii="Arial" w:cs="Arial" w:eastAsia="Arial" w:hAnsi="Arial"/>
                <w:sz w:val="13"/>
                <w:szCs w:val="13"/>
                <w:color w:val="auto"/>
                <w:w w:val="91"/>
              </w:rPr>
              <w:t>—</w:t>
            </w:r>
          </w:p>
        </w:tc>
        <w:tc>
          <w:tcPr>
            <w:tcW w:w="1620" w:type="dxa"/>
            <w:vAlign w:val="bottom"/>
            <w:tcBorders>
              <w:bottom w:val="single" w:sz="8" w:color="F2F3F2"/>
            </w:tcBorders>
            <w:shd w:val="clear" w:color="auto" w:fill="F2F3F2"/>
          </w:tcPr>
          <w:p>
            <w:pPr>
              <w:jc w:val="right"/>
              <w:spacing w:after="0"/>
              <w:rPr>
                <w:sz w:val="20"/>
                <w:szCs w:val="20"/>
                <w:color w:val="auto"/>
              </w:rPr>
            </w:pPr>
            <w:r>
              <w:rPr>
                <w:rFonts w:ascii="Arial" w:cs="Arial" w:eastAsia="Arial" w:hAnsi="Arial"/>
                <w:sz w:val="14"/>
                <w:szCs w:val="14"/>
                <w:color w:val="auto"/>
              </w:rPr>
              <w:t>29,204</w:t>
            </w:r>
          </w:p>
        </w:tc>
        <w:tc>
          <w:tcPr>
            <w:tcW w:w="1440" w:type="dxa"/>
            <w:vAlign w:val="bottom"/>
            <w:tcBorders>
              <w:bottom w:val="single" w:sz="8" w:color="F2F3F2"/>
            </w:tcBorders>
            <w:shd w:val="clear" w:color="auto" w:fill="F2F3F2"/>
          </w:tcPr>
          <w:p>
            <w:pPr>
              <w:jc w:val="right"/>
              <w:spacing w:after="0"/>
              <w:rPr>
                <w:sz w:val="20"/>
                <w:szCs w:val="20"/>
                <w:color w:val="auto"/>
              </w:rPr>
            </w:pPr>
            <w:r>
              <w:rPr>
                <w:rFonts w:ascii="Arial" w:cs="Arial" w:eastAsia="Arial" w:hAnsi="Arial"/>
                <w:sz w:val="14"/>
                <w:szCs w:val="14"/>
                <w:color w:val="auto"/>
              </w:rPr>
              <w:t>7,301</w:t>
            </w:r>
          </w:p>
        </w:tc>
        <w:tc>
          <w:tcPr>
            <w:tcW w:w="1900" w:type="dxa"/>
            <w:vAlign w:val="bottom"/>
            <w:tcBorders>
              <w:bottom w:val="single" w:sz="8" w:color="F2F3F2"/>
            </w:tcBorders>
            <w:shd w:val="clear" w:color="auto" w:fill="F2F3F2"/>
          </w:tcPr>
          <w:p>
            <w:pPr>
              <w:jc w:val="right"/>
              <w:ind w:right="88"/>
              <w:spacing w:after="0"/>
              <w:rPr>
                <w:sz w:val="20"/>
                <w:szCs w:val="20"/>
                <w:color w:val="auto"/>
              </w:rPr>
            </w:pPr>
            <w:r>
              <w:rPr>
                <w:rFonts w:ascii="Arial" w:cs="Arial" w:eastAsia="Arial" w:hAnsi="Arial"/>
                <w:sz w:val="14"/>
                <w:szCs w:val="14"/>
                <w:color w:val="auto"/>
              </w:rPr>
              <w:t>36,505</w:t>
            </w:r>
          </w:p>
        </w:tc>
      </w:tr>
      <w:tr>
        <w:trPr>
          <w:trHeight w:val="288"/>
        </w:trPr>
        <w:tc>
          <w:tcPr>
            <w:tcW w:w="1120" w:type="dxa"/>
            <w:vAlign w:val="bottom"/>
            <w:tcBorders>
              <w:top w:val="single" w:sz="8" w:color="F2F3F2"/>
              <w:bottom w:val="single" w:sz="8" w:color="F2F3F2"/>
            </w:tcBorders>
            <w:shd w:val="clear" w:color="auto" w:fill="F2F3F2"/>
          </w:tcPr>
          <w:p>
            <w:pPr>
              <w:spacing w:after="0"/>
              <w:rPr>
                <w:sz w:val="24"/>
                <w:szCs w:val="24"/>
                <w:color w:val="auto"/>
              </w:rPr>
            </w:pPr>
          </w:p>
        </w:tc>
        <w:tc>
          <w:tcPr>
            <w:tcW w:w="1880" w:type="dxa"/>
            <w:vAlign w:val="bottom"/>
            <w:tcBorders>
              <w:top w:val="single" w:sz="8" w:color="B2B3B6"/>
              <w:bottom w:val="single" w:sz="8" w:color="B2B3B6"/>
            </w:tcBorders>
            <w:shd w:val="clear" w:color="auto" w:fill="F2F3F2"/>
          </w:tcPr>
          <w:p>
            <w:pPr>
              <w:ind w:left="120"/>
              <w:spacing w:after="0"/>
              <w:rPr>
                <w:sz w:val="20"/>
                <w:szCs w:val="20"/>
                <w:color w:val="auto"/>
              </w:rPr>
            </w:pPr>
            <w:r>
              <w:rPr>
                <w:rFonts w:ascii="Arial" w:cs="Arial" w:eastAsia="Arial" w:hAnsi="Arial"/>
                <w:sz w:val="14"/>
                <w:szCs w:val="14"/>
                <w:color w:val="auto"/>
              </w:rPr>
              <w:t xml:space="preserve">Cutback </w:t>
            </w:r>
            <w:r>
              <w:rPr>
                <w:rFonts w:ascii="Arial" w:cs="Arial" w:eastAsia="Arial" w:hAnsi="Arial"/>
                <w:sz w:val="18"/>
                <w:szCs w:val="18"/>
                <w:color w:val="auto"/>
                <w:vertAlign w:val="superscript"/>
              </w:rPr>
              <w:t>(3)</w:t>
            </w:r>
          </w:p>
        </w:tc>
        <w:tc>
          <w:tcPr>
            <w:tcW w:w="1120" w:type="dxa"/>
            <w:vAlign w:val="bottom"/>
            <w:tcBorders>
              <w:top w:val="single" w:sz="8" w:color="B2B3B6"/>
              <w:bottom w:val="single" w:sz="8" w:color="B2B3B6"/>
            </w:tcBorders>
            <w:shd w:val="clear" w:color="auto" w:fill="F2F3F2"/>
          </w:tcPr>
          <w:p>
            <w:pPr>
              <w:ind w:left="980"/>
              <w:spacing w:after="0"/>
              <w:rPr>
                <w:sz w:val="20"/>
                <w:szCs w:val="20"/>
                <w:color w:val="auto"/>
              </w:rPr>
            </w:pPr>
            <w:r>
              <w:rPr>
                <w:rFonts w:ascii="Arial" w:cs="Arial" w:eastAsia="Arial" w:hAnsi="Arial"/>
                <w:sz w:val="13"/>
                <w:szCs w:val="13"/>
                <w:color w:val="auto"/>
                <w:w w:val="91"/>
              </w:rPr>
              <w:t>—</w:t>
            </w:r>
          </w:p>
        </w:tc>
        <w:tc>
          <w:tcPr>
            <w:tcW w:w="1620" w:type="dxa"/>
            <w:vAlign w:val="bottom"/>
            <w:tcBorders>
              <w:top w:val="single" w:sz="8" w:color="B2B3B6"/>
              <w:bottom w:val="single" w:sz="8" w:color="B2B3B6"/>
            </w:tcBorders>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1440" w:type="dxa"/>
            <w:vAlign w:val="bottom"/>
            <w:tcBorders>
              <w:top w:val="single" w:sz="8" w:color="B2B3B6"/>
              <w:bottom w:val="single" w:sz="8" w:color="B2B3B6"/>
            </w:tcBorders>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1900" w:type="dxa"/>
            <w:vAlign w:val="bottom"/>
            <w:tcBorders>
              <w:top w:val="single" w:sz="8" w:color="B2B3B6"/>
              <w:bottom w:val="single" w:sz="8" w:color="B2B3B6"/>
            </w:tcBorders>
            <w:shd w:val="clear" w:color="auto" w:fill="F2F3F2"/>
          </w:tcPr>
          <w:p>
            <w:pPr>
              <w:jc w:val="right"/>
              <w:ind w:right="88"/>
              <w:spacing w:after="0"/>
              <w:rPr>
                <w:sz w:val="20"/>
                <w:szCs w:val="20"/>
                <w:color w:val="auto"/>
              </w:rPr>
            </w:pPr>
            <w:r>
              <w:rPr>
                <w:rFonts w:ascii="Arial" w:cs="Arial" w:eastAsia="Arial" w:hAnsi="Arial"/>
                <w:sz w:val="14"/>
                <w:szCs w:val="14"/>
                <w:color w:val="auto"/>
              </w:rPr>
              <w:t>-6,158,649</w:t>
            </w:r>
          </w:p>
        </w:tc>
      </w:tr>
      <w:tr>
        <w:trPr>
          <w:trHeight w:val="273"/>
        </w:trPr>
        <w:tc>
          <w:tcPr>
            <w:tcW w:w="1120" w:type="dxa"/>
            <w:vAlign w:val="bottom"/>
            <w:tcBorders>
              <w:bottom w:val="single" w:sz="8" w:color="F2F3F2"/>
            </w:tcBorders>
            <w:shd w:val="clear" w:color="auto" w:fill="F2F3F2"/>
          </w:tcPr>
          <w:p>
            <w:pPr>
              <w:spacing w:after="0"/>
              <w:rPr>
                <w:sz w:val="23"/>
                <w:szCs w:val="23"/>
                <w:color w:val="auto"/>
              </w:rPr>
            </w:pPr>
          </w:p>
        </w:tc>
        <w:tc>
          <w:tcPr>
            <w:tcW w:w="1880" w:type="dxa"/>
            <w:vAlign w:val="bottom"/>
            <w:tcBorders>
              <w:bottom w:val="single" w:sz="8" w:color="F2F3F2"/>
            </w:tcBorders>
            <w:shd w:val="clear" w:color="auto" w:fill="F2F3F2"/>
          </w:tcPr>
          <w:p>
            <w:pPr>
              <w:ind w:left="120"/>
              <w:spacing w:after="0"/>
              <w:rPr>
                <w:sz w:val="20"/>
                <w:szCs w:val="20"/>
                <w:color w:val="auto"/>
              </w:rPr>
            </w:pPr>
            <w:r>
              <w:rPr>
                <w:rFonts w:ascii="Arial" w:cs="Arial" w:eastAsia="Arial" w:hAnsi="Arial"/>
                <w:sz w:val="14"/>
                <w:szCs w:val="14"/>
                <w:b w:val="1"/>
                <w:bCs w:val="1"/>
                <w:color w:val="auto"/>
              </w:rPr>
              <w:t>Total Value</w:t>
            </w:r>
          </w:p>
        </w:tc>
        <w:tc>
          <w:tcPr>
            <w:tcW w:w="1120" w:type="dxa"/>
            <w:vAlign w:val="bottom"/>
            <w:tcBorders>
              <w:bottom w:val="single" w:sz="8" w:color="F2F3F2"/>
            </w:tcBorders>
            <w:shd w:val="clear" w:color="auto" w:fill="F2F3F2"/>
          </w:tcPr>
          <w:p>
            <w:pPr>
              <w:ind w:left="980"/>
              <w:spacing w:after="0"/>
              <w:rPr>
                <w:sz w:val="20"/>
                <w:szCs w:val="20"/>
                <w:color w:val="auto"/>
              </w:rPr>
            </w:pPr>
            <w:r>
              <w:rPr>
                <w:rFonts w:ascii="Arial" w:cs="Arial" w:eastAsia="Arial" w:hAnsi="Arial"/>
                <w:sz w:val="13"/>
                <w:szCs w:val="13"/>
                <w:b w:val="1"/>
                <w:bCs w:val="1"/>
                <w:color w:val="auto"/>
                <w:w w:val="91"/>
              </w:rPr>
              <w:t>—</w:t>
            </w:r>
          </w:p>
        </w:tc>
        <w:tc>
          <w:tcPr>
            <w:tcW w:w="1620" w:type="dxa"/>
            <w:vAlign w:val="bottom"/>
            <w:tcBorders>
              <w:bottom w:val="single" w:sz="8" w:color="F2F3F2"/>
            </w:tcBorders>
            <w:shd w:val="clear" w:color="auto" w:fill="F2F3F2"/>
          </w:tcPr>
          <w:p>
            <w:pPr>
              <w:jc w:val="right"/>
              <w:spacing w:after="0"/>
              <w:rPr>
                <w:sz w:val="20"/>
                <w:szCs w:val="20"/>
                <w:color w:val="auto"/>
              </w:rPr>
            </w:pPr>
            <w:r>
              <w:rPr>
                <w:rFonts w:ascii="Arial" w:cs="Arial" w:eastAsia="Arial" w:hAnsi="Arial"/>
                <w:sz w:val="14"/>
                <w:szCs w:val="14"/>
                <w:b w:val="1"/>
                <w:bCs w:val="1"/>
                <w:color w:val="auto"/>
              </w:rPr>
              <w:t>6,128,014</w:t>
            </w:r>
          </w:p>
        </w:tc>
        <w:tc>
          <w:tcPr>
            <w:tcW w:w="1440" w:type="dxa"/>
            <w:vAlign w:val="bottom"/>
            <w:tcBorders>
              <w:bottom w:val="single" w:sz="8" w:color="F2F3F2"/>
            </w:tcBorders>
            <w:shd w:val="clear" w:color="auto" w:fill="F2F3F2"/>
          </w:tcPr>
          <w:p>
            <w:pPr>
              <w:jc w:val="right"/>
              <w:spacing w:after="0"/>
              <w:rPr>
                <w:sz w:val="20"/>
                <w:szCs w:val="20"/>
                <w:color w:val="auto"/>
              </w:rPr>
            </w:pPr>
            <w:r>
              <w:rPr>
                <w:rFonts w:ascii="Arial" w:cs="Arial" w:eastAsia="Arial" w:hAnsi="Arial"/>
                <w:sz w:val="14"/>
                <w:szCs w:val="14"/>
                <w:b w:val="1"/>
                <w:bCs w:val="1"/>
                <w:color w:val="auto"/>
              </w:rPr>
              <w:t>3,668,543</w:t>
            </w:r>
          </w:p>
        </w:tc>
        <w:tc>
          <w:tcPr>
            <w:tcW w:w="1900" w:type="dxa"/>
            <w:vAlign w:val="bottom"/>
            <w:tcBorders>
              <w:bottom w:val="single" w:sz="8" w:color="F2F3F2"/>
            </w:tcBorders>
            <w:shd w:val="clear" w:color="auto" w:fill="F2F3F2"/>
          </w:tcPr>
          <w:p>
            <w:pPr>
              <w:jc w:val="right"/>
              <w:ind w:right="88"/>
              <w:spacing w:after="0"/>
              <w:rPr>
                <w:sz w:val="20"/>
                <w:szCs w:val="20"/>
                <w:color w:val="auto"/>
              </w:rPr>
            </w:pPr>
            <w:r>
              <w:rPr>
                <w:rFonts w:ascii="Arial" w:cs="Arial" w:eastAsia="Arial" w:hAnsi="Arial"/>
                <w:sz w:val="14"/>
                <w:szCs w:val="14"/>
                <w:b w:val="1"/>
                <w:bCs w:val="1"/>
                <w:color w:val="auto"/>
              </w:rPr>
              <w:t>3,447,908</w:t>
            </w:r>
          </w:p>
        </w:tc>
      </w:tr>
      <w:tr>
        <w:trPr>
          <w:trHeight w:val="262"/>
        </w:trPr>
        <w:tc>
          <w:tcPr>
            <w:tcW w:w="1120" w:type="dxa"/>
            <w:vAlign w:val="bottom"/>
          </w:tcPr>
          <w:p>
            <w:pPr>
              <w:spacing w:after="0"/>
              <w:rPr>
                <w:sz w:val="22"/>
                <w:szCs w:val="22"/>
                <w:color w:val="auto"/>
              </w:rPr>
            </w:pPr>
          </w:p>
        </w:tc>
        <w:tc>
          <w:tcPr>
            <w:tcW w:w="1880" w:type="dxa"/>
            <w:vAlign w:val="bottom"/>
          </w:tcPr>
          <w:p>
            <w:pPr>
              <w:ind w:left="120"/>
              <w:spacing w:after="0"/>
              <w:rPr>
                <w:sz w:val="20"/>
                <w:szCs w:val="20"/>
                <w:color w:val="auto"/>
              </w:rPr>
            </w:pPr>
            <w:r>
              <w:rPr>
                <w:rFonts w:ascii="Arial" w:cs="Arial" w:eastAsia="Arial" w:hAnsi="Arial"/>
                <w:sz w:val="14"/>
                <w:szCs w:val="14"/>
                <w:color w:val="auto"/>
              </w:rPr>
              <w:t>Salary</w:t>
            </w:r>
          </w:p>
        </w:tc>
        <w:tc>
          <w:tcPr>
            <w:tcW w:w="1120" w:type="dxa"/>
            <w:vAlign w:val="bottom"/>
          </w:tcPr>
          <w:p>
            <w:pPr>
              <w:ind w:left="980"/>
              <w:spacing w:after="0"/>
              <w:rPr>
                <w:sz w:val="20"/>
                <w:szCs w:val="20"/>
                <w:color w:val="auto"/>
              </w:rPr>
            </w:pPr>
            <w:r>
              <w:rPr>
                <w:rFonts w:ascii="Arial" w:cs="Arial" w:eastAsia="Arial" w:hAnsi="Arial"/>
                <w:sz w:val="13"/>
                <w:szCs w:val="13"/>
                <w:color w:val="auto"/>
                <w:w w:val="91"/>
              </w:rPr>
              <w:t>—</w:t>
            </w:r>
          </w:p>
        </w:tc>
        <w:tc>
          <w:tcPr>
            <w:tcW w:w="1620" w:type="dxa"/>
            <w:vAlign w:val="bottom"/>
          </w:tcPr>
          <w:p>
            <w:pPr>
              <w:jc w:val="right"/>
              <w:spacing w:after="0"/>
              <w:rPr>
                <w:sz w:val="20"/>
                <w:szCs w:val="20"/>
                <w:color w:val="auto"/>
              </w:rPr>
            </w:pPr>
            <w:r>
              <w:rPr>
                <w:rFonts w:ascii="Arial" w:cs="Arial" w:eastAsia="Arial" w:hAnsi="Arial"/>
                <w:sz w:val="14"/>
                <w:szCs w:val="14"/>
                <w:color w:val="auto"/>
              </w:rPr>
              <w:t>600,000</w:t>
            </w:r>
          </w:p>
        </w:tc>
        <w:tc>
          <w:tcPr>
            <w:tcW w:w="1440" w:type="dxa"/>
            <w:vAlign w:val="bottom"/>
          </w:tcPr>
          <w:p>
            <w:pPr>
              <w:jc w:val="right"/>
              <w:spacing w:after="0"/>
              <w:rPr>
                <w:sz w:val="20"/>
                <w:szCs w:val="20"/>
                <w:color w:val="auto"/>
              </w:rPr>
            </w:pPr>
            <w:r>
              <w:rPr>
                <w:rFonts w:ascii="Arial" w:cs="Arial" w:eastAsia="Arial" w:hAnsi="Arial"/>
                <w:sz w:val="13"/>
                <w:szCs w:val="13"/>
                <w:color w:val="auto"/>
              </w:rPr>
              <w:t>—</w:t>
            </w:r>
          </w:p>
        </w:tc>
        <w:tc>
          <w:tcPr>
            <w:tcW w:w="1900" w:type="dxa"/>
            <w:vAlign w:val="bottom"/>
          </w:tcPr>
          <w:p>
            <w:pPr>
              <w:jc w:val="right"/>
              <w:ind w:right="88"/>
              <w:spacing w:after="0"/>
              <w:rPr>
                <w:sz w:val="20"/>
                <w:szCs w:val="20"/>
                <w:color w:val="auto"/>
              </w:rPr>
            </w:pPr>
            <w:r>
              <w:rPr>
                <w:rFonts w:ascii="Arial" w:cs="Arial" w:eastAsia="Arial" w:hAnsi="Arial"/>
                <w:sz w:val="14"/>
                <w:szCs w:val="14"/>
                <w:color w:val="auto"/>
              </w:rPr>
              <w:t>900,000</w:t>
            </w:r>
          </w:p>
        </w:tc>
      </w:tr>
      <w:tr>
        <w:trPr>
          <w:trHeight w:val="48"/>
        </w:trPr>
        <w:tc>
          <w:tcPr>
            <w:tcW w:w="1120" w:type="dxa"/>
            <w:vAlign w:val="bottom"/>
          </w:tcPr>
          <w:p>
            <w:pPr>
              <w:spacing w:after="0"/>
              <w:rPr>
                <w:sz w:val="4"/>
                <w:szCs w:val="4"/>
                <w:color w:val="auto"/>
              </w:rPr>
            </w:pPr>
          </w:p>
        </w:tc>
        <w:tc>
          <w:tcPr>
            <w:tcW w:w="1880" w:type="dxa"/>
            <w:vAlign w:val="bottom"/>
            <w:tcBorders>
              <w:bottom w:val="single" w:sz="8" w:color="B2B3B6"/>
            </w:tcBorders>
          </w:tcPr>
          <w:p>
            <w:pPr>
              <w:spacing w:after="0"/>
              <w:rPr>
                <w:sz w:val="4"/>
                <w:szCs w:val="4"/>
                <w:color w:val="auto"/>
              </w:rPr>
            </w:pPr>
          </w:p>
        </w:tc>
        <w:tc>
          <w:tcPr>
            <w:tcW w:w="1120" w:type="dxa"/>
            <w:vAlign w:val="bottom"/>
            <w:tcBorders>
              <w:bottom w:val="single" w:sz="8" w:color="B2B3B6"/>
            </w:tcBorders>
          </w:tcPr>
          <w:p>
            <w:pPr>
              <w:spacing w:after="0"/>
              <w:rPr>
                <w:sz w:val="4"/>
                <w:szCs w:val="4"/>
                <w:color w:val="auto"/>
              </w:rPr>
            </w:pPr>
          </w:p>
        </w:tc>
        <w:tc>
          <w:tcPr>
            <w:tcW w:w="1620" w:type="dxa"/>
            <w:vAlign w:val="bottom"/>
            <w:tcBorders>
              <w:bottom w:val="single" w:sz="8" w:color="B2B3B6"/>
            </w:tcBorders>
          </w:tcPr>
          <w:p>
            <w:pPr>
              <w:spacing w:after="0"/>
              <w:rPr>
                <w:sz w:val="4"/>
                <w:szCs w:val="4"/>
                <w:color w:val="auto"/>
              </w:rPr>
            </w:pPr>
          </w:p>
        </w:tc>
        <w:tc>
          <w:tcPr>
            <w:tcW w:w="1440" w:type="dxa"/>
            <w:vAlign w:val="bottom"/>
            <w:tcBorders>
              <w:bottom w:val="single" w:sz="8" w:color="B2B3B6"/>
            </w:tcBorders>
          </w:tcPr>
          <w:p>
            <w:pPr>
              <w:spacing w:after="0"/>
              <w:rPr>
                <w:sz w:val="4"/>
                <w:szCs w:val="4"/>
                <w:color w:val="auto"/>
              </w:rPr>
            </w:pPr>
          </w:p>
        </w:tc>
        <w:tc>
          <w:tcPr>
            <w:tcW w:w="1900" w:type="dxa"/>
            <w:vAlign w:val="bottom"/>
            <w:tcBorders>
              <w:bottom w:val="single" w:sz="8" w:color="B2B3B6"/>
            </w:tcBorders>
          </w:tcPr>
          <w:p>
            <w:pPr>
              <w:spacing w:after="0"/>
              <w:rPr>
                <w:sz w:val="4"/>
                <w:szCs w:val="4"/>
                <w:color w:val="auto"/>
              </w:rPr>
            </w:pPr>
          </w:p>
        </w:tc>
      </w:tr>
      <w:tr>
        <w:trPr>
          <w:trHeight w:val="242"/>
        </w:trPr>
        <w:tc>
          <w:tcPr>
            <w:tcW w:w="1120" w:type="dxa"/>
            <w:vAlign w:val="bottom"/>
          </w:tcPr>
          <w:p>
            <w:pPr>
              <w:spacing w:after="0"/>
              <w:rPr>
                <w:sz w:val="21"/>
                <w:szCs w:val="21"/>
                <w:color w:val="auto"/>
              </w:rPr>
            </w:pPr>
          </w:p>
        </w:tc>
        <w:tc>
          <w:tcPr>
            <w:tcW w:w="1880" w:type="dxa"/>
            <w:vAlign w:val="bottom"/>
          </w:tcPr>
          <w:p>
            <w:pPr>
              <w:ind w:left="120"/>
              <w:spacing w:after="0"/>
              <w:rPr>
                <w:sz w:val="20"/>
                <w:szCs w:val="20"/>
                <w:color w:val="auto"/>
              </w:rPr>
            </w:pPr>
            <w:r>
              <w:rPr>
                <w:rFonts w:ascii="Arial" w:cs="Arial" w:eastAsia="Arial" w:hAnsi="Arial"/>
                <w:sz w:val="14"/>
                <w:szCs w:val="14"/>
                <w:color w:val="auto"/>
              </w:rPr>
              <w:t>Bonus</w:t>
            </w:r>
          </w:p>
        </w:tc>
        <w:tc>
          <w:tcPr>
            <w:tcW w:w="1120" w:type="dxa"/>
            <w:vAlign w:val="bottom"/>
          </w:tcPr>
          <w:p>
            <w:pPr>
              <w:ind w:left="980"/>
              <w:spacing w:after="0"/>
              <w:rPr>
                <w:sz w:val="20"/>
                <w:szCs w:val="20"/>
                <w:color w:val="auto"/>
              </w:rPr>
            </w:pPr>
            <w:r>
              <w:rPr>
                <w:rFonts w:ascii="Arial" w:cs="Arial" w:eastAsia="Arial" w:hAnsi="Arial"/>
                <w:sz w:val="13"/>
                <w:szCs w:val="13"/>
                <w:color w:val="auto"/>
                <w:w w:val="91"/>
              </w:rPr>
              <w:t>—</w:t>
            </w:r>
          </w:p>
        </w:tc>
        <w:tc>
          <w:tcPr>
            <w:tcW w:w="1620" w:type="dxa"/>
            <w:vAlign w:val="bottom"/>
          </w:tcPr>
          <w:p>
            <w:pPr>
              <w:jc w:val="right"/>
              <w:spacing w:after="0"/>
              <w:rPr>
                <w:sz w:val="20"/>
                <w:szCs w:val="20"/>
                <w:color w:val="auto"/>
              </w:rPr>
            </w:pPr>
            <w:r>
              <w:rPr>
                <w:rFonts w:ascii="Arial" w:cs="Arial" w:eastAsia="Arial" w:hAnsi="Arial"/>
                <w:sz w:val="14"/>
                <w:szCs w:val="14"/>
                <w:color w:val="auto"/>
              </w:rPr>
              <w:t>690,000</w:t>
            </w:r>
          </w:p>
        </w:tc>
        <w:tc>
          <w:tcPr>
            <w:tcW w:w="1440" w:type="dxa"/>
            <w:vAlign w:val="bottom"/>
          </w:tcPr>
          <w:p>
            <w:pPr>
              <w:jc w:val="right"/>
              <w:spacing w:after="0"/>
              <w:rPr>
                <w:sz w:val="20"/>
                <w:szCs w:val="20"/>
                <w:color w:val="auto"/>
              </w:rPr>
            </w:pPr>
            <w:r>
              <w:rPr>
                <w:rFonts w:ascii="Arial" w:cs="Arial" w:eastAsia="Arial" w:hAnsi="Arial"/>
                <w:sz w:val="13"/>
                <w:szCs w:val="13"/>
                <w:color w:val="auto"/>
              </w:rPr>
              <w:t>—</w:t>
            </w:r>
          </w:p>
        </w:tc>
        <w:tc>
          <w:tcPr>
            <w:tcW w:w="1900" w:type="dxa"/>
            <w:vAlign w:val="bottom"/>
          </w:tcPr>
          <w:p>
            <w:pPr>
              <w:jc w:val="right"/>
              <w:ind w:right="88"/>
              <w:spacing w:after="0"/>
              <w:rPr>
                <w:sz w:val="20"/>
                <w:szCs w:val="20"/>
                <w:color w:val="auto"/>
              </w:rPr>
            </w:pPr>
            <w:r>
              <w:rPr>
                <w:rFonts w:ascii="Arial" w:cs="Arial" w:eastAsia="Arial" w:hAnsi="Arial"/>
                <w:sz w:val="14"/>
                <w:szCs w:val="14"/>
                <w:color w:val="auto"/>
              </w:rPr>
              <w:t>1,035,000</w:t>
            </w:r>
          </w:p>
        </w:tc>
      </w:tr>
      <w:tr>
        <w:trPr>
          <w:trHeight w:val="49"/>
        </w:trPr>
        <w:tc>
          <w:tcPr>
            <w:tcW w:w="1120" w:type="dxa"/>
            <w:vAlign w:val="bottom"/>
          </w:tcPr>
          <w:p>
            <w:pPr>
              <w:spacing w:after="0"/>
              <w:rPr>
                <w:sz w:val="4"/>
                <w:szCs w:val="4"/>
                <w:color w:val="auto"/>
              </w:rPr>
            </w:pPr>
          </w:p>
        </w:tc>
        <w:tc>
          <w:tcPr>
            <w:tcW w:w="1880" w:type="dxa"/>
            <w:vAlign w:val="bottom"/>
            <w:tcBorders>
              <w:bottom w:val="single" w:sz="8" w:color="B2B3B6"/>
            </w:tcBorders>
          </w:tcPr>
          <w:p>
            <w:pPr>
              <w:spacing w:after="0"/>
              <w:rPr>
                <w:sz w:val="4"/>
                <w:szCs w:val="4"/>
                <w:color w:val="auto"/>
              </w:rPr>
            </w:pPr>
          </w:p>
        </w:tc>
        <w:tc>
          <w:tcPr>
            <w:tcW w:w="1120" w:type="dxa"/>
            <w:vAlign w:val="bottom"/>
            <w:tcBorders>
              <w:bottom w:val="single" w:sz="8" w:color="B2B3B6"/>
            </w:tcBorders>
          </w:tcPr>
          <w:p>
            <w:pPr>
              <w:spacing w:after="0"/>
              <w:rPr>
                <w:sz w:val="4"/>
                <w:szCs w:val="4"/>
                <w:color w:val="auto"/>
              </w:rPr>
            </w:pPr>
          </w:p>
        </w:tc>
        <w:tc>
          <w:tcPr>
            <w:tcW w:w="1620" w:type="dxa"/>
            <w:vAlign w:val="bottom"/>
            <w:tcBorders>
              <w:bottom w:val="single" w:sz="8" w:color="B2B3B6"/>
            </w:tcBorders>
          </w:tcPr>
          <w:p>
            <w:pPr>
              <w:spacing w:after="0"/>
              <w:rPr>
                <w:sz w:val="4"/>
                <w:szCs w:val="4"/>
                <w:color w:val="auto"/>
              </w:rPr>
            </w:pPr>
          </w:p>
        </w:tc>
        <w:tc>
          <w:tcPr>
            <w:tcW w:w="1440" w:type="dxa"/>
            <w:vAlign w:val="bottom"/>
            <w:tcBorders>
              <w:bottom w:val="single" w:sz="8" w:color="B2B3B6"/>
            </w:tcBorders>
          </w:tcPr>
          <w:p>
            <w:pPr>
              <w:spacing w:after="0"/>
              <w:rPr>
                <w:sz w:val="4"/>
                <w:szCs w:val="4"/>
                <w:color w:val="auto"/>
              </w:rPr>
            </w:pPr>
          </w:p>
        </w:tc>
        <w:tc>
          <w:tcPr>
            <w:tcW w:w="1900" w:type="dxa"/>
            <w:vAlign w:val="bottom"/>
            <w:tcBorders>
              <w:bottom w:val="single" w:sz="8" w:color="B2B3B6"/>
            </w:tcBorders>
          </w:tcPr>
          <w:p>
            <w:pPr>
              <w:spacing w:after="0"/>
              <w:rPr>
                <w:sz w:val="4"/>
                <w:szCs w:val="4"/>
                <w:color w:val="auto"/>
              </w:rPr>
            </w:pPr>
          </w:p>
        </w:tc>
      </w:tr>
      <w:tr>
        <w:trPr>
          <w:trHeight w:val="286"/>
        </w:trPr>
        <w:tc>
          <w:tcPr>
            <w:tcW w:w="1120" w:type="dxa"/>
            <w:vAlign w:val="bottom"/>
          </w:tcPr>
          <w:p>
            <w:pPr>
              <w:spacing w:after="0"/>
              <w:rPr>
                <w:sz w:val="24"/>
                <w:szCs w:val="24"/>
                <w:color w:val="auto"/>
              </w:rPr>
            </w:pPr>
          </w:p>
        </w:tc>
        <w:tc>
          <w:tcPr>
            <w:tcW w:w="1880" w:type="dxa"/>
            <w:vAlign w:val="bottom"/>
            <w:tcBorders>
              <w:bottom w:val="single" w:sz="8" w:color="B2B3B6"/>
            </w:tcBorders>
          </w:tcPr>
          <w:p>
            <w:pPr>
              <w:ind w:left="120"/>
              <w:spacing w:after="0"/>
              <w:rPr>
                <w:sz w:val="20"/>
                <w:szCs w:val="20"/>
                <w:color w:val="auto"/>
              </w:rPr>
            </w:pPr>
            <w:r>
              <w:rPr>
                <w:rFonts w:ascii="Arial" w:cs="Arial" w:eastAsia="Arial" w:hAnsi="Arial"/>
                <w:sz w:val="14"/>
                <w:szCs w:val="14"/>
                <w:color w:val="auto"/>
              </w:rPr>
              <w:t xml:space="preserve">Pro rata annual bonus </w:t>
            </w:r>
            <w:r>
              <w:rPr>
                <w:rFonts w:ascii="Arial" w:cs="Arial" w:eastAsia="Arial" w:hAnsi="Arial"/>
                <w:sz w:val="18"/>
                <w:szCs w:val="18"/>
                <w:color w:val="auto"/>
                <w:vertAlign w:val="superscript"/>
              </w:rPr>
              <w:t>(1)</w:t>
            </w:r>
          </w:p>
        </w:tc>
        <w:tc>
          <w:tcPr>
            <w:tcW w:w="1120" w:type="dxa"/>
            <w:vAlign w:val="bottom"/>
            <w:tcBorders>
              <w:bottom w:val="single" w:sz="8" w:color="B2B3B6"/>
            </w:tcBorders>
          </w:tcPr>
          <w:p>
            <w:pPr>
              <w:ind w:left="980"/>
              <w:spacing w:after="0"/>
              <w:rPr>
                <w:sz w:val="20"/>
                <w:szCs w:val="20"/>
                <w:color w:val="auto"/>
              </w:rPr>
            </w:pPr>
            <w:r>
              <w:rPr>
                <w:rFonts w:ascii="Arial" w:cs="Arial" w:eastAsia="Arial" w:hAnsi="Arial"/>
                <w:sz w:val="13"/>
                <w:szCs w:val="13"/>
                <w:color w:val="auto"/>
                <w:w w:val="91"/>
              </w:rPr>
              <w:t>—</w:t>
            </w:r>
          </w:p>
        </w:tc>
        <w:tc>
          <w:tcPr>
            <w:tcW w:w="1620" w:type="dxa"/>
            <w:vAlign w:val="bottom"/>
            <w:tcBorders>
              <w:bottom w:val="single" w:sz="8" w:color="B2B3B6"/>
            </w:tcBorders>
          </w:tcPr>
          <w:p>
            <w:pPr>
              <w:jc w:val="right"/>
              <w:spacing w:after="0"/>
              <w:rPr>
                <w:sz w:val="20"/>
                <w:szCs w:val="20"/>
                <w:color w:val="auto"/>
              </w:rPr>
            </w:pPr>
            <w:r>
              <w:rPr>
                <w:rFonts w:ascii="Arial" w:cs="Arial" w:eastAsia="Arial" w:hAnsi="Arial"/>
                <w:sz w:val="14"/>
                <w:szCs w:val="14"/>
                <w:color w:val="auto"/>
              </w:rPr>
              <w:t>798,330</w:t>
            </w:r>
          </w:p>
        </w:tc>
        <w:tc>
          <w:tcPr>
            <w:tcW w:w="1440" w:type="dxa"/>
            <w:vAlign w:val="bottom"/>
            <w:tcBorders>
              <w:bottom w:val="single" w:sz="8" w:color="B2B3B6"/>
            </w:tcBorders>
          </w:tcPr>
          <w:p>
            <w:pPr>
              <w:jc w:val="right"/>
              <w:spacing w:after="0"/>
              <w:rPr>
                <w:sz w:val="20"/>
                <w:szCs w:val="20"/>
                <w:color w:val="auto"/>
              </w:rPr>
            </w:pPr>
            <w:r>
              <w:rPr>
                <w:rFonts w:ascii="Arial" w:cs="Arial" w:eastAsia="Arial" w:hAnsi="Arial"/>
                <w:sz w:val="14"/>
                <w:szCs w:val="14"/>
                <w:color w:val="auto"/>
              </w:rPr>
              <w:t>690,000</w:t>
            </w:r>
          </w:p>
        </w:tc>
        <w:tc>
          <w:tcPr>
            <w:tcW w:w="1900" w:type="dxa"/>
            <w:vAlign w:val="bottom"/>
            <w:tcBorders>
              <w:bottom w:val="single" w:sz="8" w:color="B2B3B6"/>
            </w:tcBorders>
          </w:tcPr>
          <w:p>
            <w:pPr>
              <w:jc w:val="right"/>
              <w:ind w:right="88"/>
              <w:spacing w:after="0"/>
              <w:rPr>
                <w:sz w:val="20"/>
                <w:szCs w:val="20"/>
                <w:color w:val="auto"/>
              </w:rPr>
            </w:pPr>
            <w:r>
              <w:rPr>
                <w:rFonts w:ascii="Arial" w:cs="Arial" w:eastAsia="Arial" w:hAnsi="Arial"/>
                <w:sz w:val="14"/>
                <w:szCs w:val="14"/>
                <w:color w:val="auto"/>
              </w:rPr>
              <w:t>798,330</w:t>
            </w:r>
          </w:p>
        </w:tc>
      </w:tr>
      <w:tr>
        <w:trPr>
          <w:trHeight w:val="201"/>
        </w:trPr>
        <w:tc>
          <w:tcPr>
            <w:tcW w:w="1120" w:type="dxa"/>
            <w:vAlign w:val="bottom"/>
          </w:tcPr>
          <w:p>
            <w:pPr>
              <w:ind w:left="140"/>
              <w:spacing w:after="0"/>
              <w:rPr>
                <w:sz w:val="20"/>
                <w:szCs w:val="20"/>
                <w:color w:val="auto"/>
              </w:rPr>
            </w:pPr>
            <w:r>
              <w:rPr>
                <w:rFonts w:ascii="Arial" w:cs="Arial" w:eastAsia="Arial" w:hAnsi="Arial"/>
                <w:sz w:val="14"/>
                <w:szCs w:val="14"/>
                <w:b w:val="1"/>
                <w:bCs w:val="1"/>
                <w:color w:val="00558C"/>
              </w:rPr>
              <w:t>John D.</w:t>
            </w:r>
          </w:p>
        </w:tc>
        <w:tc>
          <w:tcPr>
            <w:tcW w:w="1880" w:type="dxa"/>
            <w:vAlign w:val="bottom"/>
          </w:tcPr>
          <w:p>
            <w:pPr>
              <w:ind w:left="120"/>
              <w:spacing w:after="0" w:line="201" w:lineRule="exact"/>
              <w:rPr>
                <w:sz w:val="20"/>
                <w:szCs w:val="20"/>
                <w:color w:val="auto"/>
              </w:rPr>
            </w:pPr>
            <w:r>
              <w:rPr>
                <w:rFonts w:ascii="Arial" w:cs="Arial" w:eastAsia="Arial" w:hAnsi="Arial"/>
                <w:sz w:val="14"/>
                <w:szCs w:val="14"/>
                <w:color w:val="auto"/>
              </w:rPr>
              <w:t xml:space="preserve">Equity acceleration </w:t>
            </w:r>
            <w:r>
              <w:rPr>
                <w:rFonts w:ascii="Arial" w:cs="Arial" w:eastAsia="Arial" w:hAnsi="Arial"/>
                <w:sz w:val="18"/>
                <w:szCs w:val="18"/>
                <w:color w:val="auto"/>
                <w:vertAlign w:val="superscript"/>
              </w:rPr>
              <w:t>(2)</w:t>
            </w:r>
          </w:p>
        </w:tc>
        <w:tc>
          <w:tcPr>
            <w:tcW w:w="1120" w:type="dxa"/>
            <w:vAlign w:val="bottom"/>
          </w:tcPr>
          <w:p>
            <w:pPr>
              <w:ind w:left="980"/>
              <w:spacing w:after="0"/>
              <w:rPr>
                <w:sz w:val="20"/>
                <w:szCs w:val="20"/>
                <w:color w:val="auto"/>
              </w:rPr>
            </w:pPr>
            <w:r>
              <w:rPr>
                <w:rFonts w:ascii="Arial" w:cs="Arial" w:eastAsia="Arial" w:hAnsi="Arial"/>
                <w:sz w:val="13"/>
                <w:szCs w:val="13"/>
                <w:color w:val="auto"/>
                <w:w w:val="91"/>
              </w:rPr>
              <w:t>—</w:t>
            </w:r>
          </w:p>
        </w:tc>
        <w:tc>
          <w:tcPr>
            <w:tcW w:w="1620" w:type="dxa"/>
            <w:vAlign w:val="bottom"/>
          </w:tcPr>
          <w:p>
            <w:pPr>
              <w:jc w:val="right"/>
              <w:spacing w:after="0"/>
              <w:rPr>
                <w:sz w:val="20"/>
                <w:szCs w:val="20"/>
                <w:color w:val="auto"/>
              </w:rPr>
            </w:pPr>
            <w:r>
              <w:rPr>
                <w:rFonts w:ascii="Arial" w:cs="Arial" w:eastAsia="Arial" w:hAnsi="Arial"/>
                <w:sz w:val="13"/>
                <w:szCs w:val="13"/>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1,031,979</w:t>
            </w:r>
          </w:p>
        </w:tc>
        <w:tc>
          <w:tcPr>
            <w:tcW w:w="1900" w:type="dxa"/>
            <w:vAlign w:val="bottom"/>
          </w:tcPr>
          <w:p>
            <w:pPr>
              <w:jc w:val="right"/>
              <w:ind w:right="88"/>
              <w:spacing w:after="0"/>
              <w:rPr>
                <w:sz w:val="20"/>
                <w:szCs w:val="20"/>
                <w:color w:val="auto"/>
              </w:rPr>
            </w:pPr>
            <w:r>
              <w:rPr>
                <w:rFonts w:ascii="Arial" w:cs="Arial" w:eastAsia="Arial" w:hAnsi="Arial"/>
                <w:sz w:val="14"/>
                <w:szCs w:val="14"/>
                <w:color w:val="auto"/>
              </w:rPr>
              <w:t>1,031,979</w:t>
            </w:r>
          </w:p>
        </w:tc>
      </w:tr>
      <w:tr>
        <w:trPr>
          <w:trHeight w:val="95"/>
        </w:trPr>
        <w:tc>
          <w:tcPr>
            <w:tcW w:w="1120" w:type="dxa"/>
            <w:vAlign w:val="bottom"/>
          </w:tcPr>
          <w:p>
            <w:pPr>
              <w:ind w:left="140"/>
              <w:spacing w:after="0" w:line="75" w:lineRule="exact"/>
              <w:rPr>
                <w:sz w:val="20"/>
                <w:szCs w:val="20"/>
                <w:color w:val="auto"/>
              </w:rPr>
            </w:pPr>
            <w:r>
              <w:rPr>
                <w:rFonts w:ascii="Arial" w:cs="Arial" w:eastAsia="Arial" w:hAnsi="Arial"/>
                <w:sz w:val="8"/>
                <w:szCs w:val="8"/>
                <w:b w:val="1"/>
                <w:bCs w:val="1"/>
                <w:color w:val="00558C"/>
              </w:rPr>
              <w:t>Kelly</w:t>
            </w:r>
          </w:p>
        </w:tc>
        <w:tc>
          <w:tcPr>
            <w:tcW w:w="1880" w:type="dxa"/>
            <w:vAlign w:val="bottom"/>
            <w:tcBorders>
              <w:bottom w:val="single" w:sz="8" w:color="B2B3B6"/>
            </w:tcBorders>
          </w:tcPr>
          <w:p>
            <w:pPr>
              <w:spacing w:after="0"/>
              <w:rPr>
                <w:sz w:val="8"/>
                <w:szCs w:val="8"/>
                <w:color w:val="auto"/>
              </w:rPr>
            </w:pPr>
          </w:p>
        </w:tc>
        <w:tc>
          <w:tcPr>
            <w:tcW w:w="1120" w:type="dxa"/>
            <w:vAlign w:val="bottom"/>
            <w:tcBorders>
              <w:bottom w:val="single" w:sz="8" w:color="B2B3B6"/>
            </w:tcBorders>
          </w:tcPr>
          <w:p>
            <w:pPr>
              <w:spacing w:after="0"/>
              <w:rPr>
                <w:sz w:val="8"/>
                <w:szCs w:val="8"/>
                <w:color w:val="auto"/>
              </w:rPr>
            </w:pPr>
          </w:p>
        </w:tc>
        <w:tc>
          <w:tcPr>
            <w:tcW w:w="1620" w:type="dxa"/>
            <w:vAlign w:val="bottom"/>
            <w:tcBorders>
              <w:bottom w:val="single" w:sz="8" w:color="B2B3B6"/>
            </w:tcBorders>
          </w:tcPr>
          <w:p>
            <w:pPr>
              <w:spacing w:after="0"/>
              <w:rPr>
                <w:sz w:val="8"/>
                <w:szCs w:val="8"/>
                <w:color w:val="auto"/>
              </w:rPr>
            </w:pPr>
          </w:p>
        </w:tc>
        <w:tc>
          <w:tcPr>
            <w:tcW w:w="1440" w:type="dxa"/>
            <w:vAlign w:val="bottom"/>
            <w:tcBorders>
              <w:bottom w:val="single" w:sz="8" w:color="B2B3B6"/>
            </w:tcBorders>
          </w:tcPr>
          <w:p>
            <w:pPr>
              <w:spacing w:after="0"/>
              <w:rPr>
                <w:sz w:val="8"/>
                <w:szCs w:val="8"/>
                <w:color w:val="auto"/>
              </w:rPr>
            </w:pPr>
          </w:p>
        </w:tc>
        <w:tc>
          <w:tcPr>
            <w:tcW w:w="1900" w:type="dxa"/>
            <w:vAlign w:val="bottom"/>
            <w:tcBorders>
              <w:bottom w:val="single" w:sz="8" w:color="B2B3B6"/>
            </w:tcBorders>
          </w:tcPr>
          <w:p>
            <w:pPr>
              <w:spacing w:after="0"/>
              <w:rPr>
                <w:sz w:val="8"/>
                <w:szCs w:val="8"/>
                <w:color w:val="auto"/>
              </w:rPr>
            </w:pPr>
          </w:p>
        </w:tc>
      </w:tr>
      <w:tr>
        <w:trPr>
          <w:trHeight w:val="242"/>
        </w:trPr>
        <w:tc>
          <w:tcPr>
            <w:tcW w:w="1120" w:type="dxa"/>
            <w:vAlign w:val="bottom"/>
          </w:tcPr>
          <w:p>
            <w:pPr>
              <w:spacing w:after="0"/>
              <w:rPr>
                <w:sz w:val="21"/>
                <w:szCs w:val="21"/>
                <w:color w:val="auto"/>
              </w:rPr>
            </w:pPr>
          </w:p>
        </w:tc>
        <w:tc>
          <w:tcPr>
            <w:tcW w:w="1880" w:type="dxa"/>
            <w:vAlign w:val="bottom"/>
          </w:tcPr>
          <w:p>
            <w:pPr>
              <w:ind w:left="120"/>
              <w:spacing w:after="0"/>
              <w:rPr>
                <w:sz w:val="20"/>
                <w:szCs w:val="20"/>
                <w:color w:val="auto"/>
              </w:rPr>
            </w:pPr>
            <w:r>
              <w:rPr>
                <w:rFonts w:ascii="Arial" w:cs="Arial" w:eastAsia="Arial" w:hAnsi="Arial"/>
                <w:sz w:val="14"/>
                <w:szCs w:val="14"/>
                <w:color w:val="auto"/>
              </w:rPr>
              <w:t>Benefits continuation</w:t>
            </w:r>
          </w:p>
        </w:tc>
        <w:tc>
          <w:tcPr>
            <w:tcW w:w="1120" w:type="dxa"/>
            <w:vAlign w:val="bottom"/>
          </w:tcPr>
          <w:p>
            <w:pPr>
              <w:ind w:left="980"/>
              <w:spacing w:after="0"/>
              <w:rPr>
                <w:sz w:val="20"/>
                <w:szCs w:val="20"/>
                <w:color w:val="auto"/>
              </w:rPr>
            </w:pPr>
            <w:r>
              <w:rPr>
                <w:rFonts w:ascii="Arial" w:cs="Arial" w:eastAsia="Arial" w:hAnsi="Arial"/>
                <w:sz w:val="13"/>
                <w:szCs w:val="13"/>
                <w:color w:val="auto"/>
                <w:w w:val="91"/>
              </w:rPr>
              <w:t>—</w:t>
            </w:r>
          </w:p>
        </w:tc>
        <w:tc>
          <w:tcPr>
            <w:tcW w:w="1620" w:type="dxa"/>
            <w:vAlign w:val="bottom"/>
          </w:tcPr>
          <w:p>
            <w:pPr>
              <w:jc w:val="right"/>
              <w:spacing w:after="0"/>
              <w:rPr>
                <w:sz w:val="20"/>
                <w:szCs w:val="20"/>
                <w:color w:val="auto"/>
              </w:rPr>
            </w:pPr>
            <w:r>
              <w:rPr>
                <w:rFonts w:ascii="Arial" w:cs="Arial" w:eastAsia="Arial" w:hAnsi="Arial"/>
                <w:sz w:val="14"/>
                <w:szCs w:val="14"/>
                <w:color w:val="auto"/>
              </w:rPr>
              <w:t>21,880</w:t>
            </w:r>
          </w:p>
        </w:tc>
        <w:tc>
          <w:tcPr>
            <w:tcW w:w="1440" w:type="dxa"/>
            <w:vAlign w:val="bottom"/>
          </w:tcPr>
          <w:p>
            <w:pPr>
              <w:jc w:val="right"/>
              <w:spacing w:after="0"/>
              <w:rPr>
                <w:sz w:val="20"/>
                <w:szCs w:val="20"/>
                <w:color w:val="auto"/>
              </w:rPr>
            </w:pPr>
            <w:r>
              <w:rPr>
                <w:rFonts w:ascii="Arial" w:cs="Arial" w:eastAsia="Arial" w:hAnsi="Arial"/>
                <w:sz w:val="14"/>
                <w:szCs w:val="14"/>
                <w:color w:val="auto"/>
              </w:rPr>
              <w:t>10,940</w:t>
            </w:r>
          </w:p>
        </w:tc>
        <w:tc>
          <w:tcPr>
            <w:tcW w:w="1900" w:type="dxa"/>
            <w:vAlign w:val="bottom"/>
          </w:tcPr>
          <w:p>
            <w:pPr>
              <w:jc w:val="right"/>
              <w:ind w:right="88"/>
              <w:spacing w:after="0"/>
              <w:rPr>
                <w:sz w:val="20"/>
                <w:szCs w:val="20"/>
                <w:color w:val="auto"/>
              </w:rPr>
            </w:pPr>
            <w:r>
              <w:rPr>
                <w:rFonts w:ascii="Arial" w:cs="Arial" w:eastAsia="Arial" w:hAnsi="Arial"/>
                <w:sz w:val="14"/>
                <w:szCs w:val="14"/>
                <w:color w:val="auto"/>
              </w:rPr>
              <w:t>32,820</w:t>
            </w:r>
          </w:p>
        </w:tc>
      </w:tr>
      <w:tr>
        <w:trPr>
          <w:trHeight w:val="49"/>
        </w:trPr>
        <w:tc>
          <w:tcPr>
            <w:tcW w:w="1120" w:type="dxa"/>
            <w:vAlign w:val="bottom"/>
          </w:tcPr>
          <w:p>
            <w:pPr>
              <w:spacing w:after="0"/>
              <w:rPr>
                <w:sz w:val="4"/>
                <w:szCs w:val="4"/>
                <w:color w:val="auto"/>
              </w:rPr>
            </w:pPr>
          </w:p>
        </w:tc>
        <w:tc>
          <w:tcPr>
            <w:tcW w:w="1880" w:type="dxa"/>
            <w:vAlign w:val="bottom"/>
            <w:tcBorders>
              <w:bottom w:val="single" w:sz="8" w:color="B2B3B6"/>
            </w:tcBorders>
          </w:tcPr>
          <w:p>
            <w:pPr>
              <w:spacing w:after="0"/>
              <w:rPr>
                <w:sz w:val="4"/>
                <w:szCs w:val="4"/>
                <w:color w:val="auto"/>
              </w:rPr>
            </w:pPr>
          </w:p>
        </w:tc>
        <w:tc>
          <w:tcPr>
            <w:tcW w:w="1120" w:type="dxa"/>
            <w:vAlign w:val="bottom"/>
            <w:tcBorders>
              <w:bottom w:val="single" w:sz="8" w:color="B2B3B6"/>
            </w:tcBorders>
          </w:tcPr>
          <w:p>
            <w:pPr>
              <w:spacing w:after="0"/>
              <w:rPr>
                <w:sz w:val="4"/>
                <w:szCs w:val="4"/>
                <w:color w:val="auto"/>
              </w:rPr>
            </w:pPr>
          </w:p>
        </w:tc>
        <w:tc>
          <w:tcPr>
            <w:tcW w:w="1620" w:type="dxa"/>
            <w:vAlign w:val="bottom"/>
            <w:tcBorders>
              <w:bottom w:val="single" w:sz="8" w:color="B2B3B6"/>
            </w:tcBorders>
          </w:tcPr>
          <w:p>
            <w:pPr>
              <w:spacing w:after="0"/>
              <w:rPr>
                <w:sz w:val="4"/>
                <w:szCs w:val="4"/>
                <w:color w:val="auto"/>
              </w:rPr>
            </w:pPr>
          </w:p>
        </w:tc>
        <w:tc>
          <w:tcPr>
            <w:tcW w:w="1440" w:type="dxa"/>
            <w:vAlign w:val="bottom"/>
            <w:tcBorders>
              <w:bottom w:val="single" w:sz="8" w:color="B2B3B6"/>
            </w:tcBorders>
          </w:tcPr>
          <w:p>
            <w:pPr>
              <w:spacing w:after="0"/>
              <w:rPr>
                <w:sz w:val="4"/>
                <w:szCs w:val="4"/>
                <w:color w:val="auto"/>
              </w:rPr>
            </w:pPr>
          </w:p>
        </w:tc>
        <w:tc>
          <w:tcPr>
            <w:tcW w:w="1900" w:type="dxa"/>
            <w:vAlign w:val="bottom"/>
            <w:tcBorders>
              <w:bottom w:val="single" w:sz="8" w:color="B2B3B6"/>
            </w:tcBorders>
          </w:tcPr>
          <w:p>
            <w:pPr>
              <w:spacing w:after="0"/>
              <w:rPr>
                <w:sz w:val="4"/>
                <w:szCs w:val="4"/>
                <w:color w:val="auto"/>
              </w:rPr>
            </w:pPr>
          </w:p>
        </w:tc>
      </w:tr>
      <w:tr>
        <w:trPr>
          <w:trHeight w:val="288"/>
        </w:trPr>
        <w:tc>
          <w:tcPr>
            <w:tcW w:w="1120" w:type="dxa"/>
            <w:vAlign w:val="bottom"/>
          </w:tcPr>
          <w:p>
            <w:pPr>
              <w:spacing w:after="0"/>
              <w:rPr>
                <w:sz w:val="24"/>
                <w:szCs w:val="24"/>
                <w:color w:val="auto"/>
              </w:rPr>
            </w:pPr>
          </w:p>
        </w:tc>
        <w:tc>
          <w:tcPr>
            <w:tcW w:w="1880" w:type="dxa"/>
            <w:vAlign w:val="bottom"/>
            <w:tcBorders>
              <w:bottom w:val="single" w:sz="8" w:color="B2B3B6"/>
            </w:tcBorders>
          </w:tcPr>
          <w:p>
            <w:pPr>
              <w:ind w:left="120"/>
              <w:spacing w:after="0"/>
              <w:rPr>
                <w:sz w:val="20"/>
                <w:szCs w:val="20"/>
                <w:color w:val="auto"/>
              </w:rPr>
            </w:pPr>
            <w:r>
              <w:rPr>
                <w:rFonts w:ascii="Arial" w:cs="Arial" w:eastAsia="Arial" w:hAnsi="Arial"/>
                <w:sz w:val="14"/>
                <w:szCs w:val="14"/>
                <w:color w:val="auto"/>
              </w:rPr>
              <w:t xml:space="preserve">Cutback </w:t>
            </w:r>
            <w:r>
              <w:rPr>
                <w:rFonts w:ascii="Arial" w:cs="Arial" w:eastAsia="Arial" w:hAnsi="Arial"/>
                <w:sz w:val="18"/>
                <w:szCs w:val="18"/>
                <w:color w:val="auto"/>
                <w:vertAlign w:val="superscript"/>
              </w:rPr>
              <w:t>(3)</w:t>
            </w:r>
          </w:p>
        </w:tc>
        <w:tc>
          <w:tcPr>
            <w:tcW w:w="1120" w:type="dxa"/>
            <w:vAlign w:val="bottom"/>
            <w:tcBorders>
              <w:bottom w:val="single" w:sz="8" w:color="B2B3B6"/>
            </w:tcBorders>
          </w:tcPr>
          <w:p>
            <w:pPr>
              <w:ind w:left="980"/>
              <w:spacing w:after="0"/>
              <w:rPr>
                <w:sz w:val="20"/>
                <w:szCs w:val="20"/>
                <w:color w:val="auto"/>
              </w:rPr>
            </w:pPr>
            <w:r>
              <w:rPr>
                <w:rFonts w:ascii="Arial" w:cs="Arial" w:eastAsia="Arial" w:hAnsi="Arial"/>
                <w:sz w:val="13"/>
                <w:szCs w:val="13"/>
                <w:color w:val="auto"/>
                <w:w w:val="91"/>
              </w:rPr>
              <w:t>—</w:t>
            </w:r>
          </w:p>
        </w:tc>
        <w:tc>
          <w:tcPr>
            <w:tcW w:w="1620" w:type="dxa"/>
            <w:vAlign w:val="bottom"/>
            <w:tcBorders>
              <w:bottom w:val="single" w:sz="8" w:color="B2B3B6"/>
            </w:tcBorders>
          </w:tcPr>
          <w:p>
            <w:pPr>
              <w:jc w:val="right"/>
              <w:spacing w:after="0"/>
              <w:rPr>
                <w:sz w:val="20"/>
                <w:szCs w:val="20"/>
                <w:color w:val="auto"/>
              </w:rPr>
            </w:pPr>
            <w:r>
              <w:rPr>
                <w:rFonts w:ascii="Arial" w:cs="Arial" w:eastAsia="Arial" w:hAnsi="Arial"/>
                <w:sz w:val="13"/>
                <w:szCs w:val="13"/>
                <w:color w:val="auto"/>
              </w:rPr>
              <w:t>—</w:t>
            </w:r>
          </w:p>
        </w:tc>
        <w:tc>
          <w:tcPr>
            <w:tcW w:w="1440" w:type="dxa"/>
            <w:vAlign w:val="bottom"/>
            <w:tcBorders>
              <w:bottom w:val="single" w:sz="8" w:color="B2B3B6"/>
            </w:tcBorders>
          </w:tcPr>
          <w:p>
            <w:pPr>
              <w:jc w:val="right"/>
              <w:spacing w:after="0"/>
              <w:rPr>
                <w:sz w:val="20"/>
                <w:szCs w:val="20"/>
                <w:color w:val="auto"/>
              </w:rPr>
            </w:pPr>
            <w:r>
              <w:rPr>
                <w:rFonts w:ascii="Arial" w:cs="Arial" w:eastAsia="Arial" w:hAnsi="Arial"/>
                <w:sz w:val="13"/>
                <w:szCs w:val="13"/>
                <w:color w:val="auto"/>
              </w:rPr>
              <w:t>—</w:t>
            </w:r>
          </w:p>
        </w:tc>
        <w:tc>
          <w:tcPr>
            <w:tcW w:w="1900" w:type="dxa"/>
            <w:vAlign w:val="bottom"/>
            <w:tcBorders>
              <w:bottom w:val="single" w:sz="8" w:color="B2B3B6"/>
            </w:tcBorders>
          </w:tcPr>
          <w:p>
            <w:pPr>
              <w:jc w:val="right"/>
              <w:ind w:right="88"/>
              <w:spacing w:after="0"/>
              <w:rPr>
                <w:sz w:val="20"/>
                <w:szCs w:val="20"/>
                <w:color w:val="auto"/>
              </w:rPr>
            </w:pPr>
            <w:r>
              <w:rPr>
                <w:rFonts w:ascii="Arial" w:cs="Arial" w:eastAsia="Arial" w:hAnsi="Arial"/>
                <w:sz w:val="14"/>
                <w:szCs w:val="14"/>
                <w:color w:val="auto"/>
              </w:rPr>
              <w:t>-1,597,756</w:t>
            </w:r>
          </w:p>
        </w:tc>
      </w:tr>
      <w:tr>
        <w:trPr>
          <w:trHeight w:val="250"/>
        </w:trPr>
        <w:tc>
          <w:tcPr>
            <w:tcW w:w="1120" w:type="dxa"/>
            <w:vAlign w:val="bottom"/>
          </w:tcPr>
          <w:p>
            <w:pPr>
              <w:spacing w:after="0"/>
              <w:rPr>
                <w:sz w:val="21"/>
                <w:szCs w:val="21"/>
                <w:color w:val="auto"/>
              </w:rPr>
            </w:pPr>
          </w:p>
        </w:tc>
        <w:tc>
          <w:tcPr>
            <w:tcW w:w="1880" w:type="dxa"/>
            <w:vAlign w:val="bottom"/>
          </w:tcPr>
          <w:p>
            <w:pPr>
              <w:ind w:left="120"/>
              <w:spacing w:after="0"/>
              <w:rPr>
                <w:sz w:val="20"/>
                <w:szCs w:val="20"/>
                <w:color w:val="auto"/>
              </w:rPr>
            </w:pPr>
            <w:r>
              <w:rPr>
                <w:rFonts w:ascii="Arial" w:cs="Arial" w:eastAsia="Arial" w:hAnsi="Arial"/>
                <w:sz w:val="14"/>
                <w:szCs w:val="14"/>
                <w:b w:val="1"/>
                <w:bCs w:val="1"/>
                <w:color w:val="auto"/>
              </w:rPr>
              <w:t>Total Value</w:t>
            </w:r>
          </w:p>
        </w:tc>
        <w:tc>
          <w:tcPr>
            <w:tcW w:w="1120" w:type="dxa"/>
            <w:vAlign w:val="bottom"/>
          </w:tcPr>
          <w:p>
            <w:pPr>
              <w:ind w:left="980"/>
              <w:spacing w:after="0"/>
              <w:rPr>
                <w:sz w:val="20"/>
                <w:szCs w:val="20"/>
                <w:color w:val="auto"/>
              </w:rPr>
            </w:pPr>
            <w:r>
              <w:rPr>
                <w:rFonts w:ascii="Arial" w:cs="Arial" w:eastAsia="Arial" w:hAnsi="Arial"/>
                <w:sz w:val="13"/>
                <w:szCs w:val="13"/>
                <w:color w:val="auto"/>
                <w:w w:val="91"/>
              </w:rPr>
              <w:t>—</w:t>
            </w:r>
          </w:p>
        </w:tc>
        <w:tc>
          <w:tcPr>
            <w:tcW w:w="1620" w:type="dxa"/>
            <w:vAlign w:val="bottom"/>
          </w:tcPr>
          <w:p>
            <w:pPr>
              <w:jc w:val="right"/>
              <w:spacing w:after="0"/>
              <w:rPr>
                <w:sz w:val="20"/>
                <w:szCs w:val="20"/>
                <w:color w:val="auto"/>
              </w:rPr>
            </w:pPr>
            <w:r>
              <w:rPr>
                <w:rFonts w:ascii="Arial" w:cs="Arial" w:eastAsia="Arial" w:hAnsi="Arial"/>
                <w:sz w:val="14"/>
                <w:szCs w:val="14"/>
                <w:b w:val="1"/>
                <w:bCs w:val="1"/>
                <w:color w:val="auto"/>
              </w:rPr>
              <w:t>2,110,210</w:t>
            </w:r>
          </w:p>
        </w:tc>
        <w:tc>
          <w:tcPr>
            <w:tcW w:w="1440" w:type="dxa"/>
            <w:vAlign w:val="bottom"/>
          </w:tcPr>
          <w:p>
            <w:pPr>
              <w:jc w:val="right"/>
              <w:spacing w:after="0"/>
              <w:rPr>
                <w:sz w:val="20"/>
                <w:szCs w:val="20"/>
                <w:color w:val="auto"/>
              </w:rPr>
            </w:pPr>
            <w:r>
              <w:rPr>
                <w:rFonts w:ascii="Arial" w:cs="Arial" w:eastAsia="Arial" w:hAnsi="Arial"/>
                <w:sz w:val="14"/>
                <w:szCs w:val="14"/>
                <w:b w:val="1"/>
                <w:bCs w:val="1"/>
                <w:color w:val="auto"/>
              </w:rPr>
              <w:t>1,732,919</w:t>
            </w:r>
          </w:p>
        </w:tc>
        <w:tc>
          <w:tcPr>
            <w:tcW w:w="1900" w:type="dxa"/>
            <w:vAlign w:val="bottom"/>
          </w:tcPr>
          <w:p>
            <w:pPr>
              <w:jc w:val="right"/>
              <w:ind w:right="88"/>
              <w:spacing w:after="0"/>
              <w:rPr>
                <w:sz w:val="20"/>
                <w:szCs w:val="20"/>
                <w:color w:val="auto"/>
              </w:rPr>
            </w:pPr>
            <w:r>
              <w:rPr>
                <w:rFonts w:ascii="Arial" w:cs="Arial" w:eastAsia="Arial" w:hAnsi="Arial"/>
                <w:sz w:val="14"/>
                <w:szCs w:val="14"/>
                <w:b w:val="1"/>
                <w:bCs w:val="1"/>
                <w:color w:val="auto"/>
              </w:rPr>
              <w:t>2,200,373</w:t>
            </w:r>
          </w:p>
        </w:tc>
      </w:tr>
      <w:tr>
        <w:trPr>
          <w:trHeight w:val="43"/>
        </w:trPr>
        <w:tc>
          <w:tcPr>
            <w:tcW w:w="112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900" w:type="dxa"/>
            <w:vAlign w:val="bottom"/>
          </w:tcPr>
          <w:p>
            <w:pPr>
              <w:spacing w:after="0"/>
              <w:rPr>
                <w:sz w:val="3"/>
                <w:szCs w:val="3"/>
                <w:color w:val="auto"/>
              </w:rPr>
            </w:pPr>
          </w:p>
        </w:tc>
      </w:tr>
      <w:tr>
        <w:trPr>
          <w:trHeight w:val="315"/>
        </w:trPr>
        <w:tc>
          <w:tcPr>
            <w:tcW w:w="1120" w:type="dxa"/>
            <w:vAlign w:val="bottom"/>
            <w:tcBorders>
              <w:bottom w:val="single" w:sz="8" w:color="F2F3F2"/>
            </w:tcBorders>
            <w:shd w:val="clear" w:color="auto" w:fill="F2F3F2"/>
          </w:tcPr>
          <w:p>
            <w:pPr>
              <w:spacing w:after="0"/>
              <w:rPr>
                <w:sz w:val="24"/>
                <w:szCs w:val="24"/>
                <w:color w:val="auto"/>
              </w:rPr>
            </w:pPr>
          </w:p>
        </w:tc>
        <w:tc>
          <w:tcPr>
            <w:tcW w:w="1880" w:type="dxa"/>
            <w:vAlign w:val="bottom"/>
            <w:tcBorders>
              <w:bottom w:val="single" w:sz="8" w:color="F2F3F2"/>
            </w:tcBorders>
            <w:shd w:val="clear" w:color="auto" w:fill="F2F3F2"/>
          </w:tcPr>
          <w:p>
            <w:pPr>
              <w:ind w:left="120"/>
              <w:spacing w:after="0"/>
              <w:rPr>
                <w:sz w:val="20"/>
                <w:szCs w:val="20"/>
                <w:color w:val="auto"/>
              </w:rPr>
            </w:pPr>
            <w:r>
              <w:rPr>
                <w:rFonts w:ascii="Arial" w:cs="Arial" w:eastAsia="Arial" w:hAnsi="Arial"/>
                <w:sz w:val="14"/>
                <w:szCs w:val="14"/>
                <w:color w:val="auto"/>
              </w:rPr>
              <w:t>Salary</w:t>
            </w:r>
          </w:p>
        </w:tc>
        <w:tc>
          <w:tcPr>
            <w:tcW w:w="1120" w:type="dxa"/>
            <w:vAlign w:val="bottom"/>
            <w:tcBorders>
              <w:bottom w:val="single" w:sz="8" w:color="F2F3F2"/>
            </w:tcBorders>
            <w:shd w:val="clear" w:color="auto" w:fill="F2F3F2"/>
          </w:tcPr>
          <w:p>
            <w:pPr>
              <w:ind w:left="980"/>
              <w:spacing w:after="0"/>
              <w:rPr>
                <w:sz w:val="20"/>
                <w:szCs w:val="20"/>
                <w:color w:val="auto"/>
              </w:rPr>
            </w:pPr>
            <w:r>
              <w:rPr>
                <w:rFonts w:ascii="Arial" w:cs="Arial" w:eastAsia="Arial" w:hAnsi="Arial"/>
                <w:sz w:val="13"/>
                <w:szCs w:val="13"/>
                <w:color w:val="auto"/>
                <w:w w:val="91"/>
              </w:rPr>
              <w:t>—</w:t>
            </w:r>
          </w:p>
        </w:tc>
        <w:tc>
          <w:tcPr>
            <w:tcW w:w="1620" w:type="dxa"/>
            <w:vAlign w:val="bottom"/>
            <w:tcBorders>
              <w:bottom w:val="single" w:sz="8" w:color="F2F3F2"/>
            </w:tcBorders>
            <w:shd w:val="clear" w:color="auto" w:fill="F2F3F2"/>
          </w:tcPr>
          <w:p>
            <w:pPr>
              <w:jc w:val="right"/>
              <w:spacing w:after="0"/>
              <w:rPr>
                <w:sz w:val="20"/>
                <w:szCs w:val="20"/>
                <w:color w:val="auto"/>
              </w:rPr>
            </w:pPr>
            <w:r>
              <w:rPr>
                <w:rFonts w:ascii="Arial" w:cs="Arial" w:eastAsia="Arial" w:hAnsi="Arial"/>
                <w:sz w:val="14"/>
                <w:szCs w:val="14"/>
                <w:color w:val="auto"/>
              </w:rPr>
              <w:t>675,000</w:t>
            </w:r>
          </w:p>
        </w:tc>
        <w:tc>
          <w:tcPr>
            <w:tcW w:w="1440" w:type="dxa"/>
            <w:vAlign w:val="bottom"/>
            <w:tcBorders>
              <w:bottom w:val="single" w:sz="8" w:color="F2F3F2"/>
            </w:tcBorders>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1900" w:type="dxa"/>
            <w:vAlign w:val="bottom"/>
            <w:tcBorders>
              <w:bottom w:val="single" w:sz="8" w:color="F2F3F2"/>
            </w:tcBorders>
            <w:shd w:val="clear" w:color="auto" w:fill="F2F3F2"/>
          </w:tcPr>
          <w:p>
            <w:pPr>
              <w:jc w:val="right"/>
              <w:ind w:right="88"/>
              <w:spacing w:after="0"/>
              <w:rPr>
                <w:sz w:val="20"/>
                <w:szCs w:val="20"/>
                <w:color w:val="auto"/>
              </w:rPr>
            </w:pPr>
            <w:r>
              <w:rPr>
                <w:rFonts w:ascii="Arial" w:cs="Arial" w:eastAsia="Arial" w:hAnsi="Arial"/>
                <w:sz w:val="14"/>
                <w:szCs w:val="14"/>
                <w:color w:val="auto"/>
              </w:rPr>
              <w:t>1,012,500</w:t>
            </w:r>
          </w:p>
        </w:tc>
      </w:tr>
      <w:tr>
        <w:trPr>
          <w:trHeight w:val="296"/>
        </w:trPr>
        <w:tc>
          <w:tcPr>
            <w:tcW w:w="1120" w:type="dxa"/>
            <w:vAlign w:val="bottom"/>
            <w:tcBorders>
              <w:top w:val="single" w:sz="8" w:color="F2F3F2"/>
              <w:bottom w:val="single" w:sz="8" w:color="F2F3F2"/>
            </w:tcBorders>
            <w:shd w:val="clear" w:color="auto" w:fill="F2F3F2"/>
          </w:tcPr>
          <w:p>
            <w:pPr>
              <w:spacing w:after="0"/>
              <w:rPr>
                <w:sz w:val="24"/>
                <w:szCs w:val="24"/>
                <w:color w:val="auto"/>
              </w:rPr>
            </w:pPr>
          </w:p>
        </w:tc>
        <w:tc>
          <w:tcPr>
            <w:tcW w:w="1880" w:type="dxa"/>
            <w:vAlign w:val="bottom"/>
            <w:tcBorders>
              <w:top w:val="single" w:sz="8" w:color="B2B3B6"/>
              <w:bottom w:val="single" w:sz="8" w:color="F2F3F2"/>
            </w:tcBorders>
            <w:shd w:val="clear" w:color="auto" w:fill="F2F3F2"/>
          </w:tcPr>
          <w:p>
            <w:pPr>
              <w:ind w:left="120"/>
              <w:spacing w:after="0"/>
              <w:rPr>
                <w:sz w:val="20"/>
                <w:szCs w:val="20"/>
                <w:color w:val="auto"/>
              </w:rPr>
            </w:pPr>
            <w:r>
              <w:rPr>
                <w:rFonts w:ascii="Arial" w:cs="Arial" w:eastAsia="Arial" w:hAnsi="Arial"/>
                <w:sz w:val="14"/>
                <w:szCs w:val="14"/>
                <w:color w:val="auto"/>
              </w:rPr>
              <w:t>Bonus</w:t>
            </w:r>
          </w:p>
        </w:tc>
        <w:tc>
          <w:tcPr>
            <w:tcW w:w="1120" w:type="dxa"/>
            <w:vAlign w:val="bottom"/>
            <w:tcBorders>
              <w:top w:val="single" w:sz="8" w:color="B6B6B6"/>
              <w:bottom w:val="single" w:sz="8" w:color="F2F3F2"/>
            </w:tcBorders>
            <w:shd w:val="clear" w:color="auto" w:fill="F2F3F2"/>
          </w:tcPr>
          <w:p>
            <w:pPr>
              <w:ind w:left="980"/>
              <w:spacing w:after="0"/>
              <w:rPr>
                <w:sz w:val="20"/>
                <w:szCs w:val="20"/>
                <w:color w:val="auto"/>
              </w:rPr>
            </w:pPr>
            <w:r>
              <w:rPr>
                <w:rFonts w:ascii="Arial" w:cs="Arial" w:eastAsia="Arial" w:hAnsi="Arial"/>
                <w:sz w:val="13"/>
                <w:szCs w:val="13"/>
                <w:color w:val="auto"/>
                <w:w w:val="91"/>
              </w:rPr>
              <w:t>—</w:t>
            </w:r>
          </w:p>
        </w:tc>
        <w:tc>
          <w:tcPr>
            <w:tcW w:w="1620" w:type="dxa"/>
            <w:vAlign w:val="bottom"/>
            <w:tcBorders>
              <w:top w:val="single" w:sz="8" w:color="B2B3B6"/>
              <w:bottom w:val="single" w:sz="8" w:color="F2F3F2"/>
            </w:tcBorders>
            <w:shd w:val="clear" w:color="auto" w:fill="F2F3F2"/>
          </w:tcPr>
          <w:p>
            <w:pPr>
              <w:jc w:val="right"/>
              <w:spacing w:after="0"/>
              <w:rPr>
                <w:sz w:val="20"/>
                <w:szCs w:val="20"/>
                <w:color w:val="auto"/>
              </w:rPr>
            </w:pPr>
            <w:r>
              <w:rPr>
                <w:rFonts w:ascii="Arial" w:cs="Arial" w:eastAsia="Arial" w:hAnsi="Arial"/>
                <w:sz w:val="14"/>
                <w:szCs w:val="14"/>
                <w:color w:val="auto"/>
              </w:rPr>
              <w:t>607,500</w:t>
            </w:r>
          </w:p>
        </w:tc>
        <w:tc>
          <w:tcPr>
            <w:tcW w:w="1440" w:type="dxa"/>
            <w:vAlign w:val="bottom"/>
            <w:tcBorders>
              <w:top w:val="single" w:sz="8" w:color="B6B6B6"/>
              <w:bottom w:val="single" w:sz="8" w:color="F2F3F2"/>
            </w:tcBorders>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1900" w:type="dxa"/>
            <w:vAlign w:val="bottom"/>
            <w:tcBorders>
              <w:top w:val="single" w:sz="8" w:color="B2B3B6"/>
              <w:bottom w:val="single" w:sz="8" w:color="F2F3F2"/>
            </w:tcBorders>
            <w:shd w:val="clear" w:color="auto" w:fill="F2F3F2"/>
          </w:tcPr>
          <w:p>
            <w:pPr>
              <w:jc w:val="right"/>
              <w:ind w:right="88"/>
              <w:spacing w:after="0"/>
              <w:rPr>
                <w:sz w:val="20"/>
                <w:szCs w:val="20"/>
                <w:color w:val="auto"/>
              </w:rPr>
            </w:pPr>
            <w:r>
              <w:rPr>
                <w:rFonts w:ascii="Arial" w:cs="Arial" w:eastAsia="Arial" w:hAnsi="Arial"/>
                <w:sz w:val="14"/>
                <w:szCs w:val="14"/>
                <w:color w:val="auto"/>
              </w:rPr>
              <w:t>911,250</w:t>
            </w:r>
          </w:p>
        </w:tc>
      </w:tr>
      <w:tr>
        <w:trPr>
          <w:trHeight w:val="286"/>
        </w:trPr>
        <w:tc>
          <w:tcPr>
            <w:tcW w:w="1120" w:type="dxa"/>
            <w:vAlign w:val="bottom"/>
            <w:tcBorders>
              <w:top w:val="single" w:sz="8" w:color="F2F3F2"/>
              <w:bottom w:val="single" w:sz="8" w:color="F2F3F2"/>
            </w:tcBorders>
            <w:shd w:val="clear" w:color="auto" w:fill="F2F3F2"/>
          </w:tcPr>
          <w:p>
            <w:pPr>
              <w:spacing w:after="0"/>
              <w:rPr>
                <w:sz w:val="24"/>
                <w:szCs w:val="24"/>
                <w:color w:val="auto"/>
              </w:rPr>
            </w:pPr>
          </w:p>
        </w:tc>
        <w:tc>
          <w:tcPr>
            <w:tcW w:w="1880" w:type="dxa"/>
            <w:vAlign w:val="bottom"/>
            <w:tcBorders>
              <w:top w:val="single" w:sz="8" w:color="B2B3B6"/>
              <w:bottom w:val="single" w:sz="8" w:color="B2B3B6"/>
            </w:tcBorders>
            <w:shd w:val="clear" w:color="auto" w:fill="F2F3F2"/>
          </w:tcPr>
          <w:p>
            <w:pPr>
              <w:ind w:left="120"/>
              <w:spacing w:after="0"/>
              <w:rPr>
                <w:sz w:val="20"/>
                <w:szCs w:val="20"/>
                <w:color w:val="auto"/>
              </w:rPr>
            </w:pPr>
            <w:r>
              <w:rPr>
                <w:rFonts w:ascii="Arial" w:cs="Arial" w:eastAsia="Arial" w:hAnsi="Arial"/>
                <w:sz w:val="14"/>
                <w:szCs w:val="14"/>
                <w:color w:val="auto"/>
              </w:rPr>
              <w:t xml:space="preserve">Pro rata annual bonus </w:t>
            </w:r>
            <w:r>
              <w:rPr>
                <w:rFonts w:ascii="Arial" w:cs="Arial" w:eastAsia="Arial" w:hAnsi="Arial"/>
                <w:sz w:val="18"/>
                <w:szCs w:val="18"/>
                <w:color w:val="auto"/>
                <w:vertAlign w:val="superscript"/>
              </w:rPr>
              <w:t>(1)</w:t>
            </w:r>
          </w:p>
        </w:tc>
        <w:tc>
          <w:tcPr>
            <w:tcW w:w="1120" w:type="dxa"/>
            <w:vAlign w:val="bottom"/>
            <w:tcBorders>
              <w:top w:val="single" w:sz="8" w:color="B2B3B6"/>
              <w:bottom w:val="single" w:sz="8" w:color="B2B3B6"/>
            </w:tcBorders>
            <w:shd w:val="clear" w:color="auto" w:fill="F2F3F2"/>
          </w:tcPr>
          <w:p>
            <w:pPr>
              <w:ind w:left="980"/>
              <w:spacing w:after="0"/>
              <w:rPr>
                <w:sz w:val="20"/>
                <w:szCs w:val="20"/>
                <w:color w:val="auto"/>
              </w:rPr>
            </w:pPr>
            <w:r>
              <w:rPr>
                <w:rFonts w:ascii="Arial" w:cs="Arial" w:eastAsia="Arial" w:hAnsi="Arial"/>
                <w:sz w:val="13"/>
                <w:szCs w:val="13"/>
                <w:color w:val="auto"/>
                <w:w w:val="91"/>
              </w:rPr>
              <w:t>—</w:t>
            </w:r>
          </w:p>
        </w:tc>
        <w:tc>
          <w:tcPr>
            <w:tcW w:w="1620" w:type="dxa"/>
            <w:vAlign w:val="bottom"/>
            <w:tcBorders>
              <w:top w:val="single" w:sz="8" w:color="B2B3B6"/>
              <w:bottom w:val="single" w:sz="8" w:color="B2B3B6"/>
            </w:tcBorders>
            <w:shd w:val="clear" w:color="auto" w:fill="F2F3F2"/>
          </w:tcPr>
          <w:p>
            <w:pPr>
              <w:jc w:val="right"/>
              <w:spacing w:after="0"/>
              <w:rPr>
                <w:sz w:val="20"/>
                <w:szCs w:val="20"/>
                <w:color w:val="auto"/>
              </w:rPr>
            </w:pPr>
            <w:r>
              <w:rPr>
                <w:rFonts w:ascii="Arial" w:cs="Arial" w:eastAsia="Arial" w:hAnsi="Arial"/>
                <w:sz w:val="14"/>
                <w:szCs w:val="14"/>
                <w:color w:val="auto"/>
              </w:rPr>
              <w:t>702,878</w:t>
            </w:r>
          </w:p>
        </w:tc>
        <w:tc>
          <w:tcPr>
            <w:tcW w:w="1440" w:type="dxa"/>
            <w:vAlign w:val="bottom"/>
            <w:tcBorders>
              <w:top w:val="single" w:sz="8" w:color="B2B3B6"/>
              <w:bottom w:val="single" w:sz="8" w:color="B2B3B6"/>
            </w:tcBorders>
            <w:shd w:val="clear" w:color="auto" w:fill="F2F3F2"/>
          </w:tcPr>
          <w:p>
            <w:pPr>
              <w:jc w:val="right"/>
              <w:spacing w:after="0"/>
              <w:rPr>
                <w:sz w:val="20"/>
                <w:szCs w:val="20"/>
                <w:color w:val="auto"/>
              </w:rPr>
            </w:pPr>
            <w:r>
              <w:rPr>
                <w:rFonts w:ascii="Arial" w:cs="Arial" w:eastAsia="Arial" w:hAnsi="Arial"/>
                <w:sz w:val="14"/>
                <w:szCs w:val="14"/>
                <w:color w:val="auto"/>
              </w:rPr>
              <w:t>607,500</w:t>
            </w:r>
          </w:p>
        </w:tc>
        <w:tc>
          <w:tcPr>
            <w:tcW w:w="1900" w:type="dxa"/>
            <w:vAlign w:val="bottom"/>
            <w:tcBorders>
              <w:top w:val="single" w:sz="8" w:color="B2B3B6"/>
              <w:bottom w:val="single" w:sz="8" w:color="B2B3B6"/>
            </w:tcBorders>
            <w:shd w:val="clear" w:color="auto" w:fill="F2F3F2"/>
          </w:tcPr>
          <w:p>
            <w:pPr>
              <w:jc w:val="right"/>
              <w:ind w:right="88"/>
              <w:spacing w:after="0"/>
              <w:rPr>
                <w:sz w:val="20"/>
                <w:szCs w:val="20"/>
                <w:color w:val="auto"/>
              </w:rPr>
            </w:pPr>
            <w:r>
              <w:rPr>
                <w:rFonts w:ascii="Arial" w:cs="Arial" w:eastAsia="Arial" w:hAnsi="Arial"/>
                <w:sz w:val="14"/>
                <w:szCs w:val="14"/>
                <w:color w:val="auto"/>
              </w:rPr>
              <w:t>702,878</w:t>
            </w:r>
          </w:p>
        </w:tc>
      </w:tr>
      <w:tr>
        <w:trPr>
          <w:trHeight w:val="201"/>
        </w:trPr>
        <w:tc>
          <w:tcPr>
            <w:tcW w:w="1120" w:type="dxa"/>
            <w:vAlign w:val="bottom"/>
            <w:shd w:val="clear" w:color="auto" w:fill="F2F3F2"/>
          </w:tcPr>
          <w:p>
            <w:pPr>
              <w:ind w:left="140"/>
              <w:spacing w:after="0"/>
              <w:rPr>
                <w:sz w:val="20"/>
                <w:szCs w:val="20"/>
                <w:color w:val="auto"/>
              </w:rPr>
            </w:pPr>
            <w:r>
              <w:rPr>
                <w:rFonts w:ascii="Arial" w:cs="Arial" w:eastAsia="Arial" w:hAnsi="Arial"/>
                <w:sz w:val="14"/>
                <w:szCs w:val="14"/>
                <w:b w:val="1"/>
                <w:bCs w:val="1"/>
                <w:color w:val="00558C"/>
              </w:rPr>
              <w:t>J. Ronald</w:t>
            </w:r>
          </w:p>
        </w:tc>
        <w:tc>
          <w:tcPr>
            <w:tcW w:w="1880" w:type="dxa"/>
            <w:vAlign w:val="bottom"/>
            <w:shd w:val="clear" w:color="auto" w:fill="F2F3F2"/>
          </w:tcPr>
          <w:p>
            <w:pPr>
              <w:ind w:left="120"/>
              <w:spacing w:after="0" w:line="201" w:lineRule="exact"/>
              <w:rPr>
                <w:sz w:val="20"/>
                <w:szCs w:val="20"/>
                <w:color w:val="auto"/>
              </w:rPr>
            </w:pPr>
            <w:r>
              <w:rPr>
                <w:rFonts w:ascii="Arial" w:cs="Arial" w:eastAsia="Arial" w:hAnsi="Arial"/>
                <w:sz w:val="14"/>
                <w:szCs w:val="14"/>
                <w:color w:val="auto"/>
              </w:rPr>
              <w:t xml:space="preserve">Equity acceleration </w:t>
            </w:r>
            <w:r>
              <w:rPr>
                <w:rFonts w:ascii="Arial" w:cs="Arial" w:eastAsia="Arial" w:hAnsi="Arial"/>
                <w:sz w:val="18"/>
                <w:szCs w:val="18"/>
                <w:color w:val="auto"/>
                <w:vertAlign w:val="superscript"/>
              </w:rPr>
              <w:t>(2)</w:t>
            </w:r>
          </w:p>
        </w:tc>
        <w:tc>
          <w:tcPr>
            <w:tcW w:w="1120" w:type="dxa"/>
            <w:vAlign w:val="bottom"/>
            <w:shd w:val="clear" w:color="auto" w:fill="F2F3F2"/>
          </w:tcPr>
          <w:p>
            <w:pPr>
              <w:ind w:left="980"/>
              <w:spacing w:after="0"/>
              <w:rPr>
                <w:sz w:val="20"/>
                <w:szCs w:val="20"/>
                <w:color w:val="auto"/>
              </w:rPr>
            </w:pPr>
            <w:r>
              <w:rPr>
                <w:rFonts w:ascii="Arial" w:cs="Arial" w:eastAsia="Arial" w:hAnsi="Arial"/>
                <w:sz w:val="13"/>
                <w:szCs w:val="13"/>
                <w:color w:val="auto"/>
                <w:w w:val="91"/>
              </w:rPr>
              <w:t>—</w:t>
            </w:r>
          </w:p>
        </w:tc>
        <w:tc>
          <w:tcPr>
            <w:tcW w:w="1620" w:type="dxa"/>
            <w:vAlign w:val="bottom"/>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1440" w:type="dxa"/>
            <w:vAlign w:val="bottom"/>
            <w:shd w:val="clear" w:color="auto" w:fill="F2F3F2"/>
          </w:tcPr>
          <w:p>
            <w:pPr>
              <w:jc w:val="right"/>
              <w:spacing w:after="0"/>
              <w:rPr>
                <w:sz w:val="20"/>
                <w:szCs w:val="20"/>
                <w:color w:val="auto"/>
              </w:rPr>
            </w:pPr>
            <w:r>
              <w:rPr>
                <w:rFonts w:ascii="Arial" w:cs="Arial" w:eastAsia="Arial" w:hAnsi="Arial"/>
                <w:sz w:val="14"/>
                <w:szCs w:val="14"/>
                <w:color w:val="auto"/>
              </w:rPr>
              <w:t>1,570,729</w:t>
            </w:r>
          </w:p>
        </w:tc>
        <w:tc>
          <w:tcPr>
            <w:tcW w:w="1900" w:type="dxa"/>
            <w:vAlign w:val="bottom"/>
            <w:shd w:val="clear" w:color="auto" w:fill="F2F3F2"/>
          </w:tcPr>
          <w:p>
            <w:pPr>
              <w:jc w:val="right"/>
              <w:ind w:right="88"/>
              <w:spacing w:after="0"/>
              <w:rPr>
                <w:sz w:val="20"/>
                <w:szCs w:val="20"/>
                <w:color w:val="auto"/>
              </w:rPr>
            </w:pPr>
            <w:r>
              <w:rPr>
                <w:rFonts w:ascii="Arial" w:cs="Arial" w:eastAsia="Arial" w:hAnsi="Arial"/>
                <w:sz w:val="14"/>
                <w:szCs w:val="14"/>
                <w:color w:val="auto"/>
              </w:rPr>
              <w:t>1,570,729</w:t>
            </w:r>
          </w:p>
        </w:tc>
      </w:tr>
      <w:tr>
        <w:trPr>
          <w:trHeight w:val="95"/>
        </w:trPr>
        <w:tc>
          <w:tcPr>
            <w:tcW w:w="1120" w:type="dxa"/>
            <w:vAlign w:val="bottom"/>
            <w:tcBorders>
              <w:bottom w:val="single" w:sz="8" w:color="F2F3F2"/>
            </w:tcBorders>
            <w:shd w:val="clear" w:color="auto" w:fill="F2F3F2"/>
          </w:tcPr>
          <w:p>
            <w:pPr>
              <w:ind w:left="140"/>
              <w:spacing w:after="0" w:line="75" w:lineRule="exact"/>
              <w:rPr>
                <w:sz w:val="20"/>
                <w:szCs w:val="20"/>
                <w:color w:val="auto"/>
              </w:rPr>
            </w:pPr>
            <w:r>
              <w:rPr>
                <w:rFonts w:ascii="Arial" w:cs="Arial" w:eastAsia="Arial" w:hAnsi="Arial"/>
                <w:sz w:val="8"/>
                <w:szCs w:val="8"/>
                <w:b w:val="1"/>
                <w:bCs w:val="1"/>
                <w:color w:val="00558C"/>
              </w:rPr>
              <w:t>Dail</w:t>
            </w:r>
          </w:p>
        </w:tc>
        <w:tc>
          <w:tcPr>
            <w:tcW w:w="1880" w:type="dxa"/>
            <w:vAlign w:val="bottom"/>
            <w:tcBorders>
              <w:bottom w:val="single" w:sz="8" w:color="B2B3B6"/>
            </w:tcBorders>
            <w:shd w:val="clear" w:color="auto" w:fill="F2F3F2"/>
          </w:tcPr>
          <w:p>
            <w:pPr>
              <w:spacing w:after="0"/>
              <w:rPr>
                <w:sz w:val="8"/>
                <w:szCs w:val="8"/>
                <w:color w:val="auto"/>
              </w:rPr>
            </w:pPr>
          </w:p>
        </w:tc>
        <w:tc>
          <w:tcPr>
            <w:tcW w:w="1120" w:type="dxa"/>
            <w:vAlign w:val="bottom"/>
            <w:tcBorders>
              <w:bottom w:val="single" w:sz="8" w:color="B2B3B6"/>
            </w:tcBorders>
            <w:shd w:val="clear" w:color="auto" w:fill="F2F3F2"/>
          </w:tcPr>
          <w:p>
            <w:pPr>
              <w:spacing w:after="0"/>
              <w:rPr>
                <w:sz w:val="8"/>
                <w:szCs w:val="8"/>
                <w:color w:val="auto"/>
              </w:rPr>
            </w:pPr>
          </w:p>
        </w:tc>
        <w:tc>
          <w:tcPr>
            <w:tcW w:w="1620" w:type="dxa"/>
            <w:vAlign w:val="bottom"/>
            <w:tcBorders>
              <w:bottom w:val="single" w:sz="8" w:color="B2B3B6"/>
            </w:tcBorders>
            <w:shd w:val="clear" w:color="auto" w:fill="F2F3F2"/>
          </w:tcPr>
          <w:p>
            <w:pPr>
              <w:spacing w:after="0"/>
              <w:rPr>
                <w:sz w:val="8"/>
                <w:szCs w:val="8"/>
                <w:color w:val="auto"/>
              </w:rPr>
            </w:pPr>
          </w:p>
        </w:tc>
        <w:tc>
          <w:tcPr>
            <w:tcW w:w="1440" w:type="dxa"/>
            <w:vAlign w:val="bottom"/>
            <w:tcBorders>
              <w:bottom w:val="single" w:sz="8" w:color="B2B3B6"/>
            </w:tcBorders>
            <w:shd w:val="clear" w:color="auto" w:fill="F2F3F2"/>
          </w:tcPr>
          <w:p>
            <w:pPr>
              <w:spacing w:after="0"/>
              <w:rPr>
                <w:sz w:val="8"/>
                <w:szCs w:val="8"/>
                <w:color w:val="auto"/>
              </w:rPr>
            </w:pPr>
          </w:p>
        </w:tc>
        <w:tc>
          <w:tcPr>
            <w:tcW w:w="1900" w:type="dxa"/>
            <w:vAlign w:val="bottom"/>
            <w:tcBorders>
              <w:bottom w:val="single" w:sz="8" w:color="B2B3B6"/>
            </w:tcBorders>
            <w:shd w:val="clear" w:color="auto" w:fill="F2F3F2"/>
          </w:tcPr>
          <w:p>
            <w:pPr>
              <w:spacing w:after="0"/>
              <w:rPr>
                <w:sz w:val="8"/>
                <w:szCs w:val="8"/>
                <w:color w:val="auto"/>
              </w:rPr>
            </w:pPr>
          </w:p>
        </w:tc>
      </w:tr>
      <w:tr>
        <w:trPr>
          <w:trHeight w:val="295"/>
        </w:trPr>
        <w:tc>
          <w:tcPr>
            <w:tcW w:w="1120" w:type="dxa"/>
            <w:vAlign w:val="bottom"/>
            <w:tcBorders>
              <w:bottom w:val="single" w:sz="8" w:color="F2F3F2"/>
            </w:tcBorders>
            <w:shd w:val="clear" w:color="auto" w:fill="F2F3F2"/>
          </w:tcPr>
          <w:p>
            <w:pPr>
              <w:spacing w:after="0"/>
              <w:rPr>
                <w:sz w:val="24"/>
                <w:szCs w:val="24"/>
                <w:color w:val="auto"/>
              </w:rPr>
            </w:pPr>
          </w:p>
        </w:tc>
        <w:tc>
          <w:tcPr>
            <w:tcW w:w="1880" w:type="dxa"/>
            <w:vAlign w:val="bottom"/>
            <w:tcBorders>
              <w:bottom w:val="single" w:sz="8" w:color="F2F3F2"/>
            </w:tcBorders>
            <w:shd w:val="clear" w:color="auto" w:fill="F2F3F2"/>
          </w:tcPr>
          <w:p>
            <w:pPr>
              <w:ind w:left="120"/>
              <w:spacing w:after="0"/>
              <w:rPr>
                <w:sz w:val="20"/>
                <w:szCs w:val="20"/>
                <w:color w:val="auto"/>
              </w:rPr>
            </w:pPr>
            <w:r>
              <w:rPr>
                <w:rFonts w:ascii="Arial" w:cs="Arial" w:eastAsia="Arial" w:hAnsi="Arial"/>
                <w:sz w:val="14"/>
                <w:szCs w:val="14"/>
                <w:color w:val="auto"/>
              </w:rPr>
              <w:t>Benefits continuation</w:t>
            </w:r>
          </w:p>
        </w:tc>
        <w:tc>
          <w:tcPr>
            <w:tcW w:w="1120" w:type="dxa"/>
            <w:vAlign w:val="bottom"/>
            <w:tcBorders>
              <w:bottom w:val="single" w:sz="8" w:color="F2F3F2"/>
            </w:tcBorders>
            <w:shd w:val="clear" w:color="auto" w:fill="F2F3F2"/>
          </w:tcPr>
          <w:p>
            <w:pPr>
              <w:ind w:left="980"/>
              <w:spacing w:after="0"/>
              <w:rPr>
                <w:sz w:val="20"/>
                <w:szCs w:val="20"/>
                <w:color w:val="auto"/>
              </w:rPr>
            </w:pPr>
            <w:r>
              <w:rPr>
                <w:rFonts w:ascii="Arial" w:cs="Arial" w:eastAsia="Arial" w:hAnsi="Arial"/>
                <w:sz w:val="13"/>
                <w:szCs w:val="13"/>
                <w:color w:val="auto"/>
                <w:w w:val="91"/>
              </w:rPr>
              <w:t>—</w:t>
            </w:r>
          </w:p>
        </w:tc>
        <w:tc>
          <w:tcPr>
            <w:tcW w:w="1620" w:type="dxa"/>
            <w:vAlign w:val="bottom"/>
            <w:tcBorders>
              <w:bottom w:val="single" w:sz="8" w:color="F2F3F2"/>
            </w:tcBorders>
            <w:shd w:val="clear" w:color="auto" w:fill="F2F3F2"/>
          </w:tcPr>
          <w:p>
            <w:pPr>
              <w:jc w:val="right"/>
              <w:spacing w:after="0"/>
              <w:rPr>
                <w:sz w:val="20"/>
                <w:szCs w:val="20"/>
                <w:color w:val="auto"/>
              </w:rPr>
            </w:pPr>
            <w:r>
              <w:rPr>
                <w:rFonts w:ascii="Arial" w:cs="Arial" w:eastAsia="Arial" w:hAnsi="Arial"/>
                <w:sz w:val="14"/>
                <w:szCs w:val="14"/>
                <w:color w:val="auto"/>
              </w:rPr>
              <w:t>20,277</w:t>
            </w:r>
          </w:p>
        </w:tc>
        <w:tc>
          <w:tcPr>
            <w:tcW w:w="1440" w:type="dxa"/>
            <w:vAlign w:val="bottom"/>
            <w:tcBorders>
              <w:bottom w:val="single" w:sz="8" w:color="F2F3F2"/>
            </w:tcBorders>
            <w:shd w:val="clear" w:color="auto" w:fill="F2F3F2"/>
          </w:tcPr>
          <w:p>
            <w:pPr>
              <w:jc w:val="right"/>
              <w:spacing w:after="0"/>
              <w:rPr>
                <w:sz w:val="20"/>
                <w:szCs w:val="20"/>
                <w:color w:val="auto"/>
              </w:rPr>
            </w:pPr>
            <w:r>
              <w:rPr>
                <w:rFonts w:ascii="Arial" w:cs="Arial" w:eastAsia="Arial" w:hAnsi="Arial"/>
                <w:sz w:val="14"/>
                <w:szCs w:val="14"/>
                <w:color w:val="auto"/>
              </w:rPr>
              <w:t>10,139</w:t>
            </w:r>
          </w:p>
        </w:tc>
        <w:tc>
          <w:tcPr>
            <w:tcW w:w="1900" w:type="dxa"/>
            <w:vAlign w:val="bottom"/>
            <w:tcBorders>
              <w:bottom w:val="single" w:sz="8" w:color="F2F3F2"/>
            </w:tcBorders>
            <w:shd w:val="clear" w:color="auto" w:fill="F2F3F2"/>
          </w:tcPr>
          <w:p>
            <w:pPr>
              <w:jc w:val="right"/>
              <w:ind w:right="88"/>
              <w:spacing w:after="0"/>
              <w:rPr>
                <w:sz w:val="20"/>
                <w:szCs w:val="20"/>
                <w:color w:val="auto"/>
              </w:rPr>
            </w:pPr>
            <w:r>
              <w:rPr>
                <w:rFonts w:ascii="Arial" w:cs="Arial" w:eastAsia="Arial" w:hAnsi="Arial"/>
                <w:sz w:val="14"/>
                <w:szCs w:val="14"/>
                <w:color w:val="auto"/>
              </w:rPr>
              <w:t>30,416</w:t>
            </w:r>
          </w:p>
        </w:tc>
      </w:tr>
      <w:tr>
        <w:trPr>
          <w:trHeight w:val="288"/>
        </w:trPr>
        <w:tc>
          <w:tcPr>
            <w:tcW w:w="1120" w:type="dxa"/>
            <w:vAlign w:val="bottom"/>
            <w:tcBorders>
              <w:top w:val="single" w:sz="8" w:color="F2F3F2"/>
              <w:bottom w:val="single" w:sz="8" w:color="F2F3F2"/>
            </w:tcBorders>
            <w:shd w:val="clear" w:color="auto" w:fill="F2F3F2"/>
          </w:tcPr>
          <w:p>
            <w:pPr>
              <w:spacing w:after="0"/>
              <w:rPr>
                <w:sz w:val="24"/>
                <w:szCs w:val="24"/>
                <w:color w:val="auto"/>
              </w:rPr>
            </w:pPr>
          </w:p>
        </w:tc>
        <w:tc>
          <w:tcPr>
            <w:tcW w:w="1880" w:type="dxa"/>
            <w:vAlign w:val="bottom"/>
            <w:tcBorders>
              <w:top w:val="single" w:sz="8" w:color="B2B3B6"/>
              <w:bottom w:val="single" w:sz="8" w:color="B2B3B6"/>
            </w:tcBorders>
            <w:shd w:val="clear" w:color="auto" w:fill="F2F3F2"/>
          </w:tcPr>
          <w:p>
            <w:pPr>
              <w:ind w:left="120"/>
              <w:spacing w:after="0"/>
              <w:rPr>
                <w:sz w:val="20"/>
                <w:szCs w:val="20"/>
                <w:color w:val="auto"/>
              </w:rPr>
            </w:pPr>
            <w:r>
              <w:rPr>
                <w:rFonts w:ascii="Arial" w:cs="Arial" w:eastAsia="Arial" w:hAnsi="Arial"/>
                <w:sz w:val="14"/>
                <w:szCs w:val="14"/>
                <w:color w:val="auto"/>
              </w:rPr>
              <w:t xml:space="preserve">Cutback </w:t>
            </w:r>
            <w:r>
              <w:rPr>
                <w:rFonts w:ascii="Arial" w:cs="Arial" w:eastAsia="Arial" w:hAnsi="Arial"/>
                <w:sz w:val="18"/>
                <w:szCs w:val="18"/>
                <w:color w:val="auto"/>
                <w:vertAlign w:val="superscript"/>
              </w:rPr>
              <w:t>(3)</w:t>
            </w:r>
          </w:p>
        </w:tc>
        <w:tc>
          <w:tcPr>
            <w:tcW w:w="1120" w:type="dxa"/>
            <w:vAlign w:val="bottom"/>
            <w:tcBorders>
              <w:top w:val="single" w:sz="8" w:color="B2B3B6"/>
              <w:bottom w:val="single" w:sz="8" w:color="B2B3B6"/>
            </w:tcBorders>
            <w:shd w:val="clear" w:color="auto" w:fill="F2F3F2"/>
          </w:tcPr>
          <w:p>
            <w:pPr>
              <w:ind w:left="980"/>
              <w:spacing w:after="0"/>
              <w:rPr>
                <w:sz w:val="20"/>
                <w:szCs w:val="20"/>
                <w:color w:val="auto"/>
              </w:rPr>
            </w:pPr>
            <w:r>
              <w:rPr>
                <w:rFonts w:ascii="Arial" w:cs="Arial" w:eastAsia="Arial" w:hAnsi="Arial"/>
                <w:sz w:val="13"/>
                <w:szCs w:val="13"/>
                <w:color w:val="auto"/>
                <w:w w:val="91"/>
              </w:rPr>
              <w:t>—</w:t>
            </w:r>
          </w:p>
        </w:tc>
        <w:tc>
          <w:tcPr>
            <w:tcW w:w="1620" w:type="dxa"/>
            <w:vAlign w:val="bottom"/>
            <w:tcBorders>
              <w:top w:val="single" w:sz="8" w:color="B2B3B6"/>
              <w:bottom w:val="single" w:sz="8" w:color="B2B3B6"/>
            </w:tcBorders>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1440" w:type="dxa"/>
            <w:vAlign w:val="bottom"/>
            <w:tcBorders>
              <w:top w:val="single" w:sz="8" w:color="B2B3B6"/>
              <w:bottom w:val="single" w:sz="8" w:color="B2B3B6"/>
            </w:tcBorders>
            <w:shd w:val="clear" w:color="auto" w:fill="F2F3F2"/>
          </w:tcPr>
          <w:p>
            <w:pPr>
              <w:jc w:val="right"/>
              <w:spacing w:after="0"/>
              <w:rPr>
                <w:sz w:val="20"/>
                <w:szCs w:val="20"/>
                <w:color w:val="auto"/>
              </w:rPr>
            </w:pPr>
            <w:r>
              <w:rPr>
                <w:rFonts w:ascii="Arial" w:cs="Arial" w:eastAsia="Arial" w:hAnsi="Arial"/>
                <w:sz w:val="13"/>
                <w:szCs w:val="13"/>
                <w:color w:val="auto"/>
              </w:rPr>
              <w:t>—</w:t>
            </w:r>
          </w:p>
        </w:tc>
        <w:tc>
          <w:tcPr>
            <w:tcW w:w="1900" w:type="dxa"/>
            <w:vAlign w:val="bottom"/>
            <w:tcBorders>
              <w:top w:val="single" w:sz="8" w:color="B2B3B6"/>
              <w:bottom w:val="single" w:sz="8" w:color="B2B3B6"/>
            </w:tcBorders>
            <w:shd w:val="clear" w:color="auto" w:fill="F2F3F2"/>
          </w:tcPr>
          <w:p>
            <w:pPr>
              <w:jc w:val="right"/>
              <w:ind w:right="88"/>
              <w:spacing w:after="0"/>
              <w:rPr>
                <w:sz w:val="20"/>
                <w:szCs w:val="20"/>
                <w:color w:val="auto"/>
              </w:rPr>
            </w:pPr>
            <w:r>
              <w:rPr>
                <w:rFonts w:ascii="Arial" w:cs="Arial" w:eastAsia="Arial" w:hAnsi="Arial"/>
                <w:sz w:val="14"/>
                <w:szCs w:val="14"/>
                <w:color w:val="auto"/>
              </w:rPr>
              <w:t>-2,482,472</w:t>
            </w:r>
          </w:p>
        </w:tc>
      </w:tr>
      <w:tr>
        <w:trPr>
          <w:trHeight w:val="273"/>
        </w:trPr>
        <w:tc>
          <w:tcPr>
            <w:tcW w:w="1120" w:type="dxa"/>
            <w:vAlign w:val="bottom"/>
            <w:tcBorders>
              <w:bottom w:val="single" w:sz="8" w:color="F2F3F2"/>
            </w:tcBorders>
            <w:shd w:val="clear" w:color="auto" w:fill="F2F3F2"/>
          </w:tcPr>
          <w:p>
            <w:pPr>
              <w:spacing w:after="0"/>
              <w:rPr>
                <w:sz w:val="23"/>
                <w:szCs w:val="23"/>
                <w:color w:val="auto"/>
              </w:rPr>
            </w:pPr>
          </w:p>
        </w:tc>
        <w:tc>
          <w:tcPr>
            <w:tcW w:w="1880" w:type="dxa"/>
            <w:vAlign w:val="bottom"/>
            <w:tcBorders>
              <w:bottom w:val="single" w:sz="8" w:color="F2F3F2"/>
            </w:tcBorders>
            <w:shd w:val="clear" w:color="auto" w:fill="F2F3F2"/>
          </w:tcPr>
          <w:p>
            <w:pPr>
              <w:ind w:left="120"/>
              <w:spacing w:after="0"/>
              <w:rPr>
                <w:sz w:val="20"/>
                <w:szCs w:val="20"/>
                <w:color w:val="auto"/>
              </w:rPr>
            </w:pPr>
            <w:r>
              <w:rPr>
                <w:rFonts w:ascii="Arial" w:cs="Arial" w:eastAsia="Arial" w:hAnsi="Arial"/>
                <w:sz w:val="14"/>
                <w:szCs w:val="14"/>
                <w:b w:val="1"/>
                <w:bCs w:val="1"/>
                <w:color w:val="auto"/>
              </w:rPr>
              <w:t>Total Value</w:t>
            </w:r>
          </w:p>
        </w:tc>
        <w:tc>
          <w:tcPr>
            <w:tcW w:w="1120" w:type="dxa"/>
            <w:vAlign w:val="bottom"/>
            <w:tcBorders>
              <w:bottom w:val="single" w:sz="8" w:color="F2F3F2"/>
            </w:tcBorders>
            <w:shd w:val="clear" w:color="auto" w:fill="F2F3F2"/>
          </w:tcPr>
          <w:p>
            <w:pPr>
              <w:ind w:left="980"/>
              <w:spacing w:after="0"/>
              <w:rPr>
                <w:sz w:val="20"/>
                <w:szCs w:val="20"/>
                <w:color w:val="auto"/>
              </w:rPr>
            </w:pPr>
            <w:r>
              <w:rPr>
                <w:rFonts w:ascii="Arial" w:cs="Arial" w:eastAsia="Arial" w:hAnsi="Arial"/>
                <w:sz w:val="13"/>
                <w:szCs w:val="13"/>
                <w:b w:val="1"/>
                <w:bCs w:val="1"/>
                <w:color w:val="auto"/>
                <w:w w:val="91"/>
              </w:rPr>
              <w:t>—</w:t>
            </w:r>
          </w:p>
        </w:tc>
        <w:tc>
          <w:tcPr>
            <w:tcW w:w="1620" w:type="dxa"/>
            <w:vAlign w:val="bottom"/>
            <w:tcBorders>
              <w:bottom w:val="single" w:sz="8" w:color="F2F3F2"/>
            </w:tcBorders>
            <w:shd w:val="clear" w:color="auto" w:fill="F2F3F2"/>
          </w:tcPr>
          <w:p>
            <w:pPr>
              <w:jc w:val="right"/>
              <w:spacing w:after="0"/>
              <w:rPr>
                <w:sz w:val="20"/>
                <w:szCs w:val="20"/>
                <w:color w:val="auto"/>
              </w:rPr>
            </w:pPr>
            <w:r>
              <w:rPr>
                <w:rFonts w:ascii="Arial" w:cs="Arial" w:eastAsia="Arial" w:hAnsi="Arial"/>
                <w:sz w:val="14"/>
                <w:szCs w:val="14"/>
                <w:b w:val="1"/>
                <w:bCs w:val="1"/>
                <w:color w:val="auto"/>
              </w:rPr>
              <w:t>2,005,655</w:t>
            </w:r>
          </w:p>
        </w:tc>
        <w:tc>
          <w:tcPr>
            <w:tcW w:w="1440" w:type="dxa"/>
            <w:vAlign w:val="bottom"/>
            <w:tcBorders>
              <w:bottom w:val="single" w:sz="8" w:color="F2F3F2"/>
            </w:tcBorders>
            <w:shd w:val="clear" w:color="auto" w:fill="F2F3F2"/>
          </w:tcPr>
          <w:p>
            <w:pPr>
              <w:jc w:val="right"/>
              <w:spacing w:after="0"/>
              <w:rPr>
                <w:sz w:val="20"/>
                <w:szCs w:val="20"/>
                <w:color w:val="auto"/>
              </w:rPr>
            </w:pPr>
            <w:r>
              <w:rPr>
                <w:rFonts w:ascii="Arial" w:cs="Arial" w:eastAsia="Arial" w:hAnsi="Arial"/>
                <w:sz w:val="14"/>
                <w:szCs w:val="14"/>
                <w:b w:val="1"/>
                <w:bCs w:val="1"/>
                <w:color w:val="auto"/>
              </w:rPr>
              <w:t>2,188,368</w:t>
            </w:r>
          </w:p>
        </w:tc>
        <w:tc>
          <w:tcPr>
            <w:tcW w:w="1900" w:type="dxa"/>
            <w:vAlign w:val="bottom"/>
            <w:tcBorders>
              <w:bottom w:val="single" w:sz="8" w:color="F2F3F2"/>
            </w:tcBorders>
            <w:shd w:val="clear" w:color="auto" w:fill="F2F3F2"/>
          </w:tcPr>
          <w:p>
            <w:pPr>
              <w:jc w:val="right"/>
              <w:ind w:right="88"/>
              <w:spacing w:after="0"/>
              <w:rPr>
                <w:sz w:val="20"/>
                <w:szCs w:val="20"/>
                <w:color w:val="auto"/>
              </w:rPr>
            </w:pPr>
            <w:r>
              <w:rPr>
                <w:rFonts w:ascii="Arial" w:cs="Arial" w:eastAsia="Arial" w:hAnsi="Arial"/>
                <w:sz w:val="14"/>
                <w:szCs w:val="14"/>
                <w:b w:val="1"/>
                <w:bCs w:val="1"/>
                <w:color w:val="auto"/>
              </w:rPr>
              <w:t>1,745,301</w:t>
            </w:r>
          </w:p>
        </w:tc>
      </w:tr>
      <w:tr>
        <w:trPr>
          <w:trHeight w:val="20"/>
        </w:trPr>
        <w:tc>
          <w:tcPr>
            <w:tcW w:w="1120" w:type="dxa"/>
            <w:vAlign w:val="bottom"/>
            <w:shd w:val="clear" w:color="auto" w:fill="B6B6B6"/>
          </w:tcPr>
          <w:p>
            <w:pPr>
              <w:spacing w:after="0" w:line="20" w:lineRule="exact"/>
              <w:rPr>
                <w:sz w:val="1"/>
                <w:szCs w:val="1"/>
                <w:color w:val="auto"/>
              </w:rPr>
            </w:pPr>
          </w:p>
        </w:tc>
        <w:tc>
          <w:tcPr>
            <w:tcW w:w="1880" w:type="dxa"/>
            <w:vAlign w:val="bottom"/>
            <w:shd w:val="clear" w:color="auto" w:fill="B6B6B6"/>
          </w:tcPr>
          <w:p>
            <w:pPr>
              <w:spacing w:after="0" w:line="20" w:lineRule="exact"/>
              <w:rPr>
                <w:sz w:val="1"/>
                <w:szCs w:val="1"/>
                <w:color w:val="auto"/>
              </w:rPr>
            </w:pPr>
          </w:p>
        </w:tc>
        <w:tc>
          <w:tcPr>
            <w:tcW w:w="1120" w:type="dxa"/>
            <w:vAlign w:val="bottom"/>
            <w:shd w:val="clear" w:color="auto" w:fill="B2B3B6"/>
          </w:tcPr>
          <w:p>
            <w:pPr>
              <w:spacing w:after="0" w:line="20" w:lineRule="exact"/>
              <w:rPr>
                <w:sz w:val="1"/>
                <w:szCs w:val="1"/>
                <w:color w:val="auto"/>
              </w:rPr>
            </w:pPr>
          </w:p>
        </w:tc>
        <w:tc>
          <w:tcPr>
            <w:tcW w:w="1620" w:type="dxa"/>
            <w:vAlign w:val="bottom"/>
            <w:shd w:val="clear" w:color="auto" w:fill="B6B6B6"/>
          </w:tcPr>
          <w:p>
            <w:pPr>
              <w:spacing w:after="0" w:line="20" w:lineRule="exact"/>
              <w:rPr>
                <w:sz w:val="1"/>
                <w:szCs w:val="1"/>
                <w:color w:val="auto"/>
              </w:rPr>
            </w:pPr>
          </w:p>
        </w:tc>
        <w:tc>
          <w:tcPr>
            <w:tcW w:w="1440" w:type="dxa"/>
            <w:vAlign w:val="bottom"/>
            <w:shd w:val="clear" w:color="auto" w:fill="B6B6B6"/>
          </w:tcPr>
          <w:p>
            <w:pPr>
              <w:spacing w:after="0" w:line="20" w:lineRule="exact"/>
              <w:rPr>
                <w:sz w:val="1"/>
                <w:szCs w:val="1"/>
                <w:color w:val="auto"/>
              </w:rPr>
            </w:pPr>
          </w:p>
        </w:tc>
        <w:tc>
          <w:tcPr>
            <w:tcW w:w="1900" w:type="dxa"/>
            <w:vAlign w:val="bottom"/>
            <w:shd w:val="clear" w:color="auto" w:fill="B6B6B6"/>
          </w:tcPr>
          <w:p>
            <w:pPr>
              <w:spacing w:after="0" w:line="20" w:lineRule="exact"/>
              <w:rPr>
                <w:sz w:val="1"/>
                <w:szCs w:val="1"/>
                <w:color w:val="auto"/>
              </w:rPr>
            </w:pPr>
          </w:p>
        </w:tc>
      </w:tr>
    </w:tbl>
    <w:p>
      <w:pPr>
        <w:spacing w:after="0" w:line="139" w:lineRule="exact"/>
        <w:rPr>
          <w:sz w:val="20"/>
          <w:szCs w:val="20"/>
          <w:color w:val="auto"/>
        </w:rPr>
      </w:pPr>
    </w:p>
    <w:p>
      <w:pPr>
        <w:ind w:left="420" w:right="460" w:hanging="331"/>
        <w:spacing w:after="0" w:line="301" w:lineRule="auto"/>
        <w:tabs>
          <w:tab w:leader="none" w:pos="420" w:val="left"/>
        </w:tabs>
        <w:numPr>
          <w:ilvl w:val="0"/>
          <w:numId w:val="93"/>
        </w:numPr>
        <w:rPr>
          <w:rFonts w:ascii="Arial" w:cs="Arial" w:eastAsia="Arial" w:hAnsi="Arial"/>
          <w:sz w:val="14"/>
          <w:szCs w:val="14"/>
          <w:color w:val="auto"/>
        </w:rPr>
      </w:pPr>
      <w:r>
        <w:rPr>
          <w:rFonts w:ascii="Arial" w:cs="Arial" w:eastAsia="Arial" w:hAnsi="Arial"/>
          <w:sz w:val="14"/>
          <w:szCs w:val="14"/>
          <w:color w:val="auto"/>
        </w:rPr>
        <w:t>Pro rata bonus for termination without Cause or resignation for Good Reason is based on actual performance from 2024. See the Compensation Discussion and Analysis of this Proxy Statement for disclosure regarding amount earned.</w:t>
      </w:r>
    </w:p>
    <w:p>
      <w:pPr>
        <w:spacing w:after="0" w:line="1" w:lineRule="exact"/>
        <w:rPr>
          <w:rFonts w:ascii="Arial" w:cs="Arial" w:eastAsia="Arial" w:hAnsi="Arial"/>
          <w:sz w:val="14"/>
          <w:szCs w:val="14"/>
          <w:color w:val="auto"/>
        </w:rPr>
      </w:pPr>
    </w:p>
    <w:p>
      <w:pPr>
        <w:jc w:val="both"/>
        <w:ind w:left="420" w:right="60" w:hanging="331"/>
        <w:spacing w:after="0" w:line="273" w:lineRule="auto"/>
        <w:tabs>
          <w:tab w:leader="none" w:pos="420" w:val="left"/>
        </w:tabs>
        <w:numPr>
          <w:ilvl w:val="0"/>
          <w:numId w:val="93"/>
        </w:numPr>
        <w:rPr>
          <w:rFonts w:ascii="Arial" w:cs="Arial" w:eastAsia="Arial" w:hAnsi="Arial"/>
          <w:sz w:val="14"/>
          <w:szCs w:val="14"/>
          <w:color w:val="auto"/>
        </w:rPr>
      </w:pPr>
      <w:r>
        <w:rPr>
          <w:rFonts w:ascii="Arial" w:cs="Arial" w:eastAsia="Arial" w:hAnsi="Arial"/>
          <w:sz w:val="14"/>
          <w:szCs w:val="14"/>
          <w:color w:val="auto"/>
        </w:rPr>
        <w:t>The acceleration of equity varies by grant and type of termination as outlined in the preceding sections. The value shown is equal to the number of accelerated shares times the closing price on the last day of the fiscal year. These amounts do not include the value of stock that continues to vest per the original schedule post termination, as listed below:</w:t>
      </w:r>
    </w:p>
    <w:p>
      <w:pPr>
        <w:spacing w:after="0" w:line="17" w:lineRule="exact"/>
        <w:rPr>
          <w:rFonts w:ascii="Arial" w:cs="Arial" w:eastAsia="Arial" w:hAnsi="Arial"/>
          <w:sz w:val="14"/>
          <w:szCs w:val="14"/>
          <w:color w:val="auto"/>
        </w:rPr>
      </w:pPr>
    </w:p>
    <w:p>
      <w:pPr>
        <w:ind w:left="740" w:right="80" w:hanging="327"/>
        <w:spacing w:after="0" w:line="283" w:lineRule="auto"/>
        <w:tabs>
          <w:tab w:leader="none" w:pos="740" w:val="left"/>
        </w:tabs>
        <w:numPr>
          <w:ilvl w:val="1"/>
          <w:numId w:val="93"/>
        </w:numPr>
        <w:rPr>
          <w:rFonts w:ascii="Arial" w:cs="Arial" w:eastAsia="Arial" w:hAnsi="Arial"/>
          <w:sz w:val="14"/>
          <w:szCs w:val="14"/>
          <w:color w:val="auto"/>
        </w:rPr>
      </w:pPr>
      <w:r>
        <w:rPr>
          <w:rFonts w:ascii="Arial" w:cs="Arial" w:eastAsia="Arial" w:hAnsi="Arial"/>
          <w:sz w:val="14"/>
          <w:szCs w:val="14"/>
          <w:color w:val="auto"/>
        </w:rPr>
        <w:t>The 2023 and 2024 performance units would continue to vest for each of the named executive officers with the number of shares determined based on actual performance through December 31, 2024 and prorated for the number of days that the executive was employed during the performance period.</w:t>
      </w:r>
    </w:p>
    <w:p>
      <w:pPr>
        <w:spacing w:after="0" w:line="10" w:lineRule="exact"/>
        <w:rPr>
          <w:rFonts w:ascii="Arial" w:cs="Arial" w:eastAsia="Arial" w:hAnsi="Arial"/>
          <w:sz w:val="14"/>
          <w:szCs w:val="14"/>
          <w:color w:val="auto"/>
        </w:rPr>
      </w:pPr>
    </w:p>
    <w:p>
      <w:pPr>
        <w:ind w:left="740" w:right="480" w:hanging="327"/>
        <w:spacing w:after="0" w:line="285" w:lineRule="auto"/>
        <w:tabs>
          <w:tab w:leader="none" w:pos="740" w:val="left"/>
        </w:tabs>
        <w:numPr>
          <w:ilvl w:val="1"/>
          <w:numId w:val="93"/>
        </w:numPr>
        <w:rPr>
          <w:rFonts w:ascii="Arial" w:cs="Arial" w:eastAsia="Arial" w:hAnsi="Arial"/>
          <w:sz w:val="14"/>
          <w:szCs w:val="14"/>
          <w:color w:val="auto"/>
        </w:rPr>
      </w:pPr>
      <w:r>
        <w:rPr>
          <w:rFonts w:ascii="Arial" w:cs="Arial" w:eastAsia="Arial" w:hAnsi="Arial"/>
          <w:sz w:val="14"/>
          <w:szCs w:val="14"/>
          <w:color w:val="auto"/>
        </w:rPr>
        <w:t>All of the 2022 performance units would continue to vest for each of the named executive officers with the number of shares determined based on actual performance through December 31, 2024, which is the conclusion of performance period.</w:t>
      </w:r>
    </w:p>
    <w:p>
      <w:pPr>
        <w:spacing w:after="0" w:line="9" w:lineRule="exact"/>
        <w:rPr>
          <w:rFonts w:ascii="Arial" w:cs="Arial" w:eastAsia="Arial" w:hAnsi="Arial"/>
          <w:sz w:val="14"/>
          <w:szCs w:val="14"/>
          <w:color w:val="auto"/>
        </w:rPr>
      </w:pPr>
    </w:p>
    <w:p>
      <w:pPr>
        <w:jc w:val="both"/>
        <w:ind w:left="740" w:right="100" w:hanging="327"/>
        <w:spacing w:after="0" w:line="283" w:lineRule="auto"/>
        <w:tabs>
          <w:tab w:leader="none" w:pos="740" w:val="left"/>
        </w:tabs>
        <w:numPr>
          <w:ilvl w:val="1"/>
          <w:numId w:val="93"/>
        </w:numPr>
        <w:rPr>
          <w:rFonts w:ascii="Arial" w:cs="Arial" w:eastAsia="Arial" w:hAnsi="Arial"/>
          <w:sz w:val="14"/>
          <w:szCs w:val="14"/>
          <w:color w:val="auto"/>
        </w:rPr>
      </w:pPr>
      <w:r>
        <w:rPr>
          <w:rFonts w:ascii="Arial" w:cs="Arial" w:eastAsia="Arial" w:hAnsi="Arial"/>
          <w:sz w:val="14"/>
          <w:szCs w:val="14"/>
          <w:color w:val="auto"/>
        </w:rPr>
        <w:t>Additionally, in the event an executive qualifies for an approved retirement, they would receive continued vesting of their stock per the schedule as outlined in the grant agreements. (As of December 31, 2024, Mr. Hussey satisfied the age and service retirement criteria for these programs.)</w:t>
      </w:r>
    </w:p>
    <w:p>
      <w:pPr>
        <w:spacing w:after="0" w:line="10" w:lineRule="exact"/>
        <w:rPr>
          <w:rFonts w:ascii="Arial" w:cs="Arial" w:eastAsia="Arial" w:hAnsi="Arial"/>
          <w:sz w:val="14"/>
          <w:szCs w:val="14"/>
          <w:color w:val="auto"/>
        </w:rPr>
      </w:pPr>
    </w:p>
    <w:p>
      <w:pPr>
        <w:ind w:left="740" w:hanging="330"/>
        <w:spacing w:after="0"/>
        <w:tabs>
          <w:tab w:leader="none" w:pos="740" w:val="left"/>
        </w:tabs>
        <w:numPr>
          <w:ilvl w:val="1"/>
          <w:numId w:val="93"/>
        </w:numPr>
        <w:rPr>
          <w:rFonts w:ascii="Arial" w:cs="Arial" w:eastAsia="Arial" w:hAnsi="Arial"/>
          <w:sz w:val="14"/>
          <w:szCs w:val="14"/>
          <w:color w:val="auto"/>
        </w:rPr>
      </w:pPr>
      <w:r>
        <w:rPr>
          <w:rFonts w:ascii="Arial" w:cs="Arial" w:eastAsia="Arial" w:hAnsi="Arial"/>
          <w:sz w:val="14"/>
          <w:szCs w:val="14"/>
          <w:color w:val="auto"/>
        </w:rPr>
        <w:t>Time-based RSAs and RSUs are forfeited in the event of a Termination without Cause or Resignation for Good Reason.</w:t>
      </w:r>
    </w:p>
    <w:p>
      <w:pPr>
        <w:spacing w:after="0" w:line="55" w:lineRule="exact"/>
        <w:rPr>
          <w:rFonts w:ascii="Arial" w:cs="Arial" w:eastAsia="Arial" w:hAnsi="Arial"/>
          <w:sz w:val="14"/>
          <w:szCs w:val="14"/>
          <w:color w:val="auto"/>
        </w:rPr>
      </w:pPr>
    </w:p>
    <w:p>
      <w:pPr>
        <w:ind w:left="420" w:right="40" w:hanging="331"/>
        <w:spacing w:after="0" w:line="305" w:lineRule="auto"/>
        <w:tabs>
          <w:tab w:leader="none" w:pos="420" w:val="left"/>
        </w:tabs>
        <w:numPr>
          <w:ilvl w:val="0"/>
          <w:numId w:val="93"/>
        </w:numPr>
        <w:rPr>
          <w:rFonts w:ascii="Arial" w:cs="Arial" w:eastAsia="Arial" w:hAnsi="Arial"/>
          <w:sz w:val="14"/>
          <w:szCs w:val="14"/>
          <w:color w:val="auto"/>
        </w:rPr>
      </w:pPr>
      <w:r>
        <w:rPr>
          <w:rFonts w:ascii="Arial" w:cs="Arial" w:eastAsia="Arial" w:hAnsi="Arial"/>
          <w:sz w:val="14"/>
          <w:szCs w:val="14"/>
          <w:color w:val="auto"/>
        </w:rPr>
        <w:t>In the event the total COC severance exceeds the IRC 280G safe harbor amount, then the executive’s total severance is reduced to the maximum safe harbor threshold amount as to not trigger any excise tax.</w:t>
      </w:r>
    </w:p>
    <w:p>
      <w:pPr>
        <w:spacing w:after="0" w:line="200" w:lineRule="exact"/>
        <w:rPr>
          <w:sz w:val="20"/>
          <w:szCs w:val="20"/>
          <w:color w:val="auto"/>
        </w:rPr>
      </w:pPr>
    </w:p>
    <w:p>
      <w:pPr>
        <w:spacing w:after="0" w:line="206" w:lineRule="exact"/>
        <w:rPr>
          <w:sz w:val="20"/>
          <w:szCs w:val="20"/>
          <w:color w:val="auto"/>
        </w:rPr>
      </w:pPr>
    </w:p>
    <w:p>
      <w:pPr>
        <w:ind w:left="60"/>
        <w:spacing w:after="0"/>
        <w:tabs>
          <w:tab w:leader="none" w:pos="446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13"/>
          <w:szCs w:val="13"/>
          <w:b w:val="1"/>
          <w:bCs w:val="1"/>
          <w:color w:val="00558C"/>
        </w:rPr>
        <w:t>61</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420370</wp:posOffset>
            </wp:positionV>
            <wp:extent cx="6810375" cy="83058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10375" cy="830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540" w:val="left"/>
          <w:tab w:leader="none" w:pos="7360" w:val="left"/>
          <w:tab w:leader="none" w:pos="8400" w:val="left"/>
        </w:tabs>
        <w:rPr>
          <w:sz w:val="20"/>
          <w:szCs w:val="20"/>
          <w:color w:val="auto"/>
        </w:rPr>
      </w:pPr>
      <w:r>
        <w:rPr>
          <w:rFonts w:ascii="Arial" w:cs="Arial" w:eastAsia="Arial" w:hAnsi="Arial"/>
          <w:sz w:val="13"/>
          <w:szCs w:val="13"/>
          <w:b w:val="1"/>
          <w:bCs w:val="1"/>
          <w:color w:val="B2B3B6"/>
        </w:rPr>
        <w:t>General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Corporate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6AAA37"/>
        </w:rPr>
        <w:t>Executive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Stockholder</w:t>
      </w:r>
      <w:r>
        <w:rPr>
          <w:sz w:val="20"/>
          <w:szCs w:val="20"/>
          <w:color w:val="auto"/>
        </w:rPr>
        <w:tab/>
      </w:r>
      <w:r>
        <w:rPr>
          <w:rFonts w:ascii="Arial" w:cs="Arial" w:eastAsia="Arial" w:hAnsi="Arial"/>
          <w:sz w:val="12"/>
          <w:szCs w:val="12"/>
          <w:b w:val="1"/>
          <w:bCs w:val="1"/>
          <w:color w:val="B2B3B6"/>
        </w:rPr>
        <w:t>Other</w:t>
      </w:r>
    </w:p>
    <w:p>
      <w:pPr>
        <w:spacing w:after="0" w:line="11"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540" w:val="left"/>
          <w:tab w:leader="none" w:pos="7360" w:val="left"/>
          <w:tab w:leader="none" w:pos="8400" w:val="left"/>
        </w:tabs>
        <w:rPr>
          <w:sz w:val="20"/>
          <w:szCs w:val="20"/>
          <w:color w:val="auto"/>
        </w:rPr>
      </w:pPr>
      <w:r>
        <w:rPr>
          <w:rFonts w:ascii="Arial" w:cs="Arial" w:eastAsia="Arial" w:hAnsi="Arial"/>
          <w:sz w:val="13"/>
          <w:szCs w:val="13"/>
          <w:b w:val="1"/>
          <w:bCs w:val="1"/>
          <w:color w:val="B2B3B6"/>
        </w:rPr>
        <w:t>Information</w:t>
      </w:r>
      <w:r>
        <w:rPr>
          <w:sz w:val="20"/>
          <w:szCs w:val="20"/>
          <w:color w:val="auto"/>
        </w:rPr>
        <w:tab/>
      </w:r>
      <w:r>
        <w:rPr>
          <w:rFonts w:ascii="Arial" w:cs="Arial" w:eastAsia="Arial" w:hAnsi="Arial"/>
          <w:sz w:val="13"/>
          <w:szCs w:val="13"/>
          <w:b w:val="1"/>
          <w:bCs w:val="1"/>
          <w:color w:val="B2B3B6"/>
        </w:rPr>
        <w:t>One</w:t>
      </w:r>
      <w:r>
        <w:rPr>
          <w:sz w:val="20"/>
          <w:szCs w:val="20"/>
          <w:color w:val="auto"/>
        </w:rPr>
        <w:tab/>
      </w:r>
      <w:r>
        <w:rPr>
          <w:rFonts w:ascii="Arial" w:cs="Arial" w:eastAsia="Arial" w:hAnsi="Arial"/>
          <w:sz w:val="13"/>
          <w:szCs w:val="13"/>
          <w:b w:val="1"/>
          <w:bCs w:val="1"/>
          <w:color w:val="B2B3B6"/>
        </w:rPr>
        <w:t>Governance</w:t>
      </w:r>
      <w:r>
        <w:rPr>
          <w:sz w:val="20"/>
          <w:szCs w:val="20"/>
          <w:color w:val="auto"/>
        </w:rPr>
        <w:tab/>
      </w:r>
      <w:r>
        <w:rPr>
          <w:rFonts w:ascii="Arial" w:cs="Arial" w:eastAsia="Arial" w:hAnsi="Arial"/>
          <w:sz w:val="13"/>
          <w:szCs w:val="13"/>
          <w:b w:val="1"/>
          <w:bCs w:val="1"/>
          <w:color w:val="B2B3B6"/>
        </w:rPr>
        <w:t>Two</w:t>
      </w:r>
      <w:r>
        <w:rPr>
          <w:sz w:val="20"/>
          <w:szCs w:val="20"/>
          <w:color w:val="auto"/>
        </w:rPr>
        <w:tab/>
      </w:r>
      <w:r>
        <w:rPr>
          <w:rFonts w:ascii="Arial" w:cs="Arial" w:eastAsia="Arial" w:hAnsi="Arial"/>
          <w:sz w:val="13"/>
          <w:szCs w:val="13"/>
          <w:b w:val="1"/>
          <w:bCs w:val="1"/>
          <w:color w:val="6AAA37"/>
        </w:rPr>
        <w:t>Compensation</w:t>
      </w:r>
      <w:r>
        <w:rPr>
          <w:sz w:val="20"/>
          <w:szCs w:val="20"/>
          <w:color w:val="auto"/>
        </w:rPr>
        <w:tab/>
      </w:r>
      <w:r>
        <w:rPr>
          <w:rFonts w:ascii="Arial" w:cs="Arial" w:eastAsia="Arial" w:hAnsi="Arial"/>
          <w:sz w:val="13"/>
          <w:szCs w:val="13"/>
          <w:b w:val="1"/>
          <w:bCs w:val="1"/>
          <w:color w:val="B2B3B6"/>
        </w:rPr>
        <w:t>Three</w:t>
      </w:r>
      <w:r>
        <w:rPr>
          <w:sz w:val="20"/>
          <w:szCs w:val="20"/>
          <w:color w:val="auto"/>
        </w:rPr>
        <w:tab/>
      </w:r>
      <w:r>
        <w:rPr>
          <w:rFonts w:ascii="Arial" w:cs="Arial" w:eastAsia="Arial" w:hAnsi="Arial"/>
          <w:sz w:val="13"/>
          <w:szCs w:val="13"/>
          <w:b w:val="1"/>
          <w:bCs w:val="1"/>
          <w:color w:val="B2B3B6"/>
        </w:rPr>
        <w:t>Four</w:t>
      </w:r>
      <w:r>
        <w:rPr>
          <w:sz w:val="20"/>
          <w:szCs w:val="20"/>
          <w:color w:val="auto"/>
        </w:rPr>
        <w:tab/>
      </w:r>
      <w:r>
        <w:rPr>
          <w:rFonts w:ascii="Arial" w:cs="Arial" w:eastAsia="Arial" w:hAnsi="Arial"/>
          <w:sz w:val="13"/>
          <w:szCs w:val="13"/>
          <w:b w:val="1"/>
          <w:bCs w:val="1"/>
          <w:color w:val="B2B3B6"/>
        </w:rPr>
        <w:t>Five</w:t>
      </w:r>
      <w:r>
        <w:rPr>
          <w:sz w:val="20"/>
          <w:szCs w:val="20"/>
          <w:color w:val="auto"/>
        </w:rPr>
        <w:tab/>
      </w:r>
      <w:r>
        <w:rPr>
          <w:rFonts w:ascii="Arial" w:cs="Arial" w:eastAsia="Arial" w:hAnsi="Arial"/>
          <w:sz w:val="13"/>
          <w:szCs w:val="13"/>
          <w:b w:val="1"/>
          <w:bCs w:val="1"/>
          <w:color w:val="B2B3B6"/>
        </w:rPr>
        <w:t>Proposals</w:t>
      </w:r>
      <w:r>
        <w:rPr>
          <w:sz w:val="20"/>
          <w:szCs w:val="20"/>
          <w:color w:val="auto"/>
        </w:rPr>
        <w:tab/>
      </w:r>
      <w:r>
        <w:rPr>
          <w:rFonts w:ascii="Arial" w:cs="Arial" w:eastAsia="Arial" w:hAnsi="Arial"/>
          <w:sz w:val="12"/>
          <w:szCs w:val="12"/>
          <w:b w:val="1"/>
          <w:bCs w:val="1"/>
          <w:color w:val="B2B3B6"/>
        </w:rPr>
        <w:t>Matters</w:t>
      </w:r>
    </w:p>
    <w:p>
      <w:pPr>
        <w:sectPr>
          <w:pgSz w:w="11900" w:h="16872" w:orient="portrait"/>
          <w:cols w:equalWidth="0" w:num="1">
            <w:col w:w="9080"/>
          </w:cols>
          <w:pgMar w:left="1400" w:top="486" w:right="1419" w:bottom="0" w:gutter="0" w:footer="0" w:header="0"/>
        </w:sectPr>
      </w:pPr>
    </w:p>
    <w:p>
      <w:pPr>
        <w:spacing w:after="0" w:line="301" w:lineRule="exact"/>
        <w:rPr>
          <w:sz w:val="20"/>
          <w:szCs w:val="20"/>
          <w:color w:val="auto"/>
        </w:rPr>
      </w:pPr>
    </w:p>
    <w:p>
      <w:pPr>
        <w:spacing w:after="0"/>
        <w:rPr>
          <w:sz w:val="20"/>
          <w:szCs w:val="20"/>
          <w:color w:val="auto"/>
        </w:rPr>
      </w:pPr>
      <w:r>
        <w:rPr>
          <w:rFonts w:ascii="Arial" w:cs="Arial" w:eastAsia="Arial" w:hAnsi="Arial"/>
          <w:sz w:val="16"/>
          <w:szCs w:val="16"/>
          <w:color w:val="auto"/>
        </w:rPr>
        <w:t>Mr. Torain departed from the Company effective March 15, 2024. In connection with his departure, on March 10, 2024, Huron</w:t>
      </w:r>
    </w:p>
    <w:p>
      <w:pPr>
        <w:sectPr>
          <w:pgSz w:w="11900" w:h="16872" w:orient="portrait"/>
          <w:cols w:equalWidth="0" w:num="1">
            <w:col w:w="9080"/>
          </w:cols>
          <w:pgMar w:left="1400" w:top="486" w:right="1419" w:bottom="0" w:gutter="0" w:footer="0" w:header="0"/>
          <w:type w:val="continuous"/>
        </w:sectPr>
      </w:pPr>
    </w:p>
    <w:bookmarkStart w:id="63" w:name="page64"/>
    <w:bookmarkEnd w:id="63"/>
    <w:p>
      <w:pPr>
        <w:spacing w:after="0" w:line="288" w:lineRule="auto"/>
        <w:rPr>
          <w:sz w:val="20"/>
          <w:szCs w:val="20"/>
          <w:color w:val="auto"/>
        </w:rPr>
      </w:pPr>
      <w:r>
        <w:rPr>
          <w:rFonts w:ascii="Arial" w:cs="Arial" w:eastAsia="Arial" w:hAnsi="Arial"/>
          <w:sz w:val="16"/>
          <w:szCs w:val="16"/>
          <w:color w:val="auto"/>
        </w:rPr>
        <w:t>and Mr. Torain entered into a mutual separation agreement pursuant to which Mr. Torain became eligible for severance payments and benefits consistent with the terms of his senior management agreement for a termination without Cause. As provided for in Mr. Torain’s senior management agreement, upon departure from the Company, Mr. Torain: (a) was paid severance consisting of an amount equal to one (1) times the sum of his annual base salary and target annual bonus in effect at the time of separation ($787,500); (b) became entitled to continuation of 12 months of medical benefits on the same economic terms as exist from time to time for active similarly-situated executives (estimated to $22,766 for the 12 months, based on estimated COBRA rates for Mr. Torain); and (c) became entitled to a lump sum cash payment equal to a pro-rata annual bonus for 2024 based on actual performance, pro-rated for the number of days he was employed during the performance period ($80,237), subject to his compliance with the terms of the separation agreement, including his continued compliance with restrictive covenants and his timely execution of a release of claims in favor of the Company. He also forfeited any unvested RSUs and remains entitled to a pro-rata portion of his unvested PSUs granted in 2022 and 2023 based on actual performance for the full performance period, prorated for his time served during the 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-1672590</wp:posOffset>
            </wp:positionV>
            <wp:extent cx="6810375" cy="80257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10375" cy="802576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00558C"/>
        </w:rPr>
        <w:t>Pay Versus Performance</w:t>
      </w:r>
    </w:p>
    <w:p>
      <w:pPr>
        <w:spacing w:after="0" w:line="112" w:lineRule="exact"/>
        <w:rPr>
          <w:sz w:val="20"/>
          <w:szCs w:val="20"/>
          <w:color w:val="auto"/>
        </w:rPr>
      </w:pPr>
    </w:p>
    <w:p>
      <w:pPr>
        <w:ind w:right="320"/>
        <w:spacing w:after="0" w:line="300" w:lineRule="auto"/>
        <w:rPr>
          <w:sz w:val="20"/>
          <w:szCs w:val="20"/>
          <w:color w:val="auto"/>
        </w:rPr>
      </w:pPr>
      <w:r>
        <w:rPr>
          <w:rFonts w:ascii="Arial" w:cs="Arial" w:eastAsia="Arial" w:hAnsi="Arial"/>
          <w:sz w:val="16"/>
          <w:szCs w:val="16"/>
          <w:color w:val="auto"/>
        </w:rPr>
        <w:t>The Company is providing the following disclosure about the relationship of the annual total compensation of our chief executive officer and other named executive officers to our total shareholder return, peer group shareholder return, our net income and our revenues. The information set forth below was not used by the Compensation Committee in setting compensation for our named executive officers as set forth in the Summary Compensation Table.</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520" w:type="dxa"/>
            <w:vAlign w:val="bottom"/>
            <w:shd w:val="clear" w:color="auto" w:fill="00588C"/>
          </w:tcPr>
          <w:p>
            <w:pPr>
              <w:spacing w:after="0"/>
              <w:rPr>
                <w:sz w:val="24"/>
                <w:szCs w:val="24"/>
                <w:color w:val="auto"/>
              </w:rPr>
            </w:pPr>
          </w:p>
        </w:tc>
        <w:tc>
          <w:tcPr>
            <w:tcW w:w="1180" w:type="dxa"/>
            <w:vAlign w:val="bottom"/>
            <w:shd w:val="clear" w:color="auto" w:fill="00588C"/>
          </w:tcPr>
          <w:p>
            <w:pPr>
              <w:spacing w:after="0"/>
              <w:rPr>
                <w:sz w:val="24"/>
                <w:szCs w:val="24"/>
                <w:color w:val="auto"/>
              </w:rPr>
            </w:pPr>
          </w:p>
        </w:tc>
        <w:tc>
          <w:tcPr>
            <w:tcW w:w="1140" w:type="dxa"/>
            <w:vAlign w:val="bottom"/>
            <w:shd w:val="clear" w:color="auto" w:fill="00588C"/>
          </w:tcPr>
          <w:p>
            <w:pPr>
              <w:spacing w:after="0"/>
              <w:rPr>
                <w:sz w:val="24"/>
                <w:szCs w:val="24"/>
                <w:color w:val="auto"/>
              </w:rPr>
            </w:pPr>
          </w:p>
        </w:tc>
        <w:tc>
          <w:tcPr>
            <w:tcW w:w="1160" w:type="dxa"/>
            <w:vAlign w:val="bottom"/>
            <w:shd w:val="clear" w:color="auto" w:fill="00588C"/>
          </w:tcPr>
          <w:p>
            <w:pPr>
              <w:spacing w:after="0"/>
              <w:rPr>
                <w:sz w:val="24"/>
                <w:szCs w:val="24"/>
                <w:color w:val="auto"/>
              </w:rPr>
            </w:pPr>
          </w:p>
        </w:tc>
        <w:tc>
          <w:tcPr>
            <w:tcW w:w="1140" w:type="dxa"/>
            <w:vAlign w:val="bottom"/>
            <w:shd w:val="clear" w:color="auto" w:fill="00588C"/>
          </w:tcPr>
          <w:p>
            <w:pPr>
              <w:spacing w:after="0"/>
              <w:rPr>
                <w:sz w:val="24"/>
                <w:szCs w:val="24"/>
                <w:color w:val="auto"/>
              </w:rPr>
            </w:pPr>
          </w:p>
        </w:tc>
        <w:tc>
          <w:tcPr>
            <w:tcW w:w="2040" w:type="dxa"/>
            <w:vAlign w:val="bottom"/>
            <w:gridSpan w:val="2"/>
            <w:shd w:val="clear" w:color="auto" w:fill="00588C"/>
          </w:tcPr>
          <w:p>
            <w:pPr>
              <w:jc w:val="right"/>
              <w:ind w:right="213"/>
              <w:spacing w:after="0"/>
              <w:rPr>
                <w:sz w:val="20"/>
                <w:szCs w:val="20"/>
                <w:color w:val="auto"/>
              </w:rPr>
            </w:pPr>
            <w:r>
              <w:rPr>
                <w:rFonts w:ascii="Arial" w:cs="Arial" w:eastAsia="Arial" w:hAnsi="Arial"/>
                <w:sz w:val="13"/>
                <w:szCs w:val="13"/>
                <w:b w:val="1"/>
                <w:bCs w:val="1"/>
                <w:color w:val="FFFFFF"/>
              </w:rPr>
              <w:t>Value of Initial Fixed $100</w:t>
            </w:r>
          </w:p>
        </w:tc>
        <w:tc>
          <w:tcPr>
            <w:tcW w:w="720" w:type="dxa"/>
            <w:vAlign w:val="bottom"/>
            <w:shd w:val="clear" w:color="auto" w:fill="00588C"/>
          </w:tcPr>
          <w:p>
            <w:pPr>
              <w:spacing w:after="0"/>
              <w:rPr>
                <w:sz w:val="24"/>
                <w:szCs w:val="24"/>
                <w:color w:val="auto"/>
              </w:rPr>
            </w:pPr>
          </w:p>
        </w:tc>
        <w:tc>
          <w:tcPr>
            <w:tcW w:w="1120" w:type="dxa"/>
            <w:vAlign w:val="bottom"/>
            <w:vMerge w:val="restart"/>
            <w:shd w:val="clear" w:color="auto" w:fill="00588C"/>
          </w:tcPr>
          <w:p>
            <w:pPr>
              <w:jc w:val="right"/>
              <w:ind w:right="53"/>
              <w:spacing w:after="0"/>
              <w:rPr>
                <w:sz w:val="20"/>
                <w:szCs w:val="20"/>
                <w:color w:val="auto"/>
              </w:rPr>
            </w:pPr>
            <w:r>
              <w:rPr>
                <w:rFonts w:ascii="Arial" w:cs="Arial" w:eastAsia="Arial" w:hAnsi="Arial"/>
                <w:sz w:val="13"/>
                <w:szCs w:val="13"/>
                <w:b w:val="1"/>
                <w:bCs w:val="1"/>
                <w:color w:val="FFFFFF"/>
              </w:rPr>
              <w:t>Company-</w:t>
            </w:r>
          </w:p>
        </w:tc>
        <w:tc>
          <w:tcPr>
            <w:tcW w:w="60" w:type="dxa"/>
            <w:vAlign w:val="bottom"/>
            <w:shd w:val="clear" w:color="auto" w:fill="00588C"/>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520" w:type="dxa"/>
            <w:vAlign w:val="bottom"/>
            <w:shd w:val="clear" w:color="auto" w:fill="00588C"/>
          </w:tcPr>
          <w:p>
            <w:pPr>
              <w:spacing w:after="0"/>
              <w:rPr>
                <w:sz w:val="8"/>
                <w:szCs w:val="8"/>
                <w:color w:val="auto"/>
              </w:rPr>
            </w:pPr>
          </w:p>
        </w:tc>
        <w:tc>
          <w:tcPr>
            <w:tcW w:w="1180" w:type="dxa"/>
            <w:vAlign w:val="bottom"/>
            <w:shd w:val="clear" w:color="auto" w:fill="00588C"/>
          </w:tcPr>
          <w:p>
            <w:pPr>
              <w:spacing w:after="0"/>
              <w:rPr>
                <w:sz w:val="8"/>
                <w:szCs w:val="8"/>
                <w:color w:val="auto"/>
              </w:rPr>
            </w:pPr>
          </w:p>
        </w:tc>
        <w:tc>
          <w:tcPr>
            <w:tcW w:w="1140" w:type="dxa"/>
            <w:vAlign w:val="bottom"/>
            <w:shd w:val="clear" w:color="auto" w:fill="00588C"/>
          </w:tcPr>
          <w:p>
            <w:pPr>
              <w:spacing w:after="0"/>
              <w:rPr>
                <w:sz w:val="8"/>
                <w:szCs w:val="8"/>
                <w:color w:val="auto"/>
              </w:rPr>
            </w:pPr>
          </w:p>
        </w:tc>
        <w:tc>
          <w:tcPr>
            <w:tcW w:w="1160" w:type="dxa"/>
            <w:vAlign w:val="bottom"/>
            <w:shd w:val="clear" w:color="auto" w:fill="00588C"/>
          </w:tcPr>
          <w:p>
            <w:pPr>
              <w:spacing w:after="0"/>
              <w:rPr>
                <w:sz w:val="8"/>
                <w:szCs w:val="8"/>
                <w:color w:val="auto"/>
              </w:rPr>
            </w:pPr>
          </w:p>
        </w:tc>
        <w:tc>
          <w:tcPr>
            <w:tcW w:w="1140" w:type="dxa"/>
            <w:vAlign w:val="bottom"/>
            <w:shd w:val="clear" w:color="auto" w:fill="00588C"/>
          </w:tcPr>
          <w:p>
            <w:pPr>
              <w:spacing w:after="0"/>
              <w:rPr>
                <w:sz w:val="8"/>
                <w:szCs w:val="8"/>
                <w:color w:val="auto"/>
              </w:rPr>
            </w:pPr>
          </w:p>
        </w:tc>
        <w:tc>
          <w:tcPr>
            <w:tcW w:w="2040" w:type="dxa"/>
            <w:vAlign w:val="bottom"/>
            <w:gridSpan w:val="2"/>
            <w:vMerge w:val="restart"/>
            <w:shd w:val="clear" w:color="auto" w:fill="00588C"/>
          </w:tcPr>
          <w:p>
            <w:pPr>
              <w:jc w:val="right"/>
              <w:ind w:right="313"/>
              <w:spacing w:after="0"/>
              <w:rPr>
                <w:sz w:val="20"/>
                <w:szCs w:val="20"/>
                <w:color w:val="auto"/>
              </w:rPr>
            </w:pPr>
            <w:r>
              <w:rPr>
                <w:rFonts w:ascii="Arial" w:cs="Arial" w:eastAsia="Arial" w:hAnsi="Arial"/>
                <w:sz w:val="13"/>
                <w:szCs w:val="13"/>
                <w:b w:val="1"/>
                <w:bCs w:val="1"/>
                <w:color w:val="FFFFFF"/>
              </w:rPr>
              <w:t>Investment Based On:</w:t>
            </w:r>
          </w:p>
        </w:tc>
        <w:tc>
          <w:tcPr>
            <w:tcW w:w="720" w:type="dxa"/>
            <w:vAlign w:val="bottom"/>
            <w:shd w:val="clear" w:color="auto" w:fill="00588C"/>
          </w:tcPr>
          <w:p>
            <w:pPr>
              <w:spacing w:after="0"/>
              <w:rPr>
                <w:sz w:val="8"/>
                <w:szCs w:val="8"/>
                <w:color w:val="auto"/>
              </w:rPr>
            </w:pPr>
          </w:p>
        </w:tc>
        <w:tc>
          <w:tcPr>
            <w:tcW w:w="1120" w:type="dxa"/>
            <w:vAlign w:val="bottom"/>
            <w:vMerge w:val="continue"/>
            <w:shd w:val="clear" w:color="auto" w:fill="00588C"/>
          </w:tcPr>
          <w:p>
            <w:pPr>
              <w:spacing w:after="0"/>
              <w:rPr>
                <w:sz w:val="8"/>
                <w:szCs w:val="8"/>
                <w:color w:val="auto"/>
              </w:rPr>
            </w:pPr>
          </w:p>
        </w:tc>
        <w:tc>
          <w:tcPr>
            <w:tcW w:w="60" w:type="dxa"/>
            <w:vAlign w:val="bottom"/>
            <w:shd w:val="clear" w:color="auto" w:fill="00588C"/>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520" w:type="dxa"/>
            <w:vAlign w:val="bottom"/>
            <w:shd w:val="clear" w:color="auto" w:fill="00588C"/>
          </w:tcPr>
          <w:p>
            <w:pPr>
              <w:spacing w:after="0"/>
              <w:rPr>
                <w:sz w:val="7"/>
                <w:szCs w:val="7"/>
                <w:color w:val="auto"/>
              </w:rPr>
            </w:pPr>
          </w:p>
        </w:tc>
        <w:tc>
          <w:tcPr>
            <w:tcW w:w="1180" w:type="dxa"/>
            <w:vAlign w:val="bottom"/>
            <w:shd w:val="clear" w:color="auto" w:fill="00588C"/>
          </w:tcPr>
          <w:p>
            <w:pPr>
              <w:spacing w:after="0"/>
              <w:rPr>
                <w:sz w:val="7"/>
                <w:szCs w:val="7"/>
                <w:color w:val="auto"/>
              </w:rPr>
            </w:pPr>
          </w:p>
        </w:tc>
        <w:tc>
          <w:tcPr>
            <w:tcW w:w="1140" w:type="dxa"/>
            <w:vAlign w:val="bottom"/>
            <w:shd w:val="clear" w:color="auto" w:fill="00588C"/>
          </w:tcPr>
          <w:p>
            <w:pPr>
              <w:spacing w:after="0"/>
              <w:rPr>
                <w:sz w:val="7"/>
                <w:szCs w:val="7"/>
                <w:color w:val="auto"/>
              </w:rPr>
            </w:pPr>
          </w:p>
        </w:tc>
        <w:tc>
          <w:tcPr>
            <w:tcW w:w="1160" w:type="dxa"/>
            <w:vAlign w:val="bottom"/>
            <w:vMerge w:val="restart"/>
            <w:shd w:val="clear" w:color="auto" w:fill="00588C"/>
          </w:tcPr>
          <w:p>
            <w:pPr>
              <w:jc w:val="right"/>
              <w:ind w:right="53"/>
              <w:spacing w:after="0"/>
              <w:rPr>
                <w:sz w:val="20"/>
                <w:szCs w:val="20"/>
                <w:color w:val="auto"/>
              </w:rPr>
            </w:pPr>
            <w:r>
              <w:rPr>
                <w:rFonts w:ascii="Arial" w:cs="Arial" w:eastAsia="Arial" w:hAnsi="Arial"/>
                <w:sz w:val="13"/>
                <w:szCs w:val="13"/>
                <w:b w:val="1"/>
                <w:bCs w:val="1"/>
                <w:color w:val="FFFFFF"/>
              </w:rPr>
              <w:t>Average</w:t>
            </w:r>
          </w:p>
        </w:tc>
        <w:tc>
          <w:tcPr>
            <w:tcW w:w="1140" w:type="dxa"/>
            <w:vAlign w:val="bottom"/>
            <w:shd w:val="clear" w:color="auto" w:fill="00588C"/>
          </w:tcPr>
          <w:p>
            <w:pPr>
              <w:spacing w:after="0"/>
              <w:rPr>
                <w:sz w:val="7"/>
                <w:szCs w:val="7"/>
                <w:color w:val="auto"/>
              </w:rPr>
            </w:pPr>
          </w:p>
        </w:tc>
        <w:tc>
          <w:tcPr>
            <w:tcW w:w="2040" w:type="dxa"/>
            <w:vAlign w:val="bottom"/>
            <w:gridSpan w:val="2"/>
            <w:vMerge w:val="continue"/>
            <w:shd w:val="clear" w:color="auto" w:fill="00588C"/>
          </w:tcPr>
          <w:p>
            <w:pPr>
              <w:spacing w:after="0"/>
              <w:rPr>
                <w:sz w:val="7"/>
                <w:szCs w:val="7"/>
                <w:color w:val="auto"/>
              </w:rPr>
            </w:pPr>
          </w:p>
        </w:tc>
        <w:tc>
          <w:tcPr>
            <w:tcW w:w="720" w:type="dxa"/>
            <w:vAlign w:val="bottom"/>
            <w:shd w:val="clear" w:color="auto" w:fill="00588C"/>
          </w:tcPr>
          <w:p>
            <w:pPr>
              <w:spacing w:after="0"/>
              <w:rPr>
                <w:sz w:val="7"/>
                <w:szCs w:val="7"/>
                <w:color w:val="auto"/>
              </w:rPr>
            </w:pPr>
          </w:p>
        </w:tc>
        <w:tc>
          <w:tcPr>
            <w:tcW w:w="1120" w:type="dxa"/>
            <w:vAlign w:val="bottom"/>
            <w:vMerge w:val="restart"/>
            <w:shd w:val="clear" w:color="auto" w:fill="00588C"/>
          </w:tcPr>
          <w:p>
            <w:pPr>
              <w:jc w:val="right"/>
              <w:ind w:right="33"/>
              <w:spacing w:after="0"/>
              <w:rPr>
                <w:sz w:val="20"/>
                <w:szCs w:val="20"/>
                <w:color w:val="auto"/>
              </w:rPr>
            </w:pPr>
            <w:r>
              <w:rPr>
                <w:rFonts w:ascii="Arial" w:cs="Arial" w:eastAsia="Arial" w:hAnsi="Arial"/>
                <w:sz w:val="13"/>
                <w:szCs w:val="13"/>
                <w:b w:val="1"/>
                <w:bCs w:val="1"/>
                <w:color w:val="FFFFFF"/>
              </w:rPr>
              <w:t>Selected</w:t>
            </w:r>
          </w:p>
        </w:tc>
        <w:tc>
          <w:tcPr>
            <w:tcW w:w="60" w:type="dxa"/>
            <w:vAlign w:val="bottom"/>
            <w:shd w:val="clear" w:color="auto" w:fill="00588C"/>
          </w:tcPr>
          <w:p>
            <w:pPr>
              <w:spacing w:after="0"/>
              <w:rPr>
                <w:sz w:val="7"/>
                <w:szCs w:val="7"/>
                <w:color w:val="auto"/>
              </w:rPr>
            </w:pPr>
          </w:p>
        </w:tc>
        <w:tc>
          <w:tcPr>
            <w:tcW w:w="0" w:type="dxa"/>
            <w:vAlign w:val="bottom"/>
          </w:tcPr>
          <w:p>
            <w:pPr>
              <w:spacing w:after="0"/>
              <w:rPr>
                <w:sz w:val="1"/>
                <w:szCs w:val="1"/>
                <w:color w:val="auto"/>
              </w:rPr>
            </w:pPr>
          </w:p>
        </w:tc>
      </w:tr>
      <w:tr>
        <w:trPr>
          <w:trHeight w:val="70"/>
        </w:trPr>
        <w:tc>
          <w:tcPr>
            <w:tcW w:w="520" w:type="dxa"/>
            <w:vAlign w:val="bottom"/>
            <w:shd w:val="clear" w:color="auto" w:fill="00588C"/>
          </w:tcPr>
          <w:p>
            <w:pPr>
              <w:spacing w:after="0"/>
              <w:rPr>
                <w:sz w:val="6"/>
                <w:szCs w:val="6"/>
                <w:color w:val="auto"/>
              </w:rPr>
            </w:pPr>
          </w:p>
        </w:tc>
        <w:tc>
          <w:tcPr>
            <w:tcW w:w="1180" w:type="dxa"/>
            <w:vAlign w:val="bottom"/>
            <w:shd w:val="clear" w:color="auto" w:fill="00588C"/>
          </w:tcPr>
          <w:p>
            <w:pPr>
              <w:spacing w:after="0"/>
              <w:rPr>
                <w:sz w:val="6"/>
                <w:szCs w:val="6"/>
                <w:color w:val="auto"/>
              </w:rPr>
            </w:pPr>
          </w:p>
        </w:tc>
        <w:tc>
          <w:tcPr>
            <w:tcW w:w="1140" w:type="dxa"/>
            <w:vAlign w:val="bottom"/>
            <w:shd w:val="clear" w:color="auto" w:fill="00588C"/>
          </w:tcPr>
          <w:p>
            <w:pPr>
              <w:spacing w:after="0"/>
              <w:rPr>
                <w:sz w:val="6"/>
                <w:szCs w:val="6"/>
                <w:color w:val="auto"/>
              </w:rPr>
            </w:pPr>
          </w:p>
        </w:tc>
        <w:tc>
          <w:tcPr>
            <w:tcW w:w="1160" w:type="dxa"/>
            <w:vAlign w:val="bottom"/>
            <w:vMerge w:val="continue"/>
            <w:shd w:val="clear" w:color="auto" w:fill="00588C"/>
          </w:tcPr>
          <w:p>
            <w:pPr>
              <w:spacing w:after="0"/>
              <w:rPr>
                <w:sz w:val="6"/>
                <w:szCs w:val="6"/>
                <w:color w:val="auto"/>
              </w:rPr>
            </w:pPr>
          </w:p>
        </w:tc>
        <w:tc>
          <w:tcPr>
            <w:tcW w:w="1140" w:type="dxa"/>
            <w:vAlign w:val="bottom"/>
            <w:shd w:val="clear" w:color="auto" w:fill="00588C"/>
          </w:tcPr>
          <w:p>
            <w:pPr>
              <w:spacing w:after="0"/>
              <w:rPr>
                <w:sz w:val="6"/>
                <w:szCs w:val="6"/>
                <w:color w:val="auto"/>
              </w:rPr>
            </w:pPr>
          </w:p>
        </w:tc>
        <w:tc>
          <w:tcPr>
            <w:tcW w:w="1020" w:type="dxa"/>
            <w:vAlign w:val="bottom"/>
            <w:shd w:val="clear" w:color="auto" w:fill="00588C"/>
          </w:tcPr>
          <w:p>
            <w:pPr>
              <w:spacing w:after="0"/>
              <w:rPr>
                <w:sz w:val="6"/>
                <w:szCs w:val="6"/>
                <w:color w:val="auto"/>
              </w:rPr>
            </w:pPr>
          </w:p>
        </w:tc>
        <w:tc>
          <w:tcPr>
            <w:tcW w:w="1020" w:type="dxa"/>
            <w:vAlign w:val="bottom"/>
            <w:shd w:val="clear" w:color="auto" w:fill="00588C"/>
          </w:tcPr>
          <w:p>
            <w:pPr>
              <w:spacing w:after="0"/>
              <w:rPr>
                <w:sz w:val="6"/>
                <w:szCs w:val="6"/>
                <w:color w:val="auto"/>
              </w:rPr>
            </w:pPr>
          </w:p>
        </w:tc>
        <w:tc>
          <w:tcPr>
            <w:tcW w:w="720" w:type="dxa"/>
            <w:vAlign w:val="bottom"/>
            <w:shd w:val="clear" w:color="auto" w:fill="00588C"/>
          </w:tcPr>
          <w:p>
            <w:pPr>
              <w:spacing w:after="0"/>
              <w:rPr>
                <w:sz w:val="6"/>
                <w:szCs w:val="6"/>
                <w:color w:val="auto"/>
              </w:rPr>
            </w:pPr>
          </w:p>
        </w:tc>
        <w:tc>
          <w:tcPr>
            <w:tcW w:w="1120" w:type="dxa"/>
            <w:vAlign w:val="bottom"/>
            <w:vMerge w:val="continue"/>
            <w:shd w:val="clear" w:color="auto" w:fill="00588C"/>
          </w:tcPr>
          <w:p>
            <w:pPr>
              <w:spacing w:after="0"/>
              <w:rPr>
                <w:sz w:val="6"/>
                <w:szCs w:val="6"/>
                <w:color w:val="auto"/>
              </w:rPr>
            </w:pPr>
          </w:p>
        </w:tc>
        <w:tc>
          <w:tcPr>
            <w:tcW w:w="60" w:type="dxa"/>
            <w:vAlign w:val="bottom"/>
            <w:shd w:val="clear" w:color="auto" w:fill="00588C"/>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520" w:type="dxa"/>
            <w:vAlign w:val="bottom"/>
            <w:shd w:val="clear" w:color="auto" w:fill="00588C"/>
          </w:tcPr>
          <w:p>
            <w:pPr>
              <w:spacing w:after="0"/>
              <w:rPr>
                <w:sz w:val="14"/>
                <w:szCs w:val="14"/>
                <w:color w:val="auto"/>
              </w:rPr>
            </w:pPr>
          </w:p>
        </w:tc>
        <w:tc>
          <w:tcPr>
            <w:tcW w:w="1180" w:type="dxa"/>
            <w:vAlign w:val="bottom"/>
            <w:shd w:val="clear" w:color="auto" w:fill="00588C"/>
          </w:tcPr>
          <w:p>
            <w:pPr>
              <w:spacing w:after="0"/>
              <w:rPr>
                <w:sz w:val="14"/>
                <w:szCs w:val="14"/>
                <w:color w:val="auto"/>
              </w:rPr>
            </w:pPr>
          </w:p>
        </w:tc>
        <w:tc>
          <w:tcPr>
            <w:tcW w:w="1140" w:type="dxa"/>
            <w:vAlign w:val="bottom"/>
            <w:shd w:val="clear" w:color="auto" w:fill="00588C"/>
          </w:tcPr>
          <w:p>
            <w:pPr>
              <w:spacing w:after="0"/>
              <w:rPr>
                <w:sz w:val="14"/>
                <w:szCs w:val="14"/>
                <w:color w:val="auto"/>
              </w:rPr>
            </w:pPr>
          </w:p>
        </w:tc>
        <w:tc>
          <w:tcPr>
            <w:tcW w:w="1160" w:type="dxa"/>
            <w:vAlign w:val="bottom"/>
            <w:shd w:val="clear" w:color="auto" w:fill="00588C"/>
          </w:tcPr>
          <w:p>
            <w:pPr>
              <w:jc w:val="right"/>
              <w:ind w:right="53"/>
              <w:spacing w:after="0"/>
              <w:rPr>
                <w:sz w:val="20"/>
                <w:szCs w:val="20"/>
                <w:color w:val="auto"/>
              </w:rPr>
            </w:pPr>
            <w:r>
              <w:rPr>
                <w:rFonts w:ascii="Arial" w:cs="Arial" w:eastAsia="Arial" w:hAnsi="Arial"/>
                <w:sz w:val="13"/>
                <w:szCs w:val="13"/>
                <w:b w:val="1"/>
                <w:bCs w:val="1"/>
                <w:color w:val="FFFFFF"/>
              </w:rPr>
              <w:t>Summary</w:t>
            </w:r>
          </w:p>
        </w:tc>
        <w:tc>
          <w:tcPr>
            <w:tcW w:w="1140" w:type="dxa"/>
            <w:vAlign w:val="bottom"/>
            <w:shd w:val="clear" w:color="auto" w:fill="00588C"/>
          </w:tcPr>
          <w:p>
            <w:pPr>
              <w:jc w:val="right"/>
              <w:ind w:right="55"/>
              <w:spacing w:after="0"/>
              <w:rPr>
                <w:sz w:val="20"/>
                <w:szCs w:val="20"/>
                <w:color w:val="auto"/>
              </w:rPr>
            </w:pPr>
            <w:r>
              <w:rPr>
                <w:rFonts w:ascii="Arial" w:cs="Arial" w:eastAsia="Arial" w:hAnsi="Arial"/>
                <w:sz w:val="13"/>
                <w:szCs w:val="13"/>
                <w:b w:val="1"/>
                <w:bCs w:val="1"/>
                <w:color w:val="FFFFFF"/>
              </w:rPr>
              <w:t>Average</w:t>
            </w:r>
          </w:p>
        </w:tc>
        <w:tc>
          <w:tcPr>
            <w:tcW w:w="1020" w:type="dxa"/>
            <w:vAlign w:val="bottom"/>
            <w:shd w:val="clear" w:color="auto" w:fill="00588C"/>
          </w:tcPr>
          <w:p>
            <w:pPr>
              <w:spacing w:after="0"/>
              <w:rPr>
                <w:sz w:val="14"/>
                <w:szCs w:val="14"/>
                <w:color w:val="auto"/>
              </w:rPr>
            </w:pPr>
          </w:p>
        </w:tc>
        <w:tc>
          <w:tcPr>
            <w:tcW w:w="1020" w:type="dxa"/>
            <w:vAlign w:val="bottom"/>
            <w:shd w:val="clear" w:color="auto" w:fill="00588C"/>
          </w:tcPr>
          <w:p>
            <w:pPr>
              <w:spacing w:after="0"/>
              <w:rPr>
                <w:sz w:val="14"/>
                <w:szCs w:val="14"/>
                <w:color w:val="auto"/>
              </w:rPr>
            </w:pPr>
          </w:p>
        </w:tc>
        <w:tc>
          <w:tcPr>
            <w:tcW w:w="720" w:type="dxa"/>
            <w:vAlign w:val="bottom"/>
            <w:shd w:val="clear" w:color="auto" w:fill="00588C"/>
          </w:tcPr>
          <w:p>
            <w:pPr>
              <w:spacing w:after="0"/>
              <w:rPr>
                <w:sz w:val="14"/>
                <w:szCs w:val="14"/>
                <w:color w:val="auto"/>
              </w:rPr>
            </w:pPr>
          </w:p>
        </w:tc>
        <w:tc>
          <w:tcPr>
            <w:tcW w:w="1120" w:type="dxa"/>
            <w:vAlign w:val="bottom"/>
            <w:shd w:val="clear" w:color="auto" w:fill="00588C"/>
          </w:tcPr>
          <w:p>
            <w:pPr>
              <w:jc w:val="right"/>
              <w:ind w:right="13"/>
              <w:spacing w:after="0"/>
              <w:rPr>
                <w:sz w:val="20"/>
                <w:szCs w:val="20"/>
                <w:color w:val="auto"/>
              </w:rPr>
            </w:pPr>
            <w:r>
              <w:rPr>
                <w:rFonts w:ascii="Arial" w:cs="Arial" w:eastAsia="Arial" w:hAnsi="Arial"/>
                <w:sz w:val="13"/>
                <w:szCs w:val="13"/>
                <w:b w:val="1"/>
                <w:bCs w:val="1"/>
                <w:color w:val="FFFFFF"/>
              </w:rPr>
              <w:t>Measure:</w:t>
            </w:r>
          </w:p>
        </w:tc>
        <w:tc>
          <w:tcPr>
            <w:tcW w:w="60" w:type="dxa"/>
            <w:vAlign w:val="bottom"/>
            <w:shd w:val="clear" w:color="auto" w:fill="00588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 w:type="dxa"/>
            <w:vAlign w:val="bottom"/>
            <w:shd w:val="clear" w:color="auto" w:fill="00588C"/>
          </w:tcPr>
          <w:p>
            <w:pPr>
              <w:spacing w:after="0"/>
              <w:rPr>
                <w:sz w:val="14"/>
                <w:szCs w:val="14"/>
                <w:color w:val="auto"/>
              </w:rPr>
            </w:pPr>
          </w:p>
        </w:tc>
        <w:tc>
          <w:tcPr>
            <w:tcW w:w="1180" w:type="dxa"/>
            <w:vAlign w:val="bottom"/>
            <w:shd w:val="clear" w:color="auto" w:fill="00588C"/>
          </w:tcPr>
          <w:p>
            <w:pPr>
              <w:jc w:val="right"/>
              <w:ind w:right="53"/>
              <w:spacing w:after="0"/>
              <w:rPr>
                <w:sz w:val="20"/>
                <w:szCs w:val="20"/>
                <w:color w:val="auto"/>
              </w:rPr>
            </w:pPr>
            <w:r>
              <w:rPr>
                <w:rFonts w:ascii="Arial" w:cs="Arial" w:eastAsia="Arial" w:hAnsi="Arial"/>
                <w:sz w:val="13"/>
                <w:szCs w:val="13"/>
                <w:b w:val="1"/>
                <w:bCs w:val="1"/>
                <w:color w:val="FFFFFF"/>
              </w:rPr>
              <w:t>Summary</w:t>
            </w:r>
          </w:p>
        </w:tc>
        <w:tc>
          <w:tcPr>
            <w:tcW w:w="1140" w:type="dxa"/>
            <w:vAlign w:val="bottom"/>
            <w:shd w:val="clear" w:color="auto" w:fill="00588C"/>
          </w:tcPr>
          <w:p>
            <w:pPr>
              <w:spacing w:after="0"/>
              <w:rPr>
                <w:sz w:val="14"/>
                <w:szCs w:val="14"/>
                <w:color w:val="auto"/>
              </w:rPr>
            </w:pPr>
          </w:p>
        </w:tc>
        <w:tc>
          <w:tcPr>
            <w:tcW w:w="1160" w:type="dxa"/>
            <w:vAlign w:val="bottom"/>
            <w:shd w:val="clear" w:color="auto" w:fill="00588C"/>
          </w:tcPr>
          <w:p>
            <w:pPr>
              <w:jc w:val="right"/>
              <w:ind w:right="93"/>
              <w:spacing w:after="0"/>
              <w:rPr>
                <w:sz w:val="20"/>
                <w:szCs w:val="20"/>
                <w:color w:val="auto"/>
              </w:rPr>
            </w:pPr>
            <w:r>
              <w:rPr>
                <w:rFonts w:ascii="Arial" w:cs="Arial" w:eastAsia="Arial" w:hAnsi="Arial"/>
                <w:sz w:val="13"/>
                <w:szCs w:val="13"/>
                <w:b w:val="1"/>
                <w:bCs w:val="1"/>
                <w:color w:val="FFFFFF"/>
              </w:rPr>
              <w:t>Compensation</w:t>
            </w:r>
          </w:p>
        </w:tc>
        <w:tc>
          <w:tcPr>
            <w:tcW w:w="1140" w:type="dxa"/>
            <w:vAlign w:val="bottom"/>
            <w:shd w:val="clear" w:color="auto" w:fill="00588C"/>
          </w:tcPr>
          <w:p>
            <w:pPr>
              <w:jc w:val="right"/>
              <w:ind w:right="75"/>
              <w:spacing w:after="0"/>
              <w:rPr>
                <w:sz w:val="20"/>
                <w:szCs w:val="20"/>
                <w:color w:val="auto"/>
              </w:rPr>
            </w:pPr>
            <w:r>
              <w:rPr>
                <w:rFonts w:ascii="Arial" w:cs="Arial" w:eastAsia="Arial" w:hAnsi="Arial"/>
                <w:sz w:val="13"/>
                <w:szCs w:val="13"/>
                <w:b w:val="1"/>
                <w:bCs w:val="1"/>
                <w:color w:val="FFFFFF"/>
              </w:rPr>
              <w:t>Compensation</w:t>
            </w:r>
          </w:p>
        </w:tc>
        <w:tc>
          <w:tcPr>
            <w:tcW w:w="1020" w:type="dxa"/>
            <w:vAlign w:val="bottom"/>
            <w:shd w:val="clear" w:color="auto" w:fill="00588C"/>
          </w:tcPr>
          <w:p>
            <w:pPr>
              <w:spacing w:after="0"/>
              <w:rPr>
                <w:sz w:val="14"/>
                <w:szCs w:val="14"/>
                <w:color w:val="auto"/>
              </w:rPr>
            </w:pPr>
          </w:p>
        </w:tc>
        <w:tc>
          <w:tcPr>
            <w:tcW w:w="1020" w:type="dxa"/>
            <w:vAlign w:val="bottom"/>
            <w:shd w:val="clear" w:color="auto" w:fill="00588C"/>
          </w:tcPr>
          <w:p>
            <w:pPr>
              <w:jc w:val="right"/>
              <w:ind w:right="33"/>
              <w:spacing w:after="0"/>
              <w:rPr>
                <w:sz w:val="20"/>
                <w:szCs w:val="20"/>
                <w:color w:val="auto"/>
              </w:rPr>
            </w:pPr>
            <w:r>
              <w:rPr>
                <w:rFonts w:ascii="Arial" w:cs="Arial" w:eastAsia="Arial" w:hAnsi="Arial"/>
                <w:sz w:val="13"/>
                <w:szCs w:val="13"/>
                <w:b w:val="1"/>
                <w:bCs w:val="1"/>
                <w:color w:val="FFFFFF"/>
              </w:rPr>
              <w:t>Peer Group</w:t>
            </w:r>
          </w:p>
        </w:tc>
        <w:tc>
          <w:tcPr>
            <w:tcW w:w="720" w:type="dxa"/>
            <w:vAlign w:val="bottom"/>
            <w:shd w:val="clear" w:color="auto" w:fill="00588C"/>
          </w:tcPr>
          <w:p>
            <w:pPr>
              <w:spacing w:after="0"/>
              <w:rPr>
                <w:sz w:val="14"/>
                <w:szCs w:val="14"/>
                <w:color w:val="auto"/>
              </w:rPr>
            </w:pPr>
          </w:p>
        </w:tc>
        <w:tc>
          <w:tcPr>
            <w:tcW w:w="1120" w:type="dxa"/>
            <w:vAlign w:val="bottom"/>
            <w:shd w:val="clear" w:color="auto" w:fill="00588C"/>
          </w:tcPr>
          <w:p>
            <w:pPr>
              <w:jc w:val="right"/>
              <w:ind w:right="33"/>
              <w:spacing w:after="0"/>
              <w:rPr>
                <w:sz w:val="20"/>
                <w:szCs w:val="20"/>
                <w:color w:val="auto"/>
              </w:rPr>
            </w:pPr>
            <w:r>
              <w:rPr>
                <w:rFonts w:ascii="Arial" w:cs="Arial" w:eastAsia="Arial" w:hAnsi="Arial"/>
                <w:sz w:val="13"/>
                <w:szCs w:val="13"/>
                <w:b w:val="1"/>
                <w:bCs w:val="1"/>
                <w:color w:val="FFFFFF"/>
              </w:rPr>
              <w:t>Revenues</w:t>
            </w:r>
          </w:p>
        </w:tc>
        <w:tc>
          <w:tcPr>
            <w:tcW w:w="60" w:type="dxa"/>
            <w:vAlign w:val="bottom"/>
            <w:shd w:val="clear" w:color="auto" w:fill="00588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 w:type="dxa"/>
            <w:vAlign w:val="bottom"/>
            <w:shd w:val="clear" w:color="auto" w:fill="00588C"/>
          </w:tcPr>
          <w:p>
            <w:pPr>
              <w:spacing w:after="0"/>
              <w:rPr>
                <w:sz w:val="14"/>
                <w:szCs w:val="14"/>
                <w:color w:val="auto"/>
              </w:rPr>
            </w:pPr>
          </w:p>
        </w:tc>
        <w:tc>
          <w:tcPr>
            <w:tcW w:w="1180" w:type="dxa"/>
            <w:vAlign w:val="bottom"/>
            <w:shd w:val="clear" w:color="auto" w:fill="00588C"/>
          </w:tcPr>
          <w:p>
            <w:pPr>
              <w:jc w:val="right"/>
              <w:ind w:right="73"/>
              <w:spacing w:after="0"/>
              <w:rPr>
                <w:sz w:val="20"/>
                <w:szCs w:val="20"/>
                <w:color w:val="auto"/>
              </w:rPr>
            </w:pPr>
            <w:r>
              <w:rPr>
                <w:rFonts w:ascii="Arial" w:cs="Arial" w:eastAsia="Arial" w:hAnsi="Arial"/>
                <w:sz w:val="13"/>
                <w:szCs w:val="13"/>
                <w:b w:val="1"/>
                <w:bCs w:val="1"/>
                <w:color w:val="FFFFFF"/>
              </w:rPr>
              <w:t>Compensation</w:t>
            </w:r>
          </w:p>
        </w:tc>
        <w:tc>
          <w:tcPr>
            <w:tcW w:w="1140" w:type="dxa"/>
            <w:vAlign w:val="bottom"/>
            <w:shd w:val="clear" w:color="auto" w:fill="00588C"/>
          </w:tcPr>
          <w:p>
            <w:pPr>
              <w:jc w:val="right"/>
              <w:ind w:right="73"/>
              <w:spacing w:after="0"/>
              <w:rPr>
                <w:sz w:val="20"/>
                <w:szCs w:val="20"/>
                <w:color w:val="auto"/>
              </w:rPr>
            </w:pPr>
            <w:r>
              <w:rPr>
                <w:rFonts w:ascii="Arial" w:cs="Arial" w:eastAsia="Arial" w:hAnsi="Arial"/>
                <w:sz w:val="13"/>
                <w:szCs w:val="13"/>
                <w:b w:val="1"/>
                <w:bCs w:val="1"/>
                <w:color w:val="FFFFFF"/>
              </w:rPr>
              <w:t>Compensation</w:t>
            </w:r>
          </w:p>
        </w:tc>
        <w:tc>
          <w:tcPr>
            <w:tcW w:w="1160" w:type="dxa"/>
            <w:vAlign w:val="bottom"/>
            <w:shd w:val="clear" w:color="auto" w:fill="00588C"/>
          </w:tcPr>
          <w:p>
            <w:pPr>
              <w:jc w:val="right"/>
              <w:ind w:right="93"/>
              <w:spacing w:after="0"/>
              <w:rPr>
                <w:sz w:val="20"/>
                <w:szCs w:val="20"/>
                <w:color w:val="auto"/>
              </w:rPr>
            </w:pPr>
            <w:r>
              <w:rPr>
                <w:rFonts w:ascii="Arial" w:cs="Arial" w:eastAsia="Arial" w:hAnsi="Arial"/>
                <w:sz w:val="13"/>
                <w:szCs w:val="13"/>
                <w:b w:val="1"/>
                <w:bCs w:val="1"/>
                <w:color w:val="FFFFFF"/>
              </w:rPr>
              <w:t>Table Total for</w:t>
            </w:r>
          </w:p>
        </w:tc>
        <w:tc>
          <w:tcPr>
            <w:tcW w:w="1140" w:type="dxa"/>
            <w:vAlign w:val="bottom"/>
            <w:shd w:val="clear" w:color="auto" w:fill="00588C"/>
          </w:tcPr>
          <w:p>
            <w:pPr>
              <w:jc w:val="right"/>
              <w:ind w:right="75"/>
              <w:spacing w:after="0"/>
              <w:rPr>
                <w:sz w:val="20"/>
                <w:szCs w:val="20"/>
                <w:color w:val="auto"/>
              </w:rPr>
            </w:pPr>
            <w:r>
              <w:rPr>
                <w:rFonts w:ascii="Arial" w:cs="Arial" w:eastAsia="Arial" w:hAnsi="Arial"/>
                <w:sz w:val="13"/>
                <w:szCs w:val="13"/>
                <w:b w:val="1"/>
                <w:bCs w:val="1"/>
                <w:color w:val="FFFFFF"/>
              </w:rPr>
              <w:t>Actually Paid</w:t>
            </w:r>
          </w:p>
        </w:tc>
        <w:tc>
          <w:tcPr>
            <w:tcW w:w="1020" w:type="dxa"/>
            <w:vAlign w:val="bottom"/>
            <w:shd w:val="clear" w:color="auto" w:fill="00588C"/>
          </w:tcPr>
          <w:p>
            <w:pPr>
              <w:jc w:val="right"/>
              <w:ind w:right="13"/>
              <w:spacing w:after="0"/>
              <w:rPr>
                <w:sz w:val="20"/>
                <w:szCs w:val="20"/>
                <w:color w:val="auto"/>
              </w:rPr>
            </w:pPr>
            <w:r>
              <w:rPr>
                <w:rFonts w:ascii="Arial" w:cs="Arial" w:eastAsia="Arial" w:hAnsi="Arial"/>
                <w:sz w:val="13"/>
                <w:szCs w:val="13"/>
                <w:b w:val="1"/>
                <w:bCs w:val="1"/>
                <w:color w:val="FFFFFF"/>
              </w:rPr>
              <w:t>Total</w:t>
            </w:r>
          </w:p>
        </w:tc>
        <w:tc>
          <w:tcPr>
            <w:tcW w:w="1020" w:type="dxa"/>
            <w:vAlign w:val="bottom"/>
            <w:shd w:val="clear" w:color="auto" w:fill="00588C"/>
          </w:tcPr>
          <w:p>
            <w:pPr>
              <w:jc w:val="right"/>
              <w:ind w:right="13"/>
              <w:spacing w:after="0"/>
              <w:rPr>
                <w:sz w:val="20"/>
                <w:szCs w:val="20"/>
                <w:color w:val="auto"/>
              </w:rPr>
            </w:pPr>
            <w:r>
              <w:rPr>
                <w:rFonts w:ascii="Arial" w:cs="Arial" w:eastAsia="Arial" w:hAnsi="Arial"/>
                <w:sz w:val="13"/>
                <w:szCs w:val="13"/>
                <w:b w:val="1"/>
                <w:bCs w:val="1"/>
                <w:color w:val="FFFFFF"/>
              </w:rPr>
              <w:t>Total</w:t>
            </w:r>
          </w:p>
        </w:tc>
        <w:tc>
          <w:tcPr>
            <w:tcW w:w="720" w:type="dxa"/>
            <w:vAlign w:val="bottom"/>
            <w:shd w:val="clear" w:color="auto" w:fill="00588C"/>
          </w:tcPr>
          <w:p>
            <w:pPr>
              <w:spacing w:after="0"/>
              <w:rPr>
                <w:sz w:val="14"/>
                <w:szCs w:val="14"/>
                <w:color w:val="auto"/>
              </w:rPr>
            </w:pPr>
          </w:p>
        </w:tc>
        <w:tc>
          <w:tcPr>
            <w:tcW w:w="1120" w:type="dxa"/>
            <w:vAlign w:val="bottom"/>
            <w:shd w:val="clear" w:color="auto" w:fill="00588C"/>
          </w:tcPr>
          <w:p>
            <w:pPr>
              <w:jc w:val="right"/>
              <w:ind w:right="33"/>
              <w:spacing w:after="0"/>
              <w:rPr>
                <w:sz w:val="20"/>
                <w:szCs w:val="20"/>
                <w:color w:val="auto"/>
              </w:rPr>
            </w:pPr>
            <w:r>
              <w:rPr>
                <w:rFonts w:ascii="Arial" w:cs="Arial" w:eastAsia="Arial" w:hAnsi="Arial"/>
                <w:sz w:val="13"/>
                <w:szCs w:val="13"/>
                <w:b w:val="1"/>
                <w:bCs w:val="1"/>
                <w:color w:val="FFFFFF"/>
              </w:rPr>
              <w:t>before</w:t>
            </w:r>
          </w:p>
        </w:tc>
        <w:tc>
          <w:tcPr>
            <w:tcW w:w="60" w:type="dxa"/>
            <w:vAlign w:val="bottom"/>
            <w:shd w:val="clear" w:color="auto" w:fill="00588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 w:type="dxa"/>
            <w:vAlign w:val="bottom"/>
            <w:shd w:val="clear" w:color="auto" w:fill="00588C"/>
          </w:tcPr>
          <w:p>
            <w:pPr>
              <w:spacing w:after="0"/>
              <w:rPr>
                <w:sz w:val="14"/>
                <w:szCs w:val="14"/>
                <w:color w:val="auto"/>
              </w:rPr>
            </w:pPr>
          </w:p>
        </w:tc>
        <w:tc>
          <w:tcPr>
            <w:tcW w:w="1180" w:type="dxa"/>
            <w:vAlign w:val="bottom"/>
            <w:shd w:val="clear" w:color="auto" w:fill="00588C"/>
          </w:tcPr>
          <w:p>
            <w:pPr>
              <w:jc w:val="right"/>
              <w:ind w:right="93"/>
              <w:spacing w:after="0"/>
              <w:rPr>
                <w:sz w:val="20"/>
                <w:szCs w:val="20"/>
                <w:color w:val="auto"/>
              </w:rPr>
            </w:pPr>
            <w:r>
              <w:rPr>
                <w:rFonts w:ascii="Arial" w:cs="Arial" w:eastAsia="Arial" w:hAnsi="Arial"/>
                <w:sz w:val="13"/>
                <w:szCs w:val="13"/>
                <w:b w:val="1"/>
                <w:bCs w:val="1"/>
                <w:color w:val="FFFFFF"/>
              </w:rPr>
              <w:t>Table Total for</w:t>
            </w:r>
          </w:p>
        </w:tc>
        <w:tc>
          <w:tcPr>
            <w:tcW w:w="1140" w:type="dxa"/>
            <w:vAlign w:val="bottom"/>
            <w:shd w:val="clear" w:color="auto" w:fill="00588C"/>
          </w:tcPr>
          <w:p>
            <w:pPr>
              <w:jc w:val="right"/>
              <w:ind w:right="53"/>
              <w:spacing w:after="0"/>
              <w:rPr>
                <w:sz w:val="20"/>
                <w:szCs w:val="20"/>
                <w:color w:val="auto"/>
              </w:rPr>
            </w:pPr>
            <w:r>
              <w:rPr>
                <w:rFonts w:ascii="Arial" w:cs="Arial" w:eastAsia="Arial" w:hAnsi="Arial"/>
                <w:sz w:val="13"/>
                <w:szCs w:val="13"/>
                <w:b w:val="1"/>
                <w:bCs w:val="1"/>
                <w:color w:val="FFFFFF"/>
              </w:rPr>
              <w:t>Actually Paid</w:t>
            </w:r>
          </w:p>
        </w:tc>
        <w:tc>
          <w:tcPr>
            <w:tcW w:w="1160" w:type="dxa"/>
            <w:vAlign w:val="bottom"/>
            <w:shd w:val="clear" w:color="auto" w:fill="00588C"/>
          </w:tcPr>
          <w:p>
            <w:pPr>
              <w:jc w:val="right"/>
              <w:ind w:right="53"/>
              <w:spacing w:after="0"/>
              <w:rPr>
                <w:sz w:val="20"/>
                <w:szCs w:val="20"/>
                <w:color w:val="auto"/>
              </w:rPr>
            </w:pPr>
            <w:r>
              <w:rPr>
                <w:rFonts w:ascii="Arial" w:cs="Arial" w:eastAsia="Arial" w:hAnsi="Arial"/>
                <w:sz w:val="13"/>
                <w:szCs w:val="13"/>
                <w:b w:val="1"/>
                <w:bCs w:val="1"/>
                <w:color w:val="FFFFFF"/>
              </w:rPr>
              <w:t>Non-PEO</w:t>
            </w:r>
          </w:p>
        </w:tc>
        <w:tc>
          <w:tcPr>
            <w:tcW w:w="1140" w:type="dxa"/>
            <w:vAlign w:val="bottom"/>
            <w:shd w:val="clear" w:color="auto" w:fill="00588C"/>
          </w:tcPr>
          <w:p>
            <w:pPr>
              <w:jc w:val="right"/>
              <w:ind w:right="55"/>
              <w:spacing w:after="0"/>
              <w:rPr>
                <w:sz w:val="20"/>
                <w:szCs w:val="20"/>
                <w:color w:val="auto"/>
              </w:rPr>
            </w:pPr>
            <w:r>
              <w:rPr>
                <w:rFonts w:ascii="Arial" w:cs="Arial" w:eastAsia="Arial" w:hAnsi="Arial"/>
                <w:sz w:val="13"/>
                <w:szCs w:val="13"/>
                <w:b w:val="1"/>
                <w:bCs w:val="1"/>
                <w:color w:val="FFFFFF"/>
              </w:rPr>
              <w:t>to Non-PEO</w:t>
            </w:r>
          </w:p>
        </w:tc>
        <w:tc>
          <w:tcPr>
            <w:tcW w:w="1020" w:type="dxa"/>
            <w:vAlign w:val="bottom"/>
            <w:shd w:val="clear" w:color="auto" w:fill="00588C"/>
          </w:tcPr>
          <w:p>
            <w:pPr>
              <w:jc w:val="right"/>
              <w:ind w:right="53"/>
              <w:spacing w:after="0"/>
              <w:rPr>
                <w:sz w:val="20"/>
                <w:szCs w:val="20"/>
                <w:color w:val="auto"/>
              </w:rPr>
            </w:pPr>
            <w:r>
              <w:rPr>
                <w:rFonts w:ascii="Arial" w:cs="Arial" w:eastAsia="Arial" w:hAnsi="Arial"/>
                <w:sz w:val="13"/>
                <w:szCs w:val="13"/>
                <w:b w:val="1"/>
                <w:bCs w:val="1"/>
                <w:color w:val="FFFFFF"/>
              </w:rPr>
              <w:t>Shareholder</w:t>
            </w:r>
          </w:p>
        </w:tc>
        <w:tc>
          <w:tcPr>
            <w:tcW w:w="1020" w:type="dxa"/>
            <w:vAlign w:val="bottom"/>
            <w:shd w:val="clear" w:color="auto" w:fill="00588C"/>
          </w:tcPr>
          <w:p>
            <w:pPr>
              <w:jc w:val="right"/>
              <w:ind w:right="53"/>
              <w:spacing w:after="0"/>
              <w:rPr>
                <w:sz w:val="20"/>
                <w:szCs w:val="20"/>
                <w:color w:val="auto"/>
              </w:rPr>
            </w:pPr>
            <w:r>
              <w:rPr>
                <w:rFonts w:ascii="Arial" w:cs="Arial" w:eastAsia="Arial" w:hAnsi="Arial"/>
                <w:sz w:val="13"/>
                <w:szCs w:val="13"/>
                <w:b w:val="1"/>
                <w:bCs w:val="1"/>
                <w:color w:val="FFFFFF"/>
              </w:rPr>
              <w:t>Shareholder</w:t>
            </w:r>
          </w:p>
        </w:tc>
        <w:tc>
          <w:tcPr>
            <w:tcW w:w="720" w:type="dxa"/>
            <w:vAlign w:val="bottom"/>
            <w:shd w:val="clear" w:color="auto" w:fill="00588C"/>
          </w:tcPr>
          <w:p>
            <w:pPr>
              <w:jc w:val="right"/>
              <w:ind w:right="13"/>
              <w:spacing w:after="0"/>
              <w:rPr>
                <w:sz w:val="20"/>
                <w:szCs w:val="20"/>
                <w:color w:val="auto"/>
              </w:rPr>
            </w:pPr>
            <w:r>
              <w:rPr>
                <w:rFonts w:ascii="Arial" w:cs="Arial" w:eastAsia="Arial" w:hAnsi="Arial"/>
                <w:sz w:val="13"/>
                <w:szCs w:val="13"/>
                <w:b w:val="1"/>
                <w:bCs w:val="1"/>
                <w:color w:val="FFFFFF"/>
              </w:rPr>
              <w:t>Net</w:t>
            </w:r>
          </w:p>
        </w:tc>
        <w:tc>
          <w:tcPr>
            <w:tcW w:w="1120" w:type="dxa"/>
            <w:vAlign w:val="bottom"/>
            <w:shd w:val="clear" w:color="auto" w:fill="00588C"/>
          </w:tcPr>
          <w:p>
            <w:pPr>
              <w:jc w:val="right"/>
              <w:ind w:right="73"/>
              <w:spacing w:after="0"/>
              <w:rPr>
                <w:sz w:val="20"/>
                <w:szCs w:val="20"/>
                <w:color w:val="auto"/>
              </w:rPr>
            </w:pPr>
            <w:r>
              <w:rPr>
                <w:rFonts w:ascii="Arial" w:cs="Arial" w:eastAsia="Arial" w:hAnsi="Arial"/>
                <w:sz w:val="13"/>
                <w:szCs w:val="13"/>
                <w:b w:val="1"/>
                <w:bCs w:val="1"/>
                <w:color w:val="FFFFFF"/>
              </w:rPr>
              <w:t>Reimbursable</w:t>
            </w:r>
          </w:p>
        </w:tc>
        <w:tc>
          <w:tcPr>
            <w:tcW w:w="60" w:type="dxa"/>
            <w:vAlign w:val="bottom"/>
            <w:shd w:val="clear" w:color="auto" w:fill="00588C"/>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520" w:type="dxa"/>
            <w:vAlign w:val="bottom"/>
            <w:shd w:val="clear" w:color="auto" w:fill="00588C"/>
          </w:tcPr>
          <w:p>
            <w:pPr>
              <w:spacing w:after="0"/>
              <w:rPr>
                <w:sz w:val="11"/>
                <w:szCs w:val="11"/>
                <w:color w:val="auto"/>
              </w:rPr>
            </w:pPr>
          </w:p>
        </w:tc>
        <w:tc>
          <w:tcPr>
            <w:tcW w:w="1180" w:type="dxa"/>
            <w:vAlign w:val="bottom"/>
            <w:shd w:val="clear" w:color="auto" w:fill="00588C"/>
          </w:tcPr>
          <w:p>
            <w:pPr>
              <w:jc w:val="right"/>
              <w:ind w:right="13"/>
              <w:spacing w:after="0" w:line="136" w:lineRule="exact"/>
              <w:rPr>
                <w:sz w:val="20"/>
                <w:szCs w:val="20"/>
                <w:color w:val="auto"/>
              </w:rPr>
            </w:pPr>
            <w:r>
              <w:rPr>
                <w:rFonts w:ascii="Arial" w:cs="Arial" w:eastAsia="Arial" w:hAnsi="Arial"/>
                <w:sz w:val="13"/>
                <w:szCs w:val="13"/>
                <w:b w:val="1"/>
                <w:bCs w:val="1"/>
                <w:color w:val="FFFFFF"/>
              </w:rPr>
              <w:t>PEO</w:t>
            </w:r>
          </w:p>
        </w:tc>
        <w:tc>
          <w:tcPr>
            <w:tcW w:w="1140" w:type="dxa"/>
            <w:vAlign w:val="bottom"/>
            <w:shd w:val="clear" w:color="auto" w:fill="00588C"/>
          </w:tcPr>
          <w:p>
            <w:pPr>
              <w:jc w:val="right"/>
              <w:ind w:right="13"/>
              <w:spacing w:after="0" w:line="136" w:lineRule="exact"/>
              <w:rPr>
                <w:sz w:val="20"/>
                <w:szCs w:val="20"/>
                <w:color w:val="auto"/>
              </w:rPr>
            </w:pPr>
            <w:r>
              <w:rPr>
                <w:rFonts w:ascii="Arial" w:cs="Arial" w:eastAsia="Arial" w:hAnsi="Arial"/>
                <w:sz w:val="13"/>
                <w:szCs w:val="13"/>
                <w:b w:val="1"/>
                <w:bCs w:val="1"/>
                <w:color w:val="FFFFFF"/>
              </w:rPr>
              <w:t>to PEO</w:t>
            </w:r>
          </w:p>
        </w:tc>
        <w:tc>
          <w:tcPr>
            <w:tcW w:w="1160" w:type="dxa"/>
            <w:vAlign w:val="bottom"/>
            <w:shd w:val="clear" w:color="auto" w:fill="00588C"/>
          </w:tcPr>
          <w:p>
            <w:pPr>
              <w:jc w:val="right"/>
              <w:ind w:right="13"/>
              <w:spacing w:after="0" w:line="136" w:lineRule="exact"/>
              <w:rPr>
                <w:sz w:val="20"/>
                <w:szCs w:val="20"/>
                <w:color w:val="auto"/>
              </w:rPr>
            </w:pPr>
            <w:r>
              <w:rPr>
                <w:rFonts w:ascii="Arial" w:cs="Arial" w:eastAsia="Arial" w:hAnsi="Arial"/>
                <w:sz w:val="13"/>
                <w:szCs w:val="13"/>
                <w:b w:val="1"/>
                <w:bCs w:val="1"/>
                <w:color w:val="FFFFFF"/>
              </w:rPr>
              <w:t>NEOs</w:t>
            </w:r>
          </w:p>
        </w:tc>
        <w:tc>
          <w:tcPr>
            <w:tcW w:w="1140" w:type="dxa"/>
            <w:vAlign w:val="bottom"/>
            <w:shd w:val="clear" w:color="auto" w:fill="00588C"/>
          </w:tcPr>
          <w:p>
            <w:pPr>
              <w:jc w:val="right"/>
              <w:spacing w:after="0" w:line="136" w:lineRule="exact"/>
              <w:rPr>
                <w:sz w:val="20"/>
                <w:szCs w:val="20"/>
                <w:color w:val="auto"/>
              </w:rPr>
            </w:pPr>
            <w:r>
              <w:rPr>
                <w:rFonts w:ascii="Arial" w:cs="Arial" w:eastAsia="Arial" w:hAnsi="Arial"/>
                <w:sz w:val="13"/>
                <w:szCs w:val="13"/>
                <w:b w:val="1"/>
                <w:bCs w:val="1"/>
                <w:color w:val="FFFFFF"/>
              </w:rPr>
              <w:t>NEOs</w:t>
            </w:r>
          </w:p>
        </w:tc>
        <w:tc>
          <w:tcPr>
            <w:tcW w:w="1020" w:type="dxa"/>
            <w:vAlign w:val="bottom"/>
            <w:shd w:val="clear" w:color="auto" w:fill="00588C"/>
          </w:tcPr>
          <w:p>
            <w:pPr>
              <w:jc w:val="right"/>
              <w:ind w:right="33"/>
              <w:spacing w:after="0" w:line="136" w:lineRule="exact"/>
              <w:rPr>
                <w:sz w:val="20"/>
                <w:szCs w:val="20"/>
                <w:color w:val="auto"/>
              </w:rPr>
            </w:pPr>
            <w:r>
              <w:rPr>
                <w:rFonts w:ascii="Arial" w:cs="Arial" w:eastAsia="Arial" w:hAnsi="Arial"/>
                <w:sz w:val="13"/>
                <w:szCs w:val="13"/>
                <w:b w:val="1"/>
                <w:bCs w:val="1"/>
                <w:color w:val="FFFFFF"/>
              </w:rPr>
              <w:t>Return</w:t>
            </w:r>
          </w:p>
        </w:tc>
        <w:tc>
          <w:tcPr>
            <w:tcW w:w="1020" w:type="dxa"/>
            <w:vAlign w:val="bottom"/>
            <w:shd w:val="clear" w:color="auto" w:fill="00588C"/>
          </w:tcPr>
          <w:p>
            <w:pPr>
              <w:jc w:val="right"/>
              <w:ind w:right="13"/>
              <w:spacing w:after="0" w:line="136" w:lineRule="exact"/>
              <w:rPr>
                <w:sz w:val="20"/>
                <w:szCs w:val="20"/>
                <w:color w:val="auto"/>
              </w:rPr>
            </w:pPr>
            <w:r>
              <w:rPr>
                <w:rFonts w:ascii="Arial" w:cs="Arial" w:eastAsia="Arial" w:hAnsi="Arial"/>
                <w:sz w:val="13"/>
                <w:szCs w:val="13"/>
                <w:b w:val="1"/>
                <w:bCs w:val="1"/>
                <w:color w:val="FFFFFF"/>
              </w:rPr>
              <w:t>Return</w:t>
            </w:r>
          </w:p>
        </w:tc>
        <w:tc>
          <w:tcPr>
            <w:tcW w:w="720" w:type="dxa"/>
            <w:vAlign w:val="bottom"/>
            <w:shd w:val="clear" w:color="auto" w:fill="00588C"/>
          </w:tcPr>
          <w:p>
            <w:pPr>
              <w:jc w:val="right"/>
              <w:ind w:right="33"/>
              <w:spacing w:after="0" w:line="136" w:lineRule="exact"/>
              <w:rPr>
                <w:sz w:val="20"/>
                <w:szCs w:val="20"/>
                <w:color w:val="auto"/>
              </w:rPr>
            </w:pPr>
            <w:r>
              <w:rPr>
                <w:rFonts w:ascii="Arial" w:cs="Arial" w:eastAsia="Arial" w:hAnsi="Arial"/>
                <w:sz w:val="13"/>
                <w:szCs w:val="13"/>
                <w:b w:val="1"/>
                <w:bCs w:val="1"/>
                <w:color w:val="FFFFFF"/>
              </w:rPr>
              <w:t>Income</w:t>
            </w:r>
          </w:p>
        </w:tc>
        <w:tc>
          <w:tcPr>
            <w:tcW w:w="1120" w:type="dxa"/>
            <w:vAlign w:val="bottom"/>
            <w:shd w:val="clear" w:color="auto" w:fill="00588C"/>
          </w:tcPr>
          <w:p>
            <w:pPr>
              <w:jc w:val="right"/>
              <w:ind w:right="13"/>
              <w:spacing w:after="0" w:line="136" w:lineRule="exact"/>
              <w:rPr>
                <w:sz w:val="20"/>
                <w:szCs w:val="20"/>
                <w:color w:val="auto"/>
              </w:rPr>
            </w:pPr>
            <w:r>
              <w:rPr>
                <w:rFonts w:ascii="Arial" w:cs="Arial" w:eastAsia="Arial" w:hAnsi="Arial"/>
                <w:sz w:val="13"/>
                <w:szCs w:val="13"/>
                <w:b w:val="1"/>
                <w:bCs w:val="1"/>
                <w:color w:val="FFFFFF"/>
              </w:rPr>
              <w:t>Expenses</w:t>
            </w:r>
          </w:p>
        </w:tc>
        <w:tc>
          <w:tcPr>
            <w:tcW w:w="60" w:type="dxa"/>
            <w:vAlign w:val="bottom"/>
            <w:shd w:val="clear" w:color="auto" w:fill="00588C"/>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520" w:type="dxa"/>
            <w:vAlign w:val="bottom"/>
            <w:shd w:val="clear" w:color="auto" w:fill="00588C"/>
          </w:tcPr>
          <w:p>
            <w:pPr>
              <w:ind w:left="140"/>
              <w:spacing w:after="0"/>
              <w:rPr>
                <w:sz w:val="20"/>
                <w:szCs w:val="20"/>
                <w:color w:val="auto"/>
              </w:rPr>
            </w:pPr>
            <w:r>
              <w:rPr>
                <w:rFonts w:ascii="Arial" w:cs="Arial" w:eastAsia="Arial" w:hAnsi="Arial"/>
                <w:sz w:val="13"/>
                <w:szCs w:val="13"/>
                <w:b w:val="1"/>
                <w:bCs w:val="1"/>
                <w:color w:val="FFFFFF"/>
              </w:rPr>
              <w:t>Year</w:t>
            </w:r>
          </w:p>
        </w:tc>
        <w:tc>
          <w:tcPr>
            <w:tcW w:w="1180" w:type="dxa"/>
            <w:vAlign w:val="bottom"/>
            <w:shd w:val="clear" w:color="auto" w:fill="00588C"/>
          </w:tcPr>
          <w:p>
            <w:pPr>
              <w:jc w:val="right"/>
              <w:spacing w:after="0"/>
              <w:rPr>
                <w:sz w:val="20"/>
                <w:szCs w:val="20"/>
                <w:color w:val="auto"/>
              </w:rPr>
            </w:pPr>
            <w:r>
              <w:rPr>
                <w:rFonts w:ascii="Arial" w:cs="Arial" w:eastAsia="Arial" w:hAnsi="Arial"/>
                <w:sz w:val="13"/>
                <w:szCs w:val="13"/>
                <w:b w:val="1"/>
                <w:bCs w:val="1"/>
                <w:color w:val="FFFFFF"/>
              </w:rPr>
              <w:t xml:space="preserve">($) </w:t>
            </w:r>
            <w:r>
              <w:rPr>
                <w:rFonts w:ascii="Arial" w:cs="Arial" w:eastAsia="Arial" w:hAnsi="Arial"/>
                <w:sz w:val="17"/>
                <w:szCs w:val="17"/>
                <w:b w:val="1"/>
                <w:bCs w:val="1"/>
                <w:color w:val="FFFFFF"/>
                <w:vertAlign w:val="superscript"/>
              </w:rPr>
              <w:t>(1)</w:t>
            </w:r>
          </w:p>
        </w:tc>
        <w:tc>
          <w:tcPr>
            <w:tcW w:w="1140" w:type="dxa"/>
            <w:vAlign w:val="bottom"/>
            <w:shd w:val="clear" w:color="auto" w:fill="00588C"/>
          </w:tcPr>
          <w:p>
            <w:pPr>
              <w:jc w:val="right"/>
              <w:spacing w:after="0"/>
              <w:rPr>
                <w:sz w:val="20"/>
                <w:szCs w:val="20"/>
                <w:color w:val="auto"/>
              </w:rPr>
            </w:pPr>
            <w:r>
              <w:rPr>
                <w:rFonts w:ascii="Arial" w:cs="Arial" w:eastAsia="Arial" w:hAnsi="Arial"/>
                <w:sz w:val="13"/>
                <w:szCs w:val="13"/>
                <w:b w:val="1"/>
                <w:bCs w:val="1"/>
                <w:color w:val="FFFFFF"/>
              </w:rPr>
              <w:t xml:space="preserve">($) </w:t>
            </w:r>
            <w:r>
              <w:rPr>
                <w:rFonts w:ascii="Arial" w:cs="Arial" w:eastAsia="Arial" w:hAnsi="Arial"/>
                <w:sz w:val="17"/>
                <w:szCs w:val="17"/>
                <w:b w:val="1"/>
                <w:bCs w:val="1"/>
                <w:color w:val="FFFFFF"/>
                <w:vertAlign w:val="superscript"/>
              </w:rPr>
              <w:t>(3)</w:t>
            </w:r>
          </w:p>
        </w:tc>
        <w:tc>
          <w:tcPr>
            <w:tcW w:w="1160" w:type="dxa"/>
            <w:vAlign w:val="bottom"/>
            <w:shd w:val="clear" w:color="auto" w:fill="00588C"/>
          </w:tcPr>
          <w:p>
            <w:pPr>
              <w:jc w:val="right"/>
              <w:spacing w:after="0"/>
              <w:rPr>
                <w:sz w:val="20"/>
                <w:szCs w:val="20"/>
                <w:color w:val="auto"/>
              </w:rPr>
            </w:pPr>
            <w:r>
              <w:rPr>
                <w:rFonts w:ascii="Arial" w:cs="Arial" w:eastAsia="Arial" w:hAnsi="Arial"/>
                <w:sz w:val="13"/>
                <w:szCs w:val="13"/>
                <w:b w:val="1"/>
                <w:bCs w:val="1"/>
                <w:color w:val="FFFFFF"/>
              </w:rPr>
              <w:t xml:space="preserve">($) </w:t>
            </w:r>
            <w:r>
              <w:rPr>
                <w:rFonts w:ascii="Arial" w:cs="Arial" w:eastAsia="Arial" w:hAnsi="Arial"/>
                <w:sz w:val="17"/>
                <w:szCs w:val="17"/>
                <w:b w:val="1"/>
                <w:bCs w:val="1"/>
                <w:color w:val="FFFFFF"/>
                <w:vertAlign w:val="superscript"/>
              </w:rPr>
              <w:t>(2)</w:t>
            </w:r>
          </w:p>
        </w:tc>
        <w:tc>
          <w:tcPr>
            <w:tcW w:w="1140" w:type="dxa"/>
            <w:vAlign w:val="bottom"/>
            <w:shd w:val="clear" w:color="auto" w:fill="00588C"/>
          </w:tcPr>
          <w:p>
            <w:pPr>
              <w:jc w:val="right"/>
              <w:spacing w:after="0" w:line="230" w:lineRule="exact"/>
              <w:rPr>
                <w:sz w:val="20"/>
                <w:szCs w:val="20"/>
                <w:color w:val="auto"/>
              </w:rPr>
            </w:pPr>
            <w:r>
              <w:rPr>
                <w:rFonts w:ascii="Arial" w:cs="Arial" w:eastAsia="Arial" w:hAnsi="Arial"/>
                <w:sz w:val="26"/>
                <w:szCs w:val="26"/>
                <w:b w:val="1"/>
                <w:bCs w:val="1"/>
                <w:color w:val="FFFFFF"/>
                <w:vertAlign w:val="subscript"/>
              </w:rPr>
              <w:t>($)</w:t>
            </w:r>
            <w:r>
              <w:rPr>
                <w:rFonts w:ascii="Arial" w:cs="Arial" w:eastAsia="Arial" w:hAnsi="Arial"/>
                <w:sz w:val="9"/>
                <w:szCs w:val="9"/>
                <w:b w:val="1"/>
                <w:bCs w:val="1"/>
                <w:color w:val="FFFFFF"/>
              </w:rPr>
              <w:t xml:space="preserve"> (2)(3)</w:t>
            </w:r>
          </w:p>
        </w:tc>
        <w:tc>
          <w:tcPr>
            <w:tcW w:w="1020" w:type="dxa"/>
            <w:vAlign w:val="bottom"/>
            <w:shd w:val="clear" w:color="auto" w:fill="00588C"/>
          </w:tcPr>
          <w:p>
            <w:pPr>
              <w:jc w:val="right"/>
              <w:spacing w:after="0"/>
              <w:rPr>
                <w:sz w:val="20"/>
                <w:szCs w:val="20"/>
                <w:color w:val="auto"/>
              </w:rPr>
            </w:pPr>
            <w:r>
              <w:rPr>
                <w:rFonts w:ascii="Arial" w:cs="Arial" w:eastAsia="Arial" w:hAnsi="Arial"/>
                <w:sz w:val="13"/>
                <w:szCs w:val="13"/>
                <w:b w:val="1"/>
                <w:bCs w:val="1"/>
                <w:color w:val="FFFFFF"/>
              </w:rPr>
              <w:t>($)</w:t>
            </w:r>
          </w:p>
        </w:tc>
        <w:tc>
          <w:tcPr>
            <w:tcW w:w="1020" w:type="dxa"/>
            <w:vAlign w:val="bottom"/>
            <w:shd w:val="clear" w:color="auto" w:fill="00588C"/>
          </w:tcPr>
          <w:p>
            <w:pPr>
              <w:jc w:val="right"/>
              <w:spacing w:after="0"/>
              <w:rPr>
                <w:sz w:val="20"/>
                <w:szCs w:val="20"/>
                <w:color w:val="auto"/>
              </w:rPr>
            </w:pPr>
            <w:r>
              <w:rPr>
                <w:rFonts w:ascii="Arial" w:cs="Arial" w:eastAsia="Arial" w:hAnsi="Arial"/>
                <w:sz w:val="13"/>
                <w:szCs w:val="13"/>
                <w:b w:val="1"/>
                <w:bCs w:val="1"/>
                <w:color w:val="FFFFFF"/>
              </w:rPr>
              <w:t>($)</w:t>
            </w:r>
          </w:p>
        </w:tc>
        <w:tc>
          <w:tcPr>
            <w:tcW w:w="720" w:type="dxa"/>
            <w:vAlign w:val="bottom"/>
            <w:shd w:val="clear" w:color="auto" w:fill="00588C"/>
          </w:tcPr>
          <w:p>
            <w:pPr>
              <w:jc w:val="right"/>
              <w:ind w:right="33"/>
              <w:spacing w:after="0"/>
              <w:rPr>
                <w:sz w:val="20"/>
                <w:szCs w:val="20"/>
                <w:color w:val="auto"/>
              </w:rPr>
            </w:pPr>
            <w:r>
              <w:rPr>
                <w:rFonts w:ascii="Arial" w:cs="Arial" w:eastAsia="Arial" w:hAnsi="Arial"/>
                <w:sz w:val="13"/>
                <w:szCs w:val="13"/>
                <w:b w:val="1"/>
                <w:bCs w:val="1"/>
                <w:color w:val="FFFFFF"/>
              </w:rPr>
              <w:t>($'000s)</w:t>
            </w:r>
          </w:p>
        </w:tc>
        <w:tc>
          <w:tcPr>
            <w:tcW w:w="1120" w:type="dxa"/>
            <w:vAlign w:val="bottom"/>
            <w:shd w:val="clear" w:color="auto" w:fill="00588C"/>
          </w:tcPr>
          <w:p>
            <w:pPr>
              <w:jc w:val="right"/>
              <w:spacing w:after="0"/>
              <w:rPr>
                <w:sz w:val="20"/>
                <w:szCs w:val="20"/>
                <w:color w:val="auto"/>
              </w:rPr>
            </w:pPr>
            <w:r>
              <w:rPr>
                <w:rFonts w:ascii="Arial" w:cs="Arial" w:eastAsia="Arial" w:hAnsi="Arial"/>
                <w:sz w:val="13"/>
                <w:szCs w:val="13"/>
                <w:b w:val="1"/>
                <w:bCs w:val="1"/>
                <w:color w:val="FFFFFF"/>
              </w:rPr>
              <w:t xml:space="preserve">($'000s) </w:t>
            </w:r>
            <w:r>
              <w:rPr>
                <w:rFonts w:ascii="Arial" w:cs="Arial" w:eastAsia="Arial" w:hAnsi="Arial"/>
                <w:sz w:val="17"/>
                <w:szCs w:val="17"/>
                <w:b w:val="1"/>
                <w:bCs w:val="1"/>
                <w:color w:val="FFFFFF"/>
                <w:vertAlign w:val="superscript"/>
              </w:rPr>
              <w:t>(4)</w:t>
            </w:r>
          </w:p>
        </w:tc>
        <w:tc>
          <w:tcPr>
            <w:tcW w:w="60" w:type="dxa"/>
            <w:vAlign w:val="bottom"/>
            <w:shd w:val="clear" w:color="auto" w:fill="00588C"/>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520" w:type="dxa"/>
            <w:vAlign w:val="bottom"/>
            <w:shd w:val="clear" w:color="auto" w:fill="00588C"/>
          </w:tcPr>
          <w:p>
            <w:pPr>
              <w:spacing w:after="0"/>
              <w:rPr>
                <w:sz w:val="8"/>
                <w:szCs w:val="8"/>
                <w:color w:val="auto"/>
              </w:rPr>
            </w:pPr>
          </w:p>
        </w:tc>
        <w:tc>
          <w:tcPr>
            <w:tcW w:w="1180" w:type="dxa"/>
            <w:vAlign w:val="bottom"/>
            <w:shd w:val="clear" w:color="auto" w:fill="00588C"/>
          </w:tcPr>
          <w:p>
            <w:pPr>
              <w:spacing w:after="0"/>
              <w:rPr>
                <w:sz w:val="8"/>
                <w:szCs w:val="8"/>
                <w:color w:val="auto"/>
              </w:rPr>
            </w:pPr>
          </w:p>
        </w:tc>
        <w:tc>
          <w:tcPr>
            <w:tcW w:w="1140" w:type="dxa"/>
            <w:vAlign w:val="bottom"/>
            <w:shd w:val="clear" w:color="auto" w:fill="00588C"/>
          </w:tcPr>
          <w:p>
            <w:pPr>
              <w:spacing w:after="0"/>
              <w:rPr>
                <w:sz w:val="8"/>
                <w:szCs w:val="8"/>
                <w:color w:val="auto"/>
              </w:rPr>
            </w:pPr>
          </w:p>
        </w:tc>
        <w:tc>
          <w:tcPr>
            <w:tcW w:w="1160" w:type="dxa"/>
            <w:vAlign w:val="bottom"/>
            <w:shd w:val="clear" w:color="auto" w:fill="00588C"/>
          </w:tcPr>
          <w:p>
            <w:pPr>
              <w:spacing w:after="0"/>
              <w:rPr>
                <w:sz w:val="8"/>
                <w:szCs w:val="8"/>
                <w:color w:val="auto"/>
              </w:rPr>
            </w:pPr>
          </w:p>
        </w:tc>
        <w:tc>
          <w:tcPr>
            <w:tcW w:w="1140" w:type="dxa"/>
            <w:vAlign w:val="bottom"/>
            <w:shd w:val="clear" w:color="auto" w:fill="00588C"/>
          </w:tcPr>
          <w:p>
            <w:pPr>
              <w:spacing w:after="0"/>
              <w:rPr>
                <w:sz w:val="8"/>
                <w:szCs w:val="8"/>
                <w:color w:val="auto"/>
              </w:rPr>
            </w:pPr>
          </w:p>
        </w:tc>
        <w:tc>
          <w:tcPr>
            <w:tcW w:w="1020" w:type="dxa"/>
            <w:vAlign w:val="bottom"/>
            <w:shd w:val="clear" w:color="auto" w:fill="00588C"/>
          </w:tcPr>
          <w:p>
            <w:pPr>
              <w:spacing w:after="0"/>
              <w:rPr>
                <w:sz w:val="8"/>
                <w:szCs w:val="8"/>
                <w:color w:val="auto"/>
              </w:rPr>
            </w:pPr>
          </w:p>
        </w:tc>
        <w:tc>
          <w:tcPr>
            <w:tcW w:w="1020" w:type="dxa"/>
            <w:vAlign w:val="bottom"/>
            <w:shd w:val="clear" w:color="auto" w:fill="00588C"/>
          </w:tcPr>
          <w:p>
            <w:pPr>
              <w:spacing w:after="0"/>
              <w:rPr>
                <w:sz w:val="8"/>
                <w:szCs w:val="8"/>
                <w:color w:val="auto"/>
              </w:rPr>
            </w:pPr>
          </w:p>
        </w:tc>
        <w:tc>
          <w:tcPr>
            <w:tcW w:w="720" w:type="dxa"/>
            <w:vAlign w:val="bottom"/>
            <w:shd w:val="clear" w:color="auto" w:fill="00588C"/>
          </w:tcPr>
          <w:p>
            <w:pPr>
              <w:spacing w:after="0"/>
              <w:rPr>
                <w:sz w:val="8"/>
                <w:szCs w:val="8"/>
                <w:color w:val="auto"/>
              </w:rPr>
            </w:pPr>
          </w:p>
        </w:tc>
        <w:tc>
          <w:tcPr>
            <w:tcW w:w="1120" w:type="dxa"/>
            <w:vAlign w:val="bottom"/>
            <w:shd w:val="clear" w:color="auto" w:fill="00588C"/>
          </w:tcPr>
          <w:p>
            <w:pPr>
              <w:spacing w:after="0"/>
              <w:rPr>
                <w:sz w:val="8"/>
                <w:szCs w:val="8"/>
                <w:color w:val="auto"/>
              </w:rPr>
            </w:pPr>
          </w:p>
        </w:tc>
        <w:tc>
          <w:tcPr>
            <w:tcW w:w="60" w:type="dxa"/>
            <w:vAlign w:val="bottom"/>
            <w:shd w:val="clear" w:color="auto" w:fill="00588C"/>
          </w:tcPr>
          <w:p>
            <w:pPr>
              <w:spacing w:after="0"/>
              <w:rPr>
                <w:sz w:val="8"/>
                <w:szCs w:val="8"/>
                <w:color w:val="auto"/>
              </w:rPr>
            </w:pPr>
          </w:p>
        </w:tc>
        <w:tc>
          <w:tcPr>
            <w:tcW w:w="0" w:type="dxa"/>
            <w:vAlign w:val="bottom"/>
          </w:tcPr>
          <w:p>
            <w:pPr>
              <w:spacing w:after="0"/>
              <w:rPr>
                <w:sz w:val="1"/>
                <w:szCs w:val="1"/>
                <w:color w:val="auto"/>
              </w:rPr>
            </w:pPr>
          </w:p>
        </w:tc>
      </w:tr>
      <w:tr>
        <w:trPr>
          <w:trHeight w:val="320"/>
        </w:trPr>
        <w:tc>
          <w:tcPr>
            <w:tcW w:w="520" w:type="dxa"/>
            <w:vAlign w:val="bottom"/>
            <w:shd w:val="clear" w:color="auto" w:fill="F2F3F2"/>
          </w:tcPr>
          <w:p>
            <w:pPr>
              <w:ind w:left="140"/>
              <w:spacing w:after="0"/>
              <w:rPr>
                <w:sz w:val="20"/>
                <w:szCs w:val="20"/>
                <w:color w:val="auto"/>
              </w:rPr>
            </w:pPr>
            <w:r>
              <w:rPr>
                <w:rFonts w:ascii="Arial" w:cs="Arial" w:eastAsia="Arial" w:hAnsi="Arial"/>
                <w:sz w:val="13"/>
                <w:szCs w:val="13"/>
                <w:b w:val="1"/>
                <w:bCs w:val="1"/>
                <w:color w:val="auto"/>
              </w:rPr>
              <w:t>2024</w:t>
            </w:r>
          </w:p>
        </w:tc>
        <w:tc>
          <w:tcPr>
            <w:tcW w:w="1180" w:type="dxa"/>
            <w:vAlign w:val="bottom"/>
            <w:shd w:val="clear" w:color="auto" w:fill="F2F3F2"/>
          </w:tcPr>
          <w:p>
            <w:pPr>
              <w:jc w:val="right"/>
              <w:spacing w:after="0"/>
              <w:rPr>
                <w:sz w:val="20"/>
                <w:szCs w:val="20"/>
                <w:color w:val="auto"/>
              </w:rPr>
            </w:pPr>
            <w:r>
              <w:rPr>
                <w:rFonts w:ascii="Arial" w:cs="Arial" w:eastAsia="Arial" w:hAnsi="Arial"/>
                <w:sz w:val="13"/>
                <w:szCs w:val="13"/>
                <w:color w:val="auto"/>
              </w:rPr>
              <w:t>6,519,978</w:t>
            </w:r>
          </w:p>
        </w:tc>
        <w:tc>
          <w:tcPr>
            <w:tcW w:w="1140" w:type="dxa"/>
            <w:vAlign w:val="bottom"/>
            <w:shd w:val="clear" w:color="auto" w:fill="F2F3F2"/>
          </w:tcPr>
          <w:p>
            <w:pPr>
              <w:jc w:val="right"/>
              <w:spacing w:after="0"/>
              <w:rPr>
                <w:sz w:val="20"/>
                <w:szCs w:val="20"/>
                <w:color w:val="auto"/>
              </w:rPr>
            </w:pPr>
            <w:r>
              <w:rPr>
                <w:rFonts w:ascii="Arial" w:cs="Arial" w:eastAsia="Arial" w:hAnsi="Arial"/>
                <w:sz w:val="13"/>
                <w:szCs w:val="13"/>
                <w:color w:val="auto"/>
              </w:rPr>
              <w:t>10,541,029</w:t>
            </w:r>
          </w:p>
        </w:tc>
        <w:tc>
          <w:tcPr>
            <w:tcW w:w="1160" w:type="dxa"/>
            <w:vAlign w:val="bottom"/>
            <w:shd w:val="clear" w:color="auto" w:fill="F2F3F2"/>
          </w:tcPr>
          <w:p>
            <w:pPr>
              <w:jc w:val="right"/>
              <w:spacing w:after="0"/>
              <w:rPr>
                <w:sz w:val="20"/>
                <w:szCs w:val="20"/>
                <w:color w:val="auto"/>
              </w:rPr>
            </w:pPr>
            <w:r>
              <w:rPr>
                <w:rFonts w:ascii="Arial" w:cs="Arial" w:eastAsia="Arial" w:hAnsi="Arial"/>
                <w:sz w:val="13"/>
                <w:szCs w:val="13"/>
                <w:color w:val="auto"/>
              </w:rPr>
              <w:t>2,180,600</w:t>
            </w:r>
          </w:p>
        </w:tc>
        <w:tc>
          <w:tcPr>
            <w:tcW w:w="1140" w:type="dxa"/>
            <w:vAlign w:val="bottom"/>
            <w:shd w:val="clear" w:color="auto" w:fill="F2F3F2"/>
          </w:tcPr>
          <w:p>
            <w:pPr>
              <w:jc w:val="right"/>
              <w:spacing w:after="0"/>
              <w:rPr>
                <w:sz w:val="20"/>
                <w:szCs w:val="20"/>
                <w:color w:val="auto"/>
              </w:rPr>
            </w:pPr>
            <w:r>
              <w:rPr>
                <w:rFonts w:ascii="Arial" w:cs="Arial" w:eastAsia="Arial" w:hAnsi="Arial"/>
                <w:sz w:val="13"/>
                <w:szCs w:val="13"/>
                <w:color w:val="auto"/>
              </w:rPr>
              <w:t>3,255,143</w:t>
            </w:r>
          </w:p>
        </w:tc>
        <w:tc>
          <w:tcPr>
            <w:tcW w:w="1020" w:type="dxa"/>
            <w:vAlign w:val="bottom"/>
            <w:shd w:val="clear" w:color="auto" w:fill="F2F3F2"/>
          </w:tcPr>
          <w:p>
            <w:pPr>
              <w:jc w:val="right"/>
              <w:spacing w:after="0"/>
              <w:rPr>
                <w:sz w:val="20"/>
                <w:szCs w:val="20"/>
                <w:color w:val="auto"/>
              </w:rPr>
            </w:pPr>
            <w:r>
              <w:rPr>
                <w:rFonts w:ascii="Arial" w:cs="Arial" w:eastAsia="Arial" w:hAnsi="Arial"/>
                <w:sz w:val="13"/>
                <w:szCs w:val="13"/>
                <w:color w:val="auto"/>
              </w:rPr>
              <w:t>181</w:t>
            </w:r>
          </w:p>
        </w:tc>
        <w:tc>
          <w:tcPr>
            <w:tcW w:w="1020" w:type="dxa"/>
            <w:vAlign w:val="bottom"/>
            <w:shd w:val="clear" w:color="auto" w:fill="F2F3F2"/>
          </w:tcPr>
          <w:p>
            <w:pPr>
              <w:jc w:val="right"/>
              <w:spacing w:after="0"/>
              <w:rPr>
                <w:sz w:val="20"/>
                <w:szCs w:val="20"/>
                <w:color w:val="auto"/>
              </w:rPr>
            </w:pPr>
            <w:r>
              <w:rPr>
                <w:rFonts w:ascii="Arial" w:cs="Arial" w:eastAsia="Arial" w:hAnsi="Arial"/>
                <w:sz w:val="13"/>
                <w:szCs w:val="13"/>
                <w:color w:val="auto"/>
              </w:rPr>
              <w:t>124</w:t>
            </w:r>
          </w:p>
        </w:tc>
        <w:tc>
          <w:tcPr>
            <w:tcW w:w="720" w:type="dxa"/>
            <w:vAlign w:val="bottom"/>
            <w:shd w:val="clear" w:color="auto" w:fill="F2F3F2"/>
          </w:tcPr>
          <w:p>
            <w:pPr>
              <w:jc w:val="right"/>
              <w:spacing w:after="0"/>
              <w:rPr>
                <w:sz w:val="20"/>
                <w:szCs w:val="20"/>
                <w:color w:val="auto"/>
              </w:rPr>
            </w:pPr>
            <w:r>
              <w:rPr>
                <w:rFonts w:ascii="Arial" w:cs="Arial" w:eastAsia="Arial" w:hAnsi="Arial"/>
                <w:sz w:val="13"/>
                <w:szCs w:val="13"/>
                <w:color w:val="auto"/>
              </w:rPr>
              <w:t>116,626</w:t>
            </w:r>
          </w:p>
        </w:tc>
        <w:tc>
          <w:tcPr>
            <w:tcW w:w="1120" w:type="dxa"/>
            <w:vAlign w:val="bottom"/>
            <w:shd w:val="clear" w:color="auto" w:fill="F2F3F2"/>
          </w:tcPr>
          <w:p>
            <w:pPr>
              <w:jc w:val="right"/>
              <w:spacing w:after="0"/>
              <w:rPr>
                <w:sz w:val="20"/>
                <w:szCs w:val="20"/>
                <w:color w:val="auto"/>
              </w:rPr>
            </w:pPr>
            <w:r>
              <w:rPr>
                <w:rFonts w:ascii="Arial" w:cs="Arial" w:eastAsia="Arial" w:hAnsi="Arial"/>
                <w:sz w:val="13"/>
                <w:szCs w:val="13"/>
                <w:color w:val="auto"/>
              </w:rPr>
              <w:t>1,486,085</w:t>
            </w:r>
          </w:p>
        </w:tc>
        <w:tc>
          <w:tcPr>
            <w:tcW w:w="60" w:type="dxa"/>
            <w:vAlign w:val="bottom"/>
            <w:shd w:val="clear" w:color="auto" w:fill="F2F3F2"/>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520" w:type="dxa"/>
            <w:vAlign w:val="bottom"/>
            <w:shd w:val="clear" w:color="auto" w:fill="F2F3F2"/>
          </w:tcPr>
          <w:p>
            <w:pPr>
              <w:spacing w:after="0"/>
              <w:rPr>
                <w:sz w:val="10"/>
                <w:szCs w:val="10"/>
                <w:color w:val="auto"/>
              </w:rPr>
            </w:pPr>
          </w:p>
        </w:tc>
        <w:tc>
          <w:tcPr>
            <w:tcW w:w="1180" w:type="dxa"/>
            <w:vAlign w:val="bottom"/>
            <w:shd w:val="clear" w:color="auto" w:fill="F2F3F2"/>
          </w:tcPr>
          <w:p>
            <w:pPr>
              <w:spacing w:after="0"/>
              <w:rPr>
                <w:sz w:val="10"/>
                <w:szCs w:val="10"/>
                <w:color w:val="auto"/>
              </w:rPr>
            </w:pPr>
          </w:p>
        </w:tc>
        <w:tc>
          <w:tcPr>
            <w:tcW w:w="1140" w:type="dxa"/>
            <w:vAlign w:val="bottom"/>
            <w:shd w:val="clear" w:color="auto" w:fill="F2F3F2"/>
          </w:tcPr>
          <w:p>
            <w:pPr>
              <w:spacing w:after="0"/>
              <w:rPr>
                <w:sz w:val="10"/>
                <w:szCs w:val="10"/>
                <w:color w:val="auto"/>
              </w:rPr>
            </w:pPr>
          </w:p>
        </w:tc>
        <w:tc>
          <w:tcPr>
            <w:tcW w:w="1160" w:type="dxa"/>
            <w:vAlign w:val="bottom"/>
            <w:shd w:val="clear" w:color="auto" w:fill="F2F3F2"/>
          </w:tcPr>
          <w:p>
            <w:pPr>
              <w:spacing w:after="0"/>
              <w:rPr>
                <w:sz w:val="10"/>
                <w:szCs w:val="10"/>
                <w:color w:val="auto"/>
              </w:rPr>
            </w:pPr>
          </w:p>
        </w:tc>
        <w:tc>
          <w:tcPr>
            <w:tcW w:w="1140" w:type="dxa"/>
            <w:vAlign w:val="bottom"/>
            <w:shd w:val="clear" w:color="auto" w:fill="F2F3F2"/>
          </w:tcPr>
          <w:p>
            <w:pPr>
              <w:spacing w:after="0"/>
              <w:rPr>
                <w:sz w:val="10"/>
                <w:szCs w:val="10"/>
                <w:color w:val="auto"/>
              </w:rPr>
            </w:pPr>
          </w:p>
        </w:tc>
        <w:tc>
          <w:tcPr>
            <w:tcW w:w="1020" w:type="dxa"/>
            <w:vAlign w:val="bottom"/>
            <w:shd w:val="clear" w:color="auto" w:fill="F2F3F2"/>
          </w:tcPr>
          <w:p>
            <w:pPr>
              <w:spacing w:after="0"/>
              <w:rPr>
                <w:sz w:val="10"/>
                <w:szCs w:val="10"/>
                <w:color w:val="auto"/>
              </w:rPr>
            </w:pPr>
          </w:p>
        </w:tc>
        <w:tc>
          <w:tcPr>
            <w:tcW w:w="1020" w:type="dxa"/>
            <w:vAlign w:val="bottom"/>
            <w:shd w:val="clear" w:color="auto" w:fill="F2F3F2"/>
          </w:tcPr>
          <w:p>
            <w:pPr>
              <w:spacing w:after="0"/>
              <w:rPr>
                <w:sz w:val="10"/>
                <w:szCs w:val="10"/>
                <w:color w:val="auto"/>
              </w:rPr>
            </w:pPr>
          </w:p>
        </w:tc>
        <w:tc>
          <w:tcPr>
            <w:tcW w:w="720" w:type="dxa"/>
            <w:vAlign w:val="bottom"/>
            <w:shd w:val="clear" w:color="auto" w:fill="F2F3F2"/>
          </w:tcPr>
          <w:p>
            <w:pPr>
              <w:spacing w:after="0"/>
              <w:rPr>
                <w:sz w:val="10"/>
                <w:szCs w:val="10"/>
                <w:color w:val="auto"/>
              </w:rPr>
            </w:pPr>
          </w:p>
        </w:tc>
        <w:tc>
          <w:tcPr>
            <w:tcW w:w="1120" w:type="dxa"/>
            <w:vAlign w:val="bottom"/>
            <w:shd w:val="clear" w:color="auto" w:fill="F2F3F2"/>
          </w:tcPr>
          <w:p>
            <w:pPr>
              <w:spacing w:after="0"/>
              <w:rPr>
                <w:sz w:val="10"/>
                <w:szCs w:val="10"/>
                <w:color w:val="auto"/>
              </w:rPr>
            </w:pPr>
          </w:p>
        </w:tc>
        <w:tc>
          <w:tcPr>
            <w:tcW w:w="60" w:type="dxa"/>
            <w:vAlign w:val="bottom"/>
            <w:shd w:val="clear" w:color="auto" w:fill="F2F3F2"/>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520" w:type="dxa"/>
            <w:vAlign w:val="bottom"/>
          </w:tcPr>
          <w:p>
            <w:pPr>
              <w:ind w:left="140"/>
              <w:spacing w:after="0"/>
              <w:rPr>
                <w:sz w:val="20"/>
                <w:szCs w:val="20"/>
                <w:color w:val="auto"/>
              </w:rPr>
            </w:pPr>
            <w:r>
              <w:rPr>
                <w:rFonts w:ascii="Arial" w:cs="Arial" w:eastAsia="Arial" w:hAnsi="Arial"/>
                <w:sz w:val="13"/>
                <w:szCs w:val="13"/>
                <w:b w:val="1"/>
                <w:bCs w:val="1"/>
                <w:color w:val="auto"/>
              </w:rPr>
              <w:t>2023</w:t>
            </w:r>
          </w:p>
        </w:tc>
        <w:tc>
          <w:tcPr>
            <w:tcW w:w="1180" w:type="dxa"/>
            <w:vAlign w:val="bottom"/>
          </w:tcPr>
          <w:p>
            <w:pPr>
              <w:jc w:val="right"/>
              <w:spacing w:after="0"/>
              <w:rPr>
                <w:sz w:val="20"/>
                <w:szCs w:val="20"/>
                <w:color w:val="auto"/>
              </w:rPr>
            </w:pPr>
            <w:r>
              <w:rPr>
                <w:rFonts w:ascii="Arial" w:cs="Arial" w:eastAsia="Arial" w:hAnsi="Arial"/>
                <w:sz w:val="13"/>
                <w:szCs w:val="13"/>
                <w:color w:val="auto"/>
              </w:rPr>
              <w:t>5,706,403</w:t>
            </w:r>
          </w:p>
        </w:tc>
        <w:tc>
          <w:tcPr>
            <w:tcW w:w="1140" w:type="dxa"/>
            <w:vAlign w:val="bottom"/>
          </w:tcPr>
          <w:p>
            <w:pPr>
              <w:jc w:val="right"/>
              <w:spacing w:after="0"/>
              <w:rPr>
                <w:sz w:val="20"/>
                <w:szCs w:val="20"/>
                <w:color w:val="auto"/>
              </w:rPr>
            </w:pPr>
            <w:r>
              <w:rPr>
                <w:rFonts w:ascii="Arial" w:cs="Arial" w:eastAsia="Arial" w:hAnsi="Arial"/>
                <w:sz w:val="13"/>
                <w:szCs w:val="13"/>
                <w:color w:val="auto"/>
              </w:rPr>
              <w:t>10,225,755</w:t>
            </w:r>
          </w:p>
        </w:tc>
        <w:tc>
          <w:tcPr>
            <w:tcW w:w="1160" w:type="dxa"/>
            <w:vAlign w:val="bottom"/>
          </w:tcPr>
          <w:p>
            <w:pPr>
              <w:jc w:val="right"/>
              <w:ind w:right="13"/>
              <w:spacing w:after="0"/>
              <w:rPr>
                <w:sz w:val="20"/>
                <w:szCs w:val="20"/>
                <w:color w:val="auto"/>
              </w:rPr>
            </w:pPr>
            <w:r>
              <w:rPr>
                <w:rFonts w:ascii="Arial" w:cs="Arial" w:eastAsia="Arial" w:hAnsi="Arial"/>
                <w:sz w:val="13"/>
                <w:szCs w:val="13"/>
                <w:color w:val="auto"/>
              </w:rPr>
              <w:t>2,387,211</w:t>
            </w:r>
          </w:p>
        </w:tc>
        <w:tc>
          <w:tcPr>
            <w:tcW w:w="1140" w:type="dxa"/>
            <w:vAlign w:val="bottom"/>
          </w:tcPr>
          <w:p>
            <w:pPr>
              <w:jc w:val="right"/>
              <w:spacing w:after="0"/>
              <w:rPr>
                <w:sz w:val="20"/>
                <w:szCs w:val="20"/>
                <w:color w:val="auto"/>
              </w:rPr>
            </w:pPr>
            <w:r>
              <w:rPr>
                <w:rFonts w:ascii="Arial" w:cs="Arial" w:eastAsia="Arial" w:hAnsi="Arial"/>
                <w:sz w:val="13"/>
                <w:szCs w:val="13"/>
                <w:color w:val="auto"/>
              </w:rPr>
              <w:t>4,398,093</w:t>
            </w:r>
          </w:p>
        </w:tc>
        <w:tc>
          <w:tcPr>
            <w:tcW w:w="1020" w:type="dxa"/>
            <w:vAlign w:val="bottom"/>
          </w:tcPr>
          <w:p>
            <w:pPr>
              <w:jc w:val="right"/>
              <w:spacing w:after="0"/>
              <w:rPr>
                <w:sz w:val="20"/>
                <w:szCs w:val="20"/>
                <w:color w:val="auto"/>
              </w:rPr>
            </w:pPr>
            <w:r>
              <w:rPr>
                <w:rFonts w:ascii="Arial" w:cs="Arial" w:eastAsia="Arial" w:hAnsi="Arial"/>
                <w:sz w:val="13"/>
                <w:szCs w:val="13"/>
                <w:color w:val="auto"/>
              </w:rPr>
              <w:t>150</w:t>
            </w:r>
          </w:p>
        </w:tc>
        <w:tc>
          <w:tcPr>
            <w:tcW w:w="1020" w:type="dxa"/>
            <w:vAlign w:val="bottom"/>
          </w:tcPr>
          <w:p>
            <w:pPr>
              <w:jc w:val="right"/>
              <w:spacing w:after="0"/>
              <w:rPr>
                <w:sz w:val="20"/>
                <w:szCs w:val="20"/>
                <w:color w:val="auto"/>
              </w:rPr>
            </w:pPr>
            <w:r>
              <w:rPr>
                <w:rFonts w:ascii="Arial" w:cs="Arial" w:eastAsia="Arial" w:hAnsi="Arial"/>
                <w:sz w:val="13"/>
                <w:szCs w:val="13"/>
                <w:color w:val="auto"/>
              </w:rPr>
              <w:t>126</w:t>
            </w:r>
          </w:p>
        </w:tc>
        <w:tc>
          <w:tcPr>
            <w:tcW w:w="720" w:type="dxa"/>
            <w:vAlign w:val="bottom"/>
          </w:tcPr>
          <w:p>
            <w:pPr>
              <w:jc w:val="right"/>
              <w:spacing w:after="0"/>
              <w:rPr>
                <w:sz w:val="20"/>
                <w:szCs w:val="20"/>
                <w:color w:val="auto"/>
              </w:rPr>
            </w:pPr>
            <w:r>
              <w:rPr>
                <w:rFonts w:ascii="Arial" w:cs="Arial" w:eastAsia="Arial" w:hAnsi="Arial"/>
                <w:sz w:val="13"/>
                <w:szCs w:val="13"/>
                <w:color w:val="auto"/>
              </w:rPr>
              <w:t>62,479</w:t>
            </w:r>
          </w:p>
        </w:tc>
        <w:tc>
          <w:tcPr>
            <w:tcW w:w="1120" w:type="dxa"/>
            <w:vAlign w:val="bottom"/>
          </w:tcPr>
          <w:p>
            <w:pPr>
              <w:jc w:val="right"/>
              <w:spacing w:after="0"/>
              <w:rPr>
                <w:sz w:val="20"/>
                <w:szCs w:val="20"/>
                <w:color w:val="auto"/>
              </w:rPr>
            </w:pPr>
            <w:r>
              <w:rPr>
                <w:rFonts w:ascii="Arial" w:cs="Arial" w:eastAsia="Arial" w:hAnsi="Arial"/>
                <w:sz w:val="13"/>
                <w:szCs w:val="13"/>
                <w:color w:val="auto"/>
              </w:rPr>
              <w:t>1,362,060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5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520" w:type="dxa"/>
            <w:vAlign w:val="bottom"/>
            <w:shd w:val="clear" w:color="auto" w:fill="F2F3F2"/>
          </w:tcPr>
          <w:p>
            <w:pPr>
              <w:ind w:left="140"/>
              <w:spacing w:after="0"/>
              <w:rPr>
                <w:sz w:val="20"/>
                <w:szCs w:val="20"/>
                <w:color w:val="auto"/>
              </w:rPr>
            </w:pPr>
            <w:r>
              <w:rPr>
                <w:rFonts w:ascii="Arial" w:cs="Arial" w:eastAsia="Arial" w:hAnsi="Arial"/>
                <w:sz w:val="13"/>
                <w:szCs w:val="13"/>
                <w:b w:val="1"/>
                <w:bCs w:val="1"/>
                <w:color w:val="auto"/>
              </w:rPr>
              <w:t>2022</w:t>
            </w:r>
          </w:p>
        </w:tc>
        <w:tc>
          <w:tcPr>
            <w:tcW w:w="1180" w:type="dxa"/>
            <w:vAlign w:val="bottom"/>
            <w:shd w:val="clear" w:color="auto" w:fill="F2F3F2"/>
          </w:tcPr>
          <w:p>
            <w:pPr>
              <w:jc w:val="right"/>
              <w:spacing w:after="0"/>
              <w:rPr>
                <w:sz w:val="20"/>
                <w:szCs w:val="20"/>
                <w:color w:val="auto"/>
              </w:rPr>
            </w:pPr>
            <w:r>
              <w:rPr>
                <w:rFonts w:ascii="Arial" w:cs="Arial" w:eastAsia="Arial" w:hAnsi="Arial"/>
                <w:sz w:val="13"/>
                <w:szCs w:val="13"/>
                <w:color w:val="auto"/>
              </w:rPr>
              <w:t>6,066,630</w:t>
            </w:r>
          </w:p>
        </w:tc>
        <w:tc>
          <w:tcPr>
            <w:tcW w:w="1140" w:type="dxa"/>
            <w:vAlign w:val="bottom"/>
            <w:shd w:val="clear" w:color="auto" w:fill="F2F3F2"/>
          </w:tcPr>
          <w:p>
            <w:pPr>
              <w:jc w:val="right"/>
              <w:spacing w:after="0"/>
              <w:rPr>
                <w:sz w:val="20"/>
                <w:szCs w:val="20"/>
                <w:color w:val="auto"/>
              </w:rPr>
            </w:pPr>
            <w:r>
              <w:rPr>
                <w:rFonts w:ascii="Arial" w:cs="Arial" w:eastAsia="Arial" w:hAnsi="Arial"/>
                <w:sz w:val="13"/>
                <w:szCs w:val="13"/>
                <w:color w:val="auto"/>
              </w:rPr>
              <w:t>8,811,255</w:t>
            </w:r>
          </w:p>
        </w:tc>
        <w:tc>
          <w:tcPr>
            <w:tcW w:w="1160" w:type="dxa"/>
            <w:vAlign w:val="bottom"/>
            <w:shd w:val="clear" w:color="auto" w:fill="F2F3F2"/>
          </w:tcPr>
          <w:p>
            <w:pPr>
              <w:jc w:val="right"/>
              <w:spacing w:after="0"/>
              <w:rPr>
                <w:sz w:val="20"/>
                <w:szCs w:val="20"/>
                <w:color w:val="auto"/>
              </w:rPr>
            </w:pPr>
            <w:r>
              <w:rPr>
                <w:rFonts w:ascii="Arial" w:cs="Arial" w:eastAsia="Arial" w:hAnsi="Arial"/>
                <w:sz w:val="13"/>
                <w:szCs w:val="13"/>
                <w:color w:val="auto"/>
              </w:rPr>
              <w:t>2,637,060</w:t>
            </w:r>
          </w:p>
        </w:tc>
        <w:tc>
          <w:tcPr>
            <w:tcW w:w="1140" w:type="dxa"/>
            <w:vAlign w:val="bottom"/>
            <w:shd w:val="clear" w:color="auto" w:fill="F2F3F2"/>
          </w:tcPr>
          <w:p>
            <w:pPr>
              <w:jc w:val="right"/>
              <w:spacing w:after="0"/>
              <w:rPr>
                <w:sz w:val="20"/>
                <w:szCs w:val="20"/>
                <w:color w:val="auto"/>
              </w:rPr>
            </w:pPr>
            <w:r>
              <w:rPr>
                <w:rFonts w:ascii="Arial" w:cs="Arial" w:eastAsia="Arial" w:hAnsi="Arial"/>
                <w:sz w:val="13"/>
                <w:szCs w:val="13"/>
                <w:color w:val="auto"/>
              </w:rPr>
              <w:t>3,593,717</w:t>
            </w:r>
          </w:p>
        </w:tc>
        <w:tc>
          <w:tcPr>
            <w:tcW w:w="1020" w:type="dxa"/>
            <w:vAlign w:val="bottom"/>
            <w:shd w:val="clear" w:color="auto" w:fill="F2F3F2"/>
          </w:tcPr>
          <w:p>
            <w:pPr>
              <w:jc w:val="right"/>
              <w:spacing w:after="0"/>
              <w:rPr>
                <w:sz w:val="20"/>
                <w:szCs w:val="20"/>
                <w:color w:val="auto"/>
              </w:rPr>
            </w:pPr>
            <w:r>
              <w:rPr>
                <w:rFonts w:ascii="Arial" w:cs="Arial" w:eastAsia="Arial" w:hAnsi="Arial"/>
                <w:sz w:val="13"/>
                <w:szCs w:val="13"/>
                <w:color w:val="auto"/>
              </w:rPr>
              <w:t>106</w:t>
            </w:r>
          </w:p>
        </w:tc>
        <w:tc>
          <w:tcPr>
            <w:tcW w:w="1020" w:type="dxa"/>
            <w:vAlign w:val="bottom"/>
            <w:shd w:val="clear" w:color="auto" w:fill="F2F3F2"/>
          </w:tcPr>
          <w:p>
            <w:pPr>
              <w:jc w:val="right"/>
              <w:spacing w:after="0"/>
              <w:rPr>
                <w:sz w:val="20"/>
                <w:szCs w:val="20"/>
                <w:color w:val="auto"/>
              </w:rPr>
            </w:pPr>
            <w:r>
              <w:rPr>
                <w:rFonts w:ascii="Arial" w:cs="Arial" w:eastAsia="Arial" w:hAnsi="Arial"/>
                <w:sz w:val="13"/>
                <w:szCs w:val="13"/>
                <w:color w:val="auto"/>
              </w:rPr>
              <w:t>122</w:t>
            </w:r>
          </w:p>
        </w:tc>
        <w:tc>
          <w:tcPr>
            <w:tcW w:w="720" w:type="dxa"/>
            <w:vAlign w:val="bottom"/>
            <w:shd w:val="clear" w:color="auto" w:fill="F2F3F2"/>
          </w:tcPr>
          <w:p>
            <w:pPr>
              <w:jc w:val="right"/>
              <w:spacing w:after="0"/>
              <w:rPr>
                <w:sz w:val="20"/>
                <w:szCs w:val="20"/>
                <w:color w:val="auto"/>
              </w:rPr>
            </w:pPr>
            <w:r>
              <w:rPr>
                <w:rFonts w:ascii="Arial" w:cs="Arial" w:eastAsia="Arial" w:hAnsi="Arial"/>
                <w:sz w:val="13"/>
                <w:szCs w:val="13"/>
                <w:color w:val="auto"/>
              </w:rPr>
              <w:t>75,552</w:t>
            </w:r>
          </w:p>
        </w:tc>
        <w:tc>
          <w:tcPr>
            <w:tcW w:w="1120" w:type="dxa"/>
            <w:vAlign w:val="bottom"/>
            <w:shd w:val="clear" w:color="auto" w:fill="F2F3F2"/>
          </w:tcPr>
          <w:p>
            <w:pPr>
              <w:jc w:val="right"/>
              <w:spacing w:after="0"/>
              <w:rPr>
                <w:sz w:val="20"/>
                <w:szCs w:val="20"/>
                <w:color w:val="auto"/>
              </w:rPr>
            </w:pPr>
            <w:r>
              <w:rPr>
                <w:rFonts w:ascii="Arial" w:cs="Arial" w:eastAsia="Arial" w:hAnsi="Arial"/>
                <w:sz w:val="13"/>
                <w:szCs w:val="13"/>
                <w:color w:val="auto"/>
              </w:rPr>
              <w:t>1,132,455</w:t>
            </w:r>
          </w:p>
        </w:tc>
        <w:tc>
          <w:tcPr>
            <w:tcW w:w="60" w:type="dxa"/>
            <w:vAlign w:val="bottom"/>
            <w:shd w:val="clear" w:color="auto" w:fill="F2F3F2"/>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520" w:type="dxa"/>
            <w:vAlign w:val="bottom"/>
            <w:shd w:val="clear" w:color="auto" w:fill="F2F3F2"/>
          </w:tcPr>
          <w:p>
            <w:pPr>
              <w:spacing w:after="0"/>
              <w:rPr>
                <w:sz w:val="10"/>
                <w:szCs w:val="10"/>
                <w:color w:val="auto"/>
              </w:rPr>
            </w:pPr>
          </w:p>
        </w:tc>
        <w:tc>
          <w:tcPr>
            <w:tcW w:w="1180" w:type="dxa"/>
            <w:vAlign w:val="bottom"/>
            <w:shd w:val="clear" w:color="auto" w:fill="F2F3F2"/>
          </w:tcPr>
          <w:p>
            <w:pPr>
              <w:spacing w:after="0"/>
              <w:rPr>
                <w:sz w:val="10"/>
                <w:szCs w:val="10"/>
                <w:color w:val="auto"/>
              </w:rPr>
            </w:pPr>
          </w:p>
        </w:tc>
        <w:tc>
          <w:tcPr>
            <w:tcW w:w="1140" w:type="dxa"/>
            <w:vAlign w:val="bottom"/>
            <w:shd w:val="clear" w:color="auto" w:fill="F2F3F2"/>
          </w:tcPr>
          <w:p>
            <w:pPr>
              <w:spacing w:after="0"/>
              <w:rPr>
                <w:sz w:val="10"/>
                <w:szCs w:val="10"/>
                <w:color w:val="auto"/>
              </w:rPr>
            </w:pPr>
          </w:p>
        </w:tc>
        <w:tc>
          <w:tcPr>
            <w:tcW w:w="1160" w:type="dxa"/>
            <w:vAlign w:val="bottom"/>
            <w:shd w:val="clear" w:color="auto" w:fill="F2F3F2"/>
          </w:tcPr>
          <w:p>
            <w:pPr>
              <w:spacing w:after="0"/>
              <w:rPr>
                <w:sz w:val="10"/>
                <w:szCs w:val="10"/>
                <w:color w:val="auto"/>
              </w:rPr>
            </w:pPr>
          </w:p>
        </w:tc>
        <w:tc>
          <w:tcPr>
            <w:tcW w:w="1140" w:type="dxa"/>
            <w:vAlign w:val="bottom"/>
            <w:shd w:val="clear" w:color="auto" w:fill="F2F3F2"/>
          </w:tcPr>
          <w:p>
            <w:pPr>
              <w:spacing w:after="0"/>
              <w:rPr>
                <w:sz w:val="10"/>
                <w:szCs w:val="10"/>
                <w:color w:val="auto"/>
              </w:rPr>
            </w:pPr>
          </w:p>
        </w:tc>
        <w:tc>
          <w:tcPr>
            <w:tcW w:w="1020" w:type="dxa"/>
            <w:vAlign w:val="bottom"/>
            <w:shd w:val="clear" w:color="auto" w:fill="F2F3F2"/>
          </w:tcPr>
          <w:p>
            <w:pPr>
              <w:spacing w:after="0"/>
              <w:rPr>
                <w:sz w:val="10"/>
                <w:szCs w:val="10"/>
                <w:color w:val="auto"/>
              </w:rPr>
            </w:pPr>
          </w:p>
        </w:tc>
        <w:tc>
          <w:tcPr>
            <w:tcW w:w="1020" w:type="dxa"/>
            <w:vAlign w:val="bottom"/>
            <w:shd w:val="clear" w:color="auto" w:fill="F2F3F2"/>
          </w:tcPr>
          <w:p>
            <w:pPr>
              <w:spacing w:after="0"/>
              <w:rPr>
                <w:sz w:val="10"/>
                <w:szCs w:val="10"/>
                <w:color w:val="auto"/>
              </w:rPr>
            </w:pPr>
          </w:p>
        </w:tc>
        <w:tc>
          <w:tcPr>
            <w:tcW w:w="720" w:type="dxa"/>
            <w:vAlign w:val="bottom"/>
            <w:shd w:val="clear" w:color="auto" w:fill="F2F3F2"/>
          </w:tcPr>
          <w:p>
            <w:pPr>
              <w:spacing w:after="0"/>
              <w:rPr>
                <w:sz w:val="10"/>
                <w:szCs w:val="10"/>
                <w:color w:val="auto"/>
              </w:rPr>
            </w:pPr>
          </w:p>
        </w:tc>
        <w:tc>
          <w:tcPr>
            <w:tcW w:w="1120" w:type="dxa"/>
            <w:vAlign w:val="bottom"/>
            <w:shd w:val="clear" w:color="auto" w:fill="F2F3F2"/>
          </w:tcPr>
          <w:p>
            <w:pPr>
              <w:spacing w:after="0"/>
              <w:rPr>
                <w:sz w:val="10"/>
                <w:szCs w:val="10"/>
                <w:color w:val="auto"/>
              </w:rPr>
            </w:pPr>
          </w:p>
        </w:tc>
        <w:tc>
          <w:tcPr>
            <w:tcW w:w="60" w:type="dxa"/>
            <w:vAlign w:val="bottom"/>
            <w:shd w:val="clear" w:color="auto" w:fill="F2F3F2"/>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520" w:type="dxa"/>
            <w:vAlign w:val="bottom"/>
          </w:tcPr>
          <w:p>
            <w:pPr>
              <w:ind w:left="140"/>
              <w:spacing w:after="0"/>
              <w:rPr>
                <w:sz w:val="20"/>
                <w:szCs w:val="20"/>
                <w:color w:val="auto"/>
              </w:rPr>
            </w:pPr>
            <w:r>
              <w:rPr>
                <w:rFonts w:ascii="Arial" w:cs="Arial" w:eastAsia="Arial" w:hAnsi="Arial"/>
                <w:sz w:val="13"/>
                <w:szCs w:val="13"/>
                <w:b w:val="1"/>
                <w:bCs w:val="1"/>
                <w:color w:val="auto"/>
              </w:rPr>
              <w:t>2021</w:t>
            </w:r>
          </w:p>
        </w:tc>
        <w:tc>
          <w:tcPr>
            <w:tcW w:w="1180" w:type="dxa"/>
            <w:vAlign w:val="bottom"/>
          </w:tcPr>
          <w:p>
            <w:pPr>
              <w:jc w:val="right"/>
              <w:spacing w:after="0"/>
              <w:rPr>
                <w:sz w:val="20"/>
                <w:szCs w:val="20"/>
                <w:color w:val="auto"/>
              </w:rPr>
            </w:pPr>
            <w:r>
              <w:rPr>
                <w:rFonts w:ascii="Arial" w:cs="Arial" w:eastAsia="Arial" w:hAnsi="Arial"/>
                <w:sz w:val="13"/>
                <w:szCs w:val="13"/>
                <w:color w:val="auto"/>
              </w:rPr>
              <w:t>3,595,855</w:t>
            </w:r>
          </w:p>
        </w:tc>
        <w:tc>
          <w:tcPr>
            <w:tcW w:w="1140" w:type="dxa"/>
            <w:vAlign w:val="bottom"/>
          </w:tcPr>
          <w:p>
            <w:pPr>
              <w:jc w:val="right"/>
              <w:spacing w:after="0"/>
              <w:rPr>
                <w:sz w:val="20"/>
                <w:szCs w:val="20"/>
                <w:color w:val="auto"/>
              </w:rPr>
            </w:pPr>
            <w:r>
              <w:rPr>
                <w:rFonts w:ascii="Arial" w:cs="Arial" w:eastAsia="Arial" w:hAnsi="Arial"/>
                <w:sz w:val="13"/>
                <w:szCs w:val="13"/>
                <w:color w:val="auto"/>
              </w:rPr>
              <w:t>1,428,917</w:t>
            </w:r>
          </w:p>
        </w:tc>
        <w:tc>
          <w:tcPr>
            <w:tcW w:w="1160" w:type="dxa"/>
            <w:vAlign w:val="bottom"/>
          </w:tcPr>
          <w:p>
            <w:pPr>
              <w:jc w:val="right"/>
              <w:spacing w:after="0"/>
              <w:rPr>
                <w:sz w:val="20"/>
                <w:szCs w:val="20"/>
                <w:color w:val="auto"/>
              </w:rPr>
            </w:pPr>
            <w:r>
              <w:rPr>
                <w:rFonts w:ascii="Arial" w:cs="Arial" w:eastAsia="Arial" w:hAnsi="Arial"/>
                <w:sz w:val="13"/>
                <w:szCs w:val="13"/>
                <w:color w:val="auto"/>
              </w:rPr>
              <w:t>1,579,259</w:t>
            </w:r>
          </w:p>
        </w:tc>
        <w:tc>
          <w:tcPr>
            <w:tcW w:w="1140" w:type="dxa"/>
            <w:vAlign w:val="bottom"/>
          </w:tcPr>
          <w:p>
            <w:pPr>
              <w:jc w:val="right"/>
              <w:spacing w:after="0"/>
              <w:rPr>
                <w:sz w:val="20"/>
                <w:szCs w:val="20"/>
                <w:color w:val="auto"/>
              </w:rPr>
            </w:pPr>
            <w:r>
              <w:rPr>
                <w:rFonts w:ascii="Arial" w:cs="Arial" w:eastAsia="Arial" w:hAnsi="Arial"/>
                <w:sz w:val="13"/>
                <w:szCs w:val="13"/>
                <w:color w:val="auto"/>
              </w:rPr>
              <w:t>709,973</w:t>
            </w:r>
          </w:p>
        </w:tc>
        <w:tc>
          <w:tcPr>
            <w:tcW w:w="1020" w:type="dxa"/>
            <w:vAlign w:val="bottom"/>
          </w:tcPr>
          <w:p>
            <w:pPr>
              <w:jc w:val="right"/>
              <w:spacing w:after="0"/>
              <w:rPr>
                <w:sz w:val="20"/>
                <w:szCs w:val="20"/>
                <w:color w:val="auto"/>
              </w:rPr>
            </w:pPr>
            <w:r>
              <w:rPr>
                <w:rFonts w:ascii="Arial" w:cs="Arial" w:eastAsia="Arial" w:hAnsi="Arial"/>
                <w:sz w:val="13"/>
                <w:szCs w:val="13"/>
                <w:color w:val="auto"/>
              </w:rPr>
              <w:t>73</w:t>
            </w:r>
          </w:p>
        </w:tc>
        <w:tc>
          <w:tcPr>
            <w:tcW w:w="1020" w:type="dxa"/>
            <w:vAlign w:val="bottom"/>
          </w:tcPr>
          <w:p>
            <w:pPr>
              <w:jc w:val="right"/>
              <w:spacing w:after="0"/>
              <w:rPr>
                <w:sz w:val="20"/>
                <w:szCs w:val="20"/>
                <w:color w:val="auto"/>
              </w:rPr>
            </w:pPr>
            <w:r>
              <w:rPr>
                <w:rFonts w:ascii="Arial" w:cs="Arial" w:eastAsia="Arial" w:hAnsi="Arial"/>
                <w:sz w:val="13"/>
                <w:szCs w:val="13"/>
                <w:color w:val="auto"/>
              </w:rPr>
              <w:t>124</w:t>
            </w:r>
          </w:p>
        </w:tc>
        <w:tc>
          <w:tcPr>
            <w:tcW w:w="720" w:type="dxa"/>
            <w:vAlign w:val="bottom"/>
          </w:tcPr>
          <w:p>
            <w:pPr>
              <w:jc w:val="right"/>
              <w:spacing w:after="0"/>
              <w:rPr>
                <w:sz w:val="20"/>
                <w:szCs w:val="20"/>
                <w:color w:val="auto"/>
              </w:rPr>
            </w:pPr>
            <w:r>
              <w:rPr>
                <w:rFonts w:ascii="Arial" w:cs="Arial" w:eastAsia="Arial" w:hAnsi="Arial"/>
                <w:sz w:val="13"/>
                <w:szCs w:val="13"/>
                <w:color w:val="auto"/>
              </w:rPr>
              <w:t>62,987</w:t>
            </w:r>
          </w:p>
        </w:tc>
        <w:tc>
          <w:tcPr>
            <w:tcW w:w="1120" w:type="dxa"/>
            <w:vAlign w:val="bottom"/>
          </w:tcPr>
          <w:p>
            <w:pPr>
              <w:jc w:val="right"/>
              <w:spacing w:after="0"/>
              <w:rPr>
                <w:sz w:val="20"/>
                <w:szCs w:val="20"/>
                <w:color w:val="auto"/>
              </w:rPr>
            </w:pPr>
            <w:r>
              <w:rPr>
                <w:rFonts w:ascii="Arial" w:cs="Arial" w:eastAsia="Arial" w:hAnsi="Arial"/>
                <w:sz w:val="13"/>
                <w:szCs w:val="13"/>
                <w:color w:val="auto"/>
              </w:rPr>
              <w:t>905,640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5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520" w:type="dxa"/>
            <w:vAlign w:val="bottom"/>
            <w:shd w:val="clear" w:color="auto" w:fill="F2F3F2"/>
          </w:tcPr>
          <w:p>
            <w:pPr>
              <w:ind w:left="140"/>
              <w:spacing w:after="0"/>
              <w:rPr>
                <w:sz w:val="20"/>
                <w:szCs w:val="20"/>
                <w:color w:val="auto"/>
              </w:rPr>
            </w:pPr>
            <w:r>
              <w:rPr>
                <w:rFonts w:ascii="Arial" w:cs="Arial" w:eastAsia="Arial" w:hAnsi="Arial"/>
                <w:sz w:val="13"/>
                <w:szCs w:val="13"/>
                <w:b w:val="1"/>
                <w:bCs w:val="1"/>
                <w:color w:val="auto"/>
              </w:rPr>
              <w:t>2020</w:t>
            </w:r>
          </w:p>
        </w:tc>
        <w:tc>
          <w:tcPr>
            <w:tcW w:w="1180" w:type="dxa"/>
            <w:vAlign w:val="bottom"/>
            <w:shd w:val="clear" w:color="auto" w:fill="F2F3F2"/>
          </w:tcPr>
          <w:p>
            <w:pPr>
              <w:jc w:val="right"/>
              <w:spacing w:after="0"/>
              <w:rPr>
                <w:sz w:val="20"/>
                <w:szCs w:val="20"/>
                <w:color w:val="auto"/>
              </w:rPr>
            </w:pPr>
            <w:r>
              <w:rPr>
                <w:rFonts w:ascii="Arial" w:cs="Arial" w:eastAsia="Arial" w:hAnsi="Arial"/>
                <w:sz w:val="13"/>
                <w:szCs w:val="13"/>
                <w:color w:val="auto"/>
              </w:rPr>
              <w:t>3,991,446</w:t>
            </w:r>
          </w:p>
        </w:tc>
        <w:tc>
          <w:tcPr>
            <w:tcW w:w="1140" w:type="dxa"/>
            <w:vAlign w:val="bottom"/>
            <w:shd w:val="clear" w:color="auto" w:fill="F2F3F2"/>
          </w:tcPr>
          <w:p>
            <w:pPr>
              <w:jc w:val="right"/>
              <w:spacing w:after="0"/>
              <w:rPr>
                <w:sz w:val="20"/>
                <w:szCs w:val="20"/>
                <w:color w:val="auto"/>
              </w:rPr>
            </w:pPr>
            <w:r>
              <w:rPr>
                <w:rFonts w:ascii="Arial" w:cs="Arial" w:eastAsia="Arial" w:hAnsi="Arial"/>
                <w:sz w:val="13"/>
                <w:szCs w:val="13"/>
                <w:color w:val="auto"/>
              </w:rPr>
              <w:t>1,314,867</w:t>
            </w:r>
          </w:p>
        </w:tc>
        <w:tc>
          <w:tcPr>
            <w:tcW w:w="1160" w:type="dxa"/>
            <w:vAlign w:val="bottom"/>
            <w:shd w:val="clear" w:color="auto" w:fill="F2F3F2"/>
          </w:tcPr>
          <w:p>
            <w:pPr>
              <w:jc w:val="right"/>
              <w:spacing w:after="0"/>
              <w:rPr>
                <w:sz w:val="20"/>
                <w:szCs w:val="20"/>
                <w:color w:val="auto"/>
              </w:rPr>
            </w:pPr>
            <w:r>
              <w:rPr>
                <w:rFonts w:ascii="Arial" w:cs="Arial" w:eastAsia="Arial" w:hAnsi="Arial"/>
                <w:sz w:val="13"/>
                <w:szCs w:val="13"/>
                <w:color w:val="auto"/>
              </w:rPr>
              <w:t>1,691,684</w:t>
            </w:r>
          </w:p>
        </w:tc>
        <w:tc>
          <w:tcPr>
            <w:tcW w:w="1140" w:type="dxa"/>
            <w:vAlign w:val="bottom"/>
            <w:shd w:val="clear" w:color="auto" w:fill="F2F3F2"/>
          </w:tcPr>
          <w:p>
            <w:pPr>
              <w:jc w:val="right"/>
              <w:spacing w:after="0"/>
              <w:rPr>
                <w:sz w:val="20"/>
                <w:szCs w:val="20"/>
                <w:color w:val="auto"/>
              </w:rPr>
            </w:pPr>
            <w:r>
              <w:rPr>
                <w:rFonts w:ascii="Arial" w:cs="Arial" w:eastAsia="Arial" w:hAnsi="Arial"/>
                <w:sz w:val="13"/>
                <w:szCs w:val="13"/>
                <w:color w:val="auto"/>
              </w:rPr>
              <w:t>1,003,158</w:t>
            </w:r>
          </w:p>
        </w:tc>
        <w:tc>
          <w:tcPr>
            <w:tcW w:w="1020" w:type="dxa"/>
            <w:vAlign w:val="bottom"/>
            <w:shd w:val="clear" w:color="auto" w:fill="F2F3F2"/>
          </w:tcPr>
          <w:p>
            <w:pPr>
              <w:jc w:val="right"/>
              <w:spacing w:after="0"/>
              <w:rPr>
                <w:sz w:val="20"/>
                <w:szCs w:val="20"/>
                <w:color w:val="auto"/>
              </w:rPr>
            </w:pPr>
            <w:r>
              <w:rPr>
                <w:rFonts w:ascii="Arial" w:cs="Arial" w:eastAsia="Arial" w:hAnsi="Arial"/>
                <w:sz w:val="13"/>
                <w:szCs w:val="13"/>
                <w:color w:val="auto"/>
              </w:rPr>
              <w:t>86</w:t>
            </w:r>
          </w:p>
        </w:tc>
        <w:tc>
          <w:tcPr>
            <w:tcW w:w="1020" w:type="dxa"/>
            <w:vAlign w:val="bottom"/>
            <w:shd w:val="clear" w:color="auto" w:fill="F2F3F2"/>
          </w:tcPr>
          <w:p>
            <w:pPr>
              <w:jc w:val="right"/>
              <w:spacing w:after="0"/>
              <w:rPr>
                <w:sz w:val="20"/>
                <w:szCs w:val="20"/>
                <w:color w:val="auto"/>
              </w:rPr>
            </w:pPr>
            <w:r>
              <w:rPr>
                <w:rFonts w:ascii="Arial" w:cs="Arial" w:eastAsia="Arial" w:hAnsi="Arial"/>
                <w:sz w:val="13"/>
                <w:szCs w:val="13"/>
                <w:color w:val="auto"/>
              </w:rPr>
              <w:t>94</w:t>
            </w:r>
          </w:p>
        </w:tc>
        <w:tc>
          <w:tcPr>
            <w:tcW w:w="720" w:type="dxa"/>
            <w:vAlign w:val="bottom"/>
            <w:shd w:val="clear" w:color="auto" w:fill="F2F3F2"/>
          </w:tcPr>
          <w:p>
            <w:pPr>
              <w:jc w:val="right"/>
              <w:spacing w:after="0"/>
              <w:rPr>
                <w:sz w:val="20"/>
                <w:szCs w:val="20"/>
                <w:color w:val="auto"/>
              </w:rPr>
            </w:pPr>
            <w:r>
              <w:rPr>
                <w:rFonts w:ascii="Arial" w:cs="Arial" w:eastAsia="Arial" w:hAnsi="Arial"/>
                <w:sz w:val="13"/>
                <w:szCs w:val="13"/>
                <w:color w:val="auto"/>
              </w:rPr>
              <w:t>(23,840)</w:t>
            </w:r>
          </w:p>
        </w:tc>
        <w:tc>
          <w:tcPr>
            <w:tcW w:w="1120" w:type="dxa"/>
            <w:vAlign w:val="bottom"/>
            <w:shd w:val="clear" w:color="auto" w:fill="F2F3F2"/>
          </w:tcPr>
          <w:p>
            <w:pPr>
              <w:jc w:val="right"/>
              <w:spacing w:after="0"/>
              <w:rPr>
                <w:sz w:val="20"/>
                <w:szCs w:val="20"/>
                <w:color w:val="auto"/>
              </w:rPr>
            </w:pPr>
            <w:r>
              <w:rPr>
                <w:rFonts w:ascii="Arial" w:cs="Arial" w:eastAsia="Arial" w:hAnsi="Arial"/>
                <w:sz w:val="13"/>
                <w:szCs w:val="13"/>
                <w:color w:val="auto"/>
              </w:rPr>
              <w:t>844,127</w:t>
            </w:r>
          </w:p>
        </w:tc>
        <w:tc>
          <w:tcPr>
            <w:tcW w:w="60" w:type="dxa"/>
            <w:vAlign w:val="bottom"/>
            <w:shd w:val="clear" w:color="auto" w:fill="F2F3F2"/>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520" w:type="dxa"/>
            <w:vAlign w:val="bottom"/>
            <w:tcBorders>
              <w:bottom w:val="single" w:sz="8" w:color="B2B3B6"/>
            </w:tcBorders>
            <w:shd w:val="clear" w:color="auto" w:fill="F2F3F2"/>
          </w:tcPr>
          <w:p>
            <w:pPr>
              <w:spacing w:after="0"/>
              <w:rPr>
                <w:sz w:val="10"/>
                <w:szCs w:val="10"/>
                <w:color w:val="auto"/>
              </w:rPr>
            </w:pPr>
          </w:p>
        </w:tc>
        <w:tc>
          <w:tcPr>
            <w:tcW w:w="1180" w:type="dxa"/>
            <w:vAlign w:val="bottom"/>
            <w:tcBorders>
              <w:bottom w:val="single" w:sz="8" w:color="B2B3B6"/>
            </w:tcBorders>
            <w:shd w:val="clear" w:color="auto" w:fill="F2F3F2"/>
          </w:tcPr>
          <w:p>
            <w:pPr>
              <w:spacing w:after="0"/>
              <w:rPr>
                <w:sz w:val="10"/>
                <w:szCs w:val="10"/>
                <w:color w:val="auto"/>
              </w:rPr>
            </w:pPr>
          </w:p>
        </w:tc>
        <w:tc>
          <w:tcPr>
            <w:tcW w:w="1140" w:type="dxa"/>
            <w:vAlign w:val="bottom"/>
            <w:tcBorders>
              <w:bottom w:val="single" w:sz="8" w:color="B2B3B6"/>
            </w:tcBorders>
            <w:shd w:val="clear" w:color="auto" w:fill="F2F3F2"/>
          </w:tcPr>
          <w:p>
            <w:pPr>
              <w:spacing w:after="0"/>
              <w:rPr>
                <w:sz w:val="10"/>
                <w:szCs w:val="10"/>
                <w:color w:val="auto"/>
              </w:rPr>
            </w:pPr>
          </w:p>
        </w:tc>
        <w:tc>
          <w:tcPr>
            <w:tcW w:w="1160" w:type="dxa"/>
            <w:vAlign w:val="bottom"/>
            <w:tcBorders>
              <w:bottom w:val="single" w:sz="8" w:color="B2B3B6"/>
            </w:tcBorders>
            <w:shd w:val="clear" w:color="auto" w:fill="F2F3F2"/>
          </w:tcPr>
          <w:p>
            <w:pPr>
              <w:spacing w:after="0"/>
              <w:rPr>
                <w:sz w:val="10"/>
                <w:szCs w:val="10"/>
                <w:color w:val="auto"/>
              </w:rPr>
            </w:pPr>
          </w:p>
        </w:tc>
        <w:tc>
          <w:tcPr>
            <w:tcW w:w="1140" w:type="dxa"/>
            <w:vAlign w:val="bottom"/>
            <w:tcBorders>
              <w:bottom w:val="single" w:sz="8" w:color="B2B3B6"/>
            </w:tcBorders>
            <w:shd w:val="clear" w:color="auto" w:fill="F2F3F2"/>
          </w:tcPr>
          <w:p>
            <w:pPr>
              <w:spacing w:after="0"/>
              <w:rPr>
                <w:sz w:val="10"/>
                <w:szCs w:val="10"/>
                <w:color w:val="auto"/>
              </w:rPr>
            </w:pPr>
          </w:p>
        </w:tc>
        <w:tc>
          <w:tcPr>
            <w:tcW w:w="1020" w:type="dxa"/>
            <w:vAlign w:val="bottom"/>
            <w:tcBorders>
              <w:bottom w:val="single" w:sz="8" w:color="B2B3B6"/>
            </w:tcBorders>
            <w:shd w:val="clear" w:color="auto" w:fill="F2F3F2"/>
          </w:tcPr>
          <w:p>
            <w:pPr>
              <w:spacing w:after="0"/>
              <w:rPr>
                <w:sz w:val="10"/>
                <w:szCs w:val="10"/>
                <w:color w:val="auto"/>
              </w:rPr>
            </w:pPr>
          </w:p>
        </w:tc>
        <w:tc>
          <w:tcPr>
            <w:tcW w:w="1020" w:type="dxa"/>
            <w:vAlign w:val="bottom"/>
            <w:tcBorders>
              <w:bottom w:val="single" w:sz="8" w:color="B2B3B6"/>
            </w:tcBorders>
            <w:shd w:val="clear" w:color="auto" w:fill="F2F3F2"/>
          </w:tcPr>
          <w:p>
            <w:pPr>
              <w:spacing w:after="0"/>
              <w:rPr>
                <w:sz w:val="10"/>
                <w:szCs w:val="10"/>
                <w:color w:val="auto"/>
              </w:rPr>
            </w:pPr>
          </w:p>
        </w:tc>
        <w:tc>
          <w:tcPr>
            <w:tcW w:w="720" w:type="dxa"/>
            <w:vAlign w:val="bottom"/>
            <w:tcBorders>
              <w:bottom w:val="single" w:sz="8" w:color="B2B3B6"/>
            </w:tcBorders>
            <w:shd w:val="clear" w:color="auto" w:fill="F2F3F2"/>
          </w:tcPr>
          <w:p>
            <w:pPr>
              <w:spacing w:after="0"/>
              <w:rPr>
                <w:sz w:val="10"/>
                <w:szCs w:val="10"/>
                <w:color w:val="auto"/>
              </w:rPr>
            </w:pPr>
          </w:p>
        </w:tc>
        <w:tc>
          <w:tcPr>
            <w:tcW w:w="1120" w:type="dxa"/>
            <w:vAlign w:val="bottom"/>
            <w:tcBorders>
              <w:bottom w:val="single" w:sz="8" w:color="B2B3B6"/>
            </w:tcBorders>
            <w:shd w:val="clear" w:color="auto" w:fill="F2F3F2"/>
          </w:tcPr>
          <w:p>
            <w:pPr>
              <w:spacing w:after="0"/>
              <w:rPr>
                <w:sz w:val="10"/>
                <w:szCs w:val="10"/>
                <w:color w:val="auto"/>
              </w:rPr>
            </w:pPr>
          </w:p>
        </w:tc>
        <w:tc>
          <w:tcPr>
            <w:tcW w:w="60" w:type="dxa"/>
            <w:vAlign w:val="bottom"/>
            <w:tcBorders>
              <w:bottom w:val="single" w:sz="8" w:color="B2B3B6"/>
            </w:tcBorders>
            <w:shd w:val="clear" w:color="auto" w:fill="F2F3F2"/>
          </w:tcPr>
          <w:p>
            <w:pPr>
              <w:spacing w:after="0"/>
              <w:rPr>
                <w:sz w:val="10"/>
                <w:szCs w:val="10"/>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420" w:right="120" w:hanging="331"/>
        <w:spacing w:after="0" w:line="291" w:lineRule="auto"/>
        <w:tabs>
          <w:tab w:leader="none" w:pos="420" w:val="left"/>
        </w:tabs>
        <w:numPr>
          <w:ilvl w:val="0"/>
          <w:numId w:val="94"/>
        </w:numPr>
        <w:rPr>
          <w:rFonts w:ascii="Arial" w:cs="Arial" w:eastAsia="Arial" w:hAnsi="Arial"/>
          <w:sz w:val="14"/>
          <w:szCs w:val="14"/>
          <w:color w:val="auto"/>
        </w:rPr>
      </w:pPr>
      <w:r>
        <w:rPr>
          <w:rFonts w:ascii="Arial" w:cs="Arial" w:eastAsia="Arial" w:hAnsi="Arial"/>
          <w:sz w:val="14"/>
          <w:szCs w:val="14"/>
          <w:color w:val="auto"/>
        </w:rPr>
        <w:t>The principal executive officer (PEO) included in the summary compensation table total and compensation actually paid (CAP) total for 2024 and 2023 was C. Mark Hussey. The PEO for 2022, 2021, and 2020 was James H. Roth.</w:t>
      </w:r>
    </w:p>
    <w:p>
      <w:pPr>
        <w:spacing w:after="0" w:line="1" w:lineRule="exact"/>
        <w:rPr>
          <w:rFonts w:ascii="Arial" w:cs="Arial" w:eastAsia="Arial" w:hAnsi="Arial"/>
          <w:sz w:val="14"/>
          <w:szCs w:val="14"/>
          <w:color w:val="auto"/>
        </w:rPr>
      </w:pPr>
    </w:p>
    <w:p>
      <w:pPr>
        <w:ind w:left="420" w:hanging="331"/>
        <w:spacing w:after="0"/>
        <w:tabs>
          <w:tab w:leader="none" w:pos="420" w:val="left"/>
        </w:tabs>
        <w:numPr>
          <w:ilvl w:val="0"/>
          <w:numId w:val="94"/>
        </w:numPr>
        <w:rPr>
          <w:rFonts w:ascii="Arial" w:cs="Arial" w:eastAsia="Arial" w:hAnsi="Arial"/>
          <w:sz w:val="14"/>
          <w:szCs w:val="14"/>
          <w:color w:val="auto"/>
        </w:rPr>
      </w:pPr>
      <w:r>
        <w:rPr>
          <w:rFonts w:ascii="Arial" w:cs="Arial" w:eastAsia="Arial" w:hAnsi="Arial"/>
          <w:sz w:val="14"/>
          <w:szCs w:val="14"/>
          <w:color w:val="auto"/>
        </w:rPr>
        <w:t>The non-PEO NEOs included in the average summary compensation table total and average CAP for each year are as follows:</w:t>
      </w:r>
    </w:p>
    <w:p>
      <w:pPr>
        <w:spacing w:after="0" w:line="68" w:lineRule="exact"/>
        <w:rPr>
          <w:rFonts w:ascii="Arial" w:cs="Arial" w:eastAsia="Arial" w:hAnsi="Arial"/>
          <w:sz w:val="14"/>
          <w:szCs w:val="14"/>
          <w:color w:val="auto"/>
        </w:rPr>
      </w:pPr>
    </w:p>
    <w:p>
      <w:pPr>
        <w:ind w:left="500"/>
        <w:spacing w:after="0"/>
        <w:rPr>
          <w:rFonts w:ascii="Arial" w:cs="Arial" w:eastAsia="Arial" w:hAnsi="Arial"/>
          <w:sz w:val="14"/>
          <w:szCs w:val="14"/>
          <w:color w:val="auto"/>
        </w:rPr>
      </w:pPr>
      <w:r>
        <w:rPr>
          <w:rFonts w:ascii="Arial" w:cs="Arial" w:eastAsia="Arial" w:hAnsi="Arial"/>
          <w:sz w:val="14"/>
          <w:szCs w:val="14"/>
          <w:color w:val="auto"/>
        </w:rPr>
        <w:t xml:space="preserve">–  </w:t>
      </w:r>
      <w:r>
        <w:rPr>
          <w:rFonts w:ascii="Arial" w:cs="Arial" w:eastAsia="Arial" w:hAnsi="Arial"/>
          <w:sz w:val="14"/>
          <w:szCs w:val="14"/>
          <w:i w:val="1"/>
          <w:iCs w:val="1"/>
          <w:color w:val="auto"/>
        </w:rPr>
        <w:t>2024</w:t>
      </w:r>
      <w:r>
        <w:rPr>
          <w:rFonts w:ascii="Arial" w:cs="Arial" w:eastAsia="Arial" w:hAnsi="Arial"/>
          <w:sz w:val="14"/>
          <w:szCs w:val="14"/>
          <w:color w:val="auto"/>
        </w:rPr>
        <w:t xml:space="preserve"> - John D. Kelly, J. Ronald Dail, and Ernest W. Torain, Jr.</w:t>
      </w:r>
    </w:p>
    <w:p>
      <w:pPr>
        <w:spacing w:after="0" w:line="68" w:lineRule="exact"/>
        <w:rPr>
          <w:rFonts w:ascii="Arial" w:cs="Arial" w:eastAsia="Arial" w:hAnsi="Arial"/>
          <w:sz w:val="14"/>
          <w:szCs w:val="14"/>
          <w:color w:val="auto"/>
        </w:rPr>
      </w:pPr>
    </w:p>
    <w:p>
      <w:pPr>
        <w:ind w:left="500"/>
        <w:spacing w:after="0"/>
        <w:rPr>
          <w:rFonts w:ascii="Arial" w:cs="Arial" w:eastAsia="Arial" w:hAnsi="Arial"/>
          <w:sz w:val="14"/>
          <w:szCs w:val="14"/>
          <w:color w:val="auto"/>
        </w:rPr>
      </w:pPr>
      <w:r>
        <w:rPr>
          <w:rFonts w:ascii="Arial" w:cs="Arial" w:eastAsia="Arial" w:hAnsi="Arial"/>
          <w:sz w:val="14"/>
          <w:szCs w:val="14"/>
          <w:color w:val="auto"/>
        </w:rPr>
        <w:t xml:space="preserve">–  </w:t>
      </w:r>
      <w:r>
        <w:rPr>
          <w:rFonts w:ascii="Arial" w:cs="Arial" w:eastAsia="Arial" w:hAnsi="Arial"/>
          <w:sz w:val="14"/>
          <w:szCs w:val="14"/>
          <w:i w:val="1"/>
          <w:iCs w:val="1"/>
          <w:color w:val="auto"/>
        </w:rPr>
        <w:t>2023</w:t>
      </w:r>
      <w:r>
        <w:rPr>
          <w:rFonts w:ascii="Arial" w:cs="Arial" w:eastAsia="Arial" w:hAnsi="Arial"/>
          <w:sz w:val="14"/>
          <w:szCs w:val="14"/>
          <w:color w:val="auto"/>
        </w:rPr>
        <w:t xml:space="preserve"> - John D. Kelly, J. Ronald Dail, and Ernest W. Torain, Jr.</w:t>
      </w:r>
    </w:p>
    <w:p>
      <w:pPr>
        <w:spacing w:after="0" w:line="68" w:lineRule="exact"/>
        <w:rPr>
          <w:rFonts w:ascii="Arial" w:cs="Arial" w:eastAsia="Arial" w:hAnsi="Arial"/>
          <w:sz w:val="14"/>
          <w:szCs w:val="14"/>
          <w:color w:val="auto"/>
        </w:rPr>
      </w:pPr>
    </w:p>
    <w:p>
      <w:pPr>
        <w:ind w:left="500"/>
        <w:spacing w:after="0"/>
        <w:rPr>
          <w:rFonts w:ascii="Arial" w:cs="Arial" w:eastAsia="Arial" w:hAnsi="Arial"/>
          <w:sz w:val="14"/>
          <w:szCs w:val="14"/>
          <w:color w:val="auto"/>
        </w:rPr>
      </w:pPr>
      <w:r>
        <w:rPr>
          <w:rFonts w:ascii="Arial" w:cs="Arial" w:eastAsia="Arial" w:hAnsi="Arial"/>
          <w:sz w:val="14"/>
          <w:szCs w:val="14"/>
          <w:color w:val="auto"/>
        </w:rPr>
        <w:t xml:space="preserve">–  </w:t>
      </w:r>
      <w:r>
        <w:rPr>
          <w:rFonts w:ascii="Arial" w:cs="Arial" w:eastAsia="Arial" w:hAnsi="Arial"/>
          <w:sz w:val="14"/>
          <w:szCs w:val="14"/>
          <w:i w:val="1"/>
          <w:iCs w:val="1"/>
          <w:color w:val="auto"/>
        </w:rPr>
        <w:t>2022</w:t>
      </w:r>
      <w:r>
        <w:rPr>
          <w:rFonts w:ascii="Arial" w:cs="Arial" w:eastAsia="Arial" w:hAnsi="Arial"/>
          <w:sz w:val="14"/>
          <w:szCs w:val="14"/>
          <w:color w:val="auto"/>
        </w:rPr>
        <w:t xml:space="preserve"> - C. Mark Hussey, John D. Kelly, J. Ronald Dail, and Ernest W. Torain, Jr.</w:t>
      </w:r>
    </w:p>
    <w:p>
      <w:pPr>
        <w:spacing w:after="0" w:line="68" w:lineRule="exact"/>
        <w:rPr>
          <w:rFonts w:ascii="Arial" w:cs="Arial" w:eastAsia="Arial" w:hAnsi="Arial"/>
          <w:sz w:val="14"/>
          <w:szCs w:val="14"/>
          <w:color w:val="auto"/>
        </w:rPr>
      </w:pPr>
    </w:p>
    <w:p>
      <w:pPr>
        <w:ind w:left="500"/>
        <w:spacing w:after="0"/>
        <w:rPr>
          <w:rFonts w:ascii="Arial" w:cs="Arial" w:eastAsia="Arial" w:hAnsi="Arial"/>
          <w:sz w:val="14"/>
          <w:szCs w:val="14"/>
          <w:color w:val="auto"/>
        </w:rPr>
      </w:pPr>
      <w:r>
        <w:rPr>
          <w:rFonts w:ascii="Arial" w:cs="Arial" w:eastAsia="Arial" w:hAnsi="Arial"/>
          <w:sz w:val="14"/>
          <w:szCs w:val="14"/>
          <w:color w:val="auto"/>
        </w:rPr>
        <w:t xml:space="preserve">–  </w:t>
      </w:r>
      <w:r>
        <w:rPr>
          <w:rFonts w:ascii="Arial" w:cs="Arial" w:eastAsia="Arial" w:hAnsi="Arial"/>
          <w:sz w:val="14"/>
          <w:szCs w:val="14"/>
          <w:i w:val="1"/>
          <w:iCs w:val="1"/>
          <w:color w:val="auto"/>
        </w:rPr>
        <w:t>2021</w:t>
      </w:r>
      <w:r>
        <w:rPr>
          <w:rFonts w:ascii="Arial" w:cs="Arial" w:eastAsia="Arial" w:hAnsi="Arial"/>
          <w:sz w:val="14"/>
          <w:szCs w:val="14"/>
          <w:color w:val="auto"/>
        </w:rPr>
        <w:t xml:space="preserve"> - C. Mark Hussey, John D. Kelly and Ernest W. Torain, Jr.</w:t>
      </w:r>
    </w:p>
    <w:p>
      <w:pPr>
        <w:spacing w:after="0" w:line="55" w:lineRule="exact"/>
        <w:rPr>
          <w:rFonts w:ascii="Arial" w:cs="Arial" w:eastAsia="Arial" w:hAnsi="Arial"/>
          <w:sz w:val="14"/>
          <w:szCs w:val="14"/>
          <w:color w:val="auto"/>
        </w:rPr>
      </w:pPr>
    </w:p>
    <w:p>
      <w:pPr>
        <w:ind w:left="500"/>
        <w:spacing w:after="0"/>
        <w:rPr>
          <w:rFonts w:ascii="Arial" w:cs="Arial" w:eastAsia="Arial" w:hAnsi="Arial"/>
          <w:sz w:val="14"/>
          <w:szCs w:val="14"/>
          <w:color w:val="auto"/>
        </w:rPr>
      </w:pPr>
      <w:r>
        <w:rPr>
          <w:rFonts w:ascii="Arial" w:cs="Arial" w:eastAsia="Arial" w:hAnsi="Arial"/>
          <w:sz w:val="14"/>
          <w:szCs w:val="14"/>
          <w:color w:val="auto"/>
        </w:rPr>
        <w:t xml:space="preserve">–  </w:t>
      </w:r>
      <w:r>
        <w:rPr>
          <w:rFonts w:ascii="Arial" w:cs="Arial" w:eastAsia="Arial" w:hAnsi="Arial"/>
          <w:sz w:val="14"/>
          <w:szCs w:val="14"/>
          <w:i w:val="1"/>
          <w:iCs w:val="1"/>
          <w:color w:val="auto"/>
        </w:rPr>
        <w:t>2020</w:t>
      </w:r>
      <w:r>
        <w:rPr>
          <w:rFonts w:ascii="Arial" w:cs="Arial" w:eastAsia="Arial" w:hAnsi="Arial"/>
          <w:sz w:val="14"/>
          <w:szCs w:val="14"/>
          <w:color w:val="auto"/>
        </w:rPr>
        <w:t xml:space="preserve"> - C. Mark Hussey, John D. Kelly, Ernest W. Torain, Jr. and Diane Ratekin</w:t>
      </w:r>
    </w:p>
    <w:p>
      <w:pPr>
        <w:spacing w:after="0" w:line="68" w:lineRule="exact"/>
        <w:rPr>
          <w:rFonts w:ascii="Arial" w:cs="Arial" w:eastAsia="Arial" w:hAnsi="Arial"/>
          <w:sz w:val="14"/>
          <w:szCs w:val="14"/>
          <w:color w:val="auto"/>
        </w:rPr>
      </w:pPr>
    </w:p>
    <w:p>
      <w:pPr>
        <w:ind w:left="420" w:right="120" w:hanging="331"/>
        <w:spacing w:after="0" w:line="276" w:lineRule="auto"/>
        <w:tabs>
          <w:tab w:leader="none" w:pos="420" w:val="left"/>
        </w:tabs>
        <w:numPr>
          <w:ilvl w:val="0"/>
          <w:numId w:val="94"/>
        </w:numPr>
        <w:rPr>
          <w:rFonts w:ascii="Arial" w:cs="Arial" w:eastAsia="Arial" w:hAnsi="Arial"/>
          <w:sz w:val="14"/>
          <w:szCs w:val="14"/>
          <w:color w:val="auto"/>
        </w:rPr>
      </w:pPr>
      <w:r>
        <w:rPr>
          <w:rFonts w:ascii="Arial" w:cs="Arial" w:eastAsia="Arial" w:hAnsi="Arial"/>
          <w:sz w:val="14"/>
          <w:szCs w:val="14"/>
          <w:color w:val="auto"/>
        </w:rPr>
        <w:t>CAP was calculated by subtracting from the summary compensation total the grant date fair value of awards included in the summary compensation total, adding/(subtracting) the year-over-year change in fair value of unvested equity, adding/(subtracting) the year-over-year change in fair value of prior years' unvested equity that vested in the current year (valued as of the vest date), and adding the fair value of equity compensation granted in the current year (valued as of year-end). No dividends were paid in any year presented.</w:t>
      </w:r>
    </w:p>
    <w:p>
      <w:pPr>
        <w:spacing w:after="0" w:line="1" w:lineRule="exact"/>
        <w:rPr>
          <w:rFonts w:ascii="Arial" w:cs="Arial" w:eastAsia="Arial" w:hAnsi="Arial"/>
          <w:sz w:val="14"/>
          <w:szCs w:val="14"/>
          <w:color w:val="auto"/>
        </w:rPr>
      </w:pPr>
    </w:p>
    <w:p>
      <w:pPr>
        <w:ind w:left="420" w:right="140" w:hanging="331"/>
        <w:spacing w:after="0" w:line="272" w:lineRule="auto"/>
        <w:tabs>
          <w:tab w:leader="none" w:pos="420" w:val="left"/>
        </w:tabs>
        <w:numPr>
          <w:ilvl w:val="0"/>
          <w:numId w:val="94"/>
        </w:numPr>
        <w:rPr>
          <w:rFonts w:ascii="Arial" w:cs="Arial" w:eastAsia="Arial" w:hAnsi="Arial"/>
          <w:sz w:val="14"/>
          <w:szCs w:val="14"/>
          <w:color w:val="auto"/>
        </w:rPr>
      </w:pPr>
      <w:r>
        <w:rPr>
          <w:rFonts w:ascii="Arial" w:cs="Arial" w:eastAsia="Arial" w:hAnsi="Arial"/>
          <w:sz w:val="14"/>
          <w:szCs w:val="14"/>
          <w:color w:val="auto"/>
        </w:rPr>
        <w:t>The Compensation Committee determined revenues before reimbursable expenses to be the most important financial performance measure used to link company performance to CAP to our PEO and Non-PEO NEOs for 2024 because, in its view, it was most consistent with our primary near-term objective of driving revenue growth. Please note that in 2024, the Company revised the line item description of revenues to rename revenues as revenues before reimbursable expenses. The change in line item description had no impact on the value of the company-selected measure in any period.</w:t>
      </w:r>
    </w:p>
    <w:p>
      <w:pPr>
        <w:spacing w:after="0" w:line="280" w:lineRule="exact"/>
        <w:rPr>
          <w:sz w:val="20"/>
          <w:szCs w:val="20"/>
          <w:color w:val="auto"/>
        </w:rPr>
      </w:pPr>
    </w:p>
    <w:p>
      <w:pPr>
        <w:ind w:left="60"/>
        <w:spacing w:after="0"/>
        <w:tabs>
          <w:tab w:leader="none" w:pos="444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13"/>
          <w:szCs w:val="13"/>
          <w:b w:val="1"/>
          <w:bCs w:val="1"/>
          <w:color w:val="00558C"/>
        </w:rPr>
        <w:t>62</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420370</wp:posOffset>
            </wp:positionV>
            <wp:extent cx="6810375" cy="24079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10375" cy="2407920"/>
                    </a:xfrm>
                    <a:prstGeom prst="rect">
                      <a:avLst/>
                    </a:prstGeom>
                    <a:noFill/>
                  </pic:spPr>
                </pic:pic>
              </a:graphicData>
            </a:graphic>
          </wp:anchor>
        </w:drawing>
      </w:r>
    </w:p>
    <w:p>
      <w:pPr>
        <w:sectPr>
          <w:pgSz w:w="11900" w:h="16838" w:orient="portrait"/>
          <w:cols w:equalWidth="0" w:num="1">
            <w:col w:w="9080"/>
          </w:cols>
          <w:pgMar w:left="1400" w:top="125" w:right="14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0"/>
        <w:spacing w:after="0" w:line="274" w:lineRule="auto"/>
        <w:rPr>
          <w:sz w:val="20"/>
          <w:szCs w:val="20"/>
          <w:color w:val="auto"/>
        </w:rPr>
      </w:pPr>
      <w:r>
        <w:rPr>
          <w:rFonts w:ascii="Arial" w:cs="Arial" w:eastAsia="Arial" w:hAnsi="Arial"/>
          <w:sz w:val="13"/>
          <w:szCs w:val="13"/>
          <w:b w:val="1"/>
          <w:bCs w:val="1"/>
          <w:color w:val="B2B3B6"/>
        </w:rPr>
        <w:t>General Proposal Information 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line="274" w:lineRule="auto"/>
        <w:rPr>
          <w:sz w:val="20"/>
          <w:szCs w:val="20"/>
          <w:color w:val="auto"/>
        </w:rPr>
      </w:pPr>
      <w:r>
        <w:rPr>
          <w:rFonts w:ascii="Arial" w:cs="Arial" w:eastAsia="Arial" w:hAnsi="Arial"/>
          <w:sz w:val="13"/>
          <w:szCs w:val="13"/>
          <w:b w:val="1"/>
          <w:bCs w:val="1"/>
          <w:color w:val="B2B3B6"/>
        </w:rPr>
        <w:t xml:space="preserve">Corporate Proposal </w:t>
      </w:r>
      <w:r>
        <w:rPr>
          <w:rFonts w:ascii="Arial" w:cs="Arial" w:eastAsia="Arial" w:hAnsi="Arial"/>
          <w:sz w:val="13"/>
          <w:szCs w:val="13"/>
          <w:b w:val="1"/>
          <w:bCs w:val="1"/>
          <w:color w:val="6AAA37"/>
        </w:rPr>
        <w:t>Executive</w:t>
      </w:r>
      <w:r>
        <w:rPr>
          <w:rFonts w:ascii="Arial" w:cs="Arial" w:eastAsia="Arial" w:hAnsi="Arial"/>
          <w:sz w:val="13"/>
          <w:szCs w:val="13"/>
          <w:b w:val="1"/>
          <w:bCs w:val="1"/>
          <w:color w:val="B2B3B6"/>
        </w:rPr>
        <w:t xml:space="preserve"> Governance Two </w:t>
      </w:r>
      <w:r>
        <w:rPr>
          <w:rFonts w:ascii="Arial" w:cs="Arial" w:eastAsia="Arial" w:hAnsi="Arial"/>
          <w:sz w:val="13"/>
          <w:szCs w:val="13"/>
          <w:b w:val="1"/>
          <w:bCs w:val="1"/>
          <w:color w:val="6AAA37"/>
        </w:rPr>
        <w:t>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200"/>
        <w:spacing w:after="0" w:line="274" w:lineRule="auto"/>
        <w:rPr>
          <w:sz w:val="20"/>
          <w:szCs w:val="20"/>
          <w:color w:val="auto"/>
        </w:rPr>
      </w:pPr>
      <w:r>
        <w:rPr>
          <w:rFonts w:ascii="Arial" w:cs="Arial" w:eastAsia="Arial" w:hAnsi="Arial"/>
          <w:sz w:val="13"/>
          <w:szCs w:val="13"/>
          <w:b w:val="1"/>
          <w:bCs w:val="1"/>
          <w:color w:val="B2B3B6"/>
        </w:rPr>
        <w:t>Proposal Proposal Proposal Stockholder Other Three Four Five Proposals Matters</w:t>
      </w:r>
    </w:p>
    <w:p>
      <w:pPr>
        <w:spacing w:after="0" w:line="200" w:lineRule="exact"/>
        <w:rPr>
          <w:sz w:val="20"/>
          <w:szCs w:val="20"/>
          <w:color w:val="auto"/>
        </w:rPr>
      </w:pPr>
    </w:p>
    <w:p>
      <w:pPr>
        <w:sectPr>
          <w:pgSz w:w="11900" w:h="16838" w:orient="portrait"/>
          <w:cols w:equalWidth="0" w:num="3">
            <w:col w:w="1600" w:space="300"/>
            <w:col w:w="2700" w:space="320"/>
            <w:col w:w="4160"/>
          </w:cols>
          <w:pgMar w:left="1400" w:top="125" w:right="1419" w:bottom="0" w:gutter="0" w:footer="0" w:header="0"/>
          <w:type w:val="continuous"/>
        </w:sectPr>
      </w:pPr>
    </w:p>
    <w:p>
      <w:pPr>
        <w:spacing w:after="0" w:line="70" w:lineRule="exact"/>
        <w:rPr>
          <w:sz w:val="20"/>
          <w:szCs w:val="20"/>
          <w:color w:val="auto"/>
        </w:rPr>
      </w:pPr>
    </w:p>
    <w:p>
      <w:pPr>
        <w:ind w:right="440"/>
        <w:spacing w:after="0" w:line="321" w:lineRule="auto"/>
        <w:rPr>
          <w:sz w:val="20"/>
          <w:szCs w:val="20"/>
          <w:color w:val="auto"/>
        </w:rPr>
      </w:pPr>
      <w:r>
        <w:rPr>
          <w:rFonts w:ascii="Arial" w:cs="Arial" w:eastAsia="Arial" w:hAnsi="Arial"/>
          <w:sz w:val="16"/>
          <w:szCs w:val="16"/>
          <w:color w:val="auto"/>
        </w:rPr>
        <w:t>Below is additional information on the total amount of equity compensation included in CAP for the PEO and the average amount of equity compensation included in CAP for the non-PEO NEOs for 2024:</w:t>
      </w:r>
    </w:p>
    <w:p>
      <w:pPr>
        <w:spacing w:after="0" w:line="299" w:lineRule="exact"/>
        <w:rPr>
          <w:sz w:val="20"/>
          <w:szCs w:val="20"/>
          <w:color w:val="auto"/>
        </w:rPr>
      </w:pPr>
    </w:p>
    <w:tbl>
      <w:tblPr>
        <w:tblLayout w:type="fixed"/>
        <w:tblInd w:w="900" w:type="dxa"/>
        <w:tblCellMar>
          <w:top w:w="0" w:type="dxa"/>
          <w:left w:w="0" w:type="dxa"/>
          <w:bottom w:w="0" w:type="dxa"/>
          <w:right w:w="0" w:type="dxa"/>
        </w:tblCellMar>
      </w:tblPr>
      <w:tr>
        <w:trPr>
          <w:trHeight w:val="149"/>
        </w:trPr>
        <w:tc>
          <w:tcPr>
            <w:tcW w:w="3260" w:type="dxa"/>
            <w:vAlign w:val="bottom"/>
            <w:gridSpan w:val="4"/>
          </w:tcPr>
          <w:p>
            <w:pPr>
              <w:jc w:val="right"/>
              <w:ind w:right="57"/>
              <w:spacing w:after="0"/>
              <w:rPr>
                <w:sz w:val="20"/>
                <w:szCs w:val="20"/>
                <w:color w:val="auto"/>
              </w:rPr>
            </w:pPr>
            <w:r>
              <w:rPr>
                <w:rFonts w:ascii="Arial" w:cs="Arial" w:eastAsia="Arial" w:hAnsi="Arial"/>
                <w:sz w:val="13"/>
                <w:szCs w:val="13"/>
                <w:b w:val="1"/>
                <w:bCs w:val="1"/>
                <w:color w:val="FFFFFF"/>
              </w:rPr>
              <w:t>Components of PEO Equity Compensation</w:t>
            </w:r>
          </w:p>
        </w:tc>
        <w:tc>
          <w:tcPr>
            <w:tcW w:w="820" w:type="dxa"/>
            <w:vAlign w:val="bottom"/>
          </w:tcPr>
          <w:p>
            <w:pPr>
              <w:spacing w:after="0"/>
              <w:rPr>
                <w:sz w:val="12"/>
                <w:szCs w:val="12"/>
                <w:color w:val="auto"/>
              </w:rPr>
            </w:pPr>
          </w:p>
        </w:tc>
        <w:tc>
          <w:tcPr>
            <w:tcW w:w="3960" w:type="dxa"/>
            <w:vAlign w:val="bottom"/>
            <w:gridSpan w:val="5"/>
          </w:tcPr>
          <w:p>
            <w:pPr>
              <w:jc w:val="right"/>
              <w:ind w:right="417"/>
              <w:spacing w:after="0"/>
              <w:rPr>
                <w:sz w:val="20"/>
                <w:szCs w:val="20"/>
                <w:color w:val="auto"/>
              </w:rPr>
            </w:pPr>
            <w:r>
              <w:rPr>
                <w:rFonts w:ascii="Arial" w:cs="Arial" w:eastAsia="Arial" w:hAnsi="Arial"/>
                <w:sz w:val="13"/>
                <w:szCs w:val="13"/>
                <w:b w:val="1"/>
                <w:bCs w:val="1"/>
                <w:color w:val="FFFFFF"/>
              </w:rPr>
              <w:t>Components of non-PEO NEO Equity Compensation</w:t>
            </w:r>
          </w:p>
        </w:tc>
      </w:tr>
      <w:tr>
        <w:trPr>
          <w:trHeight w:val="172"/>
        </w:trPr>
        <w:tc>
          <w:tcPr>
            <w:tcW w:w="700" w:type="dxa"/>
            <w:vAlign w:val="bottom"/>
          </w:tcPr>
          <w:p>
            <w:pPr>
              <w:spacing w:after="0"/>
              <w:rPr>
                <w:sz w:val="14"/>
                <w:szCs w:val="14"/>
                <w:color w:val="auto"/>
              </w:rPr>
            </w:pPr>
          </w:p>
        </w:tc>
        <w:tc>
          <w:tcPr>
            <w:tcW w:w="1780" w:type="dxa"/>
            <w:vAlign w:val="bottom"/>
            <w:gridSpan w:val="2"/>
          </w:tcPr>
          <w:p>
            <w:pPr>
              <w:jc w:val="right"/>
              <w:spacing w:after="0"/>
              <w:rPr>
                <w:sz w:val="20"/>
                <w:szCs w:val="20"/>
                <w:color w:val="auto"/>
              </w:rPr>
            </w:pPr>
            <w:r>
              <w:rPr>
                <w:rFonts w:ascii="Arial" w:cs="Arial" w:eastAsia="Arial" w:hAnsi="Arial"/>
                <w:sz w:val="13"/>
                <w:szCs w:val="13"/>
                <w:b w:val="1"/>
                <w:bCs w:val="1"/>
                <w:color w:val="FFFFFF"/>
              </w:rPr>
              <w:t>Included in CAP</w:t>
            </w: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700" w:type="dxa"/>
            <w:vAlign w:val="bottom"/>
            <w:gridSpan w:val="2"/>
          </w:tcPr>
          <w:p>
            <w:pPr>
              <w:jc w:val="right"/>
              <w:spacing w:after="0"/>
              <w:rPr>
                <w:sz w:val="20"/>
                <w:szCs w:val="20"/>
                <w:color w:val="auto"/>
              </w:rPr>
            </w:pPr>
            <w:r>
              <w:rPr>
                <w:rFonts w:ascii="Arial" w:cs="Arial" w:eastAsia="Arial" w:hAnsi="Arial"/>
                <w:sz w:val="13"/>
                <w:szCs w:val="13"/>
                <w:b w:val="1"/>
                <w:bCs w:val="1"/>
                <w:color w:val="FFFFFF"/>
              </w:rPr>
              <w:t>Included in CAP</w:t>
            </w: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409"/>
        </w:trPr>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jc w:val="right"/>
              <w:ind w:right="77"/>
              <w:spacing w:after="0"/>
              <w:rPr>
                <w:sz w:val="20"/>
                <w:szCs w:val="20"/>
                <w:color w:val="auto"/>
              </w:rPr>
            </w:pPr>
            <w:r>
              <w:rPr>
                <w:rFonts w:ascii="Arial" w:cs="Arial" w:eastAsia="Arial" w:hAnsi="Arial"/>
                <w:sz w:val="13"/>
                <w:szCs w:val="13"/>
                <w:b w:val="1"/>
                <w:bCs w:val="1"/>
                <w:color w:val="FFFFFF"/>
              </w:rPr>
              <w:t>Change in</w:t>
            </w:r>
          </w:p>
        </w:tc>
        <w:tc>
          <w:tcPr>
            <w:tcW w:w="780" w:type="dxa"/>
            <w:vAlign w:val="bottom"/>
          </w:tcPr>
          <w:p>
            <w:pPr>
              <w:jc w:val="right"/>
              <w:ind w:right="57"/>
              <w:spacing w:after="0"/>
              <w:rPr>
                <w:sz w:val="20"/>
                <w:szCs w:val="20"/>
                <w:color w:val="auto"/>
              </w:rPr>
            </w:pPr>
            <w:r>
              <w:rPr>
                <w:rFonts w:ascii="Arial" w:cs="Arial" w:eastAsia="Arial" w:hAnsi="Arial"/>
                <w:sz w:val="13"/>
                <w:szCs w:val="13"/>
                <w:b w:val="1"/>
                <w:bCs w:val="1"/>
                <w:color w:val="FFFFFF"/>
              </w:rPr>
              <w:t>Change in</w:t>
            </w: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b w:val="1"/>
                <w:bCs w:val="1"/>
                <w:color w:val="FFFFFF"/>
              </w:rPr>
              <w:t>Change in</w:t>
            </w:r>
          </w:p>
        </w:tc>
        <w:tc>
          <w:tcPr>
            <w:tcW w:w="880" w:type="dxa"/>
            <w:vAlign w:val="bottom"/>
          </w:tcPr>
          <w:p>
            <w:pPr>
              <w:jc w:val="right"/>
              <w:ind w:right="117"/>
              <w:spacing w:after="0"/>
              <w:rPr>
                <w:sz w:val="20"/>
                <w:szCs w:val="20"/>
                <w:color w:val="auto"/>
              </w:rPr>
            </w:pPr>
            <w:r>
              <w:rPr>
                <w:rFonts w:ascii="Arial" w:cs="Arial" w:eastAsia="Arial" w:hAnsi="Arial"/>
                <w:sz w:val="13"/>
                <w:szCs w:val="13"/>
                <w:b w:val="1"/>
                <w:bCs w:val="1"/>
                <w:color w:val="FFFFFF"/>
              </w:rPr>
              <w:t>Change in</w:t>
            </w:r>
          </w:p>
        </w:tc>
        <w:tc>
          <w:tcPr>
            <w:tcW w:w="760" w:type="dxa"/>
            <w:vAlign w:val="bottom"/>
          </w:tcPr>
          <w:p>
            <w:pPr>
              <w:jc w:val="right"/>
              <w:ind w:right="77"/>
              <w:spacing w:after="0"/>
              <w:rPr>
                <w:sz w:val="20"/>
                <w:szCs w:val="20"/>
                <w:color w:val="auto"/>
              </w:rPr>
            </w:pPr>
            <w:r>
              <w:rPr>
                <w:rFonts w:ascii="Arial" w:cs="Arial" w:eastAsia="Arial" w:hAnsi="Arial"/>
                <w:sz w:val="13"/>
                <w:szCs w:val="13"/>
                <w:b w:val="1"/>
                <w:bCs w:val="1"/>
                <w:color w:val="FFFFFF"/>
                <w:w w:val="95"/>
              </w:rPr>
              <w:t>Change in</w:t>
            </w:r>
          </w:p>
        </w:tc>
        <w:tc>
          <w:tcPr>
            <w:tcW w:w="660" w:type="dxa"/>
            <w:vAlign w:val="bottom"/>
          </w:tcPr>
          <w:p>
            <w:pPr>
              <w:spacing w:after="0"/>
              <w:rPr>
                <w:sz w:val="24"/>
                <w:szCs w:val="24"/>
                <w:color w:val="auto"/>
              </w:rPr>
            </w:pPr>
          </w:p>
        </w:tc>
      </w:tr>
      <w:tr>
        <w:trPr>
          <w:trHeight w:val="162"/>
        </w:trPr>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jc w:val="right"/>
              <w:ind w:right="97"/>
              <w:spacing w:after="0"/>
              <w:rPr>
                <w:sz w:val="20"/>
                <w:szCs w:val="20"/>
                <w:color w:val="auto"/>
              </w:rPr>
            </w:pPr>
            <w:r>
              <w:rPr>
                <w:rFonts w:ascii="Arial" w:cs="Arial" w:eastAsia="Arial" w:hAnsi="Arial"/>
                <w:sz w:val="13"/>
                <w:szCs w:val="13"/>
                <w:b w:val="1"/>
                <w:bCs w:val="1"/>
                <w:color w:val="FFFFFF"/>
              </w:rPr>
              <w:t>Fair Value</w:t>
            </w:r>
          </w:p>
        </w:tc>
        <w:tc>
          <w:tcPr>
            <w:tcW w:w="780" w:type="dxa"/>
            <w:vAlign w:val="bottom"/>
          </w:tcPr>
          <w:p>
            <w:pPr>
              <w:jc w:val="right"/>
              <w:ind w:right="57"/>
              <w:spacing w:after="0"/>
              <w:rPr>
                <w:sz w:val="20"/>
                <w:szCs w:val="20"/>
                <w:color w:val="auto"/>
              </w:rPr>
            </w:pPr>
            <w:r>
              <w:rPr>
                <w:rFonts w:ascii="Arial" w:cs="Arial" w:eastAsia="Arial" w:hAnsi="Arial"/>
                <w:sz w:val="13"/>
                <w:szCs w:val="13"/>
                <w:b w:val="1"/>
                <w:bCs w:val="1"/>
                <w:color w:val="FFFFFF"/>
              </w:rPr>
              <w:t>Fair Value</w:t>
            </w: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b w:val="1"/>
                <w:bCs w:val="1"/>
                <w:color w:val="FFFFFF"/>
              </w:rPr>
              <w:t>Fair Value</w:t>
            </w:r>
          </w:p>
        </w:tc>
        <w:tc>
          <w:tcPr>
            <w:tcW w:w="880" w:type="dxa"/>
            <w:vAlign w:val="bottom"/>
          </w:tcPr>
          <w:p>
            <w:pPr>
              <w:jc w:val="right"/>
              <w:ind w:right="117"/>
              <w:spacing w:after="0"/>
              <w:rPr>
                <w:sz w:val="20"/>
                <w:szCs w:val="20"/>
                <w:color w:val="auto"/>
              </w:rPr>
            </w:pPr>
            <w:r>
              <w:rPr>
                <w:rFonts w:ascii="Arial" w:cs="Arial" w:eastAsia="Arial" w:hAnsi="Arial"/>
                <w:sz w:val="13"/>
                <w:szCs w:val="13"/>
                <w:b w:val="1"/>
                <w:bCs w:val="1"/>
                <w:color w:val="FFFFFF"/>
              </w:rPr>
              <w:t>Fair Value</w:t>
            </w:r>
          </w:p>
        </w:tc>
        <w:tc>
          <w:tcPr>
            <w:tcW w:w="760" w:type="dxa"/>
            <w:vAlign w:val="bottom"/>
          </w:tcPr>
          <w:p>
            <w:pPr>
              <w:jc w:val="right"/>
              <w:ind w:right="77"/>
              <w:spacing w:after="0"/>
              <w:rPr>
                <w:sz w:val="20"/>
                <w:szCs w:val="20"/>
                <w:color w:val="auto"/>
              </w:rPr>
            </w:pPr>
            <w:r>
              <w:rPr>
                <w:rFonts w:ascii="Arial" w:cs="Arial" w:eastAsia="Arial" w:hAnsi="Arial"/>
                <w:sz w:val="13"/>
                <w:szCs w:val="13"/>
                <w:b w:val="1"/>
                <w:bCs w:val="1"/>
                <w:color w:val="FFFFFF"/>
                <w:w w:val="96"/>
              </w:rPr>
              <w:t>Fair Value</w:t>
            </w:r>
          </w:p>
        </w:tc>
        <w:tc>
          <w:tcPr>
            <w:tcW w:w="660" w:type="dxa"/>
            <w:vAlign w:val="bottom"/>
          </w:tcPr>
          <w:p>
            <w:pPr>
              <w:spacing w:after="0"/>
              <w:rPr>
                <w:sz w:val="14"/>
                <w:szCs w:val="14"/>
                <w:color w:val="auto"/>
              </w:rPr>
            </w:pPr>
          </w:p>
        </w:tc>
      </w:tr>
      <w:tr>
        <w:trPr>
          <w:trHeight w:val="148"/>
        </w:trPr>
        <w:tc>
          <w:tcPr>
            <w:tcW w:w="700" w:type="dxa"/>
            <w:vAlign w:val="bottom"/>
          </w:tcPr>
          <w:p>
            <w:pPr>
              <w:jc w:val="right"/>
              <w:ind w:right="57"/>
              <w:spacing w:after="0"/>
              <w:rPr>
                <w:sz w:val="20"/>
                <w:szCs w:val="20"/>
                <w:color w:val="auto"/>
              </w:rPr>
            </w:pPr>
            <w:r>
              <w:rPr>
                <w:rFonts w:ascii="Arial" w:cs="Arial" w:eastAsia="Arial" w:hAnsi="Arial"/>
                <w:sz w:val="13"/>
                <w:szCs w:val="13"/>
                <w:b w:val="1"/>
                <w:bCs w:val="1"/>
                <w:color w:val="FFFFFF"/>
                <w:w w:val="90"/>
              </w:rPr>
              <w:t>Fair Value</w:t>
            </w:r>
          </w:p>
        </w:tc>
        <w:tc>
          <w:tcPr>
            <w:tcW w:w="920" w:type="dxa"/>
            <w:vAlign w:val="bottom"/>
          </w:tcPr>
          <w:p>
            <w:pPr>
              <w:jc w:val="right"/>
              <w:ind w:right="37"/>
              <w:spacing w:after="0"/>
              <w:rPr>
                <w:sz w:val="20"/>
                <w:szCs w:val="20"/>
                <w:color w:val="auto"/>
              </w:rPr>
            </w:pPr>
            <w:r>
              <w:rPr>
                <w:rFonts w:ascii="Arial" w:cs="Arial" w:eastAsia="Arial" w:hAnsi="Arial"/>
                <w:sz w:val="13"/>
                <w:szCs w:val="13"/>
                <w:b w:val="1"/>
                <w:bCs w:val="1"/>
                <w:color w:val="FFFFFF"/>
              </w:rPr>
              <w:t>Change in</w:t>
            </w:r>
          </w:p>
        </w:tc>
        <w:tc>
          <w:tcPr>
            <w:tcW w:w="860" w:type="dxa"/>
            <w:vAlign w:val="bottom"/>
          </w:tcPr>
          <w:p>
            <w:pPr>
              <w:jc w:val="right"/>
              <w:ind w:right="77"/>
              <w:spacing w:after="0"/>
              <w:rPr>
                <w:sz w:val="20"/>
                <w:szCs w:val="20"/>
                <w:color w:val="auto"/>
              </w:rPr>
            </w:pPr>
            <w:r>
              <w:rPr>
                <w:rFonts w:ascii="Arial" w:cs="Arial" w:eastAsia="Arial" w:hAnsi="Arial"/>
                <w:sz w:val="13"/>
                <w:szCs w:val="13"/>
                <w:b w:val="1"/>
                <w:bCs w:val="1"/>
                <w:color w:val="FFFFFF"/>
              </w:rPr>
              <w:t>of Equity</w:t>
            </w:r>
          </w:p>
        </w:tc>
        <w:tc>
          <w:tcPr>
            <w:tcW w:w="780" w:type="dxa"/>
            <w:vAlign w:val="bottom"/>
          </w:tcPr>
          <w:p>
            <w:pPr>
              <w:jc w:val="right"/>
              <w:ind w:right="37"/>
              <w:spacing w:after="0"/>
              <w:rPr>
                <w:sz w:val="20"/>
                <w:szCs w:val="20"/>
                <w:color w:val="auto"/>
              </w:rPr>
            </w:pPr>
            <w:r>
              <w:rPr>
                <w:rFonts w:ascii="Arial" w:cs="Arial" w:eastAsia="Arial" w:hAnsi="Arial"/>
                <w:sz w:val="13"/>
                <w:szCs w:val="13"/>
                <w:b w:val="1"/>
                <w:bCs w:val="1"/>
                <w:color w:val="FFFFFF"/>
              </w:rPr>
              <w:t>of Prior</w:t>
            </w:r>
          </w:p>
        </w:tc>
        <w:tc>
          <w:tcPr>
            <w:tcW w:w="820" w:type="dxa"/>
            <w:vAlign w:val="bottom"/>
          </w:tcPr>
          <w:p>
            <w:pPr>
              <w:spacing w:after="0"/>
              <w:rPr>
                <w:sz w:val="12"/>
                <w:szCs w:val="12"/>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b w:val="1"/>
                <w:bCs w:val="1"/>
                <w:color w:val="FFFFFF"/>
              </w:rPr>
              <w:t>Fair Value</w:t>
            </w:r>
          </w:p>
        </w:tc>
        <w:tc>
          <w:tcPr>
            <w:tcW w:w="820" w:type="dxa"/>
            <w:vAlign w:val="bottom"/>
          </w:tcPr>
          <w:p>
            <w:pPr>
              <w:jc w:val="right"/>
              <w:spacing w:after="0"/>
              <w:rPr>
                <w:sz w:val="20"/>
                <w:szCs w:val="20"/>
                <w:color w:val="auto"/>
              </w:rPr>
            </w:pPr>
            <w:r>
              <w:rPr>
                <w:rFonts w:ascii="Arial" w:cs="Arial" w:eastAsia="Arial" w:hAnsi="Arial"/>
                <w:sz w:val="13"/>
                <w:szCs w:val="13"/>
                <w:b w:val="1"/>
                <w:bCs w:val="1"/>
                <w:color w:val="FFFFFF"/>
              </w:rPr>
              <w:t>of</w:t>
            </w:r>
          </w:p>
        </w:tc>
        <w:tc>
          <w:tcPr>
            <w:tcW w:w="880" w:type="dxa"/>
            <w:vAlign w:val="bottom"/>
          </w:tcPr>
          <w:p>
            <w:pPr>
              <w:jc w:val="right"/>
              <w:ind w:right="117"/>
              <w:spacing w:after="0"/>
              <w:rPr>
                <w:sz w:val="20"/>
                <w:szCs w:val="20"/>
                <w:color w:val="auto"/>
              </w:rPr>
            </w:pPr>
            <w:r>
              <w:rPr>
                <w:rFonts w:ascii="Arial" w:cs="Arial" w:eastAsia="Arial" w:hAnsi="Arial"/>
                <w:sz w:val="13"/>
                <w:szCs w:val="13"/>
                <w:b w:val="1"/>
                <w:bCs w:val="1"/>
                <w:color w:val="FFFFFF"/>
              </w:rPr>
              <w:t>of Equity</w:t>
            </w:r>
          </w:p>
        </w:tc>
        <w:tc>
          <w:tcPr>
            <w:tcW w:w="760" w:type="dxa"/>
            <w:vAlign w:val="bottom"/>
          </w:tcPr>
          <w:p>
            <w:pPr>
              <w:jc w:val="right"/>
              <w:ind w:right="57"/>
              <w:spacing w:after="0"/>
              <w:rPr>
                <w:sz w:val="20"/>
                <w:szCs w:val="20"/>
                <w:color w:val="auto"/>
              </w:rPr>
            </w:pPr>
            <w:r>
              <w:rPr>
                <w:rFonts w:ascii="Arial" w:cs="Arial" w:eastAsia="Arial" w:hAnsi="Arial"/>
                <w:sz w:val="13"/>
                <w:szCs w:val="13"/>
                <w:b w:val="1"/>
                <w:bCs w:val="1"/>
                <w:color w:val="FFFFFF"/>
              </w:rPr>
              <w:t>of Prior</w:t>
            </w:r>
          </w:p>
        </w:tc>
        <w:tc>
          <w:tcPr>
            <w:tcW w:w="660" w:type="dxa"/>
            <w:vAlign w:val="bottom"/>
          </w:tcPr>
          <w:p>
            <w:pPr>
              <w:spacing w:after="0"/>
              <w:rPr>
                <w:sz w:val="12"/>
                <w:szCs w:val="12"/>
                <w:color w:val="auto"/>
              </w:rPr>
            </w:pPr>
          </w:p>
        </w:tc>
      </w:tr>
      <w:tr>
        <w:trPr>
          <w:trHeight w:val="148"/>
        </w:trPr>
        <w:tc>
          <w:tcPr>
            <w:tcW w:w="700" w:type="dxa"/>
            <w:vAlign w:val="bottom"/>
          </w:tcPr>
          <w:p>
            <w:pPr>
              <w:jc w:val="right"/>
              <w:ind w:right="37"/>
              <w:spacing w:after="0"/>
              <w:rPr>
                <w:sz w:val="20"/>
                <w:szCs w:val="20"/>
                <w:color w:val="auto"/>
              </w:rPr>
            </w:pPr>
            <w:r>
              <w:rPr>
                <w:rFonts w:ascii="Arial" w:cs="Arial" w:eastAsia="Arial" w:hAnsi="Arial"/>
                <w:sz w:val="13"/>
                <w:szCs w:val="13"/>
                <w:b w:val="1"/>
                <w:bCs w:val="1"/>
                <w:color w:val="FFFFFF"/>
              </w:rPr>
              <w:t>of Equity</w:t>
            </w:r>
          </w:p>
        </w:tc>
        <w:tc>
          <w:tcPr>
            <w:tcW w:w="920" w:type="dxa"/>
            <w:vAlign w:val="bottom"/>
          </w:tcPr>
          <w:p>
            <w:pPr>
              <w:jc w:val="right"/>
              <w:ind w:right="57"/>
              <w:spacing w:after="0"/>
              <w:rPr>
                <w:sz w:val="20"/>
                <w:szCs w:val="20"/>
                <w:color w:val="auto"/>
              </w:rPr>
            </w:pPr>
            <w:r>
              <w:rPr>
                <w:rFonts w:ascii="Arial" w:cs="Arial" w:eastAsia="Arial" w:hAnsi="Arial"/>
                <w:sz w:val="13"/>
                <w:szCs w:val="13"/>
                <w:b w:val="1"/>
                <w:bCs w:val="1"/>
                <w:color w:val="FFFFFF"/>
                <w:w w:val="99"/>
              </w:rPr>
              <w:t>Fair Value of</w:t>
            </w:r>
          </w:p>
        </w:tc>
        <w:tc>
          <w:tcPr>
            <w:tcW w:w="860" w:type="dxa"/>
            <w:vAlign w:val="bottom"/>
          </w:tcPr>
          <w:p>
            <w:pPr>
              <w:jc w:val="right"/>
              <w:ind w:right="77"/>
              <w:spacing w:after="0"/>
              <w:rPr>
                <w:sz w:val="20"/>
                <w:szCs w:val="20"/>
                <w:color w:val="auto"/>
              </w:rPr>
            </w:pPr>
            <w:r>
              <w:rPr>
                <w:rFonts w:ascii="Arial" w:cs="Arial" w:eastAsia="Arial" w:hAnsi="Arial"/>
                <w:sz w:val="13"/>
                <w:szCs w:val="13"/>
                <w:b w:val="1"/>
                <w:bCs w:val="1"/>
                <w:color w:val="FFFFFF"/>
              </w:rPr>
              <w:t>Awards</w:t>
            </w:r>
          </w:p>
        </w:tc>
        <w:tc>
          <w:tcPr>
            <w:tcW w:w="780" w:type="dxa"/>
            <w:vAlign w:val="bottom"/>
          </w:tcPr>
          <w:p>
            <w:pPr>
              <w:jc w:val="right"/>
              <w:ind w:right="17"/>
              <w:spacing w:after="0"/>
              <w:rPr>
                <w:sz w:val="20"/>
                <w:szCs w:val="20"/>
                <w:color w:val="auto"/>
              </w:rPr>
            </w:pPr>
            <w:r>
              <w:rPr>
                <w:rFonts w:ascii="Arial" w:cs="Arial" w:eastAsia="Arial" w:hAnsi="Arial"/>
                <w:sz w:val="13"/>
                <w:szCs w:val="13"/>
                <w:b w:val="1"/>
                <w:bCs w:val="1"/>
                <w:color w:val="FFFFFF"/>
              </w:rPr>
              <w:t>Years'</w:t>
            </w:r>
          </w:p>
        </w:tc>
        <w:tc>
          <w:tcPr>
            <w:tcW w:w="820" w:type="dxa"/>
            <w:vAlign w:val="bottom"/>
          </w:tcPr>
          <w:p>
            <w:pPr>
              <w:spacing w:after="0"/>
              <w:rPr>
                <w:sz w:val="12"/>
                <w:szCs w:val="12"/>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b w:val="1"/>
                <w:bCs w:val="1"/>
                <w:color w:val="FFFFFF"/>
              </w:rPr>
              <w:t>of Equity</w:t>
            </w:r>
          </w:p>
        </w:tc>
        <w:tc>
          <w:tcPr>
            <w:tcW w:w="820" w:type="dxa"/>
            <w:vAlign w:val="bottom"/>
          </w:tcPr>
          <w:p>
            <w:pPr>
              <w:jc w:val="right"/>
              <w:ind w:right="57"/>
              <w:spacing w:after="0"/>
              <w:rPr>
                <w:sz w:val="20"/>
                <w:szCs w:val="20"/>
                <w:color w:val="auto"/>
              </w:rPr>
            </w:pPr>
            <w:r>
              <w:rPr>
                <w:rFonts w:ascii="Arial" w:cs="Arial" w:eastAsia="Arial" w:hAnsi="Arial"/>
                <w:sz w:val="13"/>
                <w:szCs w:val="13"/>
                <w:b w:val="1"/>
                <w:bCs w:val="1"/>
                <w:color w:val="FFFFFF"/>
              </w:rPr>
              <w:t>Unvested</w:t>
            </w:r>
          </w:p>
        </w:tc>
        <w:tc>
          <w:tcPr>
            <w:tcW w:w="880" w:type="dxa"/>
            <w:vAlign w:val="bottom"/>
          </w:tcPr>
          <w:p>
            <w:pPr>
              <w:jc w:val="right"/>
              <w:ind w:right="97"/>
              <w:spacing w:after="0"/>
              <w:rPr>
                <w:sz w:val="20"/>
                <w:szCs w:val="20"/>
                <w:color w:val="auto"/>
              </w:rPr>
            </w:pPr>
            <w:r>
              <w:rPr>
                <w:rFonts w:ascii="Arial" w:cs="Arial" w:eastAsia="Arial" w:hAnsi="Arial"/>
                <w:sz w:val="13"/>
                <w:szCs w:val="13"/>
                <w:b w:val="1"/>
                <w:bCs w:val="1"/>
                <w:color w:val="FFFFFF"/>
              </w:rPr>
              <w:t>Awards</w:t>
            </w:r>
          </w:p>
        </w:tc>
        <w:tc>
          <w:tcPr>
            <w:tcW w:w="760" w:type="dxa"/>
            <w:vAlign w:val="bottom"/>
          </w:tcPr>
          <w:p>
            <w:pPr>
              <w:jc w:val="right"/>
              <w:ind w:right="37"/>
              <w:spacing w:after="0"/>
              <w:rPr>
                <w:sz w:val="20"/>
                <w:szCs w:val="20"/>
                <w:color w:val="auto"/>
              </w:rPr>
            </w:pPr>
            <w:r>
              <w:rPr>
                <w:rFonts w:ascii="Arial" w:cs="Arial" w:eastAsia="Arial" w:hAnsi="Arial"/>
                <w:sz w:val="13"/>
                <w:szCs w:val="13"/>
                <w:b w:val="1"/>
                <w:bCs w:val="1"/>
                <w:color w:val="FFFFFF"/>
              </w:rPr>
              <w:t>Years'</w:t>
            </w:r>
          </w:p>
        </w:tc>
        <w:tc>
          <w:tcPr>
            <w:tcW w:w="660" w:type="dxa"/>
            <w:vAlign w:val="bottom"/>
          </w:tcPr>
          <w:p>
            <w:pPr>
              <w:spacing w:after="0"/>
              <w:rPr>
                <w:sz w:val="12"/>
                <w:szCs w:val="12"/>
                <w:color w:val="auto"/>
              </w:rPr>
            </w:pPr>
          </w:p>
        </w:tc>
      </w:tr>
      <w:tr>
        <w:trPr>
          <w:trHeight w:val="148"/>
        </w:trPr>
        <w:tc>
          <w:tcPr>
            <w:tcW w:w="700" w:type="dxa"/>
            <w:vAlign w:val="bottom"/>
          </w:tcPr>
          <w:p>
            <w:pPr>
              <w:jc w:val="right"/>
              <w:ind w:right="37"/>
              <w:spacing w:after="0"/>
              <w:rPr>
                <w:sz w:val="20"/>
                <w:szCs w:val="20"/>
                <w:color w:val="auto"/>
              </w:rPr>
            </w:pPr>
            <w:r>
              <w:rPr>
                <w:rFonts w:ascii="Arial" w:cs="Arial" w:eastAsia="Arial" w:hAnsi="Arial"/>
                <w:sz w:val="13"/>
                <w:szCs w:val="13"/>
                <w:b w:val="1"/>
                <w:bCs w:val="1"/>
                <w:color w:val="FFFFFF"/>
              </w:rPr>
              <w:t>Awards</w:t>
            </w:r>
          </w:p>
        </w:tc>
        <w:tc>
          <w:tcPr>
            <w:tcW w:w="920" w:type="dxa"/>
            <w:vAlign w:val="bottom"/>
          </w:tcPr>
          <w:p>
            <w:pPr>
              <w:jc w:val="right"/>
              <w:ind w:right="37"/>
              <w:spacing w:after="0"/>
              <w:rPr>
                <w:sz w:val="20"/>
                <w:szCs w:val="20"/>
                <w:color w:val="auto"/>
              </w:rPr>
            </w:pPr>
            <w:r>
              <w:rPr>
                <w:rFonts w:ascii="Arial" w:cs="Arial" w:eastAsia="Arial" w:hAnsi="Arial"/>
                <w:sz w:val="13"/>
                <w:szCs w:val="13"/>
                <w:b w:val="1"/>
                <w:bCs w:val="1"/>
                <w:color w:val="FFFFFF"/>
              </w:rPr>
              <w:t>Unvested</w:t>
            </w:r>
          </w:p>
        </w:tc>
        <w:tc>
          <w:tcPr>
            <w:tcW w:w="860" w:type="dxa"/>
            <w:vAlign w:val="bottom"/>
          </w:tcPr>
          <w:p>
            <w:pPr>
              <w:jc w:val="right"/>
              <w:ind w:right="97"/>
              <w:spacing w:after="0"/>
              <w:rPr>
                <w:sz w:val="20"/>
                <w:szCs w:val="20"/>
                <w:color w:val="auto"/>
              </w:rPr>
            </w:pPr>
            <w:r>
              <w:rPr>
                <w:rFonts w:ascii="Arial" w:cs="Arial" w:eastAsia="Arial" w:hAnsi="Arial"/>
                <w:sz w:val="13"/>
                <w:szCs w:val="13"/>
                <w:b w:val="1"/>
                <w:bCs w:val="1"/>
                <w:color w:val="FFFFFF"/>
              </w:rPr>
              <w:t>Granted in</w:t>
            </w:r>
          </w:p>
        </w:tc>
        <w:tc>
          <w:tcPr>
            <w:tcW w:w="780" w:type="dxa"/>
            <w:vAlign w:val="bottom"/>
          </w:tcPr>
          <w:p>
            <w:pPr>
              <w:jc w:val="right"/>
              <w:ind w:right="57"/>
              <w:spacing w:after="0"/>
              <w:rPr>
                <w:sz w:val="20"/>
                <w:szCs w:val="20"/>
                <w:color w:val="auto"/>
              </w:rPr>
            </w:pPr>
            <w:r>
              <w:rPr>
                <w:rFonts w:ascii="Arial" w:cs="Arial" w:eastAsia="Arial" w:hAnsi="Arial"/>
                <w:sz w:val="13"/>
                <w:szCs w:val="13"/>
                <w:b w:val="1"/>
                <w:bCs w:val="1"/>
                <w:color w:val="FFFFFF"/>
              </w:rPr>
              <w:t>Unvested</w:t>
            </w:r>
          </w:p>
        </w:tc>
        <w:tc>
          <w:tcPr>
            <w:tcW w:w="820" w:type="dxa"/>
            <w:vAlign w:val="bottom"/>
          </w:tcPr>
          <w:p>
            <w:pPr>
              <w:jc w:val="right"/>
              <w:ind w:right="97"/>
              <w:spacing w:after="0"/>
              <w:rPr>
                <w:sz w:val="20"/>
                <w:szCs w:val="20"/>
                <w:color w:val="auto"/>
              </w:rPr>
            </w:pPr>
            <w:r>
              <w:rPr>
                <w:rFonts w:ascii="Arial" w:cs="Arial" w:eastAsia="Arial" w:hAnsi="Arial"/>
                <w:sz w:val="13"/>
                <w:szCs w:val="13"/>
                <w:b w:val="1"/>
                <w:bCs w:val="1"/>
                <w:color w:val="FFFFFF"/>
              </w:rPr>
              <w:t>Total Fair</w:t>
            </w:r>
          </w:p>
        </w:tc>
        <w:tc>
          <w:tcPr>
            <w:tcW w:w="840" w:type="dxa"/>
            <w:vAlign w:val="bottom"/>
          </w:tcPr>
          <w:p>
            <w:pPr>
              <w:jc w:val="right"/>
              <w:ind w:right="17"/>
              <w:spacing w:after="0"/>
              <w:rPr>
                <w:sz w:val="20"/>
                <w:szCs w:val="20"/>
                <w:color w:val="auto"/>
              </w:rPr>
            </w:pPr>
            <w:r>
              <w:rPr>
                <w:rFonts w:ascii="Arial" w:cs="Arial" w:eastAsia="Arial" w:hAnsi="Arial"/>
                <w:sz w:val="13"/>
                <w:szCs w:val="13"/>
                <w:b w:val="1"/>
                <w:bCs w:val="1"/>
                <w:color w:val="FFFFFF"/>
              </w:rPr>
              <w:t>Awards</w:t>
            </w:r>
          </w:p>
        </w:tc>
        <w:tc>
          <w:tcPr>
            <w:tcW w:w="820" w:type="dxa"/>
            <w:vAlign w:val="bottom"/>
          </w:tcPr>
          <w:p>
            <w:pPr>
              <w:jc w:val="right"/>
              <w:ind w:right="37"/>
              <w:spacing w:after="0"/>
              <w:rPr>
                <w:sz w:val="20"/>
                <w:szCs w:val="20"/>
                <w:color w:val="auto"/>
              </w:rPr>
            </w:pPr>
            <w:r>
              <w:rPr>
                <w:rFonts w:ascii="Arial" w:cs="Arial" w:eastAsia="Arial" w:hAnsi="Arial"/>
                <w:sz w:val="13"/>
                <w:szCs w:val="13"/>
                <w:b w:val="1"/>
                <w:bCs w:val="1"/>
                <w:color w:val="FFFFFF"/>
              </w:rPr>
              <w:t>Equity</w:t>
            </w:r>
          </w:p>
        </w:tc>
        <w:tc>
          <w:tcPr>
            <w:tcW w:w="880" w:type="dxa"/>
            <w:vAlign w:val="bottom"/>
          </w:tcPr>
          <w:p>
            <w:pPr>
              <w:jc w:val="right"/>
              <w:ind w:right="117"/>
              <w:spacing w:after="0"/>
              <w:rPr>
                <w:sz w:val="20"/>
                <w:szCs w:val="20"/>
                <w:color w:val="auto"/>
              </w:rPr>
            </w:pPr>
            <w:r>
              <w:rPr>
                <w:rFonts w:ascii="Arial" w:cs="Arial" w:eastAsia="Arial" w:hAnsi="Arial"/>
                <w:sz w:val="13"/>
                <w:szCs w:val="13"/>
                <w:b w:val="1"/>
                <w:bCs w:val="1"/>
                <w:color w:val="FFFFFF"/>
              </w:rPr>
              <w:t>Granted in</w:t>
            </w:r>
          </w:p>
        </w:tc>
        <w:tc>
          <w:tcPr>
            <w:tcW w:w="760" w:type="dxa"/>
            <w:vAlign w:val="bottom"/>
          </w:tcPr>
          <w:p>
            <w:pPr>
              <w:jc w:val="right"/>
              <w:ind w:right="77"/>
              <w:spacing w:after="0"/>
              <w:rPr>
                <w:sz w:val="20"/>
                <w:szCs w:val="20"/>
                <w:color w:val="auto"/>
              </w:rPr>
            </w:pPr>
            <w:r>
              <w:rPr>
                <w:rFonts w:ascii="Arial" w:cs="Arial" w:eastAsia="Arial" w:hAnsi="Arial"/>
                <w:sz w:val="13"/>
                <w:szCs w:val="13"/>
                <w:b w:val="1"/>
                <w:bCs w:val="1"/>
                <w:color w:val="FFFFFF"/>
              </w:rPr>
              <w:t>Unvested</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FFFFFF"/>
              </w:rPr>
              <w:t>Total Fair</w:t>
            </w:r>
          </w:p>
        </w:tc>
      </w:tr>
      <w:tr>
        <w:trPr>
          <w:trHeight w:val="148"/>
        </w:trPr>
        <w:tc>
          <w:tcPr>
            <w:tcW w:w="700" w:type="dxa"/>
            <w:vAlign w:val="bottom"/>
          </w:tcPr>
          <w:p>
            <w:pPr>
              <w:jc w:val="right"/>
              <w:ind w:right="37"/>
              <w:spacing w:after="0"/>
              <w:rPr>
                <w:sz w:val="20"/>
                <w:szCs w:val="20"/>
                <w:color w:val="auto"/>
              </w:rPr>
            </w:pPr>
            <w:r>
              <w:rPr>
                <w:rFonts w:ascii="Arial" w:cs="Arial" w:eastAsia="Arial" w:hAnsi="Arial"/>
                <w:sz w:val="13"/>
                <w:szCs w:val="13"/>
                <w:b w:val="1"/>
                <w:bCs w:val="1"/>
                <w:color w:val="FFFFFF"/>
              </w:rPr>
              <w:t>Granted</w:t>
            </w:r>
          </w:p>
        </w:tc>
        <w:tc>
          <w:tcPr>
            <w:tcW w:w="920" w:type="dxa"/>
            <w:vAlign w:val="bottom"/>
          </w:tcPr>
          <w:p>
            <w:pPr>
              <w:jc w:val="right"/>
              <w:ind w:right="17"/>
              <w:spacing w:after="0"/>
              <w:rPr>
                <w:sz w:val="20"/>
                <w:szCs w:val="20"/>
                <w:color w:val="auto"/>
              </w:rPr>
            </w:pPr>
            <w:r>
              <w:rPr>
                <w:rFonts w:ascii="Arial" w:cs="Arial" w:eastAsia="Arial" w:hAnsi="Arial"/>
                <w:sz w:val="13"/>
                <w:szCs w:val="13"/>
                <w:b w:val="1"/>
                <w:bCs w:val="1"/>
                <w:color w:val="FFFFFF"/>
              </w:rPr>
              <w:t>Equity</w:t>
            </w:r>
          </w:p>
        </w:tc>
        <w:tc>
          <w:tcPr>
            <w:tcW w:w="860" w:type="dxa"/>
            <w:vAlign w:val="bottom"/>
          </w:tcPr>
          <w:p>
            <w:pPr>
              <w:jc w:val="right"/>
              <w:ind w:right="57"/>
              <w:spacing w:after="0"/>
              <w:rPr>
                <w:sz w:val="20"/>
                <w:szCs w:val="20"/>
                <w:color w:val="auto"/>
              </w:rPr>
            </w:pPr>
            <w:r>
              <w:rPr>
                <w:rFonts w:ascii="Arial" w:cs="Arial" w:eastAsia="Arial" w:hAnsi="Arial"/>
                <w:sz w:val="13"/>
                <w:szCs w:val="13"/>
                <w:b w:val="1"/>
                <w:bCs w:val="1"/>
                <w:color w:val="FFFFFF"/>
              </w:rPr>
              <w:t>a Prior</w:t>
            </w:r>
          </w:p>
        </w:tc>
        <w:tc>
          <w:tcPr>
            <w:tcW w:w="780" w:type="dxa"/>
            <w:vAlign w:val="bottom"/>
          </w:tcPr>
          <w:p>
            <w:pPr>
              <w:jc w:val="right"/>
              <w:ind w:right="37"/>
              <w:spacing w:after="0"/>
              <w:rPr>
                <w:sz w:val="20"/>
                <w:szCs w:val="20"/>
                <w:color w:val="auto"/>
              </w:rPr>
            </w:pPr>
            <w:r>
              <w:rPr>
                <w:rFonts w:ascii="Arial" w:cs="Arial" w:eastAsia="Arial" w:hAnsi="Arial"/>
                <w:sz w:val="13"/>
                <w:szCs w:val="13"/>
                <w:b w:val="1"/>
                <w:bCs w:val="1"/>
                <w:color w:val="FFFFFF"/>
              </w:rPr>
              <w:t>Awards</w:t>
            </w:r>
          </w:p>
        </w:tc>
        <w:tc>
          <w:tcPr>
            <w:tcW w:w="820" w:type="dxa"/>
            <w:vAlign w:val="bottom"/>
          </w:tcPr>
          <w:p>
            <w:pPr>
              <w:jc w:val="right"/>
              <w:ind w:right="97"/>
              <w:spacing w:after="0"/>
              <w:rPr>
                <w:sz w:val="20"/>
                <w:szCs w:val="20"/>
                <w:color w:val="auto"/>
              </w:rPr>
            </w:pPr>
            <w:r>
              <w:rPr>
                <w:rFonts w:ascii="Arial" w:cs="Arial" w:eastAsia="Arial" w:hAnsi="Arial"/>
                <w:sz w:val="13"/>
                <w:szCs w:val="13"/>
                <w:b w:val="1"/>
                <w:bCs w:val="1"/>
                <w:color w:val="FFFFFF"/>
              </w:rPr>
              <w:t>Value of</w:t>
            </w:r>
          </w:p>
        </w:tc>
        <w:tc>
          <w:tcPr>
            <w:tcW w:w="840" w:type="dxa"/>
            <w:vAlign w:val="bottom"/>
          </w:tcPr>
          <w:p>
            <w:pPr>
              <w:jc w:val="right"/>
              <w:ind w:right="37"/>
              <w:spacing w:after="0"/>
              <w:rPr>
                <w:sz w:val="20"/>
                <w:szCs w:val="20"/>
                <w:color w:val="auto"/>
              </w:rPr>
            </w:pPr>
            <w:r>
              <w:rPr>
                <w:rFonts w:ascii="Arial" w:cs="Arial" w:eastAsia="Arial" w:hAnsi="Arial"/>
                <w:sz w:val="13"/>
                <w:szCs w:val="13"/>
                <w:b w:val="1"/>
                <w:bCs w:val="1"/>
                <w:color w:val="FFFFFF"/>
              </w:rPr>
              <w:t>Granted</w:t>
            </w:r>
          </w:p>
        </w:tc>
        <w:tc>
          <w:tcPr>
            <w:tcW w:w="820" w:type="dxa"/>
            <w:vAlign w:val="bottom"/>
          </w:tcPr>
          <w:p>
            <w:pPr>
              <w:jc w:val="right"/>
              <w:ind w:right="37"/>
              <w:spacing w:after="0"/>
              <w:rPr>
                <w:sz w:val="20"/>
                <w:szCs w:val="20"/>
                <w:color w:val="auto"/>
              </w:rPr>
            </w:pPr>
            <w:r>
              <w:rPr>
                <w:rFonts w:ascii="Arial" w:cs="Arial" w:eastAsia="Arial" w:hAnsi="Arial"/>
                <w:sz w:val="13"/>
                <w:szCs w:val="13"/>
                <w:b w:val="1"/>
                <w:bCs w:val="1"/>
                <w:color w:val="FFFFFF"/>
              </w:rPr>
              <w:t>Awards</w:t>
            </w:r>
          </w:p>
        </w:tc>
        <w:tc>
          <w:tcPr>
            <w:tcW w:w="880" w:type="dxa"/>
            <w:vAlign w:val="bottom"/>
          </w:tcPr>
          <w:p>
            <w:pPr>
              <w:jc w:val="right"/>
              <w:ind w:right="97"/>
              <w:spacing w:after="0"/>
              <w:rPr>
                <w:sz w:val="20"/>
                <w:szCs w:val="20"/>
                <w:color w:val="auto"/>
              </w:rPr>
            </w:pPr>
            <w:r>
              <w:rPr>
                <w:rFonts w:ascii="Arial" w:cs="Arial" w:eastAsia="Arial" w:hAnsi="Arial"/>
                <w:sz w:val="13"/>
                <w:szCs w:val="13"/>
                <w:b w:val="1"/>
                <w:bCs w:val="1"/>
                <w:color w:val="FFFFFF"/>
              </w:rPr>
              <w:t>a Prior</w:t>
            </w:r>
          </w:p>
        </w:tc>
        <w:tc>
          <w:tcPr>
            <w:tcW w:w="760" w:type="dxa"/>
            <w:vAlign w:val="bottom"/>
          </w:tcPr>
          <w:p>
            <w:pPr>
              <w:jc w:val="right"/>
              <w:ind w:right="57"/>
              <w:spacing w:after="0"/>
              <w:rPr>
                <w:sz w:val="20"/>
                <w:szCs w:val="20"/>
                <w:color w:val="auto"/>
              </w:rPr>
            </w:pPr>
            <w:r>
              <w:rPr>
                <w:rFonts w:ascii="Arial" w:cs="Arial" w:eastAsia="Arial" w:hAnsi="Arial"/>
                <w:sz w:val="13"/>
                <w:szCs w:val="13"/>
                <w:b w:val="1"/>
                <w:bCs w:val="1"/>
                <w:color w:val="FFFFFF"/>
              </w:rPr>
              <w:t>Awards</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FFFFFF"/>
              </w:rPr>
              <w:t>Value of</w:t>
            </w:r>
          </w:p>
        </w:tc>
      </w:tr>
      <w:tr>
        <w:trPr>
          <w:trHeight w:val="162"/>
        </w:trPr>
        <w:tc>
          <w:tcPr>
            <w:tcW w:w="700" w:type="dxa"/>
            <w:vAlign w:val="bottom"/>
          </w:tcPr>
          <w:p>
            <w:pPr>
              <w:jc w:val="right"/>
              <w:spacing w:after="0"/>
              <w:rPr>
                <w:sz w:val="20"/>
                <w:szCs w:val="20"/>
                <w:color w:val="auto"/>
              </w:rPr>
            </w:pPr>
            <w:r>
              <w:rPr>
                <w:rFonts w:ascii="Arial" w:cs="Arial" w:eastAsia="Arial" w:hAnsi="Arial"/>
                <w:sz w:val="13"/>
                <w:szCs w:val="13"/>
                <w:b w:val="1"/>
                <w:bCs w:val="1"/>
                <w:color w:val="FFFFFF"/>
              </w:rPr>
              <w:t>in</w:t>
            </w:r>
          </w:p>
        </w:tc>
        <w:tc>
          <w:tcPr>
            <w:tcW w:w="920" w:type="dxa"/>
            <w:vAlign w:val="bottom"/>
          </w:tcPr>
          <w:p>
            <w:pPr>
              <w:jc w:val="right"/>
              <w:ind w:right="17"/>
              <w:spacing w:after="0"/>
              <w:rPr>
                <w:sz w:val="20"/>
                <w:szCs w:val="20"/>
                <w:color w:val="auto"/>
              </w:rPr>
            </w:pPr>
            <w:r>
              <w:rPr>
                <w:rFonts w:ascii="Arial" w:cs="Arial" w:eastAsia="Arial" w:hAnsi="Arial"/>
                <w:sz w:val="13"/>
                <w:szCs w:val="13"/>
                <w:b w:val="1"/>
                <w:bCs w:val="1"/>
                <w:color w:val="FFFFFF"/>
              </w:rPr>
              <w:t>Awards</w:t>
            </w:r>
          </w:p>
        </w:tc>
        <w:tc>
          <w:tcPr>
            <w:tcW w:w="860" w:type="dxa"/>
            <w:vAlign w:val="bottom"/>
          </w:tcPr>
          <w:p>
            <w:pPr>
              <w:jc w:val="right"/>
              <w:ind w:right="97"/>
              <w:spacing w:after="0"/>
              <w:rPr>
                <w:sz w:val="20"/>
                <w:szCs w:val="20"/>
                <w:color w:val="auto"/>
              </w:rPr>
            </w:pPr>
            <w:r>
              <w:rPr>
                <w:rFonts w:ascii="Arial" w:cs="Arial" w:eastAsia="Arial" w:hAnsi="Arial"/>
                <w:sz w:val="13"/>
                <w:szCs w:val="13"/>
                <w:b w:val="1"/>
                <w:bCs w:val="1"/>
                <w:color w:val="FFFFFF"/>
              </w:rPr>
              <w:t>Year that</w:t>
            </w:r>
          </w:p>
        </w:tc>
        <w:tc>
          <w:tcPr>
            <w:tcW w:w="780" w:type="dxa"/>
            <w:vAlign w:val="bottom"/>
          </w:tcPr>
          <w:p>
            <w:pPr>
              <w:jc w:val="right"/>
              <w:ind w:right="77"/>
              <w:spacing w:after="0"/>
              <w:rPr>
                <w:sz w:val="20"/>
                <w:szCs w:val="20"/>
                <w:color w:val="auto"/>
              </w:rPr>
            </w:pPr>
            <w:r>
              <w:rPr>
                <w:rFonts w:ascii="Arial" w:cs="Arial" w:eastAsia="Arial" w:hAnsi="Arial"/>
                <w:sz w:val="13"/>
                <w:szCs w:val="13"/>
                <w:b w:val="1"/>
                <w:bCs w:val="1"/>
                <w:color w:val="FFFFFF"/>
              </w:rPr>
              <w:t>that were</w:t>
            </w:r>
          </w:p>
        </w:tc>
        <w:tc>
          <w:tcPr>
            <w:tcW w:w="820" w:type="dxa"/>
            <w:vAlign w:val="bottom"/>
          </w:tcPr>
          <w:p>
            <w:pPr>
              <w:jc w:val="right"/>
              <w:ind w:right="77"/>
              <w:spacing w:after="0"/>
              <w:rPr>
                <w:sz w:val="20"/>
                <w:szCs w:val="20"/>
                <w:color w:val="auto"/>
              </w:rPr>
            </w:pPr>
            <w:r>
              <w:rPr>
                <w:rFonts w:ascii="Arial" w:cs="Arial" w:eastAsia="Arial" w:hAnsi="Arial"/>
                <w:sz w:val="13"/>
                <w:szCs w:val="13"/>
                <w:b w:val="1"/>
                <w:bCs w:val="1"/>
                <w:color w:val="FFFFFF"/>
              </w:rPr>
              <w:t>Equity</w:t>
            </w:r>
          </w:p>
        </w:tc>
        <w:tc>
          <w:tcPr>
            <w:tcW w:w="840" w:type="dxa"/>
            <w:vAlign w:val="bottom"/>
          </w:tcPr>
          <w:p>
            <w:pPr>
              <w:jc w:val="right"/>
              <w:spacing w:after="0"/>
              <w:rPr>
                <w:sz w:val="20"/>
                <w:szCs w:val="20"/>
                <w:color w:val="auto"/>
              </w:rPr>
            </w:pPr>
            <w:r>
              <w:rPr>
                <w:rFonts w:ascii="Arial" w:cs="Arial" w:eastAsia="Arial" w:hAnsi="Arial"/>
                <w:sz w:val="13"/>
                <w:szCs w:val="13"/>
                <w:b w:val="1"/>
                <w:bCs w:val="1"/>
                <w:color w:val="FFFFFF"/>
              </w:rPr>
              <w:t>in</w:t>
            </w:r>
          </w:p>
        </w:tc>
        <w:tc>
          <w:tcPr>
            <w:tcW w:w="820" w:type="dxa"/>
            <w:vAlign w:val="bottom"/>
          </w:tcPr>
          <w:p>
            <w:pPr>
              <w:jc w:val="right"/>
              <w:ind w:right="57"/>
              <w:spacing w:after="0"/>
              <w:rPr>
                <w:sz w:val="20"/>
                <w:szCs w:val="20"/>
                <w:color w:val="auto"/>
              </w:rPr>
            </w:pPr>
            <w:r>
              <w:rPr>
                <w:rFonts w:ascii="Arial" w:cs="Arial" w:eastAsia="Arial" w:hAnsi="Arial"/>
                <w:sz w:val="13"/>
                <w:szCs w:val="13"/>
                <w:b w:val="1"/>
                <w:bCs w:val="1"/>
                <w:color w:val="FFFFFF"/>
              </w:rPr>
              <w:t>Granted in</w:t>
            </w:r>
          </w:p>
        </w:tc>
        <w:tc>
          <w:tcPr>
            <w:tcW w:w="880" w:type="dxa"/>
            <w:vAlign w:val="bottom"/>
          </w:tcPr>
          <w:p>
            <w:pPr>
              <w:jc w:val="right"/>
              <w:ind w:right="137"/>
              <w:spacing w:after="0"/>
              <w:rPr>
                <w:sz w:val="20"/>
                <w:szCs w:val="20"/>
                <w:color w:val="auto"/>
              </w:rPr>
            </w:pPr>
            <w:r>
              <w:rPr>
                <w:rFonts w:ascii="Arial" w:cs="Arial" w:eastAsia="Arial" w:hAnsi="Arial"/>
                <w:sz w:val="13"/>
                <w:szCs w:val="13"/>
                <w:b w:val="1"/>
                <w:bCs w:val="1"/>
                <w:color w:val="FFFFFF"/>
              </w:rPr>
              <w:t>Year that</w:t>
            </w:r>
          </w:p>
        </w:tc>
        <w:tc>
          <w:tcPr>
            <w:tcW w:w="760" w:type="dxa"/>
            <w:vAlign w:val="bottom"/>
          </w:tcPr>
          <w:p>
            <w:pPr>
              <w:jc w:val="right"/>
              <w:ind w:right="97"/>
              <w:spacing w:after="0"/>
              <w:rPr>
                <w:sz w:val="20"/>
                <w:szCs w:val="20"/>
                <w:color w:val="auto"/>
              </w:rPr>
            </w:pPr>
            <w:r>
              <w:rPr>
                <w:rFonts w:ascii="Arial" w:cs="Arial" w:eastAsia="Arial" w:hAnsi="Arial"/>
                <w:sz w:val="13"/>
                <w:szCs w:val="13"/>
                <w:b w:val="1"/>
                <w:bCs w:val="1"/>
                <w:color w:val="FFFFFF"/>
              </w:rPr>
              <w:t>that were</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FFFFFF"/>
              </w:rPr>
              <w:t>Equity</w:t>
            </w:r>
          </w:p>
        </w:tc>
      </w:tr>
      <w:tr>
        <w:trPr>
          <w:trHeight w:val="172"/>
        </w:trPr>
        <w:tc>
          <w:tcPr>
            <w:tcW w:w="700" w:type="dxa"/>
            <w:vAlign w:val="bottom"/>
          </w:tcPr>
          <w:p>
            <w:pPr>
              <w:jc w:val="right"/>
              <w:ind w:right="37"/>
              <w:spacing w:after="0"/>
              <w:rPr>
                <w:sz w:val="20"/>
                <w:szCs w:val="20"/>
                <w:color w:val="auto"/>
              </w:rPr>
            </w:pPr>
            <w:r>
              <w:rPr>
                <w:rFonts w:ascii="Arial" w:cs="Arial" w:eastAsia="Arial" w:hAnsi="Arial"/>
                <w:sz w:val="13"/>
                <w:szCs w:val="13"/>
                <w:b w:val="1"/>
                <w:bCs w:val="1"/>
                <w:color w:val="FFFFFF"/>
              </w:rPr>
              <w:t>Current</w:t>
            </w:r>
          </w:p>
        </w:tc>
        <w:tc>
          <w:tcPr>
            <w:tcW w:w="920" w:type="dxa"/>
            <w:vAlign w:val="bottom"/>
          </w:tcPr>
          <w:p>
            <w:pPr>
              <w:jc w:val="right"/>
              <w:ind w:right="57"/>
              <w:spacing w:after="0"/>
              <w:rPr>
                <w:sz w:val="20"/>
                <w:szCs w:val="20"/>
                <w:color w:val="auto"/>
              </w:rPr>
            </w:pPr>
            <w:r>
              <w:rPr>
                <w:rFonts w:ascii="Arial" w:cs="Arial" w:eastAsia="Arial" w:hAnsi="Arial"/>
                <w:sz w:val="13"/>
                <w:szCs w:val="13"/>
                <w:b w:val="1"/>
                <w:bCs w:val="1"/>
                <w:color w:val="FFFFFF"/>
              </w:rPr>
              <w:t>Granted in a</w:t>
            </w:r>
          </w:p>
        </w:tc>
        <w:tc>
          <w:tcPr>
            <w:tcW w:w="860" w:type="dxa"/>
            <w:vAlign w:val="bottom"/>
          </w:tcPr>
          <w:p>
            <w:pPr>
              <w:jc w:val="right"/>
              <w:ind w:right="97"/>
              <w:spacing w:after="0"/>
              <w:rPr>
                <w:sz w:val="20"/>
                <w:szCs w:val="20"/>
                <w:color w:val="auto"/>
              </w:rPr>
            </w:pPr>
            <w:r>
              <w:rPr>
                <w:rFonts w:ascii="Arial" w:cs="Arial" w:eastAsia="Arial" w:hAnsi="Arial"/>
                <w:sz w:val="13"/>
                <w:szCs w:val="13"/>
                <w:b w:val="1"/>
                <w:bCs w:val="1"/>
                <w:color w:val="FFFFFF"/>
              </w:rPr>
              <w:t>Vested in</w:t>
            </w:r>
          </w:p>
        </w:tc>
        <w:tc>
          <w:tcPr>
            <w:tcW w:w="780" w:type="dxa"/>
            <w:vAlign w:val="bottom"/>
          </w:tcPr>
          <w:p>
            <w:pPr>
              <w:jc w:val="right"/>
              <w:ind w:right="57"/>
              <w:spacing w:after="0"/>
              <w:rPr>
                <w:sz w:val="20"/>
                <w:szCs w:val="20"/>
                <w:color w:val="auto"/>
              </w:rPr>
            </w:pPr>
            <w:r>
              <w:rPr>
                <w:rFonts w:ascii="Arial" w:cs="Arial" w:eastAsia="Arial" w:hAnsi="Arial"/>
                <w:sz w:val="13"/>
                <w:szCs w:val="13"/>
                <w:b w:val="1"/>
                <w:bCs w:val="1"/>
                <w:color w:val="FFFFFF"/>
              </w:rPr>
              <w:t>Forfeited</w:t>
            </w:r>
          </w:p>
        </w:tc>
        <w:tc>
          <w:tcPr>
            <w:tcW w:w="820" w:type="dxa"/>
            <w:vAlign w:val="bottom"/>
          </w:tcPr>
          <w:p>
            <w:pPr>
              <w:jc w:val="right"/>
              <w:ind w:right="97"/>
              <w:spacing w:after="0"/>
              <w:rPr>
                <w:sz w:val="20"/>
                <w:szCs w:val="20"/>
                <w:color w:val="auto"/>
              </w:rPr>
            </w:pPr>
            <w:r>
              <w:rPr>
                <w:rFonts w:ascii="Arial" w:cs="Arial" w:eastAsia="Arial" w:hAnsi="Arial"/>
                <w:sz w:val="13"/>
                <w:szCs w:val="13"/>
                <w:b w:val="1"/>
                <w:bCs w:val="1"/>
                <w:color w:val="FFFFFF"/>
              </w:rPr>
              <w:t>Awards</w:t>
            </w:r>
          </w:p>
        </w:tc>
        <w:tc>
          <w:tcPr>
            <w:tcW w:w="840" w:type="dxa"/>
            <w:vAlign w:val="bottom"/>
          </w:tcPr>
          <w:p>
            <w:pPr>
              <w:jc w:val="right"/>
              <w:ind w:right="37"/>
              <w:spacing w:after="0"/>
              <w:rPr>
                <w:sz w:val="20"/>
                <w:szCs w:val="20"/>
                <w:color w:val="auto"/>
              </w:rPr>
            </w:pPr>
            <w:r>
              <w:rPr>
                <w:rFonts w:ascii="Arial" w:cs="Arial" w:eastAsia="Arial" w:hAnsi="Arial"/>
                <w:sz w:val="13"/>
                <w:szCs w:val="13"/>
                <w:b w:val="1"/>
                <w:bCs w:val="1"/>
                <w:color w:val="FFFFFF"/>
              </w:rPr>
              <w:t>Current</w:t>
            </w:r>
          </w:p>
        </w:tc>
        <w:tc>
          <w:tcPr>
            <w:tcW w:w="820" w:type="dxa"/>
            <w:vAlign w:val="bottom"/>
          </w:tcPr>
          <w:p>
            <w:pPr>
              <w:jc w:val="right"/>
              <w:ind w:right="17"/>
              <w:spacing w:after="0"/>
              <w:rPr>
                <w:sz w:val="20"/>
                <w:szCs w:val="20"/>
                <w:color w:val="auto"/>
              </w:rPr>
            </w:pPr>
            <w:r>
              <w:rPr>
                <w:rFonts w:ascii="Arial" w:cs="Arial" w:eastAsia="Arial" w:hAnsi="Arial"/>
                <w:sz w:val="13"/>
                <w:szCs w:val="13"/>
                <w:b w:val="1"/>
                <w:bCs w:val="1"/>
                <w:color w:val="FFFFFF"/>
              </w:rPr>
              <w:t>a Prior</w:t>
            </w:r>
          </w:p>
        </w:tc>
        <w:tc>
          <w:tcPr>
            <w:tcW w:w="880" w:type="dxa"/>
            <w:vAlign w:val="bottom"/>
          </w:tcPr>
          <w:p>
            <w:pPr>
              <w:jc w:val="right"/>
              <w:ind w:right="117"/>
              <w:spacing w:after="0"/>
              <w:rPr>
                <w:sz w:val="20"/>
                <w:szCs w:val="20"/>
                <w:color w:val="auto"/>
              </w:rPr>
            </w:pPr>
            <w:r>
              <w:rPr>
                <w:rFonts w:ascii="Arial" w:cs="Arial" w:eastAsia="Arial" w:hAnsi="Arial"/>
                <w:sz w:val="13"/>
                <w:szCs w:val="13"/>
                <w:b w:val="1"/>
                <w:bCs w:val="1"/>
                <w:color w:val="FFFFFF"/>
              </w:rPr>
              <w:t>Vested in</w:t>
            </w:r>
          </w:p>
        </w:tc>
        <w:tc>
          <w:tcPr>
            <w:tcW w:w="760" w:type="dxa"/>
            <w:vAlign w:val="bottom"/>
          </w:tcPr>
          <w:p>
            <w:pPr>
              <w:jc w:val="right"/>
              <w:ind w:right="77"/>
              <w:spacing w:after="0"/>
              <w:rPr>
                <w:sz w:val="20"/>
                <w:szCs w:val="20"/>
                <w:color w:val="auto"/>
              </w:rPr>
            </w:pPr>
            <w:r>
              <w:rPr>
                <w:rFonts w:ascii="Arial" w:cs="Arial" w:eastAsia="Arial" w:hAnsi="Arial"/>
                <w:sz w:val="13"/>
                <w:szCs w:val="13"/>
                <w:b w:val="1"/>
                <w:bCs w:val="1"/>
                <w:color w:val="FFFFFF"/>
              </w:rPr>
              <w:t>Forfeited</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FFFFFF"/>
              </w:rPr>
              <w:t>Awards</w:t>
            </w:r>
          </w:p>
        </w:tc>
      </w:tr>
    </w:tbl>
    <w:p>
      <w:pPr>
        <w:sectPr>
          <w:pgSz w:w="11900" w:h="16838" w:orient="portrait"/>
          <w:cols w:equalWidth="0" w:num="1">
            <w:col w:w="9080"/>
          </w:cols>
          <w:pgMar w:left="1400" w:top="125" w:right="1419" w:bottom="0" w:gutter="0" w:footer="0" w:header="0"/>
          <w:type w:val="continuous"/>
        </w:sectPr>
      </w:pPr>
    </w:p>
    <w:bookmarkStart w:id="64" w:name="page65"/>
    <w:bookmarkEnd w:id="6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644842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10375" cy="644842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9"/>
        </w:trPr>
        <w:tc>
          <w:tcPr>
            <w:tcW w:w="840" w:type="dxa"/>
            <w:vAlign w:val="bottom"/>
            <w:vMerge w:val="restart"/>
            <w:shd w:val="clear" w:color="auto" w:fill="00558C"/>
          </w:tcPr>
          <w:p>
            <w:pPr>
              <w:ind w:left="140"/>
              <w:spacing w:after="0"/>
              <w:rPr>
                <w:sz w:val="20"/>
                <w:szCs w:val="20"/>
                <w:color w:val="auto"/>
              </w:rPr>
            </w:pPr>
            <w:r>
              <w:rPr>
                <w:rFonts w:ascii="Arial" w:cs="Arial" w:eastAsia="Arial" w:hAnsi="Arial"/>
                <w:sz w:val="13"/>
                <w:szCs w:val="13"/>
                <w:b w:val="1"/>
                <w:bCs w:val="1"/>
                <w:color w:val="FFFFFF"/>
              </w:rPr>
              <w:t>($)</w:t>
            </w:r>
          </w:p>
        </w:tc>
        <w:tc>
          <w:tcPr>
            <w:tcW w:w="760" w:type="dxa"/>
            <w:vAlign w:val="bottom"/>
            <w:shd w:val="clear" w:color="auto" w:fill="00558C"/>
          </w:tcPr>
          <w:p>
            <w:pPr>
              <w:jc w:val="right"/>
              <w:ind w:right="37"/>
              <w:spacing w:after="0"/>
              <w:rPr>
                <w:sz w:val="20"/>
                <w:szCs w:val="20"/>
                <w:color w:val="auto"/>
              </w:rPr>
            </w:pPr>
            <w:r>
              <w:rPr>
                <w:rFonts w:ascii="Arial" w:cs="Arial" w:eastAsia="Arial" w:hAnsi="Arial"/>
                <w:sz w:val="13"/>
                <w:szCs w:val="13"/>
                <w:b w:val="1"/>
                <w:bCs w:val="1"/>
                <w:color w:val="FFFFFF"/>
              </w:rPr>
              <w:t>Year as of</w:t>
            </w:r>
          </w:p>
        </w:tc>
        <w:tc>
          <w:tcPr>
            <w:tcW w:w="940" w:type="dxa"/>
            <w:vAlign w:val="bottom"/>
            <w:shd w:val="clear" w:color="auto" w:fill="00558C"/>
          </w:tcPr>
          <w:p>
            <w:pPr>
              <w:jc w:val="right"/>
              <w:ind w:right="57"/>
              <w:spacing w:after="0"/>
              <w:rPr>
                <w:sz w:val="20"/>
                <w:szCs w:val="20"/>
                <w:color w:val="auto"/>
              </w:rPr>
            </w:pPr>
            <w:r>
              <w:rPr>
                <w:rFonts w:ascii="Arial" w:cs="Arial" w:eastAsia="Arial" w:hAnsi="Arial"/>
                <w:sz w:val="13"/>
                <w:szCs w:val="13"/>
                <w:b w:val="1"/>
                <w:bCs w:val="1"/>
                <w:color w:val="FFFFFF"/>
                <w:w w:val="99"/>
              </w:rPr>
              <w:t>Prior Year as</w:t>
            </w:r>
          </w:p>
        </w:tc>
        <w:tc>
          <w:tcPr>
            <w:tcW w:w="800" w:type="dxa"/>
            <w:vAlign w:val="bottom"/>
            <w:shd w:val="clear" w:color="auto" w:fill="00558C"/>
          </w:tcPr>
          <w:p>
            <w:pPr>
              <w:jc w:val="right"/>
              <w:ind w:right="37"/>
              <w:spacing w:after="0"/>
              <w:rPr>
                <w:sz w:val="20"/>
                <w:szCs w:val="20"/>
                <w:color w:val="auto"/>
              </w:rPr>
            </w:pPr>
            <w:r>
              <w:rPr>
                <w:rFonts w:ascii="Arial" w:cs="Arial" w:eastAsia="Arial" w:hAnsi="Arial"/>
                <w:sz w:val="13"/>
                <w:szCs w:val="13"/>
                <w:b w:val="1"/>
                <w:bCs w:val="1"/>
                <w:color w:val="FFFFFF"/>
              </w:rPr>
              <w:t>Current</w:t>
            </w:r>
          </w:p>
        </w:tc>
        <w:tc>
          <w:tcPr>
            <w:tcW w:w="820" w:type="dxa"/>
            <w:vAlign w:val="bottom"/>
            <w:shd w:val="clear" w:color="auto" w:fill="00558C"/>
          </w:tcPr>
          <w:p>
            <w:pPr>
              <w:ind w:left="100"/>
              <w:spacing w:after="0"/>
              <w:rPr>
                <w:sz w:val="20"/>
                <w:szCs w:val="20"/>
                <w:color w:val="auto"/>
              </w:rPr>
            </w:pPr>
            <w:r>
              <w:rPr>
                <w:rFonts w:ascii="Arial" w:cs="Arial" w:eastAsia="Arial" w:hAnsi="Arial"/>
                <w:sz w:val="13"/>
                <w:szCs w:val="13"/>
                <w:b w:val="1"/>
                <w:bCs w:val="1"/>
                <w:color w:val="FFFFFF"/>
              </w:rPr>
              <w:t>in Current</w:t>
            </w:r>
          </w:p>
        </w:tc>
        <w:tc>
          <w:tcPr>
            <w:tcW w:w="840" w:type="dxa"/>
            <w:vAlign w:val="bottom"/>
            <w:shd w:val="clear" w:color="auto" w:fill="00558C"/>
          </w:tcPr>
          <w:p>
            <w:pPr>
              <w:jc w:val="right"/>
              <w:ind w:right="117"/>
              <w:spacing w:after="0"/>
              <w:rPr>
                <w:sz w:val="20"/>
                <w:szCs w:val="20"/>
                <w:color w:val="auto"/>
              </w:rPr>
            </w:pPr>
            <w:r>
              <w:rPr>
                <w:rFonts w:ascii="Arial" w:cs="Arial" w:eastAsia="Arial" w:hAnsi="Arial"/>
                <w:sz w:val="13"/>
                <w:szCs w:val="13"/>
                <w:b w:val="1"/>
                <w:bCs w:val="1"/>
                <w:color w:val="FFFFFF"/>
              </w:rPr>
              <w:t>included</w:t>
            </w:r>
          </w:p>
        </w:tc>
        <w:tc>
          <w:tcPr>
            <w:tcW w:w="860" w:type="dxa"/>
            <w:vAlign w:val="bottom"/>
            <w:shd w:val="clear" w:color="auto" w:fill="00558C"/>
          </w:tcPr>
          <w:p>
            <w:pPr>
              <w:jc w:val="right"/>
              <w:ind w:right="57"/>
              <w:spacing w:after="0"/>
              <w:rPr>
                <w:sz w:val="20"/>
                <w:szCs w:val="20"/>
                <w:color w:val="auto"/>
              </w:rPr>
            </w:pPr>
            <w:r>
              <w:rPr>
                <w:rFonts w:ascii="Arial" w:cs="Arial" w:eastAsia="Arial" w:hAnsi="Arial"/>
                <w:sz w:val="13"/>
                <w:szCs w:val="13"/>
                <w:b w:val="1"/>
                <w:bCs w:val="1"/>
                <w:color w:val="FFFFFF"/>
              </w:rPr>
              <w:t>Year as of</w:t>
            </w:r>
          </w:p>
        </w:tc>
        <w:tc>
          <w:tcPr>
            <w:tcW w:w="860" w:type="dxa"/>
            <w:vAlign w:val="bottom"/>
            <w:shd w:val="clear" w:color="auto" w:fill="00558C"/>
          </w:tcPr>
          <w:p>
            <w:pPr>
              <w:jc w:val="right"/>
              <w:ind w:right="117"/>
              <w:spacing w:after="0"/>
              <w:rPr>
                <w:sz w:val="20"/>
                <w:szCs w:val="20"/>
                <w:color w:val="auto"/>
              </w:rPr>
            </w:pPr>
            <w:r>
              <w:rPr>
                <w:rFonts w:ascii="Arial" w:cs="Arial" w:eastAsia="Arial" w:hAnsi="Arial"/>
                <w:sz w:val="13"/>
                <w:szCs w:val="13"/>
                <w:b w:val="1"/>
                <w:bCs w:val="1"/>
                <w:color w:val="FFFFFF"/>
              </w:rPr>
              <w:t>Year as of</w:t>
            </w:r>
          </w:p>
        </w:tc>
        <w:tc>
          <w:tcPr>
            <w:tcW w:w="740" w:type="dxa"/>
            <w:vAlign w:val="bottom"/>
            <w:shd w:val="clear" w:color="auto" w:fill="00558C"/>
          </w:tcPr>
          <w:p>
            <w:pPr>
              <w:jc w:val="right"/>
              <w:ind w:right="57"/>
              <w:spacing w:after="0"/>
              <w:rPr>
                <w:sz w:val="20"/>
                <w:szCs w:val="20"/>
                <w:color w:val="auto"/>
              </w:rPr>
            </w:pPr>
            <w:r>
              <w:rPr>
                <w:rFonts w:ascii="Arial" w:cs="Arial" w:eastAsia="Arial" w:hAnsi="Arial"/>
                <w:sz w:val="13"/>
                <w:szCs w:val="13"/>
                <w:b w:val="1"/>
                <w:bCs w:val="1"/>
                <w:color w:val="FFFFFF"/>
              </w:rPr>
              <w:t>Current</w:t>
            </w:r>
          </w:p>
        </w:tc>
        <w:tc>
          <w:tcPr>
            <w:tcW w:w="800" w:type="dxa"/>
            <w:vAlign w:val="bottom"/>
            <w:shd w:val="clear" w:color="auto" w:fill="00558C"/>
          </w:tcPr>
          <w:p>
            <w:pPr>
              <w:jc w:val="right"/>
              <w:ind w:right="57"/>
              <w:spacing w:after="0"/>
              <w:rPr>
                <w:sz w:val="20"/>
                <w:szCs w:val="20"/>
                <w:color w:val="auto"/>
              </w:rPr>
            </w:pPr>
            <w:r>
              <w:rPr>
                <w:rFonts w:ascii="Arial" w:cs="Arial" w:eastAsia="Arial" w:hAnsi="Arial"/>
                <w:sz w:val="13"/>
                <w:szCs w:val="13"/>
                <w:b w:val="1"/>
                <w:bCs w:val="1"/>
                <w:color w:val="FFFFFF"/>
              </w:rPr>
              <w:t>in Current</w:t>
            </w:r>
          </w:p>
        </w:tc>
        <w:tc>
          <w:tcPr>
            <w:tcW w:w="820" w:type="dxa"/>
            <w:vAlign w:val="bottom"/>
            <w:shd w:val="clear" w:color="auto" w:fill="00558C"/>
          </w:tcPr>
          <w:p>
            <w:pPr>
              <w:jc w:val="right"/>
              <w:ind w:right="97"/>
              <w:spacing w:after="0"/>
              <w:rPr>
                <w:sz w:val="20"/>
                <w:szCs w:val="20"/>
                <w:color w:val="auto"/>
              </w:rPr>
            </w:pPr>
            <w:r>
              <w:rPr>
                <w:rFonts w:ascii="Arial" w:cs="Arial" w:eastAsia="Arial" w:hAnsi="Arial"/>
                <w:sz w:val="13"/>
                <w:szCs w:val="13"/>
                <w:b w:val="1"/>
                <w:bCs w:val="1"/>
                <w:color w:val="FFFFFF"/>
              </w:rPr>
              <w:t>included</w:t>
            </w:r>
          </w:p>
        </w:tc>
        <w:tc>
          <w:tcPr>
            <w:tcW w:w="0" w:type="dxa"/>
            <w:vAlign w:val="bottom"/>
          </w:tcPr>
          <w:p>
            <w:pPr>
              <w:spacing w:after="0"/>
              <w:rPr>
                <w:sz w:val="1"/>
                <w:szCs w:val="1"/>
                <w:color w:val="auto"/>
              </w:rPr>
            </w:pPr>
          </w:p>
        </w:tc>
      </w:tr>
      <w:tr>
        <w:trPr>
          <w:trHeight w:val="172"/>
        </w:trPr>
        <w:tc>
          <w:tcPr>
            <w:tcW w:w="840" w:type="dxa"/>
            <w:vAlign w:val="bottom"/>
            <w:vMerge w:val="continue"/>
            <w:shd w:val="clear" w:color="auto" w:fill="00558C"/>
          </w:tcPr>
          <w:p>
            <w:pPr>
              <w:spacing w:after="0"/>
              <w:rPr>
                <w:sz w:val="14"/>
                <w:szCs w:val="14"/>
                <w:color w:val="auto"/>
              </w:rPr>
            </w:pPr>
          </w:p>
        </w:tc>
        <w:tc>
          <w:tcPr>
            <w:tcW w:w="760" w:type="dxa"/>
            <w:vAlign w:val="bottom"/>
            <w:shd w:val="clear" w:color="auto" w:fill="00558C"/>
          </w:tcPr>
          <w:p>
            <w:pPr>
              <w:jc w:val="right"/>
              <w:spacing w:after="0"/>
              <w:rPr>
                <w:sz w:val="20"/>
                <w:szCs w:val="20"/>
                <w:color w:val="auto"/>
              </w:rPr>
            </w:pPr>
            <w:r>
              <w:rPr>
                <w:rFonts w:ascii="Arial" w:cs="Arial" w:eastAsia="Arial" w:hAnsi="Arial"/>
                <w:sz w:val="13"/>
                <w:szCs w:val="13"/>
                <w:b w:val="1"/>
                <w:bCs w:val="1"/>
                <w:color w:val="FFFFFF"/>
              </w:rPr>
              <w:t>FYE</w:t>
            </w:r>
          </w:p>
        </w:tc>
        <w:tc>
          <w:tcPr>
            <w:tcW w:w="940" w:type="dxa"/>
            <w:vAlign w:val="bottom"/>
            <w:shd w:val="clear" w:color="auto" w:fill="00558C"/>
          </w:tcPr>
          <w:p>
            <w:pPr>
              <w:jc w:val="right"/>
              <w:ind w:right="17"/>
              <w:spacing w:after="0"/>
              <w:rPr>
                <w:sz w:val="20"/>
                <w:szCs w:val="20"/>
                <w:color w:val="auto"/>
              </w:rPr>
            </w:pPr>
            <w:r>
              <w:rPr>
                <w:rFonts w:ascii="Arial" w:cs="Arial" w:eastAsia="Arial" w:hAnsi="Arial"/>
                <w:sz w:val="13"/>
                <w:szCs w:val="13"/>
                <w:b w:val="1"/>
                <w:bCs w:val="1"/>
                <w:color w:val="FFFFFF"/>
              </w:rPr>
              <w:t>of FYE</w:t>
            </w:r>
          </w:p>
        </w:tc>
        <w:tc>
          <w:tcPr>
            <w:tcW w:w="800" w:type="dxa"/>
            <w:vAlign w:val="bottom"/>
            <w:shd w:val="clear" w:color="auto" w:fill="00558C"/>
          </w:tcPr>
          <w:p>
            <w:pPr>
              <w:jc w:val="right"/>
              <w:ind w:right="17"/>
              <w:spacing w:after="0"/>
              <w:rPr>
                <w:sz w:val="20"/>
                <w:szCs w:val="20"/>
                <w:color w:val="auto"/>
              </w:rPr>
            </w:pPr>
            <w:r>
              <w:rPr>
                <w:rFonts w:ascii="Arial" w:cs="Arial" w:eastAsia="Arial" w:hAnsi="Arial"/>
                <w:sz w:val="13"/>
                <w:szCs w:val="13"/>
                <w:b w:val="1"/>
                <w:bCs w:val="1"/>
                <w:color w:val="FFFFFF"/>
              </w:rPr>
              <w:t>Year</w:t>
            </w:r>
          </w:p>
        </w:tc>
        <w:tc>
          <w:tcPr>
            <w:tcW w:w="820" w:type="dxa"/>
            <w:vAlign w:val="bottom"/>
            <w:shd w:val="clear" w:color="auto" w:fill="00558C"/>
          </w:tcPr>
          <w:p>
            <w:pPr>
              <w:ind w:left="460"/>
              <w:spacing w:after="0"/>
              <w:rPr>
                <w:sz w:val="20"/>
                <w:szCs w:val="20"/>
                <w:color w:val="auto"/>
              </w:rPr>
            </w:pPr>
            <w:r>
              <w:rPr>
                <w:rFonts w:ascii="Arial" w:cs="Arial" w:eastAsia="Arial" w:hAnsi="Arial"/>
                <w:sz w:val="13"/>
                <w:szCs w:val="13"/>
                <w:b w:val="1"/>
                <w:bCs w:val="1"/>
                <w:color w:val="FFFFFF"/>
              </w:rPr>
              <w:t>Year</w:t>
            </w:r>
          </w:p>
        </w:tc>
        <w:tc>
          <w:tcPr>
            <w:tcW w:w="840" w:type="dxa"/>
            <w:vAlign w:val="bottom"/>
            <w:shd w:val="clear" w:color="auto" w:fill="00558C"/>
          </w:tcPr>
          <w:p>
            <w:pPr>
              <w:jc w:val="right"/>
              <w:ind w:right="97"/>
              <w:spacing w:after="0"/>
              <w:rPr>
                <w:sz w:val="20"/>
                <w:szCs w:val="20"/>
                <w:color w:val="auto"/>
              </w:rPr>
            </w:pPr>
            <w:r>
              <w:rPr>
                <w:rFonts w:ascii="Arial" w:cs="Arial" w:eastAsia="Arial" w:hAnsi="Arial"/>
                <w:sz w:val="13"/>
                <w:szCs w:val="13"/>
                <w:b w:val="1"/>
                <w:bCs w:val="1"/>
                <w:color w:val="FFFFFF"/>
              </w:rPr>
              <w:t>in CAP</w:t>
            </w:r>
          </w:p>
        </w:tc>
        <w:tc>
          <w:tcPr>
            <w:tcW w:w="860" w:type="dxa"/>
            <w:vAlign w:val="bottom"/>
            <w:shd w:val="clear" w:color="auto" w:fill="00558C"/>
          </w:tcPr>
          <w:p>
            <w:pPr>
              <w:jc w:val="right"/>
              <w:ind w:right="17"/>
              <w:spacing w:after="0"/>
              <w:rPr>
                <w:sz w:val="20"/>
                <w:szCs w:val="20"/>
                <w:color w:val="auto"/>
              </w:rPr>
            </w:pPr>
            <w:r>
              <w:rPr>
                <w:rFonts w:ascii="Arial" w:cs="Arial" w:eastAsia="Arial" w:hAnsi="Arial"/>
                <w:sz w:val="13"/>
                <w:szCs w:val="13"/>
                <w:b w:val="1"/>
                <w:bCs w:val="1"/>
                <w:color w:val="FFFFFF"/>
              </w:rPr>
              <w:t>FYE</w:t>
            </w:r>
          </w:p>
        </w:tc>
        <w:tc>
          <w:tcPr>
            <w:tcW w:w="860" w:type="dxa"/>
            <w:vAlign w:val="bottom"/>
            <w:shd w:val="clear" w:color="auto" w:fill="00558C"/>
          </w:tcPr>
          <w:p>
            <w:pPr>
              <w:jc w:val="right"/>
              <w:ind w:right="77"/>
              <w:spacing w:after="0"/>
              <w:rPr>
                <w:sz w:val="20"/>
                <w:szCs w:val="20"/>
                <w:color w:val="auto"/>
              </w:rPr>
            </w:pPr>
            <w:r>
              <w:rPr>
                <w:rFonts w:ascii="Arial" w:cs="Arial" w:eastAsia="Arial" w:hAnsi="Arial"/>
                <w:sz w:val="13"/>
                <w:szCs w:val="13"/>
                <w:b w:val="1"/>
                <w:bCs w:val="1"/>
                <w:color w:val="FFFFFF"/>
              </w:rPr>
              <w:t>FYE</w:t>
            </w:r>
          </w:p>
        </w:tc>
        <w:tc>
          <w:tcPr>
            <w:tcW w:w="740" w:type="dxa"/>
            <w:vAlign w:val="bottom"/>
            <w:shd w:val="clear" w:color="auto" w:fill="00558C"/>
          </w:tcPr>
          <w:p>
            <w:pPr>
              <w:jc w:val="right"/>
              <w:ind w:right="37"/>
              <w:spacing w:after="0"/>
              <w:rPr>
                <w:sz w:val="20"/>
                <w:szCs w:val="20"/>
                <w:color w:val="auto"/>
              </w:rPr>
            </w:pPr>
            <w:r>
              <w:rPr>
                <w:rFonts w:ascii="Arial" w:cs="Arial" w:eastAsia="Arial" w:hAnsi="Arial"/>
                <w:sz w:val="13"/>
                <w:szCs w:val="13"/>
                <w:b w:val="1"/>
                <w:bCs w:val="1"/>
                <w:color w:val="FFFFFF"/>
              </w:rPr>
              <w:t>Year</w:t>
            </w:r>
          </w:p>
        </w:tc>
        <w:tc>
          <w:tcPr>
            <w:tcW w:w="800" w:type="dxa"/>
            <w:vAlign w:val="bottom"/>
            <w:shd w:val="clear" w:color="auto" w:fill="00558C"/>
          </w:tcPr>
          <w:p>
            <w:pPr>
              <w:jc w:val="right"/>
              <w:ind w:right="17"/>
              <w:spacing w:after="0"/>
              <w:rPr>
                <w:sz w:val="20"/>
                <w:szCs w:val="20"/>
                <w:color w:val="auto"/>
              </w:rPr>
            </w:pPr>
            <w:r>
              <w:rPr>
                <w:rFonts w:ascii="Arial" w:cs="Arial" w:eastAsia="Arial" w:hAnsi="Arial"/>
                <w:sz w:val="13"/>
                <w:szCs w:val="13"/>
                <w:b w:val="1"/>
                <w:bCs w:val="1"/>
                <w:color w:val="FFFFFF"/>
              </w:rPr>
              <w:t>Year</w:t>
            </w:r>
          </w:p>
        </w:tc>
        <w:tc>
          <w:tcPr>
            <w:tcW w:w="820" w:type="dxa"/>
            <w:vAlign w:val="bottom"/>
            <w:shd w:val="clear" w:color="auto" w:fill="00558C"/>
          </w:tcPr>
          <w:p>
            <w:pPr>
              <w:jc w:val="right"/>
              <w:ind w:right="57"/>
              <w:spacing w:after="0"/>
              <w:rPr>
                <w:sz w:val="20"/>
                <w:szCs w:val="20"/>
                <w:color w:val="auto"/>
              </w:rPr>
            </w:pPr>
            <w:r>
              <w:rPr>
                <w:rFonts w:ascii="Arial" w:cs="Arial" w:eastAsia="Arial" w:hAnsi="Arial"/>
                <w:sz w:val="13"/>
                <w:szCs w:val="13"/>
                <w:b w:val="1"/>
                <w:bCs w:val="1"/>
                <w:color w:val="FFFFFF"/>
              </w:rPr>
              <w:t>in CAP</w:t>
            </w:r>
          </w:p>
        </w:tc>
        <w:tc>
          <w:tcPr>
            <w:tcW w:w="0" w:type="dxa"/>
            <w:vAlign w:val="bottom"/>
          </w:tcPr>
          <w:p>
            <w:pPr>
              <w:spacing w:after="0"/>
              <w:rPr>
                <w:sz w:val="1"/>
                <w:szCs w:val="1"/>
                <w:color w:val="auto"/>
              </w:rPr>
            </w:pPr>
          </w:p>
        </w:tc>
      </w:tr>
      <w:tr>
        <w:trPr>
          <w:trHeight w:val="193"/>
        </w:trPr>
        <w:tc>
          <w:tcPr>
            <w:tcW w:w="840" w:type="dxa"/>
            <w:vAlign w:val="bottom"/>
            <w:shd w:val="clear" w:color="auto" w:fill="00558C"/>
          </w:tcPr>
          <w:p>
            <w:pPr>
              <w:spacing w:after="0"/>
              <w:rPr>
                <w:sz w:val="16"/>
                <w:szCs w:val="16"/>
                <w:color w:val="auto"/>
              </w:rPr>
            </w:pPr>
          </w:p>
        </w:tc>
        <w:tc>
          <w:tcPr>
            <w:tcW w:w="760" w:type="dxa"/>
            <w:vAlign w:val="bottom"/>
            <w:shd w:val="clear" w:color="auto" w:fill="00558C"/>
          </w:tcPr>
          <w:p>
            <w:pPr>
              <w:spacing w:after="0"/>
              <w:rPr>
                <w:sz w:val="16"/>
                <w:szCs w:val="16"/>
                <w:color w:val="auto"/>
              </w:rPr>
            </w:pPr>
          </w:p>
        </w:tc>
        <w:tc>
          <w:tcPr>
            <w:tcW w:w="940" w:type="dxa"/>
            <w:vAlign w:val="bottom"/>
            <w:shd w:val="clear" w:color="auto" w:fill="00558C"/>
          </w:tcPr>
          <w:p>
            <w:pPr>
              <w:spacing w:after="0"/>
              <w:rPr>
                <w:sz w:val="16"/>
                <w:szCs w:val="16"/>
                <w:color w:val="auto"/>
              </w:rPr>
            </w:pPr>
          </w:p>
        </w:tc>
        <w:tc>
          <w:tcPr>
            <w:tcW w:w="800" w:type="dxa"/>
            <w:vAlign w:val="bottom"/>
            <w:shd w:val="clear" w:color="auto" w:fill="00558C"/>
          </w:tcPr>
          <w:p>
            <w:pPr>
              <w:spacing w:after="0"/>
              <w:rPr>
                <w:sz w:val="16"/>
                <w:szCs w:val="16"/>
                <w:color w:val="auto"/>
              </w:rPr>
            </w:pPr>
          </w:p>
        </w:tc>
        <w:tc>
          <w:tcPr>
            <w:tcW w:w="820" w:type="dxa"/>
            <w:vAlign w:val="bottom"/>
            <w:shd w:val="clear" w:color="auto" w:fill="00558C"/>
          </w:tcPr>
          <w:p>
            <w:pPr>
              <w:spacing w:after="0"/>
              <w:rPr>
                <w:sz w:val="16"/>
                <w:szCs w:val="16"/>
                <w:color w:val="auto"/>
              </w:rPr>
            </w:pPr>
          </w:p>
        </w:tc>
        <w:tc>
          <w:tcPr>
            <w:tcW w:w="840" w:type="dxa"/>
            <w:vAlign w:val="bottom"/>
            <w:shd w:val="clear" w:color="auto" w:fill="00558C"/>
          </w:tcPr>
          <w:p>
            <w:pPr>
              <w:spacing w:after="0"/>
              <w:rPr>
                <w:sz w:val="16"/>
                <w:szCs w:val="16"/>
                <w:color w:val="auto"/>
              </w:rPr>
            </w:pPr>
          </w:p>
        </w:tc>
        <w:tc>
          <w:tcPr>
            <w:tcW w:w="860" w:type="dxa"/>
            <w:vAlign w:val="bottom"/>
            <w:shd w:val="clear" w:color="auto" w:fill="00558C"/>
          </w:tcPr>
          <w:p>
            <w:pPr>
              <w:spacing w:after="0"/>
              <w:rPr>
                <w:sz w:val="16"/>
                <w:szCs w:val="16"/>
                <w:color w:val="auto"/>
              </w:rPr>
            </w:pPr>
          </w:p>
        </w:tc>
        <w:tc>
          <w:tcPr>
            <w:tcW w:w="860" w:type="dxa"/>
            <w:vAlign w:val="bottom"/>
            <w:shd w:val="clear" w:color="auto" w:fill="00558C"/>
          </w:tcPr>
          <w:p>
            <w:pPr>
              <w:spacing w:after="0"/>
              <w:rPr>
                <w:sz w:val="16"/>
                <w:szCs w:val="16"/>
                <w:color w:val="auto"/>
              </w:rPr>
            </w:pPr>
          </w:p>
        </w:tc>
        <w:tc>
          <w:tcPr>
            <w:tcW w:w="740" w:type="dxa"/>
            <w:vAlign w:val="bottom"/>
            <w:shd w:val="clear" w:color="auto" w:fill="00558C"/>
          </w:tcPr>
          <w:p>
            <w:pPr>
              <w:spacing w:after="0"/>
              <w:rPr>
                <w:sz w:val="16"/>
                <w:szCs w:val="16"/>
                <w:color w:val="auto"/>
              </w:rPr>
            </w:pPr>
          </w:p>
        </w:tc>
        <w:tc>
          <w:tcPr>
            <w:tcW w:w="800" w:type="dxa"/>
            <w:vAlign w:val="bottom"/>
            <w:shd w:val="clear" w:color="auto" w:fill="00558C"/>
          </w:tcPr>
          <w:p>
            <w:pPr>
              <w:spacing w:after="0"/>
              <w:rPr>
                <w:sz w:val="16"/>
                <w:szCs w:val="16"/>
                <w:color w:val="auto"/>
              </w:rPr>
            </w:pPr>
          </w:p>
        </w:tc>
        <w:tc>
          <w:tcPr>
            <w:tcW w:w="820" w:type="dxa"/>
            <w:vAlign w:val="bottom"/>
            <w:shd w:val="clear" w:color="auto" w:fill="00558C"/>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840" w:type="dxa"/>
            <w:vAlign w:val="bottom"/>
            <w:shd w:val="clear" w:color="auto" w:fill="00558C"/>
          </w:tcPr>
          <w:p>
            <w:pPr>
              <w:ind w:left="140"/>
              <w:spacing w:after="0"/>
              <w:rPr>
                <w:sz w:val="20"/>
                <w:szCs w:val="20"/>
                <w:color w:val="auto"/>
              </w:rPr>
            </w:pPr>
            <w:r>
              <w:rPr>
                <w:rFonts w:ascii="Arial" w:cs="Arial" w:eastAsia="Arial" w:hAnsi="Arial"/>
                <w:sz w:val="13"/>
                <w:szCs w:val="13"/>
                <w:b w:val="1"/>
                <w:bCs w:val="1"/>
                <w:color w:val="auto"/>
              </w:rPr>
              <w:t>PSU</w:t>
            </w:r>
          </w:p>
        </w:tc>
        <w:tc>
          <w:tcPr>
            <w:tcW w:w="760" w:type="dxa"/>
            <w:vAlign w:val="bottom"/>
            <w:shd w:val="clear" w:color="auto" w:fill="00558C"/>
          </w:tcPr>
          <w:p>
            <w:pPr>
              <w:jc w:val="right"/>
              <w:ind w:right="57"/>
              <w:spacing w:after="0"/>
              <w:rPr>
                <w:sz w:val="20"/>
                <w:szCs w:val="20"/>
                <w:color w:val="auto"/>
              </w:rPr>
            </w:pPr>
            <w:r>
              <w:rPr>
                <w:rFonts w:ascii="Arial" w:cs="Arial" w:eastAsia="Arial" w:hAnsi="Arial"/>
                <w:sz w:val="13"/>
                <w:szCs w:val="13"/>
                <w:color w:val="auto"/>
              </w:rPr>
              <w:t>3,117,435</w:t>
            </w: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3,141,512</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(141,618)</w:t>
            </w:r>
          </w:p>
        </w:tc>
        <w:tc>
          <w:tcPr>
            <w:tcW w:w="820" w:type="dxa"/>
            <w:vAlign w:val="bottom"/>
          </w:tcPr>
          <w:p>
            <w:pPr>
              <w:ind w:left="56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37"/>
              <w:spacing w:after="0"/>
              <w:rPr>
                <w:sz w:val="20"/>
                <w:szCs w:val="20"/>
                <w:color w:val="auto"/>
              </w:rPr>
            </w:pPr>
            <w:r>
              <w:rPr>
                <w:rFonts w:ascii="Arial" w:cs="Arial" w:eastAsia="Arial" w:hAnsi="Arial"/>
                <w:sz w:val="13"/>
                <w:szCs w:val="13"/>
                <w:color w:val="auto"/>
              </w:rPr>
              <w:t>6,117,329</w:t>
            </w:r>
          </w:p>
        </w:tc>
        <w:tc>
          <w:tcPr>
            <w:tcW w:w="860" w:type="dxa"/>
            <w:vAlign w:val="bottom"/>
          </w:tcPr>
          <w:p>
            <w:pPr>
              <w:jc w:val="right"/>
              <w:ind w:right="97"/>
              <w:spacing w:after="0"/>
              <w:rPr>
                <w:sz w:val="20"/>
                <w:szCs w:val="20"/>
                <w:color w:val="auto"/>
              </w:rPr>
            </w:pPr>
            <w:r>
              <w:rPr>
                <w:rFonts w:ascii="Arial" w:cs="Arial" w:eastAsia="Arial" w:hAnsi="Arial"/>
                <w:sz w:val="13"/>
                <w:szCs w:val="13"/>
                <w:color w:val="auto"/>
              </w:rPr>
              <w:t>660,690</w:t>
            </w:r>
          </w:p>
        </w:tc>
        <w:tc>
          <w:tcPr>
            <w:tcW w:w="860" w:type="dxa"/>
            <w:vAlign w:val="bottom"/>
          </w:tcPr>
          <w:p>
            <w:pPr>
              <w:jc w:val="right"/>
              <w:ind w:right="137"/>
              <w:spacing w:after="0"/>
              <w:rPr>
                <w:sz w:val="20"/>
                <w:szCs w:val="20"/>
                <w:color w:val="auto"/>
              </w:rPr>
            </w:pPr>
            <w:r>
              <w:rPr>
                <w:rFonts w:ascii="Arial" w:cs="Arial" w:eastAsia="Arial" w:hAnsi="Arial"/>
                <w:sz w:val="13"/>
                <w:szCs w:val="13"/>
                <w:color w:val="auto"/>
              </w:rPr>
              <w:t>1,151,853</w:t>
            </w: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(39,473)</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(209,604)</w:t>
            </w:r>
          </w:p>
        </w:tc>
        <w:tc>
          <w:tcPr>
            <w:tcW w:w="820" w:type="dxa"/>
            <w:vAlign w:val="bottom"/>
          </w:tcPr>
          <w:p>
            <w:pPr>
              <w:jc w:val="right"/>
              <w:ind w:right="117"/>
              <w:spacing w:after="0"/>
              <w:rPr>
                <w:sz w:val="20"/>
                <w:szCs w:val="20"/>
                <w:color w:val="auto"/>
              </w:rPr>
            </w:pPr>
            <w:r>
              <w:rPr>
                <w:rFonts w:ascii="Arial" w:cs="Arial" w:eastAsia="Arial" w:hAnsi="Arial"/>
                <w:sz w:val="13"/>
                <w:szCs w:val="13"/>
                <w:color w:val="auto"/>
              </w:rPr>
              <w:t>1,563,466</w:t>
            </w:r>
          </w:p>
        </w:tc>
        <w:tc>
          <w:tcPr>
            <w:tcW w:w="0" w:type="dxa"/>
            <w:vAlign w:val="bottom"/>
          </w:tcPr>
          <w:p>
            <w:pPr>
              <w:spacing w:after="0"/>
              <w:rPr>
                <w:sz w:val="1"/>
                <w:szCs w:val="1"/>
                <w:color w:val="auto"/>
              </w:rPr>
            </w:pPr>
          </w:p>
        </w:tc>
      </w:tr>
      <w:tr>
        <w:trPr>
          <w:trHeight w:val="473"/>
        </w:trPr>
        <w:tc>
          <w:tcPr>
            <w:tcW w:w="840" w:type="dxa"/>
            <w:vAlign w:val="bottom"/>
            <w:shd w:val="clear" w:color="auto" w:fill="00558C"/>
          </w:tcPr>
          <w:p>
            <w:pPr>
              <w:ind w:left="140"/>
              <w:spacing w:after="0"/>
              <w:rPr>
                <w:sz w:val="20"/>
                <w:szCs w:val="20"/>
                <w:color w:val="auto"/>
              </w:rPr>
            </w:pPr>
            <w:r>
              <w:rPr>
                <w:rFonts w:ascii="Arial" w:cs="Arial" w:eastAsia="Arial" w:hAnsi="Arial"/>
                <w:sz w:val="13"/>
                <w:szCs w:val="13"/>
                <w:b w:val="1"/>
                <w:bCs w:val="1"/>
                <w:color w:val="auto"/>
              </w:rPr>
              <w:t>PSO</w:t>
            </w:r>
          </w:p>
        </w:tc>
        <w:tc>
          <w:tcPr>
            <w:tcW w:w="760" w:type="dxa"/>
            <w:vAlign w:val="bottom"/>
            <w:shd w:val="clear" w:color="auto" w:fill="00558C"/>
          </w:tcPr>
          <w:p>
            <w:pPr>
              <w:jc w:val="right"/>
              <w:ind w:right="57"/>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00" w:type="dxa"/>
            <w:vAlign w:val="bottom"/>
            <w:shd w:val="clear" w:color="auto" w:fill="00558C"/>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shd w:val="clear" w:color="auto" w:fill="00558C"/>
          </w:tcPr>
          <w:p>
            <w:pPr>
              <w:ind w:left="560"/>
              <w:spacing w:after="0"/>
              <w:rPr>
                <w:sz w:val="20"/>
                <w:szCs w:val="20"/>
                <w:color w:val="auto"/>
              </w:rPr>
            </w:pPr>
            <w:r>
              <w:rPr>
                <w:rFonts w:ascii="Arial" w:cs="Arial" w:eastAsia="Arial" w:hAnsi="Arial"/>
                <w:sz w:val="13"/>
                <w:szCs w:val="13"/>
                <w:color w:val="auto"/>
              </w:rPr>
              <w:t>—</w:t>
            </w:r>
          </w:p>
        </w:tc>
        <w:tc>
          <w:tcPr>
            <w:tcW w:w="840" w:type="dxa"/>
            <w:vAlign w:val="bottom"/>
            <w:shd w:val="clear" w:color="auto" w:fill="00558C"/>
          </w:tcPr>
          <w:p>
            <w:pPr>
              <w:jc w:val="right"/>
              <w:ind w:right="137"/>
              <w:spacing w:after="0"/>
              <w:rPr>
                <w:sz w:val="20"/>
                <w:szCs w:val="20"/>
                <w:color w:val="auto"/>
              </w:rPr>
            </w:pPr>
            <w:r>
              <w:rPr>
                <w:rFonts w:ascii="Arial" w:cs="Arial" w:eastAsia="Arial" w:hAnsi="Arial"/>
                <w:sz w:val="13"/>
                <w:szCs w:val="13"/>
                <w:color w:val="auto"/>
              </w:rPr>
              <w:t>—</w:t>
            </w:r>
          </w:p>
        </w:tc>
        <w:tc>
          <w:tcPr>
            <w:tcW w:w="860" w:type="dxa"/>
            <w:vAlign w:val="bottom"/>
            <w:shd w:val="clear" w:color="auto" w:fill="00558C"/>
          </w:tcPr>
          <w:p>
            <w:pPr>
              <w:jc w:val="right"/>
              <w:ind w:right="97"/>
              <w:spacing w:after="0"/>
              <w:rPr>
                <w:sz w:val="20"/>
                <w:szCs w:val="20"/>
                <w:color w:val="auto"/>
              </w:rPr>
            </w:pPr>
            <w:r>
              <w:rPr>
                <w:rFonts w:ascii="Arial" w:cs="Arial" w:eastAsia="Arial" w:hAnsi="Arial"/>
                <w:sz w:val="13"/>
                <w:szCs w:val="13"/>
                <w:color w:val="auto"/>
              </w:rPr>
              <w:t>—</w:t>
            </w:r>
          </w:p>
        </w:tc>
        <w:tc>
          <w:tcPr>
            <w:tcW w:w="860" w:type="dxa"/>
            <w:vAlign w:val="bottom"/>
            <w:shd w:val="clear" w:color="auto" w:fill="00558C"/>
          </w:tcPr>
          <w:p>
            <w:pPr>
              <w:jc w:val="right"/>
              <w:ind w:right="137"/>
              <w:spacing w:after="0"/>
              <w:rPr>
                <w:sz w:val="20"/>
                <w:szCs w:val="20"/>
                <w:color w:val="auto"/>
              </w:rPr>
            </w:pPr>
            <w:r>
              <w:rPr>
                <w:rFonts w:ascii="Arial" w:cs="Arial" w:eastAsia="Arial" w:hAnsi="Arial"/>
                <w:sz w:val="13"/>
                <w:szCs w:val="13"/>
                <w:color w:val="auto"/>
              </w:rPr>
              <w:t>24,884</w:t>
            </w:r>
          </w:p>
        </w:tc>
        <w:tc>
          <w:tcPr>
            <w:tcW w:w="740" w:type="dxa"/>
            <w:vAlign w:val="bottom"/>
            <w:shd w:val="clear" w:color="auto" w:fill="00558C"/>
          </w:tcPr>
          <w:p>
            <w:pPr>
              <w:jc w:val="right"/>
              <w:ind w:right="77"/>
              <w:spacing w:after="0"/>
              <w:rPr>
                <w:sz w:val="20"/>
                <w:szCs w:val="20"/>
                <w:color w:val="auto"/>
              </w:rPr>
            </w:pPr>
            <w:r>
              <w:rPr>
                <w:rFonts w:ascii="Arial" w:cs="Arial" w:eastAsia="Arial" w:hAnsi="Arial"/>
                <w:sz w:val="13"/>
                <w:szCs w:val="13"/>
                <w:color w:val="auto"/>
              </w:rPr>
              <w:t>(4,483)</w:t>
            </w:r>
          </w:p>
        </w:tc>
        <w:tc>
          <w:tcPr>
            <w:tcW w:w="800" w:type="dxa"/>
            <w:vAlign w:val="bottom"/>
            <w:shd w:val="clear" w:color="auto" w:fill="00558C"/>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shd w:val="clear" w:color="auto" w:fill="00558C"/>
          </w:tcPr>
          <w:p>
            <w:pPr>
              <w:jc w:val="right"/>
              <w:ind w:right="117"/>
              <w:spacing w:after="0"/>
              <w:rPr>
                <w:sz w:val="20"/>
                <w:szCs w:val="20"/>
                <w:color w:val="auto"/>
              </w:rPr>
            </w:pPr>
            <w:r>
              <w:rPr>
                <w:rFonts w:ascii="Arial" w:cs="Arial" w:eastAsia="Arial" w:hAnsi="Arial"/>
                <w:sz w:val="13"/>
                <w:szCs w:val="13"/>
                <w:color w:val="auto"/>
              </w:rPr>
              <w:t>20,401</w:t>
            </w:r>
          </w:p>
        </w:tc>
        <w:tc>
          <w:tcPr>
            <w:tcW w:w="0" w:type="dxa"/>
            <w:vAlign w:val="bottom"/>
          </w:tcPr>
          <w:p>
            <w:pPr>
              <w:spacing w:after="0"/>
              <w:rPr>
                <w:sz w:val="1"/>
                <w:szCs w:val="1"/>
                <w:color w:val="auto"/>
              </w:rPr>
            </w:pPr>
          </w:p>
        </w:tc>
      </w:tr>
      <w:tr>
        <w:trPr>
          <w:trHeight w:val="328"/>
        </w:trPr>
        <w:tc>
          <w:tcPr>
            <w:tcW w:w="840" w:type="dxa"/>
            <w:vAlign w:val="bottom"/>
            <w:shd w:val="clear" w:color="auto" w:fill="00558C"/>
          </w:tcPr>
          <w:p>
            <w:pPr>
              <w:ind w:left="140"/>
              <w:spacing w:after="0"/>
              <w:rPr>
                <w:sz w:val="20"/>
                <w:szCs w:val="20"/>
                <w:color w:val="auto"/>
              </w:rPr>
            </w:pPr>
            <w:r>
              <w:rPr>
                <w:rFonts w:ascii="Arial" w:cs="Arial" w:eastAsia="Arial" w:hAnsi="Arial"/>
                <w:sz w:val="13"/>
                <w:szCs w:val="13"/>
                <w:b w:val="1"/>
                <w:bCs w:val="1"/>
                <w:color w:val="auto"/>
              </w:rPr>
              <w:t>Restricted</w:t>
            </w:r>
          </w:p>
        </w:tc>
        <w:tc>
          <w:tcPr>
            <w:tcW w:w="760" w:type="dxa"/>
            <w:vAlign w:val="bottom"/>
            <w:shd w:val="clear" w:color="auto" w:fill="00558C"/>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shd w:val="clear" w:color="auto" w:fill="00558C"/>
          </w:tcPr>
          <w:p>
            <w:pPr>
              <w:spacing w:after="0"/>
              <w:rPr>
                <w:sz w:val="24"/>
                <w:szCs w:val="24"/>
                <w:color w:val="auto"/>
              </w:rPr>
            </w:pPr>
          </w:p>
        </w:tc>
        <w:tc>
          <w:tcPr>
            <w:tcW w:w="820" w:type="dxa"/>
            <w:vAlign w:val="bottom"/>
            <w:shd w:val="clear" w:color="auto" w:fill="00558C"/>
          </w:tcPr>
          <w:p>
            <w:pPr>
              <w:spacing w:after="0"/>
              <w:rPr>
                <w:sz w:val="24"/>
                <w:szCs w:val="24"/>
                <w:color w:val="auto"/>
              </w:rPr>
            </w:pPr>
          </w:p>
        </w:tc>
        <w:tc>
          <w:tcPr>
            <w:tcW w:w="840" w:type="dxa"/>
            <w:vAlign w:val="bottom"/>
            <w:shd w:val="clear" w:color="auto" w:fill="00558C"/>
          </w:tcPr>
          <w:p>
            <w:pPr>
              <w:spacing w:after="0"/>
              <w:rPr>
                <w:sz w:val="24"/>
                <w:szCs w:val="24"/>
                <w:color w:val="auto"/>
              </w:rPr>
            </w:pPr>
          </w:p>
        </w:tc>
        <w:tc>
          <w:tcPr>
            <w:tcW w:w="860" w:type="dxa"/>
            <w:vAlign w:val="bottom"/>
            <w:shd w:val="clear" w:color="auto" w:fill="00558C"/>
          </w:tcPr>
          <w:p>
            <w:pPr>
              <w:spacing w:after="0"/>
              <w:rPr>
                <w:sz w:val="24"/>
                <w:szCs w:val="24"/>
                <w:color w:val="auto"/>
              </w:rPr>
            </w:pPr>
          </w:p>
        </w:tc>
        <w:tc>
          <w:tcPr>
            <w:tcW w:w="860" w:type="dxa"/>
            <w:vAlign w:val="bottom"/>
            <w:shd w:val="clear" w:color="auto" w:fill="00558C"/>
          </w:tcPr>
          <w:p>
            <w:pPr>
              <w:spacing w:after="0"/>
              <w:rPr>
                <w:sz w:val="24"/>
                <w:szCs w:val="24"/>
                <w:color w:val="auto"/>
              </w:rPr>
            </w:pPr>
          </w:p>
        </w:tc>
        <w:tc>
          <w:tcPr>
            <w:tcW w:w="740" w:type="dxa"/>
            <w:vAlign w:val="bottom"/>
            <w:shd w:val="clear" w:color="auto" w:fill="00558C"/>
          </w:tcPr>
          <w:p>
            <w:pPr>
              <w:spacing w:after="0"/>
              <w:rPr>
                <w:sz w:val="24"/>
                <w:szCs w:val="24"/>
                <w:color w:val="auto"/>
              </w:rPr>
            </w:pPr>
          </w:p>
        </w:tc>
        <w:tc>
          <w:tcPr>
            <w:tcW w:w="800" w:type="dxa"/>
            <w:vAlign w:val="bottom"/>
            <w:shd w:val="clear" w:color="auto" w:fill="00558C"/>
          </w:tcPr>
          <w:p>
            <w:pPr>
              <w:spacing w:after="0"/>
              <w:rPr>
                <w:sz w:val="24"/>
                <w:szCs w:val="24"/>
                <w:color w:val="auto"/>
              </w:rPr>
            </w:pPr>
          </w:p>
        </w:tc>
        <w:tc>
          <w:tcPr>
            <w:tcW w:w="820" w:type="dxa"/>
            <w:vAlign w:val="bottom"/>
            <w:shd w:val="clear" w:color="auto" w:fill="00558C"/>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840" w:type="dxa"/>
            <w:vAlign w:val="bottom"/>
            <w:shd w:val="clear" w:color="auto" w:fill="00558C"/>
          </w:tcPr>
          <w:p>
            <w:pPr>
              <w:ind w:left="140"/>
              <w:spacing w:after="0"/>
              <w:rPr>
                <w:sz w:val="20"/>
                <w:szCs w:val="20"/>
                <w:color w:val="auto"/>
              </w:rPr>
            </w:pPr>
            <w:r>
              <w:rPr>
                <w:rFonts w:ascii="Arial" w:cs="Arial" w:eastAsia="Arial" w:hAnsi="Arial"/>
                <w:sz w:val="13"/>
                <w:szCs w:val="13"/>
                <w:b w:val="1"/>
                <w:bCs w:val="1"/>
                <w:color w:val="auto"/>
              </w:rPr>
              <w:t>Stock</w:t>
            </w:r>
          </w:p>
        </w:tc>
        <w:tc>
          <w:tcPr>
            <w:tcW w:w="760" w:type="dxa"/>
            <w:vAlign w:val="bottom"/>
            <w:shd w:val="clear" w:color="auto" w:fill="00558C"/>
          </w:tcPr>
          <w:p>
            <w:pPr>
              <w:jc w:val="right"/>
              <w:ind w:right="57"/>
              <w:spacing w:after="0"/>
              <w:rPr>
                <w:sz w:val="20"/>
                <w:szCs w:val="20"/>
                <w:color w:val="auto"/>
              </w:rPr>
            </w:pPr>
            <w:r>
              <w:rPr>
                <w:rFonts w:ascii="Arial" w:cs="Arial" w:eastAsia="Arial" w:hAnsi="Arial"/>
                <w:sz w:val="13"/>
                <w:szCs w:val="13"/>
                <w:color w:val="auto"/>
              </w:rPr>
              <w:t>1,336,044</w:t>
            </w: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171,873</w:t>
            </w:r>
          </w:p>
        </w:tc>
        <w:tc>
          <w:tcPr>
            <w:tcW w:w="800" w:type="dxa"/>
            <w:vAlign w:val="bottom"/>
            <w:shd w:val="clear" w:color="auto" w:fill="00558C"/>
          </w:tcPr>
          <w:p>
            <w:pPr>
              <w:jc w:val="right"/>
              <w:ind w:right="57"/>
              <w:spacing w:after="0"/>
              <w:rPr>
                <w:sz w:val="20"/>
                <w:szCs w:val="20"/>
                <w:color w:val="auto"/>
              </w:rPr>
            </w:pPr>
            <w:r>
              <w:rPr>
                <w:rFonts w:ascii="Arial" w:cs="Arial" w:eastAsia="Arial" w:hAnsi="Arial"/>
                <w:sz w:val="13"/>
                <w:szCs w:val="13"/>
                <w:color w:val="auto"/>
              </w:rPr>
              <w:t>(41,699)</w:t>
            </w:r>
          </w:p>
        </w:tc>
        <w:tc>
          <w:tcPr>
            <w:tcW w:w="820" w:type="dxa"/>
            <w:vAlign w:val="bottom"/>
            <w:shd w:val="clear" w:color="auto" w:fill="00558C"/>
          </w:tcPr>
          <w:p>
            <w:pPr>
              <w:ind w:left="560"/>
              <w:spacing w:after="0"/>
              <w:rPr>
                <w:sz w:val="20"/>
                <w:szCs w:val="20"/>
                <w:color w:val="auto"/>
              </w:rPr>
            </w:pPr>
            <w:r>
              <w:rPr>
                <w:rFonts w:ascii="Arial" w:cs="Arial" w:eastAsia="Arial" w:hAnsi="Arial"/>
                <w:sz w:val="13"/>
                <w:szCs w:val="13"/>
                <w:color w:val="auto"/>
              </w:rPr>
              <w:t>—</w:t>
            </w:r>
          </w:p>
        </w:tc>
        <w:tc>
          <w:tcPr>
            <w:tcW w:w="840" w:type="dxa"/>
            <w:vAlign w:val="bottom"/>
            <w:shd w:val="clear" w:color="auto" w:fill="00558C"/>
          </w:tcPr>
          <w:p>
            <w:pPr>
              <w:jc w:val="right"/>
              <w:ind w:right="137"/>
              <w:spacing w:after="0"/>
              <w:rPr>
                <w:sz w:val="20"/>
                <w:szCs w:val="20"/>
                <w:color w:val="auto"/>
              </w:rPr>
            </w:pPr>
            <w:r>
              <w:rPr>
                <w:rFonts w:ascii="Arial" w:cs="Arial" w:eastAsia="Arial" w:hAnsi="Arial"/>
                <w:sz w:val="13"/>
                <w:szCs w:val="13"/>
                <w:color w:val="auto"/>
              </w:rPr>
              <w:t>1,466,218</w:t>
            </w:r>
          </w:p>
        </w:tc>
        <w:tc>
          <w:tcPr>
            <w:tcW w:w="860" w:type="dxa"/>
            <w:vAlign w:val="bottom"/>
            <w:shd w:val="clear" w:color="auto" w:fill="00558C"/>
          </w:tcPr>
          <w:p>
            <w:pPr>
              <w:jc w:val="right"/>
              <w:ind w:right="97"/>
              <w:spacing w:after="0"/>
              <w:rPr>
                <w:sz w:val="20"/>
                <w:szCs w:val="20"/>
                <w:color w:val="auto"/>
              </w:rPr>
            </w:pPr>
            <w:r>
              <w:rPr>
                <w:rFonts w:ascii="Arial" w:cs="Arial" w:eastAsia="Arial" w:hAnsi="Arial"/>
                <w:sz w:val="13"/>
                <w:szCs w:val="13"/>
                <w:color w:val="auto"/>
              </w:rPr>
              <w:t>283,147</w:t>
            </w:r>
          </w:p>
        </w:tc>
        <w:tc>
          <w:tcPr>
            <w:tcW w:w="860" w:type="dxa"/>
            <w:vAlign w:val="bottom"/>
            <w:shd w:val="clear" w:color="auto" w:fill="00558C"/>
          </w:tcPr>
          <w:p>
            <w:pPr>
              <w:jc w:val="right"/>
              <w:ind w:right="137"/>
              <w:spacing w:after="0"/>
              <w:rPr>
                <w:sz w:val="20"/>
                <w:szCs w:val="20"/>
                <w:color w:val="auto"/>
              </w:rPr>
            </w:pPr>
            <w:r>
              <w:rPr>
                <w:rFonts w:ascii="Arial" w:cs="Arial" w:eastAsia="Arial" w:hAnsi="Arial"/>
                <w:sz w:val="13"/>
                <w:szCs w:val="13"/>
                <w:color w:val="auto"/>
              </w:rPr>
              <w:t>82,886</w:t>
            </w:r>
          </w:p>
        </w:tc>
        <w:tc>
          <w:tcPr>
            <w:tcW w:w="740" w:type="dxa"/>
            <w:vAlign w:val="bottom"/>
            <w:shd w:val="clear" w:color="auto" w:fill="00558C"/>
          </w:tcPr>
          <w:p>
            <w:pPr>
              <w:jc w:val="right"/>
              <w:ind w:right="77"/>
              <w:spacing w:after="0"/>
              <w:rPr>
                <w:sz w:val="20"/>
                <w:szCs w:val="20"/>
                <w:color w:val="auto"/>
              </w:rPr>
            </w:pPr>
            <w:r>
              <w:rPr>
                <w:rFonts w:ascii="Arial" w:cs="Arial" w:eastAsia="Arial" w:hAnsi="Arial"/>
                <w:sz w:val="13"/>
                <w:szCs w:val="13"/>
                <w:color w:val="auto"/>
              </w:rPr>
              <w:t>(40,301)</w:t>
            </w:r>
          </w:p>
        </w:tc>
        <w:tc>
          <w:tcPr>
            <w:tcW w:w="800" w:type="dxa"/>
            <w:vAlign w:val="bottom"/>
            <w:shd w:val="clear" w:color="auto" w:fill="00558C"/>
          </w:tcPr>
          <w:p>
            <w:pPr>
              <w:jc w:val="right"/>
              <w:ind w:right="57"/>
              <w:spacing w:after="0"/>
              <w:rPr>
                <w:sz w:val="20"/>
                <w:szCs w:val="20"/>
                <w:color w:val="auto"/>
              </w:rPr>
            </w:pPr>
            <w:r>
              <w:rPr>
                <w:rFonts w:ascii="Arial" w:cs="Arial" w:eastAsia="Arial" w:hAnsi="Arial"/>
                <w:sz w:val="13"/>
                <w:szCs w:val="13"/>
                <w:color w:val="auto"/>
              </w:rPr>
              <w:t>(80,047)</w:t>
            </w:r>
          </w:p>
        </w:tc>
        <w:tc>
          <w:tcPr>
            <w:tcW w:w="820" w:type="dxa"/>
            <w:vAlign w:val="bottom"/>
            <w:shd w:val="clear" w:color="auto" w:fill="00558C"/>
          </w:tcPr>
          <w:p>
            <w:pPr>
              <w:jc w:val="right"/>
              <w:ind w:right="117"/>
              <w:spacing w:after="0"/>
              <w:rPr>
                <w:sz w:val="20"/>
                <w:szCs w:val="20"/>
                <w:color w:val="auto"/>
              </w:rPr>
            </w:pPr>
            <w:r>
              <w:rPr>
                <w:rFonts w:ascii="Arial" w:cs="Arial" w:eastAsia="Arial" w:hAnsi="Arial"/>
                <w:sz w:val="13"/>
                <w:szCs w:val="13"/>
                <w:color w:val="auto"/>
              </w:rPr>
              <w:t>245,685</w:t>
            </w:r>
          </w:p>
        </w:tc>
        <w:tc>
          <w:tcPr>
            <w:tcW w:w="0" w:type="dxa"/>
            <w:vAlign w:val="bottom"/>
          </w:tcPr>
          <w:p>
            <w:pPr>
              <w:spacing w:after="0"/>
              <w:rPr>
                <w:sz w:val="1"/>
                <w:szCs w:val="1"/>
                <w:color w:val="auto"/>
              </w:rPr>
            </w:pPr>
          </w:p>
        </w:tc>
      </w:tr>
      <w:tr>
        <w:trPr>
          <w:trHeight w:val="172"/>
        </w:trPr>
        <w:tc>
          <w:tcPr>
            <w:tcW w:w="840" w:type="dxa"/>
            <w:vAlign w:val="bottom"/>
            <w:shd w:val="clear" w:color="auto" w:fill="00558C"/>
          </w:tcPr>
          <w:p>
            <w:pPr>
              <w:ind w:left="140"/>
              <w:spacing w:after="0"/>
              <w:rPr>
                <w:sz w:val="20"/>
                <w:szCs w:val="20"/>
                <w:color w:val="auto"/>
              </w:rPr>
            </w:pPr>
            <w:r>
              <w:rPr>
                <w:rFonts w:ascii="Arial" w:cs="Arial" w:eastAsia="Arial" w:hAnsi="Arial"/>
                <w:sz w:val="13"/>
                <w:szCs w:val="13"/>
                <w:b w:val="1"/>
                <w:bCs w:val="1"/>
                <w:color w:val="auto"/>
              </w:rPr>
              <w:t>Units</w:t>
            </w:r>
          </w:p>
        </w:tc>
        <w:tc>
          <w:tcPr>
            <w:tcW w:w="760" w:type="dxa"/>
            <w:vAlign w:val="bottom"/>
            <w:shd w:val="clear" w:color="auto" w:fill="00558C"/>
          </w:tcPr>
          <w:p>
            <w:pPr>
              <w:spacing w:after="0"/>
              <w:rPr>
                <w:sz w:val="14"/>
                <w:szCs w:val="14"/>
                <w:color w:val="auto"/>
              </w:rPr>
            </w:pPr>
          </w:p>
        </w:tc>
        <w:tc>
          <w:tcPr>
            <w:tcW w:w="940" w:type="dxa"/>
            <w:vAlign w:val="bottom"/>
          </w:tcPr>
          <w:p>
            <w:pPr>
              <w:spacing w:after="0"/>
              <w:rPr>
                <w:sz w:val="14"/>
                <w:szCs w:val="14"/>
                <w:color w:val="auto"/>
              </w:rPr>
            </w:pPr>
          </w:p>
        </w:tc>
        <w:tc>
          <w:tcPr>
            <w:tcW w:w="800" w:type="dxa"/>
            <w:vAlign w:val="bottom"/>
            <w:shd w:val="clear" w:color="auto" w:fill="00558C"/>
          </w:tcPr>
          <w:p>
            <w:pPr>
              <w:spacing w:after="0"/>
              <w:rPr>
                <w:sz w:val="14"/>
                <w:szCs w:val="14"/>
                <w:color w:val="auto"/>
              </w:rPr>
            </w:pPr>
          </w:p>
        </w:tc>
        <w:tc>
          <w:tcPr>
            <w:tcW w:w="820" w:type="dxa"/>
            <w:vAlign w:val="bottom"/>
            <w:shd w:val="clear" w:color="auto" w:fill="00558C"/>
          </w:tcPr>
          <w:p>
            <w:pPr>
              <w:spacing w:after="0"/>
              <w:rPr>
                <w:sz w:val="14"/>
                <w:szCs w:val="14"/>
                <w:color w:val="auto"/>
              </w:rPr>
            </w:pPr>
          </w:p>
        </w:tc>
        <w:tc>
          <w:tcPr>
            <w:tcW w:w="840" w:type="dxa"/>
            <w:vAlign w:val="bottom"/>
            <w:shd w:val="clear" w:color="auto" w:fill="00558C"/>
          </w:tcPr>
          <w:p>
            <w:pPr>
              <w:spacing w:after="0"/>
              <w:rPr>
                <w:sz w:val="14"/>
                <w:szCs w:val="14"/>
                <w:color w:val="auto"/>
              </w:rPr>
            </w:pPr>
          </w:p>
        </w:tc>
        <w:tc>
          <w:tcPr>
            <w:tcW w:w="860" w:type="dxa"/>
            <w:vAlign w:val="bottom"/>
            <w:shd w:val="clear" w:color="auto" w:fill="00558C"/>
          </w:tcPr>
          <w:p>
            <w:pPr>
              <w:spacing w:after="0"/>
              <w:rPr>
                <w:sz w:val="14"/>
                <w:szCs w:val="14"/>
                <w:color w:val="auto"/>
              </w:rPr>
            </w:pPr>
          </w:p>
        </w:tc>
        <w:tc>
          <w:tcPr>
            <w:tcW w:w="860" w:type="dxa"/>
            <w:vAlign w:val="bottom"/>
            <w:shd w:val="clear" w:color="auto" w:fill="00558C"/>
          </w:tcPr>
          <w:p>
            <w:pPr>
              <w:spacing w:after="0"/>
              <w:rPr>
                <w:sz w:val="14"/>
                <w:szCs w:val="14"/>
                <w:color w:val="auto"/>
              </w:rPr>
            </w:pPr>
          </w:p>
        </w:tc>
        <w:tc>
          <w:tcPr>
            <w:tcW w:w="740" w:type="dxa"/>
            <w:vAlign w:val="bottom"/>
            <w:shd w:val="clear" w:color="auto" w:fill="00558C"/>
          </w:tcPr>
          <w:p>
            <w:pPr>
              <w:spacing w:after="0"/>
              <w:rPr>
                <w:sz w:val="14"/>
                <w:szCs w:val="14"/>
                <w:color w:val="auto"/>
              </w:rPr>
            </w:pPr>
          </w:p>
        </w:tc>
        <w:tc>
          <w:tcPr>
            <w:tcW w:w="800" w:type="dxa"/>
            <w:vAlign w:val="bottom"/>
            <w:shd w:val="clear" w:color="auto" w:fill="00558C"/>
          </w:tcPr>
          <w:p>
            <w:pPr>
              <w:spacing w:after="0"/>
              <w:rPr>
                <w:sz w:val="14"/>
                <w:szCs w:val="14"/>
                <w:color w:val="auto"/>
              </w:rPr>
            </w:pPr>
          </w:p>
        </w:tc>
        <w:tc>
          <w:tcPr>
            <w:tcW w:w="820" w:type="dxa"/>
            <w:vAlign w:val="bottom"/>
            <w:shd w:val="clear" w:color="auto" w:fill="00558C"/>
          </w:tcPr>
          <w:p>
            <w:pPr>
              <w:spacing w:after="0"/>
              <w:rPr>
                <w:sz w:val="14"/>
                <w:szCs w:val="14"/>
                <w:color w:val="auto"/>
              </w:rPr>
            </w:pPr>
          </w:p>
        </w:tc>
        <w:tc>
          <w:tcPr>
            <w:tcW w:w="0" w:type="dxa"/>
            <w:vAlign w:val="bottom"/>
          </w:tcPr>
          <w:p>
            <w:pPr>
              <w:spacing w:after="0"/>
              <w:rPr>
                <w:sz w:val="1"/>
                <w:szCs w:val="1"/>
                <w:color w:val="auto"/>
              </w:rPr>
            </w:pPr>
          </w:p>
        </w:tc>
      </w:tr>
      <w:tr>
        <w:trPr>
          <w:trHeight w:val="351"/>
        </w:trPr>
        <w:tc>
          <w:tcPr>
            <w:tcW w:w="840" w:type="dxa"/>
            <w:vAlign w:val="bottom"/>
            <w:shd w:val="clear" w:color="auto" w:fill="00558C"/>
          </w:tcPr>
          <w:p>
            <w:pPr>
              <w:ind w:left="140"/>
              <w:spacing w:after="0"/>
              <w:rPr>
                <w:sz w:val="20"/>
                <w:szCs w:val="20"/>
                <w:color w:val="auto"/>
              </w:rPr>
            </w:pPr>
            <w:r>
              <w:rPr>
                <w:rFonts w:ascii="Arial" w:cs="Arial" w:eastAsia="Arial" w:hAnsi="Arial"/>
                <w:sz w:val="13"/>
                <w:szCs w:val="13"/>
                <w:b w:val="1"/>
                <w:bCs w:val="1"/>
                <w:color w:val="auto"/>
              </w:rPr>
              <w:t>Total</w:t>
            </w:r>
          </w:p>
        </w:tc>
        <w:tc>
          <w:tcPr>
            <w:tcW w:w="760" w:type="dxa"/>
            <w:vAlign w:val="bottom"/>
            <w:shd w:val="clear" w:color="auto" w:fill="00558C"/>
          </w:tcPr>
          <w:p>
            <w:pPr>
              <w:jc w:val="right"/>
              <w:ind w:right="57"/>
              <w:spacing w:after="0"/>
              <w:rPr>
                <w:sz w:val="20"/>
                <w:szCs w:val="20"/>
                <w:color w:val="auto"/>
              </w:rPr>
            </w:pPr>
            <w:r>
              <w:rPr>
                <w:rFonts w:ascii="Arial" w:cs="Arial" w:eastAsia="Arial" w:hAnsi="Arial"/>
                <w:sz w:val="13"/>
                <w:szCs w:val="13"/>
                <w:b w:val="1"/>
                <w:bCs w:val="1"/>
                <w:color w:val="auto"/>
              </w:rPr>
              <w:t>4,453,479</w:t>
            </w:r>
          </w:p>
        </w:tc>
        <w:tc>
          <w:tcPr>
            <w:tcW w:w="940" w:type="dxa"/>
            <w:vAlign w:val="bottom"/>
          </w:tcPr>
          <w:p>
            <w:pPr>
              <w:jc w:val="right"/>
              <w:ind w:right="57"/>
              <w:spacing w:after="0"/>
              <w:rPr>
                <w:sz w:val="20"/>
                <w:szCs w:val="20"/>
                <w:color w:val="auto"/>
              </w:rPr>
            </w:pPr>
            <w:r>
              <w:rPr>
                <w:rFonts w:ascii="Arial" w:cs="Arial" w:eastAsia="Arial" w:hAnsi="Arial"/>
                <w:sz w:val="13"/>
                <w:szCs w:val="13"/>
                <w:b w:val="1"/>
                <w:bCs w:val="1"/>
                <w:color w:val="auto"/>
              </w:rPr>
              <w:t>3,313,385</w:t>
            </w:r>
          </w:p>
        </w:tc>
        <w:tc>
          <w:tcPr>
            <w:tcW w:w="800" w:type="dxa"/>
            <w:vAlign w:val="bottom"/>
            <w:shd w:val="clear" w:color="auto" w:fill="00558C"/>
          </w:tcPr>
          <w:p>
            <w:pPr>
              <w:jc w:val="right"/>
              <w:ind w:right="57"/>
              <w:spacing w:after="0"/>
              <w:rPr>
                <w:sz w:val="20"/>
                <w:szCs w:val="20"/>
                <w:color w:val="auto"/>
              </w:rPr>
            </w:pPr>
            <w:r>
              <w:rPr>
                <w:rFonts w:ascii="Arial" w:cs="Arial" w:eastAsia="Arial" w:hAnsi="Arial"/>
                <w:sz w:val="13"/>
                <w:szCs w:val="13"/>
                <w:b w:val="1"/>
                <w:bCs w:val="1"/>
                <w:color w:val="auto"/>
              </w:rPr>
              <w:t>(183,317)</w:t>
            </w:r>
          </w:p>
        </w:tc>
        <w:tc>
          <w:tcPr>
            <w:tcW w:w="820" w:type="dxa"/>
            <w:vAlign w:val="bottom"/>
            <w:shd w:val="clear" w:color="auto" w:fill="00558C"/>
          </w:tcPr>
          <w:p>
            <w:pPr>
              <w:ind w:left="560"/>
              <w:spacing w:after="0"/>
              <w:rPr>
                <w:sz w:val="20"/>
                <w:szCs w:val="20"/>
                <w:color w:val="auto"/>
              </w:rPr>
            </w:pPr>
            <w:r>
              <w:rPr>
                <w:rFonts w:ascii="Arial" w:cs="Arial" w:eastAsia="Arial" w:hAnsi="Arial"/>
                <w:sz w:val="13"/>
                <w:szCs w:val="13"/>
                <w:b w:val="1"/>
                <w:bCs w:val="1"/>
                <w:color w:val="auto"/>
              </w:rPr>
              <w:t>—</w:t>
            </w:r>
          </w:p>
        </w:tc>
        <w:tc>
          <w:tcPr>
            <w:tcW w:w="840" w:type="dxa"/>
            <w:vAlign w:val="bottom"/>
            <w:shd w:val="clear" w:color="auto" w:fill="00558C"/>
          </w:tcPr>
          <w:p>
            <w:pPr>
              <w:jc w:val="right"/>
              <w:ind w:right="137"/>
              <w:spacing w:after="0"/>
              <w:rPr>
                <w:sz w:val="20"/>
                <w:szCs w:val="20"/>
                <w:color w:val="auto"/>
              </w:rPr>
            </w:pPr>
            <w:r>
              <w:rPr>
                <w:rFonts w:ascii="Arial" w:cs="Arial" w:eastAsia="Arial" w:hAnsi="Arial"/>
                <w:sz w:val="13"/>
                <w:szCs w:val="13"/>
                <w:b w:val="1"/>
                <w:bCs w:val="1"/>
                <w:color w:val="auto"/>
              </w:rPr>
              <w:t>7,583,547</w:t>
            </w:r>
          </w:p>
        </w:tc>
        <w:tc>
          <w:tcPr>
            <w:tcW w:w="860" w:type="dxa"/>
            <w:vAlign w:val="bottom"/>
            <w:shd w:val="clear" w:color="auto" w:fill="00558C"/>
          </w:tcPr>
          <w:p>
            <w:pPr>
              <w:jc w:val="right"/>
              <w:ind w:right="97"/>
              <w:spacing w:after="0"/>
              <w:rPr>
                <w:sz w:val="20"/>
                <w:szCs w:val="20"/>
                <w:color w:val="auto"/>
              </w:rPr>
            </w:pPr>
            <w:r>
              <w:rPr>
                <w:rFonts w:ascii="Arial" w:cs="Arial" w:eastAsia="Arial" w:hAnsi="Arial"/>
                <w:sz w:val="13"/>
                <w:szCs w:val="13"/>
                <w:b w:val="1"/>
                <w:bCs w:val="1"/>
                <w:color w:val="auto"/>
              </w:rPr>
              <w:t>943,837</w:t>
            </w:r>
          </w:p>
        </w:tc>
        <w:tc>
          <w:tcPr>
            <w:tcW w:w="860" w:type="dxa"/>
            <w:vAlign w:val="bottom"/>
            <w:shd w:val="clear" w:color="auto" w:fill="00558C"/>
          </w:tcPr>
          <w:p>
            <w:pPr>
              <w:jc w:val="right"/>
              <w:ind w:right="137"/>
              <w:spacing w:after="0"/>
              <w:rPr>
                <w:sz w:val="20"/>
                <w:szCs w:val="20"/>
                <w:color w:val="auto"/>
              </w:rPr>
            </w:pPr>
            <w:r>
              <w:rPr>
                <w:rFonts w:ascii="Arial" w:cs="Arial" w:eastAsia="Arial" w:hAnsi="Arial"/>
                <w:sz w:val="13"/>
                <w:szCs w:val="13"/>
                <w:b w:val="1"/>
                <w:bCs w:val="1"/>
                <w:color w:val="auto"/>
              </w:rPr>
              <w:t>1,259,623</w:t>
            </w:r>
          </w:p>
        </w:tc>
        <w:tc>
          <w:tcPr>
            <w:tcW w:w="740" w:type="dxa"/>
            <w:vAlign w:val="bottom"/>
            <w:shd w:val="clear" w:color="auto" w:fill="00558C"/>
          </w:tcPr>
          <w:p>
            <w:pPr>
              <w:jc w:val="right"/>
              <w:ind w:right="77"/>
              <w:spacing w:after="0"/>
              <w:rPr>
                <w:sz w:val="20"/>
                <w:szCs w:val="20"/>
                <w:color w:val="auto"/>
              </w:rPr>
            </w:pPr>
            <w:r>
              <w:rPr>
                <w:rFonts w:ascii="Arial" w:cs="Arial" w:eastAsia="Arial" w:hAnsi="Arial"/>
                <w:sz w:val="13"/>
                <w:szCs w:val="13"/>
                <w:b w:val="1"/>
                <w:bCs w:val="1"/>
                <w:color w:val="auto"/>
              </w:rPr>
              <w:t>(84,257)</w:t>
            </w:r>
          </w:p>
        </w:tc>
        <w:tc>
          <w:tcPr>
            <w:tcW w:w="800" w:type="dxa"/>
            <w:vAlign w:val="bottom"/>
            <w:shd w:val="clear" w:color="auto" w:fill="00558C"/>
          </w:tcPr>
          <w:p>
            <w:pPr>
              <w:jc w:val="right"/>
              <w:ind w:right="57"/>
              <w:spacing w:after="0"/>
              <w:rPr>
                <w:sz w:val="20"/>
                <w:szCs w:val="20"/>
                <w:color w:val="auto"/>
              </w:rPr>
            </w:pPr>
            <w:r>
              <w:rPr>
                <w:rFonts w:ascii="Arial" w:cs="Arial" w:eastAsia="Arial" w:hAnsi="Arial"/>
                <w:sz w:val="13"/>
                <w:szCs w:val="13"/>
                <w:b w:val="1"/>
                <w:bCs w:val="1"/>
                <w:color w:val="auto"/>
              </w:rPr>
              <w:t>(289,651)</w:t>
            </w:r>
          </w:p>
        </w:tc>
        <w:tc>
          <w:tcPr>
            <w:tcW w:w="820" w:type="dxa"/>
            <w:vAlign w:val="bottom"/>
            <w:shd w:val="clear" w:color="auto" w:fill="00558C"/>
          </w:tcPr>
          <w:p>
            <w:pPr>
              <w:jc w:val="right"/>
              <w:ind w:right="117"/>
              <w:spacing w:after="0"/>
              <w:rPr>
                <w:sz w:val="20"/>
                <w:szCs w:val="20"/>
                <w:color w:val="auto"/>
              </w:rPr>
            </w:pPr>
            <w:r>
              <w:rPr>
                <w:rFonts w:ascii="Arial" w:cs="Arial" w:eastAsia="Arial" w:hAnsi="Arial"/>
                <w:sz w:val="13"/>
                <w:szCs w:val="13"/>
                <w:b w:val="1"/>
                <w:bCs w:val="1"/>
                <w:color w:val="auto"/>
              </w:rPr>
              <w:t>1,829,552</w:t>
            </w:r>
          </w:p>
        </w:tc>
        <w:tc>
          <w:tcPr>
            <w:tcW w:w="0" w:type="dxa"/>
            <w:vAlign w:val="bottom"/>
          </w:tcPr>
          <w:p>
            <w:pPr>
              <w:spacing w:after="0"/>
              <w:rPr>
                <w:sz w:val="1"/>
                <w:szCs w:val="1"/>
                <w:color w:val="auto"/>
              </w:rPr>
            </w:pPr>
          </w:p>
        </w:tc>
      </w:tr>
      <w:tr>
        <w:trPr>
          <w:trHeight w:val="238"/>
        </w:trPr>
        <w:tc>
          <w:tcPr>
            <w:tcW w:w="840" w:type="dxa"/>
            <w:vAlign w:val="bottom"/>
            <w:shd w:val="clear" w:color="auto" w:fill="00558C"/>
          </w:tcPr>
          <w:p>
            <w:pPr>
              <w:spacing w:after="0"/>
              <w:rPr>
                <w:sz w:val="20"/>
                <w:szCs w:val="20"/>
                <w:color w:val="auto"/>
              </w:rPr>
            </w:pPr>
          </w:p>
        </w:tc>
        <w:tc>
          <w:tcPr>
            <w:tcW w:w="760" w:type="dxa"/>
            <w:vAlign w:val="bottom"/>
            <w:shd w:val="clear" w:color="auto" w:fill="00558C"/>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shd w:val="clear" w:color="auto" w:fill="00558C"/>
          </w:tcPr>
          <w:p>
            <w:pPr>
              <w:spacing w:after="0"/>
              <w:rPr>
                <w:sz w:val="20"/>
                <w:szCs w:val="20"/>
                <w:color w:val="auto"/>
              </w:rPr>
            </w:pPr>
          </w:p>
        </w:tc>
        <w:tc>
          <w:tcPr>
            <w:tcW w:w="820" w:type="dxa"/>
            <w:vAlign w:val="bottom"/>
            <w:shd w:val="clear" w:color="auto" w:fill="00558C"/>
          </w:tcPr>
          <w:p>
            <w:pPr>
              <w:spacing w:after="0"/>
              <w:rPr>
                <w:sz w:val="20"/>
                <w:szCs w:val="20"/>
                <w:color w:val="auto"/>
              </w:rPr>
            </w:pPr>
          </w:p>
        </w:tc>
        <w:tc>
          <w:tcPr>
            <w:tcW w:w="840" w:type="dxa"/>
            <w:vAlign w:val="bottom"/>
            <w:shd w:val="clear" w:color="auto" w:fill="00558C"/>
          </w:tcPr>
          <w:p>
            <w:pPr>
              <w:spacing w:after="0"/>
              <w:rPr>
                <w:sz w:val="20"/>
                <w:szCs w:val="20"/>
                <w:color w:val="auto"/>
              </w:rPr>
            </w:pPr>
          </w:p>
        </w:tc>
        <w:tc>
          <w:tcPr>
            <w:tcW w:w="860" w:type="dxa"/>
            <w:vAlign w:val="bottom"/>
            <w:shd w:val="clear" w:color="auto" w:fill="00558C"/>
          </w:tcPr>
          <w:p>
            <w:pPr>
              <w:spacing w:after="0"/>
              <w:rPr>
                <w:sz w:val="20"/>
                <w:szCs w:val="20"/>
                <w:color w:val="auto"/>
              </w:rPr>
            </w:pPr>
          </w:p>
        </w:tc>
        <w:tc>
          <w:tcPr>
            <w:tcW w:w="860" w:type="dxa"/>
            <w:vAlign w:val="bottom"/>
            <w:shd w:val="clear" w:color="auto" w:fill="00558C"/>
          </w:tcPr>
          <w:p>
            <w:pPr>
              <w:spacing w:after="0"/>
              <w:rPr>
                <w:sz w:val="20"/>
                <w:szCs w:val="20"/>
                <w:color w:val="auto"/>
              </w:rPr>
            </w:pPr>
          </w:p>
        </w:tc>
        <w:tc>
          <w:tcPr>
            <w:tcW w:w="740" w:type="dxa"/>
            <w:vAlign w:val="bottom"/>
            <w:shd w:val="clear" w:color="auto" w:fill="00558C"/>
          </w:tcPr>
          <w:p>
            <w:pPr>
              <w:spacing w:after="0"/>
              <w:rPr>
                <w:sz w:val="20"/>
                <w:szCs w:val="20"/>
                <w:color w:val="auto"/>
              </w:rPr>
            </w:pPr>
          </w:p>
        </w:tc>
        <w:tc>
          <w:tcPr>
            <w:tcW w:w="800" w:type="dxa"/>
            <w:vAlign w:val="bottom"/>
            <w:shd w:val="clear" w:color="auto" w:fill="00558C"/>
          </w:tcPr>
          <w:p>
            <w:pPr>
              <w:spacing w:after="0"/>
              <w:rPr>
                <w:sz w:val="20"/>
                <w:szCs w:val="20"/>
                <w:color w:val="auto"/>
              </w:rPr>
            </w:pPr>
          </w:p>
        </w:tc>
        <w:tc>
          <w:tcPr>
            <w:tcW w:w="820" w:type="dxa"/>
            <w:vAlign w:val="bottom"/>
            <w:shd w:val="clear" w:color="auto" w:fill="00558C"/>
          </w:tcPr>
          <w:p>
            <w:pPr>
              <w:spacing w:after="0"/>
              <w:rPr>
                <w:sz w:val="20"/>
                <w:szCs w:val="20"/>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420" w:right="240" w:hanging="331"/>
        <w:spacing w:after="0" w:line="273" w:lineRule="auto"/>
        <w:tabs>
          <w:tab w:leader="none" w:pos="420" w:val="left"/>
        </w:tabs>
        <w:numPr>
          <w:ilvl w:val="0"/>
          <w:numId w:val="95"/>
        </w:numPr>
        <w:rPr>
          <w:rFonts w:ascii="Arial" w:cs="Arial" w:eastAsia="Arial" w:hAnsi="Arial"/>
          <w:sz w:val="14"/>
          <w:szCs w:val="14"/>
          <w:color w:val="auto"/>
        </w:rPr>
      </w:pPr>
      <w:r>
        <w:rPr>
          <w:rFonts w:ascii="Arial" w:cs="Arial" w:eastAsia="Arial" w:hAnsi="Arial"/>
          <w:sz w:val="14"/>
          <w:szCs w:val="14"/>
          <w:color w:val="auto"/>
        </w:rPr>
        <w:t>CAP was not required to be adjusted for the value of pension benefits as we do not provide pension benefits. In addition, none of the equity awards granted to our NEOs were granted and vested in the same year and there were no dividends paid on the awards that were not otherwise incorporated into the valuation of the awards.</w:t>
      </w:r>
    </w:p>
    <w:p>
      <w:pPr>
        <w:spacing w:after="0" w:line="112" w:lineRule="exact"/>
        <w:rPr>
          <w:rFonts w:ascii="Arial" w:cs="Arial" w:eastAsia="Arial" w:hAnsi="Arial"/>
          <w:sz w:val="14"/>
          <w:szCs w:val="14"/>
          <w:color w:val="auto"/>
        </w:rPr>
      </w:pPr>
    </w:p>
    <w:p>
      <w:pPr>
        <w:ind w:left="420" w:hanging="331"/>
        <w:spacing w:after="0" w:line="262" w:lineRule="auto"/>
        <w:tabs>
          <w:tab w:leader="none" w:pos="420" w:val="left"/>
        </w:tabs>
        <w:numPr>
          <w:ilvl w:val="0"/>
          <w:numId w:val="95"/>
        </w:numPr>
        <w:rPr>
          <w:rFonts w:ascii="Arial" w:cs="Arial" w:eastAsia="Arial" w:hAnsi="Arial"/>
          <w:sz w:val="14"/>
          <w:szCs w:val="14"/>
          <w:color w:val="auto"/>
        </w:rPr>
      </w:pPr>
      <w:r>
        <w:rPr>
          <w:rFonts w:ascii="Arial" w:cs="Arial" w:eastAsia="Arial" w:hAnsi="Arial"/>
          <w:sz w:val="14"/>
          <w:szCs w:val="14"/>
          <w:color w:val="auto"/>
        </w:rPr>
        <w:t>The pay versus performance table above and the graph below compare the cumulative total shareholder return (TSR) on our common stock against the cumulative TSR of the stocks making up an industry peer group from December 31, 2019 through December 31, 2024. The industry peer group, which is consistent with the peer group used by the Company for its S-K Item 201(e) disclosures within the 2024 Annual Report on Form 10-K, is comprised of the following companies: CRA International, Inc. (CRAI), FTI Consulting, Inc. (FCN), ICF International, Inc. (ICFI), Premier, Inc. (PINC) and Resources Connection, Inc. (RGP). The graph and table assume a $100 investment in Huron Consulting Group Inc. common stock and an index of the industry peer group on December 31, 2019. The annual TSR for each member of the peer group assumes all dividends are reinvested and was weighted based on its stock market capitalization at the beginning of each year presented.</w:t>
      </w:r>
    </w:p>
    <w:p>
      <w:pPr>
        <w:spacing w:after="0" w:line="115"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The below graphs illustrate the relationship between the compensation actually paid (CAP) to the principal executive officer (PEO) and the average of the non-PEO NEOs and i) total shareholder return for Huron and the peer group, ii) revenues and iii) net income from 2020 through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60"/>
        <w:spacing w:after="0"/>
        <w:tabs>
          <w:tab w:leader="none" w:pos="444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13"/>
          <w:szCs w:val="13"/>
          <w:b w:val="1"/>
          <w:bCs w:val="1"/>
          <w:color w:val="00558C"/>
        </w:rPr>
        <w:t>63</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420370</wp:posOffset>
            </wp:positionV>
            <wp:extent cx="6810375" cy="39852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10375" cy="3985260"/>
                    </a:xfrm>
                    <a:prstGeom prst="rect">
                      <a:avLst/>
                    </a:prstGeom>
                    <a:noFill/>
                  </pic:spPr>
                </pic:pic>
              </a:graphicData>
            </a:graphic>
          </wp:anchor>
        </w:drawing>
      </w:r>
    </w:p>
    <w:p>
      <w:pPr>
        <w:sectPr>
          <w:pgSz w:w="11900" w:h="16838" w:orient="portrait"/>
          <w:cols w:equalWidth="0" w:num="1">
            <w:col w:w="9080"/>
          </w:cols>
          <w:pgMar w:left="1400" w:top="112"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0"/>
        <w:spacing w:after="0" w:line="274" w:lineRule="auto"/>
        <w:rPr>
          <w:sz w:val="20"/>
          <w:szCs w:val="20"/>
          <w:color w:val="auto"/>
        </w:rPr>
      </w:pPr>
      <w:r>
        <w:rPr>
          <w:rFonts w:ascii="Arial" w:cs="Arial" w:eastAsia="Arial" w:hAnsi="Arial"/>
          <w:sz w:val="13"/>
          <w:szCs w:val="13"/>
          <w:b w:val="1"/>
          <w:bCs w:val="1"/>
          <w:color w:val="B2B3B6"/>
        </w:rPr>
        <w:t>General Proposal Information 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line="274" w:lineRule="auto"/>
        <w:rPr>
          <w:sz w:val="20"/>
          <w:szCs w:val="20"/>
          <w:color w:val="auto"/>
        </w:rPr>
      </w:pPr>
      <w:r>
        <w:rPr>
          <w:rFonts w:ascii="Arial" w:cs="Arial" w:eastAsia="Arial" w:hAnsi="Arial"/>
          <w:sz w:val="13"/>
          <w:szCs w:val="13"/>
          <w:b w:val="1"/>
          <w:bCs w:val="1"/>
          <w:color w:val="B2B3B6"/>
        </w:rPr>
        <w:t xml:space="preserve">Corporate Proposal </w:t>
      </w:r>
      <w:r>
        <w:rPr>
          <w:rFonts w:ascii="Arial" w:cs="Arial" w:eastAsia="Arial" w:hAnsi="Arial"/>
          <w:sz w:val="13"/>
          <w:szCs w:val="13"/>
          <w:b w:val="1"/>
          <w:bCs w:val="1"/>
          <w:color w:val="6AAA37"/>
        </w:rPr>
        <w:t>Executive</w:t>
      </w:r>
      <w:r>
        <w:rPr>
          <w:rFonts w:ascii="Arial" w:cs="Arial" w:eastAsia="Arial" w:hAnsi="Arial"/>
          <w:sz w:val="13"/>
          <w:szCs w:val="13"/>
          <w:b w:val="1"/>
          <w:bCs w:val="1"/>
          <w:color w:val="B2B3B6"/>
        </w:rPr>
        <w:t xml:space="preserve"> Governance Two </w:t>
      </w:r>
      <w:r>
        <w:rPr>
          <w:rFonts w:ascii="Arial" w:cs="Arial" w:eastAsia="Arial" w:hAnsi="Arial"/>
          <w:sz w:val="13"/>
          <w:szCs w:val="13"/>
          <w:b w:val="1"/>
          <w:bCs w:val="1"/>
          <w:color w:val="6AAA37"/>
        </w:rPr>
        <w:t>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200"/>
        <w:spacing w:after="0" w:line="274" w:lineRule="auto"/>
        <w:rPr>
          <w:sz w:val="20"/>
          <w:szCs w:val="20"/>
          <w:color w:val="auto"/>
        </w:rPr>
      </w:pPr>
      <w:r>
        <w:rPr>
          <w:rFonts w:ascii="Arial" w:cs="Arial" w:eastAsia="Arial" w:hAnsi="Arial"/>
          <w:sz w:val="13"/>
          <w:szCs w:val="13"/>
          <w:b w:val="1"/>
          <w:bCs w:val="1"/>
          <w:color w:val="B2B3B6"/>
        </w:rPr>
        <w:t>Proposal Proposal Proposal Stockholder Other Three Four Five Proposals Matters</w:t>
      </w:r>
    </w:p>
    <w:p>
      <w:pPr>
        <w:sectPr>
          <w:pgSz w:w="11900" w:h="16838" w:orient="portrait"/>
          <w:cols w:equalWidth="0" w:num="3">
            <w:col w:w="1600" w:space="300"/>
            <w:col w:w="2700" w:space="320"/>
            <w:col w:w="4160"/>
          </w:cols>
          <w:pgMar w:left="1400" w:top="112" w:right="1419" w:bottom="1440" w:gutter="0" w:footer="0" w:header="0"/>
          <w:type w:val="continuous"/>
        </w:sectPr>
      </w:pPr>
    </w:p>
    <w:bookmarkStart w:id="65" w:name="page66"/>
    <w:bookmarkEnd w:id="6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48710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10375" cy="4871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increase in the PEO and average Other NEO CAP in 2022 as compared to 2021 and 2020 is primarily due to the increase in the fair value of equity awards. From December 31, 2021 to December 31, 2022, our stock price increased from $49.90 to $72.60 and the expected funding of the 2020 and 2021 performance-based awards tied to performance against Adjusted Diluted EPS and Revenue Growth metrics increased from 0% to 19% for the 2020 awards and 100% to 153% for the 2021 awards.</w:t>
      </w:r>
    </w:p>
    <w:p>
      <w:pPr>
        <w:spacing w:after="0" w:line="113" w:lineRule="exact"/>
        <w:rPr>
          <w:sz w:val="20"/>
          <w:szCs w:val="20"/>
          <w:color w:val="auto"/>
        </w:rPr>
      </w:pPr>
    </w:p>
    <w:p>
      <w:pPr>
        <w:ind w:right="80"/>
        <w:spacing w:after="0" w:line="300" w:lineRule="auto"/>
        <w:rPr>
          <w:sz w:val="20"/>
          <w:szCs w:val="20"/>
          <w:color w:val="auto"/>
        </w:rPr>
      </w:pPr>
      <w:r>
        <w:rPr>
          <w:rFonts w:ascii="Arial" w:cs="Arial" w:eastAsia="Arial" w:hAnsi="Arial"/>
          <w:sz w:val="16"/>
          <w:szCs w:val="16"/>
          <w:color w:val="auto"/>
        </w:rPr>
        <w:t>The increase in the PEO and average Other NEO CAP in 2023 also related to the increase in the fair value of equity awards. From December 31, 2022 to December 31, 2023, our stock price increased from $72.60 to $103.80 and the expected funding of the 2021 and 2022 performance-based awards tied to performance against Adjusted Diluted EPS and Revenue Growth metrics increased from 153% to 194% for the 2021 awards and 100% to 182% for the 2022 awards.</w:t>
      </w:r>
    </w:p>
    <w:p>
      <w:pPr>
        <w:spacing w:after="0" w:line="106"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increase in the PEO CAP in 2024 related to the increase in the fair value of equity awards; and the decrease in the average Other NEO CAP in 2024 is primarily related to the departure of Mr. Torain effective March 15, 2024, partially offset by the increase in the fair value of equity awards outstanding with the other NEOs. The increase in the fair value of equity awards relates to the increase in our stock price from $103.80 to $124.26 from December 31, 2023 to December 31, 2024 and the expected funding of the 2022 and 2023 performance-based awards tied to performance against Adjusted Diluted EPS and Revenue Growth metrics increased from 194% to 200% for the 2022 awards and 100% to 168% for the 2023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60"/>
        <w:spacing w:after="0"/>
        <w:tabs>
          <w:tab w:leader="none" w:pos="444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13"/>
          <w:szCs w:val="13"/>
          <w:b w:val="1"/>
          <w:bCs w:val="1"/>
          <w:color w:val="00558C"/>
        </w:rPr>
        <w:t>64</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420370</wp:posOffset>
            </wp:positionV>
            <wp:extent cx="6810375" cy="55626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10375" cy="5562600"/>
                    </a:xfrm>
                    <a:prstGeom prst="rect">
                      <a:avLst/>
                    </a:prstGeom>
                    <a:noFill/>
                  </pic:spPr>
                </pic:pic>
              </a:graphicData>
            </a:graphic>
          </wp:anchor>
        </w:drawing>
      </w:r>
    </w:p>
    <w:p>
      <w:pPr>
        <w:sectPr>
          <w:pgSz w:w="11900" w:h="16838" w:orient="portrait"/>
          <w:cols w:equalWidth="0" w:num="1">
            <w:col w:w="9060"/>
          </w:cols>
          <w:pgMar w:left="1400" w:top="1440" w:right="14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0"/>
        <w:spacing w:after="0" w:line="274" w:lineRule="auto"/>
        <w:rPr>
          <w:sz w:val="20"/>
          <w:szCs w:val="20"/>
          <w:color w:val="auto"/>
        </w:rPr>
      </w:pPr>
      <w:r>
        <w:rPr>
          <w:rFonts w:ascii="Arial" w:cs="Arial" w:eastAsia="Arial" w:hAnsi="Arial"/>
          <w:sz w:val="13"/>
          <w:szCs w:val="13"/>
          <w:b w:val="1"/>
          <w:bCs w:val="1"/>
          <w:color w:val="B2B3B6"/>
        </w:rPr>
        <w:t>General Proposal Information 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180"/>
        <w:spacing w:after="0" w:line="274" w:lineRule="auto"/>
        <w:rPr>
          <w:sz w:val="20"/>
          <w:szCs w:val="20"/>
          <w:color w:val="auto"/>
        </w:rPr>
      </w:pPr>
      <w:r>
        <w:rPr>
          <w:rFonts w:ascii="Arial" w:cs="Arial" w:eastAsia="Arial" w:hAnsi="Arial"/>
          <w:sz w:val="13"/>
          <w:szCs w:val="13"/>
          <w:b w:val="1"/>
          <w:bCs w:val="1"/>
          <w:color w:val="B2B3B6"/>
        </w:rPr>
        <w:t xml:space="preserve">Corporate Proposal </w:t>
      </w:r>
      <w:r>
        <w:rPr>
          <w:rFonts w:ascii="Arial" w:cs="Arial" w:eastAsia="Arial" w:hAnsi="Arial"/>
          <w:sz w:val="13"/>
          <w:szCs w:val="13"/>
          <w:b w:val="1"/>
          <w:bCs w:val="1"/>
          <w:color w:val="6AAA37"/>
        </w:rPr>
        <w:t>Executive</w:t>
      </w:r>
      <w:r>
        <w:rPr>
          <w:rFonts w:ascii="Arial" w:cs="Arial" w:eastAsia="Arial" w:hAnsi="Arial"/>
          <w:sz w:val="13"/>
          <w:szCs w:val="13"/>
          <w:b w:val="1"/>
          <w:bCs w:val="1"/>
          <w:color w:val="B2B3B6"/>
        </w:rPr>
        <w:t xml:space="preserve"> Proposal Proposal Proposal Stockholder Other Governance Two </w:t>
      </w:r>
      <w:r>
        <w:rPr>
          <w:rFonts w:ascii="Arial" w:cs="Arial" w:eastAsia="Arial" w:hAnsi="Arial"/>
          <w:sz w:val="13"/>
          <w:szCs w:val="13"/>
          <w:b w:val="1"/>
          <w:bCs w:val="1"/>
          <w:color w:val="6AAA37"/>
        </w:rPr>
        <w:t>Compensation</w:t>
      </w:r>
      <w:r>
        <w:rPr>
          <w:rFonts w:ascii="Arial" w:cs="Arial" w:eastAsia="Arial" w:hAnsi="Arial"/>
          <w:sz w:val="13"/>
          <w:szCs w:val="13"/>
          <w:b w:val="1"/>
          <w:bCs w:val="1"/>
          <w:color w:val="B2B3B6"/>
        </w:rPr>
        <w:t xml:space="preserve"> Three Four Five Proposals Matters</w:t>
      </w:r>
    </w:p>
    <w:p>
      <w:pPr>
        <w:spacing w:after="0" w:line="200" w:lineRule="exact"/>
        <w:rPr>
          <w:sz w:val="20"/>
          <w:szCs w:val="20"/>
          <w:color w:val="auto"/>
        </w:rPr>
      </w:pPr>
    </w:p>
    <w:p>
      <w:pPr>
        <w:sectPr>
          <w:pgSz w:w="11900" w:h="16838" w:orient="portrait"/>
          <w:cols w:equalWidth="0" w:num="2">
            <w:col w:w="1600" w:space="300"/>
            <w:col w:w="7160"/>
          </w:cols>
          <w:pgMar w:left="1400" w:top="1440" w:right="1439" w:bottom="0" w:gutter="0" w:footer="0" w:header="0"/>
          <w:type w:val="continuous"/>
        </w:sectPr>
      </w:pP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Financial Performance Measures</w:t>
      </w:r>
    </w:p>
    <w:p>
      <w:pPr>
        <w:spacing w:after="0" w:line="44" w:lineRule="exact"/>
        <w:rPr>
          <w:sz w:val="20"/>
          <w:szCs w:val="20"/>
          <w:color w:val="auto"/>
        </w:rPr>
      </w:pPr>
    </w:p>
    <w:p>
      <w:pPr>
        <w:spacing w:after="0" w:line="321" w:lineRule="auto"/>
        <w:rPr>
          <w:sz w:val="20"/>
          <w:szCs w:val="20"/>
          <w:color w:val="auto"/>
        </w:rPr>
      </w:pPr>
      <w:r>
        <w:rPr>
          <w:rFonts w:ascii="Arial" w:cs="Arial" w:eastAsia="Arial" w:hAnsi="Arial"/>
          <w:sz w:val="16"/>
          <w:szCs w:val="16"/>
          <w:color w:val="auto"/>
        </w:rPr>
        <w:t>The Compensation Committee uses the following four financial performance measures when determining actual compensation paid to the named executive officers:</w:t>
      </w:r>
    </w:p>
    <w:p>
      <w:pPr>
        <w:spacing w:after="0" w:line="34" w:lineRule="exact"/>
        <w:rPr>
          <w:sz w:val="20"/>
          <w:szCs w:val="20"/>
          <w:color w:val="auto"/>
        </w:rPr>
      </w:pPr>
    </w:p>
    <w:p>
      <w:pPr>
        <w:ind w:left="180" w:hanging="172"/>
        <w:spacing w:after="0"/>
        <w:tabs>
          <w:tab w:leader="none" w:pos="180" w:val="left"/>
        </w:tabs>
        <w:numPr>
          <w:ilvl w:val="0"/>
          <w:numId w:val="96"/>
        </w:numPr>
        <w:rPr>
          <w:rFonts w:ascii="Arial" w:cs="Arial" w:eastAsia="Arial" w:hAnsi="Arial"/>
          <w:sz w:val="16"/>
          <w:szCs w:val="16"/>
          <w:b w:val="1"/>
          <w:bCs w:val="1"/>
          <w:color w:val="6AAA37"/>
        </w:rPr>
      </w:pPr>
      <w:r>
        <w:rPr>
          <w:rFonts w:ascii="Arial" w:cs="Arial" w:eastAsia="Arial" w:hAnsi="Arial"/>
          <w:sz w:val="16"/>
          <w:szCs w:val="16"/>
          <w:color w:val="auto"/>
        </w:rPr>
        <w:t>Revenues before reimbursable expenses;</w:t>
      </w:r>
    </w:p>
    <w:p>
      <w:pPr>
        <w:spacing w:after="0" w:line="126" w:lineRule="exact"/>
        <w:rPr>
          <w:rFonts w:ascii="Arial" w:cs="Arial" w:eastAsia="Arial" w:hAnsi="Arial"/>
          <w:sz w:val="16"/>
          <w:szCs w:val="16"/>
          <w:b w:val="1"/>
          <w:bCs w:val="1"/>
          <w:color w:val="6AAA37"/>
        </w:rPr>
      </w:pPr>
    </w:p>
    <w:p>
      <w:pPr>
        <w:ind w:left="180" w:hanging="172"/>
        <w:spacing w:after="0"/>
        <w:tabs>
          <w:tab w:leader="none" w:pos="180" w:val="left"/>
        </w:tabs>
        <w:numPr>
          <w:ilvl w:val="0"/>
          <w:numId w:val="96"/>
        </w:numPr>
        <w:rPr>
          <w:rFonts w:ascii="Arial" w:cs="Arial" w:eastAsia="Arial" w:hAnsi="Arial"/>
          <w:sz w:val="16"/>
          <w:szCs w:val="16"/>
          <w:b w:val="1"/>
          <w:bCs w:val="1"/>
          <w:color w:val="6AAA37"/>
        </w:rPr>
      </w:pPr>
      <w:r>
        <w:rPr>
          <w:rFonts w:ascii="Arial" w:cs="Arial" w:eastAsia="Arial" w:hAnsi="Arial"/>
          <w:sz w:val="16"/>
          <w:szCs w:val="16"/>
          <w:color w:val="auto"/>
        </w:rPr>
        <w:t>Organic revenues;</w:t>
      </w:r>
    </w:p>
    <w:p>
      <w:pPr>
        <w:spacing w:after="0" w:line="126" w:lineRule="exact"/>
        <w:rPr>
          <w:rFonts w:ascii="Arial" w:cs="Arial" w:eastAsia="Arial" w:hAnsi="Arial"/>
          <w:sz w:val="16"/>
          <w:szCs w:val="16"/>
          <w:b w:val="1"/>
          <w:bCs w:val="1"/>
          <w:color w:val="6AAA37"/>
        </w:rPr>
      </w:pPr>
    </w:p>
    <w:p>
      <w:pPr>
        <w:ind w:left="180" w:hanging="172"/>
        <w:spacing w:after="0"/>
        <w:tabs>
          <w:tab w:leader="none" w:pos="180" w:val="left"/>
        </w:tabs>
        <w:numPr>
          <w:ilvl w:val="0"/>
          <w:numId w:val="96"/>
        </w:numPr>
        <w:rPr>
          <w:rFonts w:ascii="Arial" w:cs="Arial" w:eastAsia="Arial" w:hAnsi="Arial"/>
          <w:sz w:val="16"/>
          <w:szCs w:val="16"/>
          <w:b w:val="1"/>
          <w:bCs w:val="1"/>
          <w:color w:val="6AAA37"/>
        </w:rPr>
      </w:pPr>
      <w:r>
        <w:rPr>
          <w:rFonts w:ascii="Arial" w:cs="Arial" w:eastAsia="Arial" w:hAnsi="Arial"/>
          <w:sz w:val="16"/>
          <w:szCs w:val="16"/>
          <w:color w:val="auto"/>
        </w:rPr>
        <w:t>Adjusted EBITDA margin; and</w:t>
      </w:r>
    </w:p>
    <w:p>
      <w:pPr>
        <w:spacing w:after="0" w:line="126" w:lineRule="exact"/>
        <w:rPr>
          <w:rFonts w:ascii="Arial" w:cs="Arial" w:eastAsia="Arial" w:hAnsi="Arial"/>
          <w:sz w:val="16"/>
          <w:szCs w:val="16"/>
          <w:b w:val="1"/>
          <w:bCs w:val="1"/>
          <w:color w:val="6AAA37"/>
        </w:rPr>
      </w:pPr>
    </w:p>
    <w:p>
      <w:pPr>
        <w:ind w:left="180" w:hanging="172"/>
        <w:spacing w:after="0"/>
        <w:tabs>
          <w:tab w:leader="none" w:pos="180" w:val="left"/>
        </w:tabs>
        <w:numPr>
          <w:ilvl w:val="0"/>
          <w:numId w:val="96"/>
        </w:numPr>
        <w:rPr>
          <w:rFonts w:ascii="Arial" w:cs="Arial" w:eastAsia="Arial" w:hAnsi="Arial"/>
          <w:sz w:val="16"/>
          <w:szCs w:val="16"/>
          <w:b w:val="1"/>
          <w:bCs w:val="1"/>
          <w:color w:val="6AAA37"/>
        </w:rPr>
      </w:pPr>
      <w:r>
        <w:rPr>
          <w:rFonts w:ascii="Arial" w:cs="Arial" w:eastAsia="Arial" w:hAnsi="Arial"/>
          <w:sz w:val="16"/>
          <w:szCs w:val="16"/>
          <w:color w:val="auto"/>
        </w:rPr>
        <w:t>Adjusted diluted earnings per share (“EPS”).</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00558C"/>
        </w:rPr>
        <w:t>CEO Pay Ratio</w:t>
      </w:r>
    </w:p>
    <w:p>
      <w:pPr>
        <w:spacing w:after="0" w:line="112"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As required by Section 953(b) of the Dodd-Frank Wall Street Reform and Consumer Protection Act, the Company is providing the following disclosure about the relationship of the annual total compensation of our median-paid employee to the annual total compensation of Mr. Hussey, our CEO. We believe that the pay ratio disclosed below is a reasonable estimate calculated in a manner consistent with Item 402(u) of Regulation S-K. SEC rules for identifying the median employee and calculating the pay ratio allow companies to apply various methodologies and apply various assumptions and, as a result, the pay ratio reported by us may not be comparable to the pay ratio reported by other companies.</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For 2024:</w:t>
      </w:r>
    </w:p>
    <w:p>
      <w:pPr>
        <w:spacing w:after="0" w:line="113" w:lineRule="exact"/>
        <w:rPr>
          <w:sz w:val="20"/>
          <w:szCs w:val="20"/>
          <w:color w:val="auto"/>
        </w:rPr>
      </w:pPr>
    </w:p>
    <w:p>
      <w:pPr>
        <w:ind w:left="180" w:hanging="172"/>
        <w:spacing w:after="0"/>
        <w:tabs>
          <w:tab w:leader="none" w:pos="180" w:val="left"/>
        </w:tabs>
        <w:numPr>
          <w:ilvl w:val="0"/>
          <w:numId w:val="97"/>
        </w:numPr>
        <w:rPr>
          <w:rFonts w:ascii="Arial" w:cs="Arial" w:eastAsia="Arial" w:hAnsi="Arial"/>
          <w:sz w:val="16"/>
          <w:szCs w:val="16"/>
          <w:b w:val="1"/>
          <w:bCs w:val="1"/>
          <w:color w:val="6AAA37"/>
        </w:rPr>
      </w:pPr>
      <w:r>
        <w:rPr>
          <w:rFonts w:ascii="Arial" w:cs="Arial" w:eastAsia="Arial" w:hAnsi="Arial"/>
          <w:sz w:val="16"/>
          <w:szCs w:val="16"/>
          <w:color w:val="auto"/>
        </w:rPr>
        <w:t>The annual total compensation of our median employee was $111,032.</w:t>
      </w:r>
    </w:p>
    <w:p>
      <w:pPr>
        <w:spacing w:after="0" w:line="126" w:lineRule="exact"/>
        <w:rPr>
          <w:rFonts w:ascii="Arial" w:cs="Arial" w:eastAsia="Arial" w:hAnsi="Arial"/>
          <w:sz w:val="16"/>
          <w:szCs w:val="16"/>
          <w:b w:val="1"/>
          <w:bCs w:val="1"/>
          <w:color w:val="6AAA37"/>
        </w:rPr>
      </w:pPr>
    </w:p>
    <w:p>
      <w:pPr>
        <w:ind w:left="180" w:hanging="172"/>
        <w:spacing w:after="0" w:line="339" w:lineRule="auto"/>
        <w:tabs>
          <w:tab w:leader="none" w:pos="180" w:val="left"/>
        </w:tabs>
        <w:numPr>
          <w:ilvl w:val="0"/>
          <w:numId w:val="97"/>
        </w:numPr>
        <w:rPr>
          <w:rFonts w:ascii="Arial" w:cs="Arial" w:eastAsia="Arial" w:hAnsi="Arial"/>
          <w:sz w:val="16"/>
          <w:szCs w:val="16"/>
          <w:b w:val="1"/>
          <w:bCs w:val="1"/>
          <w:color w:val="6AAA37"/>
        </w:rPr>
      </w:pPr>
      <w:r>
        <w:rPr>
          <w:rFonts w:ascii="Arial" w:cs="Arial" w:eastAsia="Arial" w:hAnsi="Arial"/>
          <w:sz w:val="16"/>
          <w:szCs w:val="16"/>
          <w:color w:val="auto"/>
        </w:rPr>
        <w:t>Mr. Hussey’s annual total compensation, as reflected in the Summary Compensation Table included in this Proxy Statement, was $6,519,978.</w:t>
      </w:r>
    </w:p>
    <w:p>
      <w:pPr>
        <w:spacing w:after="0" w:line="6" w:lineRule="exact"/>
        <w:rPr>
          <w:rFonts w:ascii="Arial" w:cs="Arial" w:eastAsia="Arial" w:hAnsi="Arial"/>
          <w:sz w:val="16"/>
          <w:szCs w:val="16"/>
          <w:b w:val="1"/>
          <w:bCs w:val="1"/>
          <w:color w:val="6AAA37"/>
        </w:rPr>
      </w:pPr>
    </w:p>
    <w:p>
      <w:pPr>
        <w:ind w:left="180" w:right="120" w:hanging="172"/>
        <w:spacing w:after="0" w:line="339" w:lineRule="auto"/>
        <w:tabs>
          <w:tab w:leader="none" w:pos="180" w:val="left"/>
        </w:tabs>
        <w:numPr>
          <w:ilvl w:val="0"/>
          <w:numId w:val="97"/>
        </w:numPr>
        <w:rPr>
          <w:rFonts w:ascii="Arial" w:cs="Arial" w:eastAsia="Arial" w:hAnsi="Arial"/>
          <w:sz w:val="16"/>
          <w:szCs w:val="16"/>
          <w:b w:val="1"/>
          <w:bCs w:val="1"/>
          <w:color w:val="6AAA37"/>
        </w:rPr>
      </w:pPr>
      <w:r>
        <w:rPr>
          <w:rFonts w:ascii="Arial" w:cs="Arial" w:eastAsia="Arial" w:hAnsi="Arial"/>
          <w:sz w:val="16"/>
          <w:szCs w:val="16"/>
          <w:color w:val="auto"/>
        </w:rPr>
        <w:t>Based on this information, the ratio of the annual total compensation of Mr. Hussey to the annual total compensation of our median employee is estimated to be 58.7 to 1.</w:t>
      </w:r>
    </w:p>
    <w:p>
      <w:pPr>
        <w:spacing w:after="0" w:line="61"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calculation of the 2024 CEO Pay Ratio used the same median employee as used in 2022 and 2023. As permitted by SEC rules, we used the same median employee that was identified in the preparation of our pay ratio in 2022 and 2023 because there has been no change in our employee population or compensation arrangements that we believe would significantly impact our pay ratio disclosure. In 2022, we identified the median employee by examining the 2022 total cash compensation for all individuals, excluding our CEO, who were employed by us on December 31, 2022. We included all employees, whether employed on a full-time or part-time basis. We annualized the base compensation and bonus for all employees that were not employed by us for all of 2022 unless they were designated as temporary or seasonal positions.</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In addition, in order to identify our median employee in 2022, we (i) utilized the exemption permitted under Item 402(u) of</w:t>
      </w:r>
    </w:p>
    <w:p>
      <w:pPr>
        <w:sectPr>
          <w:pgSz w:w="11900" w:h="16838" w:orient="portrait"/>
          <w:cols w:equalWidth="0" w:num="1">
            <w:col w:w="9060"/>
          </w:cols>
          <w:pgMar w:left="1400" w:top="1440" w:right="1439" w:bottom="0" w:gutter="0" w:footer="0" w:header="0"/>
          <w:type w:val="continuous"/>
        </w:sectPr>
      </w:pPr>
    </w:p>
    <w:bookmarkStart w:id="66" w:name="page67"/>
    <w:bookmarkEnd w:id="66"/>
    <w:p>
      <w:pPr>
        <w:ind w:right="100"/>
        <w:spacing w:after="0" w:line="218" w:lineRule="auto"/>
        <w:rPr>
          <w:sz w:val="20"/>
          <w:szCs w:val="20"/>
          <w:color w:val="auto"/>
        </w:rPr>
      </w:pPr>
      <w:r>
        <w:rPr>
          <w:rFonts w:ascii="Arial" w:cs="Arial" w:eastAsia="Arial" w:hAnsi="Arial"/>
          <w:sz w:val="16"/>
          <w:szCs w:val="16"/>
          <w:color w:val="auto"/>
        </w:rPr>
        <w:t>Regulation S-K to exclude a total of 137 employees from Canada, the United Kingdom, Singapore, and Switzerland (which, in the aggregate, comprised less than 5% of our total employee population as of December 31, 2022), resulting in a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-194945</wp:posOffset>
            </wp:positionV>
            <wp:extent cx="6810375" cy="32937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10375" cy="3293745"/>
                    </a:xfrm>
                    <a:prstGeom prst="rect">
                      <a:avLst/>
                    </a:prstGeom>
                    <a:noFill/>
                  </pic:spPr>
                </pic:pic>
              </a:graphicData>
            </a:graphic>
          </wp:anchor>
        </w:drawing>
      </w:r>
    </w:p>
    <w:p>
      <w:pPr>
        <w:ind w:right="280"/>
        <w:spacing w:after="0" w:line="321" w:lineRule="auto"/>
        <w:rPr>
          <w:sz w:val="20"/>
          <w:szCs w:val="20"/>
          <w:color w:val="auto"/>
        </w:rPr>
      </w:pPr>
      <w:r>
        <w:rPr>
          <w:rFonts w:ascii="Arial" w:cs="Arial" w:eastAsia="Arial" w:hAnsi="Arial"/>
          <w:sz w:val="16"/>
          <w:szCs w:val="16"/>
          <w:color w:val="auto"/>
        </w:rPr>
        <w:t>employee population of 5,652, of which 1,575 are located in India and (ii) adjusted non-U.S. employee pay applying foreign currency exchange rates as of December 31, 2022.</w:t>
      </w:r>
    </w:p>
    <w:p>
      <w:pPr>
        <w:spacing w:after="0" w:line="88" w:lineRule="exact"/>
        <w:rPr>
          <w:sz w:val="20"/>
          <w:szCs w:val="20"/>
          <w:color w:val="auto"/>
        </w:rPr>
      </w:pPr>
    </w:p>
    <w:p>
      <w:pPr>
        <w:spacing w:after="0" w:line="321" w:lineRule="auto"/>
        <w:rPr>
          <w:sz w:val="20"/>
          <w:szCs w:val="20"/>
          <w:color w:val="auto"/>
        </w:rPr>
      </w:pPr>
      <w:r>
        <w:rPr>
          <w:rFonts w:ascii="Arial" w:cs="Arial" w:eastAsia="Arial" w:hAnsi="Arial"/>
          <w:sz w:val="16"/>
          <w:szCs w:val="16"/>
          <w:color w:val="auto"/>
        </w:rPr>
        <w:t>We calculated 2024 annual total compensation for our median employee using the same methodology we use for our NEOs as set forth in the Summary Compensation Table.</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00558C"/>
        </w:rPr>
        <w:t>Compensation Committee Interlocks and Insider Participation</w:t>
      </w:r>
    </w:p>
    <w:p>
      <w:pPr>
        <w:spacing w:after="0" w:line="112" w:lineRule="exact"/>
        <w:rPr>
          <w:sz w:val="20"/>
          <w:szCs w:val="20"/>
          <w:color w:val="auto"/>
        </w:rPr>
      </w:pPr>
    </w:p>
    <w:p>
      <w:pPr>
        <w:ind w:right="400"/>
        <w:spacing w:after="0" w:line="339" w:lineRule="auto"/>
        <w:rPr>
          <w:sz w:val="20"/>
          <w:szCs w:val="20"/>
          <w:color w:val="auto"/>
        </w:rPr>
      </w:pPr>
      <w:r>
        <w:rPr>
          <w:rFonts w:ascii="Arial" w:cs="Arial" w:eastAsia="Arial" w:hAnsi="Arial"/>
          <w:sz w:val="16"/>
          <w:szCs w:val="16"/>
          <w:color w:val="auto"/>
        </w:rPr>
        <w:t>During 2024, there were no Compensation Committee interlocks and no insider participation in Compensation Committee decisions that were required to be reported under the rules and regulations of the 1934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60"/>
        <w:spacing w:after="0"/>
        <w:tabs>
          <w:tab w:leader="none" w:pos="444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13"/>
          <w:szCs w:val="13"/>
          <w:b w:val="1"/>
          <w:bCs w:val="1"/>
          <w:color w:val="00558C"/>
        </w:rPr>
        <w:t>65</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420370</wp:posOffset>
            </wp:positionV>
            <wp:extent cx="6810375" cy="71399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10375" cy="7139940"/>
                    </a:xfrm>
                    <a:prstGeom prst="rect">
                      <a:avLst/>
                    </a:prstGeom>
                    <a:noFill/>
                  </pic:spPr>
                </pic:pic>
              </a:graphicData>
            </a:graphic>
          </wp:anchor>
        </w:drawing>
      </w:r>
    </w:p>
    <w:p>
      <w:pPr>
        <w:sectPr>
          <w:pgSz w:w="11900" w:h="16838" w:orient="portrait"/>
          <w:cols w:equalWidth="0" w:num="1">
            <w:col w:w="9080"/>
          </w:cols>
          <w:pgMar w:left="1400" w:top="114" w:right="14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0"/>
        <w:spacing w:after="0" w:line="274" w:lineRule="auto"/>
        <w:rPr>
          <w:sz w:val="20"/>
          <w:szCs w:val="20"/>
          <w:color w:val="auto"/>
        </w:rPr>
      </w:pPr>
      <w:r>
        <w:rPr>
          <w:rFonts w:ascii="Arial" w:cs="Arial" w:eastAsia="Arial" w:hAnsi="Arial"/>
          <w:sz w:val="13"/>
          <w:szCs w:val="13"/>
          <w:b w:val="1"/>
          <w:bCs w:val="1"/>
          <w:color w:val="B2B3B6"/>
        </w:rPr>
        <w:t>General Proposal Information 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line="274" w:lineRule="auto"/>
        <w:rPr>
          <w:sz w:val="20"/>
          <w:szCs w:val="20"/>
          <w:color w:val="auto"/>
        </w:rPr>
      </w:pPr>
      <w:r>
        <w:rPr>
          <w:rFonts w:ascii="Arial" w:cs="Arial" w:eastAsia="Arial" w:hAnsi="Arial"/>
          <w:sz w:val="13"/>
          <w:szCs w:val="13"/>
          <w:b w:val="1"/>
          <w:bCs w:val="1"/>
          <w:color w:val="B2B3B6"/>
        </w:rPr>
        <w:t xml:space="preserve">Corporate Proposal </w:t>
      </w:r>
      <w:r>
        <w:rPr>
          <w:rFonts w:ascii="Arial" w:cs="Arial" w:eastAsia="Arial" w:hAnsi="Arial"/>
          <w:sz w:val="13"/>
          <w:szCs w:val="13"/>
          <w:b w:val="1"/>
          <w:bCs w:val="1"/>
          <w:color w:val="6AAA37"/>
        </w:rPr>
        <w:t>Executive</w:t>
      </w:r>
      <w:r>
        <w:rPr>
          <w:rFonts w:ascii="Arial" w:cs="Arial" w:eastAsia="Arial" w:hAnsi="Arial"/>
          <w:sz w:val="13"/>
          <w:szCs w:val="13"/>
          <w:b w:val="1"/>
          <w:bCs w:val="1"/>
          <w:color w:val="B2B3B6"/>
        </w:rPr>
        <w:t xml:space="preserve"> Governance Two </w:t>
      </w:r>
      <w:r>
        <w:rPr>
          <w:rFonts w:ascii="Arial" w:cs="Arial" w:eastAsia="Arial" w:hAnsi="Arial"/>
          <w:sz w:val="13"/>
          <w:szCs w:val="13"/>
          <w:b w:val="1"/>
          <w:bCs w:val="1"/>
          <w:color w:val="6AAA37"/>
        </w:rPr>
        <w:t>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200"/>
        <w:spacing w:after="0" w:line="274" w:lineRule="auto"/>
        <w:rPr>
          <w:sz w:val="20"/>
          <w:szCs w:val="20"/>
          <w:color w:val="auto"/>
        </w:rPr>
      </w:pPr>
      <w:r>
        <w:rPr>
          <w:rFonts w:ascii="Arial" w:cs="Arial" w:eastAsia="Arial" w:hAnsi="Arial"/>
          <w:sz w:val="13"/>
          <w:szCs w:val="13"/>
          <w:b w:val="1"/>
          <w:bCs w:val="1"/>
          <w:color w:val="B2B3B6"/>
        </w:rPr>
        <w:t>Proposal Proposal Proposal Stockholder Other Three Four Five Proposals Matters</w:t>
      </w:r>
    </w:p>
    <w:p>
      <w:pPr>
        <w:spacing w:after="0" w:line="200" w:lineRule="exact"/>
        <w:rPr>
          <w:sz w:val="20"/>
          <w:szCs w:val="20"/>
          <w:color w:val="auto"/>
        </w:rPr>
      </w:pPr>
    </w:p>
    <w:p>
      <w:pPr>
        <w:sectPr>
          <w:pgSz w:w="11900" w:h="16838" w:orient="portrait"/>
          <w:cols w:equalWidth="0" w:num="3">
            <w:col w:w="1600" w:space="300"/>
            <w:col w:w="2700" w:space="320"/>
            <w:col w:w="4160"/>
          </w:cols>
          <w:pgMar w:left="1400" w:top="114" w:right="1419" w:bottom="0" w:gutter="0" w:footer="0" w:header="0"/>
          <w:type w:val="continuous"/>
        </w:sectPr>
      </w:pPr>
    </w:p>
    <w:p>
      <w:pPr>
        <w:spacing w:after="0" w:line="83" w:lineRule="exact"/>
        <w:rPr>
          <w:sz w:val="20"/>
          <w:szCs w:val="20"/>
          <w:color w:val="auto"/>
        </w:rPr>
      </w:pPr>
    </w:p>
    <w:p>
      <w:pPr>
        <w:spacing w:after="0"/>
        <w:rPr>
          <w:sz w:val="20"/>
          <w:szCs w:val="20"/>
          <w:color w:val="auto"/>
        </w:rPr>
      </w:pPr>
      <w:r>
        <w:rPr>
          <w:rFonts w:ascii="Arial" w:cs="Arial" w:eastAsia="Arial" w:hAnsi="Arial"/>
          <w:sz w:val="22"/>
          <w:szCs w:val="22"/>
          <w:b w:val="1"/>
          <w:bCs w:val="1"/>
          <w:color w:val="00558C"/>
        </w:rPr>
        <w:t>Certain Relationships and Related Transactions</w:t>
      </w:r>
    </w:p>
    <w:p>
      <w:pPr>
        <w:spacing w:after="0" w:line="11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It is the responsibility of the Audit Committee to review and approve, ratify or disapprove proposed transactions or courses of dealings with respect to which executive officers or directors or members of their immediate families have an interest (including all transactions required to be disclosed pursuant to the SEC’s related person disclosure requirements). In addition, it is the policy of management and Board members to discuss at a meeting of the Board, or the appropriate Board committee, those transactions requiring disclosure pursuant to the SEC’s related person disclosure requirements between Huron and a Board member or a principal stockholder and members of their immediate families.</w:t>
      </w:r>
    </w:p>
    <w:p>
      <w:pPr>
        <w:spacing w:after="0" w:line="11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addition, Huron has a Code of Business Conduct and Ethics (the "Code of Conduct"), a copy of which is posted on our web site at www.huronconsultinggroup.com, that applies to directors and employees and their family members. The Code of Conduct, among other things, has a policy governing conflicts of interest generally and, in particular, prohibiting certain business arrangements with the Company and clients of the Company, entering into relationships that may be perceived as impairing the ability of the individual or Huron from performing his/her or its duties, as the case may be, in an impartial manner, and use of corporate property for improper personal gain. Any exceptions require disclosure and approval by the Chief Compliance Officer and, in the case of officers and directors, by the Audit Committee of the Board. The Code of Conduct also prohibits Huron from making any personal loans or guaranteeing any personal obligations of Board members and executive officers.</w:t>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the Vice Chairman</w:t>
      </w:r>
    </w:p>
    <w:p>
      <w:pPr>
        <w:spacing w:after="0" w:line="81"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Effective January 1, 2023, James H. Roth was appointed as Vice Chairman, Client Services by the Board and this change in role marked the conclusion of his tenure as an executive officer. In this full-time role, Mr. Roth assists in strategic and market-facing activities concentrating on engaging directly with clients in Huron’s core industries, originating business in existing and adjacent markets and engaging with new clients, cultivating new client relationships, and ensuring exceptional service delivery across the company. In addition to his 45 years of client-focused experience, Mr. Roth continues to play an active and pivotal role mentoring and developing the next generation of Huron leaders. Mr. Roth does not receive compensation for his director duties but is remunerated commensurate with his new responsibilities for revenue generation, client service and developing leaders.</w:t>
      </w:r>
    </w:p>
    <w:p>
      <w:pPr>
        <w:spacing w:after="0" w:line="99"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In 2024, Mr. Roth received compensation of $2,888,232 comprised of $900,000 for base salary, a $740,000 retention bonus, $1,035,000 non-equity incentive plan compensation, $180,013 in stock award grants and $33,219 in other benefits. The retention bonus represents the third and final installment of the three-year cash retention award granted to Mr. Roth as chief executive officer in 2021 to retain his leadership through the COVID-19 pandemic. The stock awards include the grant date fair value of $180,013 for 1,811 restricted stock units granted on March 1, 2024, with a four year annual vesting schedule.</w:t>
      </w:r>
    </w:p>
    <w:p>
      <w:pPr>
        <w:spacing w:after="0" w:line="107" w:lineRule="exact"/>
        <w:rPr>
          <w:sz w:val="20"/>
          <w:szCs w:val="20"/>
          <w:color w:val="auto"/>
        </w:rPr>
      </w:pPr>
    </w:p>
    <w:p>
      <w:pPr>
        <w:ind w:right="840"/>
        <w:spacing w:after="0" w:line="321" w:lineRule="auto"/>
        <w:rPr>
          <w:sz w:val="20"/>
          <w:szCs w:val="20"/>
          <w:color w:val="auto"/>
        </w:rPr>
      </w:pPr>
      <w:r>
        <w:rPr>
          <w:rFonts w:ascii="Arial" w:cs="Arial" w:eastAsia="Arial" w:hAnsi="Arial"/>
          <w:sz w:val="16"/>
          <w:szCs w:val="16"/>
          <w:color w:val="auto"/>
        </w:rPr>
        <w:t>Set forth below is a brief description of the material terms of the senior management agreement for Mr. Roth ("Roth Agreement") as previously disclosed on the Form 8-K filed by the Company on December 20, 2022.</w:t>
      </w:r>
    </w:p>
    <w:p>
      <w:pPr>
        <w:spacing w:after="0" w:line="88" w:lineRule="exact"/>
        <w:rPr>
          <w:sz w:val="20"/>
          <w:szCs w:val="20"/>
          <w:color w:val="auto"/>
        </w:rPr>
      </w:pPr>
    </w:p>
    <w:p>
      <w:pPr>
        <w:jc w:val="both"/>
        <w:ind w:right="20"/>
        <w:spacing w:after="0" w:line="296" w:lineRule="auto"/>
        <w:rPr>
          <w:sz w:val="20"/>
          <w:szCs w:val="20"/>
          <w:color w:val="auto"/>
        </w:rPr>
      </w:pPr>
      <w:r>
        <w:rPr>
          <w:rFonts w:ascii="Arial" w:cs="Arial" w:eastAsia="Arial" w:hAnsi="Arial"/>
          <w:sz w:val="16"/>
          <w:szCs w:val="16"/>
          <w:b w:val="1"/>
          <w:bCs w:val="1"/>
          <w:color w:val="auto"/>
        </w:rPr>
        <w:t xml:space="preserve">Term: </w:t>
      </w:r>
      <w:r>
        <w:rPr>
          <w:rFonts w:ascii="Arial" w:cs="Arial" w:eastAsia="Arial" w:hAnsi="Arial"/>
          <w:sz w:val="16"/>
          <w:szCs w:val="16"/>
          <w:color w:val="auto"/>
        </w:rPr>
        <w:t>The Roth Agreement is effective January 1, 2023, and continued for one year from that date. Following the expiration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the initial one-year term, the Roth Agreement was renewed and extended for an additional period through December 31, 2024 via an amendment to the Roth Agreement dated February 23, 2024 (the “Roth Agreement Amendment”). The Roth Agreement Amendment provides that any subsequent renewal will be for a one-year term or such longer period subject to the approval of the Board. The Roth Agreement may be earlier terminated by Mr. Roth or the Company pursuant to its terms.</w:t>
      </w:r>
    </w:p>
    <w:p>
      <w:pPr>
        <w:spacing w:after="0" w:line="107" w:lineRule="exact"/>
        <w:rPr>
          <w:sz w:val="20"/>
          <w:szCs w:val="20"/>
          <w:color w:val="auto"/>
        </w:rPr>
      </w:pPr>
    </w:p>
    <w:p>
      <w:pPr>
        <w:ind w:right="160"/>
        <w:spacing w:after="0" w:line="321" w:lineRule="auto"/>
        <w:rPr>
          <w:sz w:val="20"/>
          <w:szCs w:val="20"/>
          <w:color w:val="auto"/>
        </w:rPr>
      </w:pPr>
      <w:r>
        <w:rPr>
          <w:rFonts w:ascii="Arial" w:cs="Arial" w:eastAsia="Arial" w:hAnsi="Arial"/>
          <w:sz w:val="16"/>
          <w:szCs w:val="16"/>
          <w:b w:val="1"/>
          <w:bCs w:val="1"/>
          <w:color w:val="auto"/>
        </w:rPr>
        <w:t xml:space="preserve">Base Salary: </w:t>
      </w:r>
      <w:r>
        <w:rPr>
          <w:rFonts w:ascii="Arial" w:cs="Arial" w:eastAsia="Arial" w:hAnsi="Arial"/>
          <w:sz w:val="16"/>
          <w:szCs w:val="16"/>
          <w:color w:val="auto"/>
        </w:rPr>
        <w:t>The Roth Agreement entitles Mr. Roth to an annual base salary. For the 2024 calendar year, Mr. Roth's annual</w:t>
      </w:r>
      <w:r>
        <w:rPr>
          <w:rFonts w:ascii="Arial" w:cs="Arial" w:eastAsia="Arial" w:hAnsi="Arial"/>
          <w:sz w:val="16"/>
          <w:szCs w:val="16"/>
          <w:b w:val="1"/>
          <w:bCs w:val="1"/>
          <w:color w:val="auto"/>
        </w:rPr>
        <w:t xml:space="preserve"> </w:t>
      </w:r>
      <w:r>
        <w:rPr>
          <w:rFonts w:ascii="Arial" w:cs="Arial" w:eastAsia="Arial" w:hAnsi="Arial"/>
          <w:sz w:val="16"/>
          <w:szCs w:val="16"/>
          <w:color w:val="auto"/>
        </w:rPr>
        <w:t>base salary was $900,000.</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Annual Bonus: </w:t>
      </w:r>
      <w:r>
        <w:rPr>
          <w:rFonts w:ascii="Arial" w:cs="Arial" w:eastAsia="Arial" w:hAnsi="Arial"/>
          <w:sz w:val="16"/>
          <w:szCs w:val="16"/>
          <w:color w:val="auto"/>
        </w:rPr>
        <w:t>Each calendar year, Mr. Roth is eligible for an annual cash bonus in an amount determined by the Chief</w:t>
      </w:r>
    </w:p>
    <w:p>
      <w:pPr>
        <w:sectPr>
          <w:pgSz w:w="11900" w:h="16838" w:orient="portrait"/>
          <w:cols w:equalWidth="0" w:num="1">
            <w:col w:w="9080"/>
          </w:cols>
          <w:pgMar w:left="1400" w:top="114" w:right="1419" w:bottom="0" w:gutter="0" w:footer="0" w:header="0"/>
          <w:type w:val="continuous"/>
        </w:sectPr>
      </w:pPr>
    </w:p>
    <w:bookmarkStart w:id="67" w:name="page68"/>
    <w:bookmarkEnd w:id="67"/>
    <w:p>
      <w:pPr>
        <w:ind w:right="300"/>
        <w:spacing w:after="0" w:line="191" w:lineRule="auto"/>
        <w:rPr>
          <w:sz w:val="20"/>
          <w:szCs w:val="20"/>
          <w:color w:val="auto"/>
        </w:rPr>
      </w:pPr>
      <w:r>
        <w:rPr>
          <w:rFonts w:ascii="Arial" w:cs="Arial" w:eastAsia="Arial" w:hAnsi="Arial"/>
          <w:sz w:val="16"/>
          <w:szCs w:val="16"/>
          <w:color w:val="auto"/>
        </w:rPr>
        <w:t>Executive Officer based on the Company’s and Mr. Roth’s performance and the Company’s compensation policies. For the 2024 calendar year, Mr. Roth's annual target cash bonus was $900,000 and based on his performance in 2024,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-168910</wp:posOffset>
            </wp:positionV>
            <wp:extent cx="6810375" cy="17164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10375" cy="171640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Compensation Committee approved 115% funding.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60"/>
        <w:spacing w:after="0"/>
        <w:tabs>
          <w:tab w:leader="none" w:pos="444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13"/>
          <w:szCs w:val="13"/>
          <w:b w:val="1"/>
          <w:bCs w:val="1"/>
          <w:color w:val="00558C"/>
        </w:rPr>
        <w:t>66</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420370</wp:posOffset>
            </wp:positionV>
            <wp:extent cx="6810375" cy="871728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10375" cy="8717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540" w:val="left"/>
          <w:tab w:leader="none" w:pos="7360" w:val="left"/>
          <w:tab w:leader="none" w:pos="8400" w:val="left"/>
        </w:tabs>
        <w:rPr>
          <w:sz w:val="20"/>
          <w:szCs w:val="20"/>
          <w:color w:val="auto"/>
        </w:rPr>
      </w:pPr>
      <w:r>
        <w:rPr>
          <w:rFonts w:ascii="Arial" w:cs="Arial" w:eastAsia="Arial" w:hAnsi="Arial"/>
          <w:sz w:val="13"/>
          <w:szCs w:val="13"/>
          <w:b w:val="1"/>
          <w:bCs w:val="1"/>
          <w:color w:val="B2B3B6"/>
        </w:rPr>
        <w:t>General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Corporate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6AAA37"/>
        </w:rPr>
        <w:t>Executive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Stockholder</w:t>
      </w:r>
      <w:r>
        <w:rPr>
          <w:sz w:val="20"/>
          <w:szCs w:val="20"/>
          <w:color w:val="auto"/>
        </w:rPr>
        <w:tab/>
      </w:r>
      <w:r>
        <w:rPr>
          <w:rFonts w:ascii="Arial" w:cs="Arial" w:eastAsia="Arial" w:hAnsi="Arial"/>
          <w:sz w:val="12"/>
          <w:szCs w:val="12"/>
          <w:b w:val="1"/>
          <w:bCs w:val="1"/>
          <w:color w:val="B2B3B6"/>
        </w:rPr>
        <w:t>Other</w:t>
      </w:r>
    </w:p>
    <w:p>
      <w:pPr>
        <w:spacing w:after="0" w:line="11"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540" w:val="left"/>
          <w:tab w:leader="none" w:pos="7360" w:val="left"/>
          <w:tab w:leader="none" w:pos="8400" w:val="left"/>
        </w:tabs>
        <w:rPr>
          <w:sz w:val="20"/>
          <w:szCs w:val="20"/>
          <w:color w:val="auto"/>
        </w:rPr>
      </w:pPr>
      <w:r>
        <w:rPr>
          <w:rFonts w:ascii="Arial" w:cs="Arial" w:eastAsia="Arial" w:hAnsi="Arial"/>
          <w:sz w:val="13"/>
          <w:szCs w:val="13"/>
          <w:b w:val="1"/>
          <w:bCs w:val="1"/>
          <w:color w:val="B2B3B6"/>
        </w:rPr>
        <w:t>Information</w:t>
      </w:r>
      <w:r>
        <w:rPr>
          <w:sz w:val="20"/>
          <w:szCs w:val="20"/>
          <w:color w:val="auto"/>
        </w:rPr>
        <w:tab/>
      </w:r>
      <w:r>
        <w:rPr>
          <w:rFonts w:ascii="Arial" w:cs="Arial" w:eastAsia="Arial" w:hAnsi="Arial"/>
          <w:sz w:val="13"/>
          <w:szCs w:val="13"/>
          <w:b w:val="1"/>
          <w:bCs w:val="1"/>
          <w:color w:val="B2B3B6"/>
        </w:rPr>
        <w:t>One</w:t>
      </w:r>
      <w:r>
        <w:rPr>
          <w:sz w:val="20"/>
          <w:szCs w:val="20"/>
          <w:color w:val="auto"/>
        </w:rPr>
        <w:tab/>
      </w:r>
      <w:r>
        <w:rPr>
          <w:rFonts w:ascii="Arial" w:cs="Arial" w:eastAsia="Arial" w:hAnsi="Arial"/>
          <w:sz w:val="13"/>
          <w:szCs w:val="13"/>
          <w:b w:val="1"/>
          <w:bCs w:val="1"/>
          <w:color w:val="B2B3B6"/>
        </w:rPr>
        <w:t>Governance</w:t>
      </w:r>
      <w:r>
        <w:rPr>
          <w:sz w:val="20"/>
          <w:szCs w:val="20"/>
          <w:color w:val="auto"/>
        </w:rPr>
        <w:tab/>
      </w:r>
      <w:r>
        <w:rPr>
          <w:rFonts w:ascii="Arial" w:cs="Arial" w:eastAsia="Arial" w:hAnsi="Arial"/>
          <w:sz w:val="13"/>
          <w:szCs w:val="13"/>
          <w:b w:val="1"/>
          <w:bCs w:val="1"/>
          <w:color w:val="B2B3B6"/>
        </w:rPr>
        <w:t>Two</w:t>
      </w:r>
      <w:r>
        <w:rPr>
          <w:sz w:val="20"/>
          <w:szCs w:val="20"/>
          <w:color w:val="auto"/>
        </w:rPr>
        <w:tab/>
      </w:r>
      <w:r>
        <w:rPr>
          <w:rFonts w:ascii="Arial" w:cs="Arial" w:eastAsia="Arial" w:hAnsi="Arial"/>
          <w:sz w:val="13"/>
          <w:szCs w:val="13"/>
          <w:b w:val="1"/>
          <w:bCs w:val="1"/>
          <w:color w:val="6AAA37"/>
        </w:rPr>
        <w:t>Compensation</w:t>
      </w:r>
      <w:r>
        <w:rPr>
          <w:sz w:val="20"/>
          <w:szCs w:val="20"/>
          <w:color w:val="auto"/>
        </w:rPr>
        <w:tab/>
      </w:r>
      <w:r>
        <w:rPr>
          <w:rFonts w:ascii="Arial" w:cs="Arial" w:eastAsia="Arial" w:hAnsi="Arial"/>
          <w:sz w:val="13"/>
          <w:szCs w:val="13"/>
          <w:b w:val="1"/>
          <w:bCs w:val="1"/>
          <w:color w:val="B2B3B6"/>
        </w:rPr>
        <w:t>Three</w:t>
      </w:r>
      <w:r>
        <w:rPr>
          <w:sz w:val="20"/>
          <w:szCs w:val="20"/>
          <w:color w:val="auto"/>
        </w:rPr>
        <w:tab/>
      </w:r>
      <w:r>
        <w:rPr>
          <w:rFonts w:ascii="Arial" w:cs="Arial" w:eastAsia="Arial" w:hAnsi="Arial"/>
          <w:sz w:val="13"/>
          <w:szCs w:val="13"/>
          <w:b w:val="1"/>
          <w:bCs w:val="1"/>
          <w:color w:val="B2B3B6"/>
        </w:rPr>
        <w:t>Four</w:t>
      </w:r>
      <w:r>
        <w:rPr>
          <w:sz w:val="20"/>
          <w:szCs w:val="20"/>
          <w:color w:val="auto"/>
        </w:rPr>
        <w:tab/>
      </w:r>
      <w:r>
        <w:rPr>
          <w:rFonts w:ascii="Arial" w:cs="Arial" w:eastAsia="Arial" w:hAnsi="Arial"/>
          <w:sz w:val="13"/>
          <w:szCs w:val="13"/>
          <w:b w:val="1"/>
          <w:bCs w:val="1"/>
          <w:color w:val="B2B3B6"/>
        </w:rPr>
        <w:t>Five</w:t>
      </w:r>
      <w:r>
        <w:rPr>
          <w:sz w:val="20"/>
          <w:szCs w:val="20"/>
          <w:color w:val="auto"/>
        </w:rPr>
        <w:tab/>
      </w:r>
      <w:r>
        <w:rPr>
          <w:rFonts w:ascii="Arial" w:cs="Arial" w:eastAsia="Arial" w:hAnsi="Arial"/>
          <w:sz w:val="13"/>
          <w:szCs w:val="13"/>
          <w:b w:val="1"/>
          <w:bCs w:val="1"/>
          <w:color w:val="B2B3B6"/>
        </w:rPr>
        <w:t>Proposals</w:t>
      </w:r>
      <w:r>
        <w:rPr>
          <w:sz w:val="20"/>
          <w:szCs w:val="20"/>
          <w:color w:val="auto"/>
        </w:rPr>
        <w:tab/>
      </w:r>
      <w:r>
        <w:rPr>
          <w:rFonts w:ascii="Arial" w:cs="Arial" w:eastAsia="Arial" w:hAnsi="Arial"/>
          <w:sz w:val="12"/>
          <w:szCs w:val="12"/>
          <w:b w:val="1"/>
          <w:bCs w:val="1"/>
          <w:color w:val="B2B3B6"/>
        </w:rPr>
        <w:t>Matters</w:t>
      </w:r>
    </w:p>
    <w:p>
      <w:pPr>
        <w:spacing w:after="0" w:line="30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b w:val="1"/>
          <w:bCs w:val="1"/>
          <w:color w:val="auto"/>
        </w:rPr>
        <w:t xml:space="preserve">Equity Awards: </w:t>
      </w:r>
      <w:r>
        <w:rPr>
          <w:rFonts w:ascii="Arial" w:cs="Arial" w:eastAsia="Arial" w:hAnsi="Arial"/>
          <w:sz w:val="16"/>
          <w:szCs w:val="16"/>
          <w:color w:val="auto"/>
        </w:rPr>
        <w:t>Mr. Roth is generally eligible to participate in the Company’s equity plans, with the amount and terms of any</w:t>
      </w:r>
      <w:r>
        <w:rPr>
          <w:rFonts w:ascii="Arial" w:cs="Arial" w:eastAsia="Arial" w:hAnsi="Arial"/>
          <w:sz w:val="16"/>
          <w:szCs w:val="16"/>
          <w:b w:val="1"/>
          <w:bCs w:val="1"/>
          <w:color w:val="auto"/>
        </w:rPr>
        <w:t xml:space="preserve"> </w:t>
      </w:r>
      <w:r>
        <w:rPr>
          <w:rFonts w:ascii="Arial" w:cs="Arial" w:eastAsia="Arial" w:hAnsi="Arial"/>
          <w:sz w:val="16"/>
          <w:szCs w:val="16"/>
          <w:color w:val="auto"/>
        </w:rPr>
        <w:t>equity awards to be determined by the Chief Executive Officer, subject to the approval of the Compensation Committee, based on the Company’s and Mr. Roth’s performance and the Company’s compensation policies. The terms and conditions of each equity award are subject to the terms of the applicable equity incentive plan of the Company and the equity awards' grant agreements. Additionally, each calendar year, Mr. Roth is eligible for an annual equity grant under the Plan in an amount determined by the Chief Executive Officer based on the Company’s and Mr. Roth’s performance and the Company’s compensation policies. For the 2024 calendar year, Mr. Roth's annual equity bonus was 20% of his annual base salary ($180,000). The Roth Agreement Amendment provides that Mr. Roth’s 2024 annual equity grant will vest in four equal installments, with one-fourth vesting on the first anniversary of the grant date and one-fourth vesting on each of the next three anniversaries of the grant date.</w:t>
      </w:r>
    </w:p>
    <w:p>
      <w:pPr>
        <w:spacing w:after="0" w:line="114" w:lineRule="exact"/>
        <w:rPr>
          <w:sz w:val="20"/>
          <w:szCs w:val="20"/>
          <w:color w:val="auto"/>
        </w:rPr>
      </w:pPr>
    </w:p>
    <w:p>
      <w:pPr>
        <w:ind w:right="240"/>
        <w:spacing w:after="0" w:line="310" w:lineRule="auto"/>
        <w:rPr>
          <w:sz w:val="20"/>
          <w:szCs w:val="20"/>
          <w:color w:val="auto"/>
        </w:rPr>
      </w:pPr>
      <w:r>
        <w:rPr>
          <w:rFonts w:ascii="Arial" w:cs="Arial" w:eastAsia="Arial" w:hAnsi="Arial"/>
          <w:sz w:val="16"/>
          <w:szCs w:val="16"/>
          <w:b w:val="1"/>
          <w:bCs w:val="1"/>
          <w:color w:val="auto"/>
        </w:rPr>
        <w:t xml:space="preserve">Other Benefits: </w:t>
      </w:r>
      <w:r>
        <w:rPr>
          <w:rFonts w:ascii="Arial" w:cs="Arial" w:eastAsia="Arial" w:hAnsi="Arial"/>
          <w:sz w:val="16"/>
          <w:szCs w:val="16"/>
          <w:color w:val="auto"/>
        </w:rPr>
        <w:t>Mr. Roth is eligible to participate in the Company’s various health and welfare benefit plans for its similarly-situated employees. Additionally, Mr. Roth is eligible to participate in the executive physical program provided to key management employees.</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Post-Termination Payments: </w:t>
      </w:r>
      <w:r>
        <w:rPr>
          <w:rFonts w:ascii="Arial" w:cs="Arial" w:eastAsia="Arial" w:hAnsi="Arial"/>
          <w:sz w:val="16"/>
          <w:szCs w:val="16"/>
          <w:color w:val="auto"/>
        </w:rPr>
        <w:t>If Mr. Roth's employment is terminated by the Company without Cause (as defined in the Roth</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Agreement), Mr. Roth will be entitled to: (i) severance pay in an amount equal to six months' of Mr. Roth's annual base salary</w:t>
      </w:r>
    </w:p>
    <w:p>
      <w:pPr>
        <w:spacing w:after="0" w:line="25" w:lineRule="exact"/>
        <w:rPr>
          <w:sz w:val="20"/>
          <w:szCs w:val="20"/>
          <w:color w:val="auto"/>
        </w:rPr>
      </w:pPr>
    </w:p>
    <w:p>
      <w:pPr>
        <w:ind w:firstLine="8"/>
        <w:spacing w:after="0" w:line="300" w:lineRule="auto"/>
        <w:tabs>
          <w:tab w:leader="none" w:pos="225" w:val="left"/>
        </w:tabs>
        <w:numPr>
          <w:ilvl w:val="0"/>
          <w:numId w:val="98"/>
        </w:numPr>
        <w:rPr>
          <w:rFonts w:ascii="Arial" w:cs="Arial" w:eastAsia="Arial" w:hAnsi="Arial"/>
          <w:sz w:val="16"/>
          <w:szCs w:val="16"/>
          <w:color w:val="auto"/>
        </w:rPr>
      </w:pPr>
      <w:r>
        <w:rPr>
          <w:rFonts w:ascii="Arial" w:cs="Arial" w:eastAsia="Arial" w:hAnsi="Arial"/>
          <w:sz w:val="16"/>
          <w:szCs w:val="16"/>
          <w:color w:val="auto"/>
        </w:rPr>
        <w:t>continuation of medical benefits for 12 months upon the same terms as exist from time to time for active similarly-situated employees of the Company; and (iii) an amount in cash equal to the annual bonus that Mr. Roth would have earned for the year of termination had he remained employed for the year in which his termination occurs based on his performance, prorated for the number of completed days of employment during the year of termination.</w:t>
      </w:r>
    </w:p>
    <w:p>
      <w:pPr>
        <w:spacing w:after="0" w:line="93"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b w:val="1"/>
          <w:bCs w:val="1"/>
          <w:color w:val="auto"/>
        </w:rPr>
        <w:t xml:space="preserve">Death or Permanent Disability: </w:t>
      </w:r>
      <w:r>
        <w:rPr>
          <w:rFonts w:ascii="Arial" w:cs="Arial" w:eastAsia="Arial" w:hAnsi="Arial"/>
          <w:sz w:val="16"/>
          <w:szCs w:val="16"/>
          <w:color w:val="auto"/>
        </w:rPr>
        <w:t>If Mr. Roth's employment is terminated due to Mr. Roth’s death or permanent disability, then</w:t>
      </w:r>
      <w:r>
        <w:rPr>
          <w:rFonts w:ascii="Arial" w:cs="Arial" w:eastAsia="Arial" w:hAnsi="Arial"/>
          <w:sz w:val="16"/>
          <w:szCs w:val="16"/>
          <w:b w:val="1"/>
          <w:bCs w:val="1"/>
          <w:color w:val="auto"/>
        </w:rPr>
        <w:t xml:space="preserve"> </w:t>
      </w:r>
      <w:r>
        <w:rPr>
          <w:rFonts w:ascii="Arial" w:cs="Arial" w:eastAsia="Arial" w:hAnsi="Arial"/>
          <w:sz w:val="16"/>
          <w:szCs w:val="16"/>
          <w:color w:val="auto"/>
        </w:rPr>
        <w:t>Mr. Roth or Mr. Roth's estate will be entitled to (i) payment of Mr. Roth's base salary through the date of termination; (ii) if the termination due to Mr. Roth's death or permanent disability occurs during the initial one-year term of the Roth Agreement, an amount in cash equal to the then-prevailing target amount of Mr. Roth's annual bonus, prorated for the number of completed days of employment during that year; and (iii) vesting of any outstanding time-based or performance-based equity will be treated in accordance with the applicable equity agreement then in effect. Additionally, if Mr. Roth's employment is terminated due to Mr. Roth's death or permanent disability, then Mr. Roth or Mr. Roth's eligible dependents will be entitled to continuation of medical benefits upon the same terms as exist immediately prior to the termination of employment for similarly-situated active employees of the Company for the six-month period immediately following the termination of employment.</w:t>
      </w:r>
    </w:p>
    <w:p>
      <w:pPr>
        <w:spacing w:after="0" w:line="112" w:lineRule="exact"/>
        <w:rPr>
          <w:sz w:val="20"/>
          <w:szCs w:val="20"/>
          <w:color w:val="auto"/>
        </w:rPr>
      </w:pPr>
    </w:p>
    <w:p>
      <w:pPr>
        <w:ind w:right="460"/>
        <w:spacing w:after="0" w:line="321" w:lineRule="auto"/>
        <w:rPr>
          <w:sz w:val="20"/>
          <w:szCs w:val="20"/>
          <w:color w:val="auto"/>
        </w:rPr>
      </w:pPr>
      <w:r>
        <w:rPr>
          <w:rFonts w:ascii="Arial" w:cs="Arial" w:eastAsia="Arial" w:hAnsi="Arial"/>
          <w:sz w:val="16"/>
          <w:szCs w:val="16"/>
          <w:b w:val="1"/>
          <w:bCs w:val="1"/>
          <w:color w:val="auto"/>
        </w:rPr>
        <w:t xml:space="preserve">Change of Control: </w:t>
      </w:r>
      <w:r>
        <w:rPr>
          <w:rFonts w:ascii="Arial" w:cs="Arial" w:eastAsia="Arial" w:hAnsi="Arial"/>
          <w:sz w:val="16"/>
          <w:szCs w:val="16"/>
          <w:color w:val="auto"/>
        </w:rPr>
        <w:t>Subsequent to the initial one-year term of the Roth Agreement, Mr. Roth is not entitled to enhanced</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or benefits stemming from a termination due to a Change of Control.</w:t>
      </w:r>
    </w:p>
    <w:p>
      <w:pPr>
        <w:spacing w:after="0" w:line="88"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receipt of the post-termination benefits described above are conditioned on Mr. Roth’s compliance with the covenants, warranties, representations and agreements set forth in Roth Agreement, as well as his execution and acceptance of the terms and conditions of a general release in the standard form used by the Company.</w:t>
      </w:r>
    </w:p>
    <w:p>
      <w:pPr>
        <w:spacing w:after="0" w:line="104" w:lineRule="exact"/>
        <w:rPr>
          <w:sz w:val="20"/>
          <w:szCs w:val="20"/>
          <w:color w:val="auto"/>
        </w:rPr>
      </w:pPr>
    </w:p>
    <w:p>
      <w:pPr>
        <w:spacing w:after="0" w:line="300" w:lineRule="auto"/>
        <w:rPr>
          <w:sz w:val="20"/>
          <w:szCs w:val="20"/>
          <w:color w:val="auto"/>
        </w:rPr>
      </w:pPr>
      <w:r>
        <w:rPr>
          <w:rFonts w:ascii="Arial" w:cs="Arial" w:eastAsia="Arial" w:hAnsi="Arial"/>
          <w:sz w:val="16"/>
          <w:szCs w:val="16"/>
          <w:color w:val="auto"/>
        </w:rPr>
        <w:t>The Roth Agreement further provides that if any amount, right or benefit paid or payable to Mr. Roth under the Roth Agreement or any other plan, program or arrangement would constitute an “excess parachute payment” under Section 280G of the Code, subject to the excise tax imposed by Section 4999 of the Code, then the amount of payments payable to Mr. Roth under the Roth Agreement will be reduced to the extent necessary so that no portion of such payments is subject to such excise tax.</w:t>
      </w:r>
    </w:p>
    <w:p>
      <w:pPr>
        <w:sectPr>
          <w:pgSz w:w="11900" w:h="16838" w:orient="portrait"/>
          <w:cols w:equalWidth="0" w:num="1">
            <w:col w:w="9080"/>
          </w:cols>
          <w:pgMar w:left="1400" w:top="114" w:right="14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60"/>
        <w:spacing w:after="0"/>
        <w:tabs>
          <w:tab w:leader="none" w:pos="444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13"/>
          <w:szCs w:val="13"/>
          <w:b w:val="1"/>
          <w:bCs w:val="1"/>
          <w:color w:val="00558C"/>
        </w:rPr>
        <w:t>67</w:t>
      </w:r>
      <w:r>
        <w:rPr>
          <w:sz w:val="20"/>
          <w:szCs w:val="20"/>
          <w:color w:val="auto"/>
        </w:rPr>
        <w:tab/>
      </w:r>
      <w:r>
        <w:rPr>
          <w:rFonts w:ascii="Arial" w:cs="Arial" w:eastAsia="Arial" w:hAnsi="Arial"/>
          <w:sz w:val="12"/>
          <w:szCs w:val="12"/>
          <w:color w:val="auto"/>
        </w:rPr>
        <w:t>2025 Proxy Statement</w:t>
      </w:r>
    </w:p>
    <w:p>
      <w:pPr>
        <w:sectPr>
          <w:pgSz w:w="11900" w:h="16838" w:orient="portrait"/>
          <w:cols w:equalWidth="0" w:num="1">
            <w:col w:w="9080"/>
          </w:cols>
          <w:pgMar w:left="1400" w:top="114" w:right="1419" w:bottom="0" w:gutter="0" w:footer="0" w:header="0"/>
          <w:type w:val="continuous"/>
        </w:sectPr>
      </w:pPr>
    </w:p>
    <w:bookmarkStart w:id="68" w:name="page69"/>
    <w:bookmarkEnd w:id="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90887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10375" cy="9088755"/>
                    </a:xfrm>
                    <a:prstGeom prst="rect">
                      <a:avLst/>
                    </a:prstGeom>
                    <a:noFill/>
                  </pic:spPr>
                </pic:pic>
              </a:graphicData>
            </a:graphic>
          </wp:anchor>
        </w:drawing>
      </w: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540" w:val="left"/>
          <w:tab w:leader="none" w:pos="7360" w:val="left"/>
          <w:tab w:leader="none" w:pos="8400" w:val="left"/>
        </w:tabs>
        <w:rPr>
          <w:sz w:val="20"/>
          <w:szCs w:val="20"/>
          <w:color w:val="auto"/>
        </w:rPr>
      </w:pPr>
      <w:r>
        <w:rPr>
          <w:rFonts w:ascii="Arial" w:cs="Arial" w:eastAsia="Arial" w:hAnsi="Arial"/>
          <w:sz w:val="13"/>
          <w:szCs w:val="13"/>
          <w:b w:val="1"/>
          <w:bCs w:val="1"/>
          <w:color w:val="B2B3B6"/>
        </w:rPr>
        <w:t>General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Corporate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Executive</w:t>
      </w:r>
      <w:r>
        <w:rPr>
          <w:sz w:val="20"/>
          <w:szCs w:val="20"/>
          <w:color w:val="auto"/>
        </w:rPr>
        <w:tab/>
      </w:r>
      <w:r>
        <w:rPr>
          <w:rFonts w:ascii="Arial" w:cs="Arial" w:eastAsia="Arial" w:hAnsi="Arial"/>
          <w:sz w:val="13"/>
          <w:szCs w:val="13"/>
          <w:b w:val="1"/>
          <w:bCs w:val="1"/>
          <w:color w:val="6AAA37"/>
        </w:rPr>
        <w:t>Proposal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Stockholder</w:t>
      </w:r>
      <w:r>
        <w:rPr>
          <w:sz w:val="20"/>
          <w:szCs w:val="20"/>
          <w:color w:val="auto"/>
        </w:rPr>
        <w:tab/>
      </w:r>
      <w:r>
        <w:rPr>
          <w:rFonts w:ascii="Arial" w:cs="Arial" w:eastAsia="Arial" w:hAnsi="Arial"/>
          <w:sz w:val="12"/>
          <w:szCs w:val="12"/>
          <w:b w:val="1"/>
          <w:bCs w:val="1"/>
          <w:color w:val="B2B3B6"/>
        </w:rPr>
        <w:t>Other</w:t>
      </w:r>
    </w:p>
    <w:p>
      <w:pPr>
        <w:spacing w:after="0" w:line="11"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540" w:val="left"/>
          <w:tab w:leader="none" w:pos="7360" w:val="left"/>
          <w:tab w:leader="none" w:pos="8400" w:val="left"/>
        </w:tabs>
        <w:rPr>
          <w:sz w:val="20"/>
          <w:szCs w:val="20"/>
          <w:color w:val="auto"/>
        </w:rPr>
      </w:pPr>
      <w:r>
        <w:rPr>
          <w:rFonts w:ascii="Arial" w:cs="Arial" w:eastAsia="Arial" w:hAnsi="Arial"/>
          <w:sz w:val="13"/>
          <w:szCs w:val="13"/>
          <w:b w:val="1"/>
          <w:bCs w:val="1"/>
          <w:color w:val="B2B3B6"/>
        </w:rPr>
        <w:t>Information</w:t>
      </w:r>
      <w:r>
        <w:rPr>
          <w:sz w:val="20"/>
          <w:szCs w:val="20"/>
          <w:color w:val="auto"/>
        </w:rPr>
        <w:tab/>
      </w:r>
      <w:r>
        <w:rPr>
          <w:rFonts w:ascii="Arial" w:cs="Arial" w:eastAsia="Arial" w:hAnsi="Arial"/>
          <w:sz w:val="13"/>
          <w:szCs w:val="13"/>
          <w:b w:val="1"/>
          <w:bCs w:val="1"/>
          <w:color w:val="B2B3B6"/>
        </w:rPr>
        <w:t>One</w:t>
      </w:r>
      <w:r>
        <w:rPr>
          <w:sz w:val="20"/>
          <w:szCs w:val="20"/>
          <w:color w:val="auto"/>
        </w:rPr>
        <w:tab/>
      </w:r>
      <w:r>
        <w:rPr>
          <w:rFonts w:ascii="Arial" w:cs="Arial" w:eastAsia="Arial" w:hAnsi="Arial"/>
          <w:sz w:val="13"/>
          <w:szCs w:val="13"/>
          <w:b w:val="1"/>
          <w:bCs w:val="1"/>
          <w:color w:val="B2B3B6"/>
        </w:rPr>
        <w:t>Governance</w:t>
      </w:r>
      <w:r>
        <w:rPr>
          <w:sz w:val="20"/>
          <w:szCs w:val="20"/>
          <w:color w:val="auto"/>
        </w:rPr>
        <w:tab/>
      </w:r>
      <w:r>
        <w:rPr>
          <w:rFonts w:ascii="Arial" w:cs="Arial" w:eastAsia="Arial" w:hAnsi="Arial"/>
          <w:sz w:val="13"/>
          <w:szCs w:val="13"/>
          <w:b w:val="1"/>
          <w:bCs w:val="1"/>
          <w:color w:val="B2B3B6"/>
        </w:rPr>
        <w:t>Two</w:t>
      </w:r>
      <w:r>
        <w:rPr>
          <w:sz w:val="20"/>
          <w:szCs w:val="20"/>
          <w:color w:val="auto"/>
        </w:rPr>
        <w:tab/>
      </w:r>
      <w:r>
        <w:rPr>
          <w:rFonts w:ascii="Arial" w:cs="Arial" w:eastAsia="Arial" w:hAnsi="Arial"/>
          <w:sz w:val="13"/>
          <w:szCs w:val="13"/>
          <w:b w:val="1"/>
          <w:bCs w:val="1"/>
          <w:color w:val="B2B3B6"/>
        </w:rPr>
        <w:t>Compensation</w:t>
      </w:r>
      <w:r>
        <w:rPr>
          <w:sz w:val="20"/>
          <w:szCs w:val="20"/>
          <w:color w:val="auto"/>
        </w:rPr>
        <w:tab/>
      </w:r>
      <w:r>
        <w:rPr>
          <w:rFonts w:ascii="Arial" w:cs="Arial" w:eastAsia="Arial" w:hAnsi="Arial"/>
          <w:sz w:val="13"/>
          <w:szCs w:val="13"/>
          <w:b w:val="1"/>
          <w:bCs w:val="1"/>
          <w:color w:val="6AAA37"/>
        </w:rPr>
        <w:t>Three</w:t>
      </w:r>
      <w:r>
        <w:rPr>
          <w:sz w:val="20"/>
          <w:szCs w:val="20"/>
          <w:color w:val="auto"/>
        </w:rPr>
        <w:tab/>
      </w:r>
      <w:r>
        <w:rPr>
          <w:rFonts w:ascii="Arial" w:cs="Arial" w:eastAsia="Arial" w:hAnsi="Arial"/>
          <w:sz w:val="13"/>
          <w:szCs w:val="13"/>
          <w:b w:val="1"/>
          <w:bCs w:val="1"/>
          <w:color w:val="B2B3B6"/>
        </w:rPr>
        <w:t>Four</w:t>
      </w:r>
      <w:r>
        <w:rPr>
          <w:sz w:val="20"/>
          <w:szCs w:val="20"/>
          <w:color w:val="auto"/>
        </w:rPr>
        <w:tab/>
      </w:r>
      <w:r>
        <w:rPr>
          <w:rFonts w:ascii="Arial" w:cs="Arial" w:eastAsia="Arial" w:hAnsi="Arial"/>
          <w:sz w:val="13"/>
          <w:szCs w:val="13"/>
          <w:b w:val="1"/>
          <w:bCs w:val="1"/>
          <w:color w:val="B2B3B6"/>
        </w:rPr>
        <w:t>Five</w:t>
      </w:r>
      <w:r>
        <w:rPr>
          <w:sz w:val="20"/>
          <w:szCs w:val="20"/>
          <w:color w:val="auto"/>
        </w:rPr>
        <w:tab/>
      </w:r>
      <w:r>
        <w:rPr>
          <w:rFonts w:ascii="Arial" w:cs="Arial" w:eastAsia="Arial" w:hAnsi="Arial"/>
          <w:sz w:val="13"/>
          <w:szCs w:val="13"/>
          <w:b w:val="1"/>
          <w:bCs w:val="1"/>
          <w:color w:val="B2B3B6"/>
        </w:rPr>
        <w:t>Proposals</w:t>
      </w:r>
      <w:r>
        <w:rPr>
          <w:sz w:val="20"/>
          <w:szCs w:val="20"/>
          <w:color w:val="auto"/>
        </w:rPr>
        <w:tab/>
      </w:r>
      <w:r>
        <w:rPr>
          <w:rFonts w:ascii="Arial" w:cs="Arial" w:eastAsia="Arial" w:hAnsi="Arial"/>
          <w:sz w:val="12"/>
          <w:szCs w:val="12"/>
          <w:b w:val="1"/>
          <w:bCs w:val="1"/>
          <w:color w:val="B2B3B6"/>
        </w:rPr>
        <w:t>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54"/>
          <w:szCs w:val="54"/>
          <w:color w:val="00558C"/>
        </w:rPr>
        <w:t>Proposal Three</w:t>
      </w:r>
    </w:p>
    <w:p>
      <w:pPr>
        <w:spacing w:after="0" w:line="171" w:lineRule="exact"/>
        <w:rPr>
          <w:sz w:val="20"/>
          <w:szCs w:val="20"/>
          <w:color w:val="auto"/>
        </w:rPr>
      </w:pPr>
    </w:p>
    <w:p>
      <w:pPr>
        <w:ind w:right="1419"/>
        <w:spacing w:after="0" w:line="288" w:lineRule="auto"/>
        <w:rPr>
          <w:sz w:val="20"/>
          <w:szCs w:val="20"/>
          <w:color w:val="auto"/>
        </w:rPr>
      </w:pPr>
      <w:r>
        <w:rPr>
          <w:rFonts w:ascii="Arial" w:cs="Arial" w:eastAsia="Arial" w:hAnsi="Arial"/>
          <w:sz w:val="29"/>
          <w:szCs w:val="29"/>
          <w:b w:val="1"/>
          <w:bCs w:val="1"/>
          <w:color w:val="B2B3B6"/>
        </w:rPr>
        <w:t>Approval of an Amendment to the Company’s Amended and Restated 2012 Omnibus Incentive Plan</w:t>
      </w:r>
    </w:p>
    <w:p>
      <w:pPr>
        <w:sectPr>
          <w:pgSz w:w="11900" w:h="16858" w:orient="portrait"/>
          <w:cols w:equalWidth="0" w:num="1">
            <w:col w:w="9059"/>
          </w:cols>
          <w:pgMar w:left="1400" w:top="891" w:right="1440" w:bottom="0" w:gutter="0" w:footer="0" w:header="0"/>
        </w:sectPr>
      </w:pPr>
    </w:p>
    <w:p>
      <w:pPr>
        <w:spacing w:after="0" w:line="232" w:lineRule="exact"/>
        <w:rPr>
          <w:sz w:val="20"/>
          <w:szCs w:val="20"/>
          <w:color w:val="auto"/>
        </w:rPr>
      </w:pPr>
    </w:p>
    <w:p>
      <w:pPr>
        <w:ind w:right="300"/>
        <w:spacing w:after="0" w:line="291" w:lineRule="auto"/>
        <w:rPr>
          <w:sz w:val="20"/>
          <w:szCs w:val="20"/>
          <w:color w:val="auto"/>
        </w:rPr>
      </w:pPr>
      <w:r>
        <w:rPr>
          <w:rFonts w:ascii="Arial" w:cs="Arial" w:eastAsia="Arial" w:hAnsi="Arial"/>
          <w:sz w:val="16"/>
          <w:szCs w:val="16"/>
          <w:color w:val="auto"/>
        </w:rPr>
        <w:t>To enable us to continue to attract and retain highly qualified employees, on March 19, 2025, our Board approved, subject to stockholder approval, an amendment to the Company's Amended and Restated 2012 Omnibus Incentive Plan (the "Plan") to increase the number of shares available for grant under the Plan by 900,000 shares of common stock of the Company (“shares”). No other changes were made to the Plan. A copy of the amendment to the Plan is attached as Appendix A to this Proxy Statement.</w:t>
      </w:r>
    </w:p>
    <w:p>
      <w:pPr>
        <w:spacing w:after="0" w:line="135"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Background</w:t>
        <w:tab/>
        <w:t>and Reasons for Amending the Plan</w:t>
      </w:r>
    </w:p>
    <w:p>
      <w:pPr>
        <w:spacing w:after="0" w:line="81" w:lineRule="exact"/>
        <w:rPr>
          <w:sz w:val="20"/>
          <w:szCs w:val="20"/>
          <w:color w:val="auto"/>
        </w:rPr>
      </w:pPr>
    </w:p>
    <w:p>
      <w:pPr>
        <w:ind w:right="260"/>
        <w:spacing w:after="0" w:line="291" w:lineRule="auto"/>
        <w:rPr>
          <w:sz w:val="20"/>
          <w:szCs w:val="20"/>
          <w:color w:val="auto"/>
        </w:rPr>
      </w:pPr>
      <w:r>
        <w:rPr>
          <w:rFonts w:ascii="Arial" w:cs="Arial" w:eastAsia="Arial" w:hAnsi="Arial"/>
          <w:sz w:val="16"/>
          <w:szCs w:val="16"/>
          <w:color w:val="auto"/>
        </w:rPr>
        <w:t>Our professionals' expertise, skills and experience and our unique company culture are our biggest differentiators, and we expect to continue to strategically invest in our workforce to enable the future success of our growth strategy. To continue to attract, engage, reward and retain highly qualified employees, particularly our revenue-generating managing directors and principals, and align those employees' interests with the Company and stockholders, we believe it is critical to continue to grant equity to both current and future employees.</w:t>
      </w:r>
    </w:p>
    <w:p>
      <w:pPr>
        <w:spacing w:after="0" w:line="112" w:lineRule="exact"/>
        <w:rPr>
          <w:sz w:val="20"/>
          <w:szCs w:val="20"/>
          <w:color w:val="auto"/>
        </w:rPr>
      </w:pPr>
    </w:p>
    <w:p>
      <w:pPr>
        <w:ind w:right="220"/>
        <w:spacing w:after="0" w:line="289" w:lineRule="auto"/>
        <w:rPr>
          <w:sz w:val="20"/>
          <w:szCs w:val="20"/>
          <w:color w:val="auto"/>
        </w:rPr>
      </w:pPr>
      <w:r>
        <w:rPr>
          <w:rFonts w:ascii="Arial" w:cs="Arial" w:eastAsia="Arial" w:hAnsi="Arial"/>
          <w:sz w:val="16"/>
          <w:szCs w:val="16"/>
          <w:color w:val="auto"/>
        </w:rPr>
        <w:t>The Plan is the Company's primary equity incentive plan, and we use the Plan to grant equity primarily to individuals who are not executive officers. Specifically, over the last three years, an average of 84% of total equity granted under the Plan was awarded to our revenue-generating managing directors, principals and industry and capability leaders; by contrast, approximately 12% of total equity granted in the last three years was awarded to our NEOs with the remaining 4% awarded to our directors and other employees, including our corporate vice presidents.</w:t>
      </w:r>
    </w:p>
    <w:p>
      <w:pPr>
        <w:spacing w:after="0" w:line="118" w:lineRule="exact"/>
        <w:rPr>
          <w:sz w:val="20"/>
          <w:szCs w:val="20"/>
          <w:color w:val="auto"/>
        </w:rPr>
      </w:pPr>
    </w:p>
    <w:p>
      <w:pPr>
        <w:ind w:right="220"/>
        <w:spacing w:after="0" w:line="288" w:lineRule="auto"/>
        <w:rPr>
          <w:sz w:val="20"/>
          <w:szCs w:val="20"/>
          <w:color w:val="auto"/>
        </w:rPr>
      </w:pPr>
      <w:r>
        <w:rPr>
          <w:rFonts w:ascii="Arial" w:cs="Arial" w:eastAsia="Arial" w:hAnsi="Arial"/>
          <w:sz w:val="16"/>
          <w:szCs w:val="16"/>
          <w:color w:val="auto"/>
        </w:rPr>
        <w:t>As a professional services firm, we recognize that our revenue-generating managing directors, principals and industry and capability leaders are the key drivers of growth in our business. These individuals actively play a pivotal role in serving our clients, acting as strategic business advisors, coaches, and industry experts and collaborating with organizations and their leaders to tackle complex business challenges. Internally, they lead the innovation and development of our intellectual capital, foster the growth of our people, and act as stewards of our organizational culture. As such, they are critical to the overall success of Huron’s growth strategy and to increasing stockholder value. To continue to align the interests of these employees with those of our stockholders, on average 40% of our managing director and principal compensation is at-risk and aligned with performance; and of that performance-based compensation, 30-50% is provided in equity, depending on level. These grants include grants to certain managing directors and industry and capability leaders of performance-based share units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2" w:lineRule="exact"/>
        <w:rPr>
          <w:sz w:val="20"/>
          <w:szCs w:val="20"/>
          <w:color w:val="auto"/>
        </w:rPr>
      </w:pPr>
    </w:p>
    <w:p>
      <w:pPr>
        <w:ind w:left="20" w:right="499"/>
        <w:spacing w:after="0" w:line="364" w:lineRule="auto"/>
        <w:rPr>
          <w:sz w:val="20"/>
          <w:szCs w:val="20"/>
          <w:color w:val="auto"/>
        </w:rPr>
      </w:pPr>
      <w:r>
        <w:rPr>
          <w:rFonts w:ascii="Arial" w:cs="Arial" w:eastAsia="Arial" w:hAnsi="Arial"/>
          <w:sz w:val="21"/>
          <w:szCs w:val="21"/>
          <w:b w:val="1"/>
          <w:bCs w:val="1"/>
          <w:color w:val="FFFFFF"/>
        </w:rPr>
        <w:t>Recommendation of the Board</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0" w:right="319"/>
        <w:spacing w:after="0" w:line="256" w:lineRule="auto"/>
        <w:rPr>
          <w:sz w:val="20"/>
          <w:szCs w:val="20"/>
          <w:color w:val="auto"/>
        </w:rPr>
      </w:pPr>
      <w:r>
        <w:rPr>
          <w:rFonts w:ascii="Arial" w:cs="Arial" w:eastAsia="Arial" w:hAnsi="Arial"/>
          <w:sz w:val="18"/>
          <w:szCs w:val="18"/>
          <w:color w:val="FFFFFF"/>
        </w:rPr>
        <w:t>The Board recommends that stockholders vote FOR approval of the amendment to the company’s amended and restated 2012 omnibus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0"/>
        <w:spacing w:after="0"/>
        <w:rPr>
          <w:sz w:val="20"/>
          <w:szCs w:val="20"/>
          <w:color w:val="auto"/>
        </w:rPr>
      </w:pPr>
      <w:r>
        <w:rPr>
          <w:rFonts w:ascii="Arial" w:cs="Arial" w:eastAsia="Arial" w:hAnsi="Arial"/>
          <w:sz w:val="54"/>
          <w:szCs w:val="54"/>
          <w:color w:val="6AAA37"/>
        </w:rPr>
        <w:t>84%</w:t>
      </w:r>
    </w:p>
    <w:p>
      <w:pPr>
        <w:spacing w:after="0" w:line="96" w:lineRule="exact"/>
        <w:rPr>
          <w:sz w:val="20"/>
          <w:szCs w:val="20"/>
          <w:color w:val="auto"/>
        </w:rPr>
      </w:pPr>
    </w:p>
    <w:p>
      <w:pPr>
        <w:ind w:left="20" w:right="359"/>
        <w:spacing w:after="0" w:line="260" w:lineRule="auto"/>
        <w:rPr>
          <w:sz w:val="20"/>
          <w:szCs w:val="20"/>
          <w:color w:val="auto"/>
        </w:rPr>
      </w:pPr>
      <w:r>
        <w:rPr>
          <w:rFonts w:ascii="Arial" w:cs="Arial" w:eastAsia="Arial" w:hAnsi="Arial"/>
          <w:sz w:val="16"/>
          <w:szCs w:val="16"/>
          <w:color w:val="auto"/>
        </w:rPr>
        <w:t>of stock granted annually is provided to revenue-generating managing directors and principals</w:t>
      </w:r>
    </w:p>
    <w:p>
      <w:pPr>
        <w:spacing w:after="0" w:line="118" w:lineRule="exact"/>
        <w:rPr>
          <w:sz w:val="20"/>
          <w:szCs w:val="20"/>
          <w:color w:val="auto"/>
        </w:rPr>
      </w:pPr>
    </w:p>
    <w:p>
      <w:pPr>
        <w:ind w:left="740"/>
        <w:spacing w:after="0"/>
        <w:rPr>
          <w:sz w:val="20"/>
          <w:szCs w:val="20"/>
          <w:color w:val="auto"/>
        </w:rPr>
      </w:pPr>
      <w:r>
        <w:rPr>
          <w:rFonts w:ascii="Arial" w:cs="Arial" w:eastAsia="Arial" w:hAnsi="Arial"/>
          <w:sz w:val="13"/>
          <w:szCs w:val="13"/>
          <w:color w:val="auto"/>
        </w:rPr>
        <w:t>Other</w:t>
      </w:r>
    </w:p>
    <w:p>
      <w:pPr>
        <w:spacing w:after="0" w:line="215" w:lineRule="exact"/>
        <w:rPr>
          <w:sz w:val="20"/>
          <w:szCs w:val="20"/>
          <w:color w:val="auto"/>
        </w:rPr>
      </w:pPr>
    </w:p>
    <w:p>
      <w:pPr>
        <w:spacing w:after="0"/>
        <w:rPr>
          <w:sz w:val="20"/>
          <w:szCs w:val="20"/>
          <w:color w:val="auto"/>
        </w:rPr>
      </w:pPr>
      <w:r>
        <w:rPr>
          <w:rFonts w:ascii="Arial" w:cs="Arial" w:eastAsia="Arial" w:hAnsi="Arial"/>
          <w:sz w:val="13"/>
          <w:szCs w:val="13"/>
          <w:color w:val="auto"/>
        </w:rPr>
        <w:t>NEOs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640"/>
        <w:spacing w:after="0"/>
        <w:rPr>
          <w:sz w:val="20"/>
          <w:szCs w:val="20"/>
          <w:color w:val="auto"/>
        </w:rPr>
      </w:pPr>
      <w:r>
        <w:rPr>
          <w:rFonts w:ascii="Arial" w:cs="Arial" w:eastAsia="Arial" w:hAnsi="Arial"/>
          <w:sz w:val="12"/>
          <w:szCs w:val="12"/>
          <w:color w:val="auto"/>
        </w:rPr>
        <w:t>Managing Directors</w:t>
      </w:r>
    </w:p>
    <w:p>
      <w:pPr>
        <w:spacing w:after="0" w:line="9" w:lineRule="exact"/>
        <w:rPr>
          <w:sz w:val="20"/>
          <w:szCs w:val="20"/>
          <w:color w:val="auto"/>
        </w:rPr>
      </w:pPr>
    </w:p>
    <w:p>
      <w:pPr>
        <w:jc w:val="center"/>
        <w:ind w:right="-640"/>
        <w:spacing w:after="0"/>
        <w:rPr>
          <w:sz w:val="20"/>
          <w:szCs w:val="20"/>
          <w:color w:val="auto"/>
        </w:rPr>
      </w:pPr>
      <w:r>
        <w:rPr>
          <w:rFonts w:ascii="Arial" w:cs="Arial" w:eastAsia="Arial" w:hAnsi="Arial"/>
          <w:sz w:val="13"/>
          <w:szCs w:val="13"/>
          <w:color w:val="auto"/>
        </w:rPr>
        <w:t>and Principals</w:t>
      </w:r>
    </w:p>
    <w:p>
      <w:pPr>
        <w:spacing w:after="0" w:line="325" w:lineRule="exact"/>
        <w:rPr>
          <w:sz w:val="20"/>
          <w:szCs w:val="20"/>
          <w:color w:val="auto"/>
        </w:rPr>
      </w:pPr>
    </w:p>
    <w:p>
      <w:pPr>
        <w:sectPr>
          <w:pgSz w:w="11900" w:h="16858" w:orient="portrait"/>
          <w:cols w:equalWidth="0" w:num="2">
            <w:col w:w="6000" w:space="720"/>
            <w:col w:w="2339"/>
          </w:cols>
          <w:pgMar w:left="1400" w:top="891" w:right="1440" w:bottom="0" w:gutter="0" w:footer="0" w:header="0"/>
          <w:type w:val="continuous"/>
        </w:sectPr>
      </w:pPr>
    </w:p>
    <w:p>
      <w:pPr>
        <w:spacing w:after="0" w:line="229" w:lineRule="exact"/>
        <w:rPr>
          <w:sz w:val="20"/>
          <w:szCs w:val="20"/>
          <w:color w:val="auto"/>
        </w:rPr>
      </w:pPr>
    </w:p>
    <w:p>
      <w:pPr>
        <w:ind w:left="60"/>
        <w:spacing w:after="0"/>
        <w:tabs>
          <w:tab w:leader="none" w:pos="444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13"/>
          <w:szCs w:val="13"/>
          <w:b w:val="1"/>
          <w:bCs w:val="1"/>
          <w:color w:val="00558C"/>
        </w:rPr>
        <w:t>68</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420370</wp:posOffset>
            </wp:positionV>
            <wp:extent cx="6810375" cy="13449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10375" cy="1344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540" w:val="left"/>
          <w:tab w:leader="none" w:pos="7360" w:val="left"/>
          <w:tab w:leader="none" w:pos="8400" w:val="left"/>
        </w:tabs>
        <w:rPr>
          <w:sz w:val="20"/>
          <w:szCs w:val="20"/>
          <w:color w:val="auto"/>
        </w:rPr>
      </w:pPr>
      <w:r>
        <w:rPr>
          <w:rFonts w:ascii="Arial" w:cs="Arial" w:eastAsia="Arial" w:hAnsi="Arial"/>
          <w:sz w:val="13"/>
          <w:szCs w:val="13"/>
          <w:b w:val="1"/>
          <w:bCs w:val="1"/>
          <w:color w:val="B2B3B6"/>
        </w:rPr>
        <w:t>General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Corporate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Executive</w:t>
      </w:r>
      <w:r>
        <w:rPr>
          <w:sz w:val="20"/>
          <w:szCs w:val="20"/>
          <w:color w:val="auto"/>
        </w:rPr>
        <w:tab/>
      </w:r>
      <w:r>
        <w:rPr>
          <w:rFonts w:ascii="Arial" w:cs="Arial" w:eastAsia="Arial" w:hAnsi="Arial"/>
          <w:sz w:val="13"/>
          <w:szCs w:val="13"/>
          <w:b w:val="1"/>
          <w:bCs w:val="1"/>
          <w:color w:val="6AAA37"/>
        </w:rPr>
        <w:t>Proposal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Stockholder</w:t>
      </w:r>
      <w:r>
        <w:rPr>
          <w:sz w:val="20"/>
          <w:szCs w:val="20"/>
          <w:color w:val="auto"/>
        </w:rPr>
        <w:tab/>
      </w:r>
      <w:r>
        <w:rPr>
          <w:rFonts w:ascii="Arial" w:cs="Arial" w:eastAsia="Arial" w:hAnsi="Arial"/>
          <w:sz w:val="12"/>
          <w:szCs w:val="12"/>
          <w:b w:val="1"/>
          <w:bCs w:val="1"/>
          <w:color w:val="B2B3B6"/>
        </w:rPr>
        <w:t>Other</w:t>
      </w:r>
    </w:p>
    <w:p>
      <w:pPr>
        <w:spacing w:after="0" w:line="11"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540" w:val="left"/>
          <w:tab w:leader="none" w:pos="7360" w:val="left"/>
          <w:tab w:leader="none" w:pos="8400" w:val="left"/>
        </w:tabs>
        <w:rPr>
          <w:sz w:val="20"/>
          <w:szCs w:val="20"/>
          <w:color w:val="auto"/>
        </w:rPr>
      </w:pPr>
      <w:r>
        <w:rPr>
          <w:rFonts w:ascii="Arial" w:cs="Arial" w:eastAsia="Arial" w:hAnsi="Arial"/>
          <w:sz w:val="13"/>
          <w:szCs w:val="13"/>
          <w:b w:val="1"/>
          <w:bCs w:val="1"/>
          <w:color w:val="B2B3B6"/>
        </w:rPr>
        <w:t>Information</w:t>
      </w:r>
      <w:r>
        <w:rPr>
          <w:sz w:val="20"/>
          <w:szCs w:val="20"/>
          <w:color w:val="auto"/>
        </w:rPr>
        <w:tab/>
      </w:r>
      <w:r>
        <w:rPr>
          <w:rFonts w:ascii="Arial" w:cs="Arial" w:eastAsia="Arial" w:hAnsi="Arial"/>
          <w:sz w:val="13"/>
          <w:szCs w:val="13"/>
          <w:b w:val="1"/>
          <w:bCs w:val="1"/>
          <w:color w:val="B2B3B6"/>
        </w:rPr>
        <w:t>One</w:t>
      </w:r>
      <w:r>
        <w:rPr>
          <w:sz w:val="20"/>
          <w:szCs w:val="20"/>
          <w:color w:val="auto"/>
        </w:rPr>
        <w:tab/>
      </w:r>
      <w:r>
        <w:rPr>
          <w:rFonts w:ascii="Arial" w:cs="Arial" w:eastAsia="Arial" w:hAnsi="Arial"/>
          <w:sz w:val="13"/>
          <w:szCs w:val="13"/>
          <w:b w:val="1"/>
          <w:bCs w:val="1"/>
          <w:color w:val="B2B3B6"/>
        </w:rPr>
        <w:t>Governance</w:t>
      </w:r>
      <w:r>
        <w:rPr>
          <w:sz w:val="20"/>
          <w:szCs w:val="20"/>
          <w:color w:val="auto"/>
        </w:rPr>
        <w:tab/>
      </w:r>
      <w:r>
        <w:rPr>
          <w:rFonts w:ascii="Arial" w:cs="Arial" w:eastAsia="Arial" w:hAnsi="Arial"/>
          <w:sz w:val="13"/>
          <w:szCs w:val="13"/>
          <w:b w:val="1"/>
          <w:bCs w:val="1"/>
          <w:color w:val="B2B3B6"/>
        </w:rPr>
        <w:t>Two</w:t>
      </w:r>
      <w:r>
        <w:rPr>
          <w:sz w:val="20"/>
          <w:szCs w:val="20"/>
          <w:color w:val="auto"/>
        </w:rPr>
        <w:tab/>
      </w:r>
      <w:r>
        <w:rPr>
          <w:rFonts w:ascii="Arial" w:cs="Arial" w:eastAsia="Arial" w:hAnsi="Arial"/>
          <w:sz w:val="13"/>
          <w:szCs w:val="13"/>
          <w:b w:val="1"/>
          <w:bCs w:val="1"/>
          <w:color w:val="B2B3B6"/>
        </w:rPr>
        <w:t>Compensation</w:t>
      </w:r>
      <w:r>
        <w:rPr>
          <w:sz w:val="20"/>
          <w:szCs w:val="20"/>
          <w:color w:val="auto"/>
        </w:rPr>
        <w:tab/>
      </w:r>
      <w:r>
        <w:rPr>
          <w:rFonts w:ascii="Arial" w:cs="Arial" w:eastAsia="Arial" w:hAnsi="Arial"/>
          <w:sz w:val="13"/>
          <w:szCs w:val="13"/>
          <w:b w:val="1"/>
          <w:bCs w:val="1"/>
          <w:color w:val="6AAA37"/>
        </w:rPr>
        <w:t>Three</w:t>
      </w:r>
      <w:r>
        <w:rPr>
          <w:sz w:val="20"/>
          <w:szCs w:val="20"/>
          <w:color w:val="auto"/>
        </w:rPr>
        <w:tab/>
      </w:r>
      <w:r>
        <w:rPr>
          <w:rFonts w:ascii="Arial" w:cs="Arial" w:eastAsia="Arial" w:hAnsi="Arial"/>
          <w:sz w:val="13"/>
          <w:szCs w:val="13"/>
          <w:b w:val="1"/>
          <w:bCs w:val="1"/>
          <w:color w:val="B2B3B6"/>
        </w:rPr>
        <w:t>Four</w:t>
      </w:r>
      <w:r>
        <w:rPr>
          <w:sz w:val="20"/>
          <w:szCs w:val="20"/>
          <w:color w:val="auto"/>
        </w:rPr>
        <w:tab/>
      </w:r>
      <w:r>
        <w:rPr>
          <w:rFonts w:ascii="Arial" w:cs="Arial" w:eastAsia="Arial" w:hAnsi="Arial"/>
          <w:sz w:val="13"/>
          <w:szCs w:val="13"/>
          <w:b w:val="1"/>
          <w:bCs w:val="1"/>
          <w:color w:val="B2B3B6"/>
        </w:rPr>
        <w:t>Five</w:t>
      </w:r>
      <w:r>
        <w:rPr>
          <w:sz w:val="20"/>
          <w:szCs w:val="20"/>
          <w:color w:val="auto"/>
        </w:rPr>
        <w:tab/>
      </w:r>
      <w:r>
        <w:rPr>
          <w:rFonts w:ascii="Arial" w:cs="Arial" w:eastAsia="Arial" w:hAnsi="Arial"/>
          <w:sz w:val="13"/>
          <w:szCs w:val="13"/>
          <w:b w:val="1"/>
          <w:bCs w:val="1"/>
          <w:color w:val="B2B3B6"/>
        </w:rPr>
        <w:t>Proposals</w:t>
      </w:r>
      <w:r>
        <w:rPr>
          <w:sz w:val="20"/>
          <w:szCs w:val="20"/>
          <w:color w:val="auto"/>
        </w:rPr>
        <w:tab/>
      </w:r>
      <w:r>
        <w:rPr>
          <w:rFonts w:ascii="Arial" w:cs="Arial" w:eastAsia="Arial" w:hAnsi="Arial"/>
          <w:sz w:val="12"/>
          <w:szCs w:val="12"/>
          <w:b w:val="1"/>
          <w:bCs w:val="1"/>
          <w:color w:val="B2B3B6"/>
        </w:rPr>
        <w:t>Matters</w:t>
      </w:r>
    </w:p>
    <w:p>
      <w:pPr>
        <w:spacing w:after="0" w:line="382" w:lineRule="exact"/>
        <w:rPr>
          <w:sz w:val="20"/>
          <w:szCs w:val="20"/>
          <w:color w:val="auto"/>
        </w:rPr>
      </w:pPr>
    </w:p>
    <w:p>
      <w:pPr>
        <w:ind w:right="39"/>
        <w:spacing w:after="0" w:line="301" w:lineRule="auto"/>
        <w:rPr>
          <w:sz w:val="20"/>
          <w:szCs w:val="20"/>
          <w:color w:val="auto"/>
        </w:rPr>
      </w:pPr>
      <w:r>
        <w:rPr>
          <w:rFonts w:ascii="Arial" w:cs="Arial" w:eastAsia="Arial" w:hAnsi="Arial"/>
          <w:sz w:val="16"/>
          <w:szCs w:val="16"/>
          <w:color w:val="auto"/>
        </w:rPr>
        <w:t>and performance-based stock options whose funding is tied to predefined financial goals of their business units. We believe that our ability to offer these long-term equity incentives encourages an ownership mindset that aligns employee performance, enterprise objectives and stockholder success, that cannot be as effectively achieved with cash awards alone.</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As of March 10, 2025, 620,157 shares of common stock remained available for grant under the Plan. With approval for the</w:t>
      </w:r>
    </w:p>
    <w:p>
      <w:pPr>
        <w:sectPr>
          <w:pgSz w:w="11900" w:h="16858" w:orient="portrait"/>
          <w:cols w:equalWidth="0" w:num="1">
            <w:col w:w="9059"/>
          </w:cols>
          <w:pgMar w:left="1400" w:top="891" w:right="1440" w:bottom="0" w:gutter="0" w:footer="0" w:header="0"/>
          <w:type w:val="continuous"/>
        </w:sectPr>
      </w:pPr>
    </w:p>
    <w:bookmarkStart w:id="69" w:name="page70"/>
    <w:bookmarkEnd w:id="69"/>
    <w:p>
      <w:pPr>
        <w:spacing w:after="0" w:line="7" w:lineRule="exact"/>
        <w:rPr>
          <w:sz w:val="20"/>
          <w:szCs w:val="20"/>
          <w:color w:val="auto"/>
        </w:rPr>
      </w:pPr>
    </w:p>
    <w:p>
      <w:pPr>
        <w:jc w:val="both"/>
        <w:ind w:right="140"/>
        <w:spacing w:after="0" w:line="300" w:lineRule="auto"/>
        <w:rPr>
          <w:sz w:val="20"/>
          <w:szCs w:val="20"/>
          <w:color w:val="auto"/>
        </w:rPr>
      </w:pPr>
      <w:r>
        <w:rPr>
          <w:rFonts w:ascii="Arial" w:cs="Arial" w:eastAsia="Arial" w:hAnsi="Arial"/>
          <w:sz w:val="16"/>
          <w:szCs w:val="16"/>
          <w:color w:val="auto"/>
        </w:rPr>
        <w:t>900,000 share increase proposed, the total number of shares available for future grant will increase to 1,520,157 shares. We estimate the increased shares available for grant will be sufficient to cover all grants to be made under the Plan over the next two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-421005</wp:posOffset>
            </wp:positionV>
            <wp:extent cx="6810375" cy="75114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10375" cy="751141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Considerations</w:t>
      </w:r>
    </w:p>
    <w:p>
      <w:pPr>
        <w:spacing w:after="0" w:line="81"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When approving the amendment to the Plan, the Board considered the Plan's utilization metrics, including burn rate and overhang. The burn rate is equal to the sum of the total number of time-based equity awards granted in a fiscal year and the total number of performance-based awards vested during a fiscal year, divided by the weighted average common stock outstanding during the year. Overhang is equal to the total number of equity awards outstanding, adjusted for performance-based awards expected to be forfeited in the subsequent year's first quarter due to not meeting specified financial metrics, plus the total number of shares available for grant under the Company’s equity plan divided by the total common stock outstanding. The Company’s three-year average burn rate</w:t>
      </w:r>
      <w:r>
        <w:rPr>
          <w:rFonts w:ascii="Arial" w:cs="Arial" w:eastAsia="Arial" w:hAnsi="Arial"/>
          <w:sz w:val="21"/>
          <w:szCs w:val="21"/>
          <w:color w:val="auto"/>
          <w:vertAlign w:val="superscript"/>
        </w:rPr>
        <w:t>9</w:t>
      </w:r>
      <w:r>
        <w:rPr>
          <w:rFonts w:ascii="Arial" w:cs="Arial" w:eastAsia="Arial" w:hAnsi="Arial"/>
          <w:sz w:val="16"/>
          <w:szCs w:val="16"/>
          <w:color w:val="auto"/>
        </w:rPr>
        <w:t xml:space="preserve"> for the last three fiscal years was 3.2%. The Company’s overhang</w:t>
      </w:r>
      <w:r>
        <w:rPr>
          <w:rFonts w:ascii="Arial" w:cs="Arial" w:eastAsia="Arial" w:hAnsi="Arial"/>
          <w:sz w:val="21"/>
          <w:szCs w:val="21"/>
          <w:color w:val="auto"/>
          <w:vertAlign w:val="superscript"/>
        </w:rPr>
        <w:t>10</w:t>
      </w:r>
      <w:r>
        <w:rPr>
          <w:rFonts w:ascii="Arial" w:cs="Arial" w:eastAsia="Arial" w:hAnsi="Arial"/>
          <w:sz w:val="16"/>
          <w:szCs w:val="16"/>
          <w:color w:val="auto"/>
        </w:rPr>
        <w:t xml:space="preserve"> as of the Record Date was 9.3%. If the Plan is approved, the Company’s overhang would increase to approximately 13.2%.</w:t>
      </w:r>
    </w:p>
    <w:p>
      <w:pPr>
        <w:spacing w:after="0" w:line="112" w:lineRule="exact"/>
        <w:rPr>
          <w:sz w:val="20"/>
          <w:szCs w:val="20"/>
          <w:color w:val="auto"/>
        </w:rPr>
      </w:pPr>
    </w:p>
    <w:p>
      <w:pPr>
        <w:ind w:right="240"/>
        <w:spacing w:after="0" w:line="321" w:lineRule="auto"/>
        <w:rPr>
          <w:sz w:val="20"/>
          <w:szCs w:val="20"/>
          <w:color w:val="auto"/>
        </w:rPr>
      </w:pPr>
      <w:r>
        <w:rPr>
          <w:rFonts w:ascii="Arial" w:cs="Arial" w:eastAsia="Arial" w:hAnsi="Arial"/>
          <w:sz w:val="16"/>
          <w:szCs w:val="16"/>
          <w:color w:val="auto"/>
        </w:rPr>
        <w:t>The following table sets forth information regarding outstanding equity awards and shares available for future equity awards under the Plan as of March 10, 2025 (without giving effect to approval of the Plan):</w:t>
      </w:r>
    </w:p>
    <w:p>
      <w:pPr>
        <w:sectPr>
          <w:pgSz w:w="11900" w:h="16845" w:orient="portrait"/>
          <w:cols w:equalWidth="0" w:num="1">
            <w:col w:w="9080"/>
          </w:cols>
          <w:pgMar w:left="1400" w:top="114" w:right="1419" w:bottom="0" w:gutter="0" w:footer="0" w:header="0"/>
        </w:sectPr>
      </w:pPr>
    </w:p>
    <w:p>
      <w:pPr>
        <w:spacing w:after="0" w:line="250"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FFFFFF"/>
        </w:rPr>
        <w:t>As of March 10, 2025:</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Stock options outstanding</w:t>
      </w:r>
      <w:r>
        <w:rPr>
          <w:rFonts w:ascii="Arial" w:cs="Arial" w:eastAsia="Arial" w:hAnsi="Arial"/>
          <w:sz w:val="18"/>
          <w:szCs w:val="18"/>
          <w:b w:val="1"/>
          <w:bCs w:val="1"/>
          <w:color w:val="auto"/>
          <w:vertAlign w:val="superscript"/>
        </w:rPr>
        <w:t>(1)</w:t>
      </w:r>
    </w:p>
    <w:p>
      <w:pPr>
        <w:spacing w:after="0" w:line="254"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Weighted average exercise price of stock options outstanding</w:t>
      </w:r>
    </w:p>
    <w:p>
      <w:pPr>
        <w:spacing w:after="0" w:line="285"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Weighted average remaining contractual life of stock options outstanding</w:t>
      </w:r>
    </w:p>
    <w:p>
      <w:pPr>
        <w:spacing w:after="0" w:line="190" w:lineRule="exact"/>
        <w:rPr>
          <w:sz w:val="20"/>
          <w:szCs w:val="20"/>
          <w:color w:val="auto"/>
        </w:rPr>
      </w:pPr>
    </w:p>
    <w:p>
      <w:pPr>
        <w:ind w:left="160"/>
        <w:spacing w:after="0" w:line="314" w:lineRule="auto"/>
        <w:rPr>
          <w:sz w:val="20"/>
          <w:szCs w:val="20"/>
          <w:color w:val="auto"/>
        </w:rPr>
      </w:pPr>
      <w:r>
        <w:rPr>
          <w:rFonts w:ascii="Arial" w:cs="Arial" w:eastAsia="Arial" w:hAnsi="Arial"/>
          <w:sz w:val="14"/>
          <w:szCs w:val="14"/>
          <w:b w:val="1"/>
          <w:bCs w:val="1"/>
          <w:color w:val="auto"/>
        </w:rPr>
        <w:t>Shares subject to outstanding restricted stock, restricted stock units, and other full value awards (unvested and unearned)</w:t>
      </w:r>
    </w:p>
    <w:p>
      <w:pPr>
        <w:spacing w:after="0" w:line="119"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Shares remaining for grant under the existing Amended and Restated 2012 Omnibus Incentive Plan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right"/>
        <w:ind w:right="360"/>
        <w:spacing w:after="0"/>
        <w:rPr>
          <w:sz w:val="20"/>
          <w:szCs w:val="20"/>
          <w:color w:val="auto"/>
        </w:rPr>
      </w:pPr>
      <w:r>
        <w:rPr>
          <w:rFonts w:ascii="Arial" w:cs="Arial" w:eastAsia="Arial" w:hAnsi="Arial"/>
          <w:sz w:val="14"/>
          <w:szCs w:val="14"/>
          <w:color w:val="auto"/>
        </w:rPr>
        <w:t>145,568</w:t>
      </w:r>
    </w:p>
    <w:p>
      <w:pPr>
        <w:spacing w:after="0" w:line="285" w:lineRule="exact"/>
        <w:rPr>
          <w:sz w:val="20"/>
          <w:szCs w:val="20"/>
          <w:color w:val="auto"/>
        </w:rPr>
      </w:pPr>
    </w:p>
    <w:p>
      <w:pPr>
        <w:ind w:left="160"/>
        <w:spacing w:after="0"/>
        <w:rPr>
          <w:sz w:val="20"/>
          <w:szCs w:val="20"/>
          <w:color w:val="auto"/>
        </w:rPr>
      </w:pPr>
      <w:r>
        <w:rPr>
          <w:rFonts w:ascii="Arial" w:cs="Arial" w:eastAsia="Arial" w:hAnsi="Arial"/>
          <w:sz w:val="14"/>
          <w:szCs w:val="14"/>
          <w:color w:val="auto"/>
        </w:rPr>
        <w:t>$80.36</w:t>
      </w:r>
    </w:p>
    <w:p>
      <w:pPr>
        <w:spacing w:after="0" w:line="285" w:lineRule="exact"/>
        <w:rPr>
          <w:sz w:val="20"/>
          <w:szCs w:val="20"/>
          <w:color w:val="auto"/>
        </w:rPr>
      </w:pPr>
    </w:p>
    <w:p>
      <w:pPr>
        <w:ind w:left="20"/>
        <w:spacing w:after="0"/>
        <w:rPr>
          <w:sz w:val="20"/>
          <w:szCs w:val="20"/>
          <w:color w:val="auto"/>
        </w:rPr>
      </w:pPr>
      <w:r>
        <w:rPr>
          <w:rFonts w:ascii="Arial" w:cs="Arial" w:eastAsia="Arial" w:hAnsi="Arial"/>
          <w:sz w:val="14"/>
          <w:szCs w:val="14"/>
          <w:color w:val="auto"/>
        </w:rPr>
        <w:t>4.9 years</w:t>
      </w: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color w:val="auto"/>
        </w:rPr>
        <w:t>1,064,195</w:t>
      </w:r>
    </w:p>
    <w:p>
      <w:pPr>
        <w:spacing w:after="0" w:line="285" w:lineRule="exact"/>
        <w:rPr>
          <w:sz w:val="20"/>
          <w:szCs w:val="20"/>
          <w:color w:val="auto"/>
        </w:rPr>
      </w:pPr>
    </w:p>
    <w:p>
      <w:pPr>
        <w:jc w:val="right"/>
        <w:ind w:right="360"/>
        <w:spacing w:after="0"/>
        <w:rPr>
          <w:sz w:val="20"/>
          <w:szCs w:val="20"/>
          <w:color w:val="auto"/>
        </w:rPr>
      </w:pPr>
      <w:r>
        <w:rPr>
          <w:rFonts w:ascii="Arial" w:cs="Arial" w:eastAsia="Arial" w:hAnsi="Arial"/>
          <w:sz w:val="14"/>
          <w:szCs w:val="14"/>
          <w:color w:val="auto"/>
        </w:rPr>
        <w:t>620,157</w:t>
      </w:r>
    </w:p>
    <w:p>
      <w:pPr>
        <w:spacing w:after="0" w:line="200" w:lineRule="exact"/>
        <w:rPr>
          <w:sz w:val="20"/>
          <w:szCs w:val="20"/>
          <w:color w:val="auto"/>
        </w:rPr>
      </w:pPr>
    </w:p>
    <w:p>
      <w:pPr>
        <w:sectPr>
          <w:pgSz w:w="11900" w:h="16845" w:orient="portrait"/>
          <w:cols w:equalWidth="0" w:num="2">
            <w:col w:w="7520" w:space="560"/>
            <w:col w:w="1000"/>
          </w:cols>
          <w:pgMar w:left="1400" w:top="114" w:right="1419" w:bottom="0" w:gutter="0" w:footer="0" w:header="0"/>
          <w:type w:val="continuous"/>
        </w:sectPr>
      </w:pPr>
    </w:p>
    <w:p>
      <w:pPr>
        <w:spacing w:after="0" w:line="85"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5440" w:type="dxa"/>
            <w:vAlign w:val="bottom"/>
          </w:tcPr>
          <w:p>
            <w:pPr>
              <w:ind w:left="120"/>
              <w:spacing w:after="0"/>
              <w:rPr>
                <w:sz w:val="20"/>
                <w:szCs w:val="20"/>
                <w:color w:val="auto"/>
              </w:rPr>
            </w:pPr>
            <w:r>
              <w:rPr>
                <w:rFonts w:ascii="Arial" w:cs="Arial" w:eastAsia="Arial" w:hAnsi="Arial"/>
                <w:sz w:val="14"/>
                <w:szCs w:val="14"/>
                <w:b w:val="1"/>
                <w:bCs w:val="1"/>
                <w:color w:val="auto"/>
              </w:rPr>
              <w:t>Common shares issued and outstanding</w:t>
            </w:r>
          </w:p>
        </w:tc>
        <w:tc>
          <w:tcPr>
            <w:tcW w:w="3580" w:type="dxa"/>
            <w:vAlign w:val="bottom"/>
          </w:tcPr>
          <w:p>
            <w:pPr>
              <w:jc w:val="right"/>
              <w:ind w:right="268"/>
              <w:spacing w:after="0"/>
              <w:rPr>
                <w:sz w:val="20"/>
                <w:szCs w:val="20"/>
                <w:color w:val="auto"/>
              </w:rPr>
            </w:pPr>
            <w:r>
              <w:rPr>
                <w:rFonts w:ascii="Arial" w:cs="Arial" w:eastAsia="Arial" w:hAnsi="Arial"/>
                <w:sz w:val="14"/>
                <w:szCs w:val="14"/>
                <w:color w:val="auto"/>
              </w:rPr>
              <w:t>17,921,212</w:t>
            </w:r>
          </w:p>
        </w:tc>
      </w:tr>
      <w:tr>
        <w:trPr>
          <w:trHeight w:val="96"/>
        </w:trPr>
        <w:tc>
          <w:tcPr>
            <w:tcW w:w="5440" w:type="dxa"/>
            <w:vAlign w:val="bottom"/>
            <w:tcBorders>
              <w:bottom w:val="single" w:sz="8" w:color="B2B3B6"/>
            </w:tcBorders>
          </w:tcPr>
          <w:p>
            <w:pPr>
              <w:spacing w:after="0"/>
              <w:rPr>
                <w:sz w:val="8"/>
                <w:szCs w:val="8"/>
                <w:color w:val="auto"/>
              </w:rPr>
            </w:pPr>
          </w:p>
        </w:tc>
        <w:tc>
          <w:tcPr>
            <w:tcW w:w="3580" w:type="dxa"/>
            <w:vAlign w:val="bottom"/>
            <w:tcBorders>
              <w:bottom w:val="single" w:sz="8" w:color="B2B3B6"/>
            </w:tcBorders>
          </w:tcPr>
          <w:p>
            <w:pPr>
              <w:spacing w:after="0"/>
              <w:rPr>
                <w:sz w:val="8"/>
                <w:szCs w:val="8"/>
                <w:color w:val="auto"/>
              </w:rPr>
            </w:pPr>
          </w:p>
        </w:tc>
      </w:tr>
    </w:tbl>
    <w:p>
      <w:pPr>
        <w:spacing w:after="0" w:line="234" w:lineRule="exact"/>
        <w:rPr>
          <w:sz w:val="20"/>
          <w:szCs w:val="20"/>
          <w:color w:val="auto"/>
        </w:rPr>
      </w:pPr>
    </w:p>
    <w:p>
      <w:pPr>
        <w:ind w:left="420" w:hanging="331"/>
        <w:spacing w:after="0"/>
        <w:tabs>
          <w:tab w:leader="none" w:pos="420" w:val="left"/>
        </w:tabs>
        <w:numPr>
          <w:ilvl w:val="0"/>
          <w:numId w:val="99"/>
        </w:numPr>
        <w:rPr>
          <w:rFonts w:ascii="Arial" w:cs="Arial" w:eastAsia="Arial" w:hAnsi="Arial"/>
          <w:sz w:val="14"/>
          <w:szCs w:val="14"/>
          <w:color w:val="auto"/>
        </w:rPr>
      </w:pPr>
      <w:r>
        <w:rPr>
          <w:rFonts w:ascii="Arial" w:cs="Arial" w:eastAsia="Arial" w:hAnsi="Arial"/>
          <w:sz w:val="14"/>
          <w:szCs w:val="14"/>
          <w:color w:val="auto"/>
        </w:rPr>
        <w:t>Includes both unvested and vested, but unexercised stock options.</w:t>
      </w:r>
    </w:p>
    <w:p>
      <w:pPr>
        <w:spacing w:after="0" w:line="293"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Additionally, the Board considered the Company's outstanding share repurchase authorization which has historically been used, and is expected to continue to be used, to offset, in part, the dilutive impact of equity awards granted under the Plan. In the last three fiscal years, the Company has returned an aggregate of $367.1 million of capital to stockholders through the repurchase of 4.7 million shares of the Company's common stock. As of December 31, 2024, $64.5 million remains available under the current share repurchase authorization.</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See below for additional information on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180" w:firstLine="8"/>
        <w:spacing w:after="0" w:line="220" w:lineRule="auto"/>
        <w:tabs>
          <w:tab w:leader="none" w:pos="80" w:val="left"/>
        </w:tabs>
        <w:numPr>
          <w:ilvl w:val="0"/>
          <w:numId w:val="100"/>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Burn rate is calculated as the sum of the total number of time-vested equity awards granted in a fiscal year and the total number of performance-based awards vested during a fiscal year, divided by the weighted average common stock outstanding during the year.</w:t>
      </w:r>
    </w:p>
    <w:p>
      <w:pPr>
        <w:spacing w:after="0" w:line="1" w:lineRule="exact"/>
        <w:rPr>
          <w:rFonts w:ascii="Arial" w:cs="Arial" w:eastAsia="Arial" w:hAnsi="Arial"/>
          <w:sz w:val="16"/>
          <w:szCs w:val="16"/>
          <w:i w:val="1"/>
          <w:iCs w:val="1"/>
          <w:color w:val="auto"/>
          <w:vertAlign w:val="superscript"/>
        </w:rPr>
      </w:pPr>
    </w:p>
    <w:p>
      <w:pPr>
        <w:ind w:right="240"/>
        <w:spacing w:after="0" w:line="232" w:lineRule="auto"/>
        <w:rPr>
          <w:rFonts w:ascii="Arial" w:cs="Arial" w:eastAsia="Arial" w:hAnsi="Arial"/>
          <w:sz w:val="16"/>
          <w:szCs w:val="16"/>
          <w:i w:val="1"/>
          <w:iCs w:val="1"/>
          <w:color w:val="auto"/>
          <w:vertAlign w:val="superscript"/>
        </w:rPr>
      </w:pPr>
      <w:r>
        <w:rPr>
          <w:rFonts w:ascii="Arial" w:cs="Arial" w:eastAsia="Arial" w:hAnsi="Arial"/>
          <w:sz w:val="16"/>
          <w:szCs w:val="16"/>
          <w:i w:val="1"/>
          <w:iCs w:val="1"/>
          <w:color w:val="auto"/>
          <w:vertAlign w:val="superscript"/>
        </w:rPr>
        <w:t>10</w:t>
      </w:r>
      <w:r>
        <w:rPr>
          <w:rFonts w:ascii="Arial" w:cs="Arial" w:eastAsia="Arial" w:hAnsi="Arial"/>
          <w:sz w:val="13"/>
          <w:szCs w:val="13"/>
          <w:i w:val="1"/>
          <w:iCs w:val="1"/>
          <w:color w:val="auto"/>
        </w:rPr>
        <w:t xml:space="preserve"> Overhang is equal to the total number of equity awards outstanding, adjusted for performance-based awards expected to be granted or forfeited in the subsequent year's first quarter due to the actual achievement of specified financial metrics under the performance-based award terms, plus the total number of shares available for grant under the Company’s equity plan; divided by the sum of the total common stock outstanding, the total number of equity awards outstanding, and the total number of shares available for grant under the Company’s equity plan.</w:t>
      </w:r>
    </w:p>
    <w:p>
      <w:pPr>
        <w:spacing w:after="0" w:line="322" w:lineRule="exact"/>
        <w:rPr>
          <w:sz w:val="20"/>
          <w:szCs w:val="20"/>
          <w:color w:val="auto"/>
        </w:rPr>
      </w:pPr>
    </w:p>
    <w:p>
      <w:pPr>
        <w:ind w:left="60"/>
        <w:spacing w:after="0"/>
        <w:tabs>
          <w:tab w:leader="none" w:pos="444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13"/>
          <w:szCs w:val="13"/>
          <w:b w:val="1"/>
          <w:bCs w:val="1"/>
          <w:color w:val="00558C"/>
        </w:rPr>
        <w:t>69</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420370</wp:posOffset>
            </wp:positionV>
            <wp:extent cx="6810375" cy="292227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10375" cy="2922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540" w:val="left"/>
          <w:tab w:leader="none" w:pos="7360" w:val="left"/>
          <w:tab w:leader="none" w:pos="8400" w:val="left"/>
        </w:tabs>
        <w:rPr>
          <w:sz w:val="20"/>
          <w:szCs w:val="20"/>
          <w:color w:val="auto"/>
        </w:rPr>
      </w:pPr>
      <w:r>
        <w:rPr>
          <w:rFonts w:ascii="Arial" w:cs="Arial" w:eastAsia="Arial" w:hAnsi="Arial"/>
          <w:sz w:val="13"/>
          <w:szCs w:val="13"/>
          <w:b w:val="1"/>
          <w:bCs w:val="1"/>
          <w:color w:val="B2B3B6"/>
        </w:rPr>
        <w:t>General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Corporate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Executive</w:t>
      </w:r>
      <w:r>
        <w:rPr>
          <w:sz w:val="20"/>
          <w:szCs w:val="20"/>
          <w:color w:val="auto"/>
        </w:rPr>
        <w:tab/>
      </w:r>
      <w:r>
        <w:rPr>
          <w:rFonts w:ascii="Arial" w:cs="Arial" w:eastAsia="Arial" w:hAnsi="Arial"/>
          <w:sz w:val="13"/>
          <w:szCs w:val="13"/>
          <w:b w:val="1"/>
          <w:bCs w:val="1"/>
          <w:color w:val="6AAA37"/>
        </w:rPr>
        <w:t>Proposal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Stockholder</w:t>
      </w:r>
      <w:r>
        <w:rPr>
          <w:sz w:val="20"/>
          <w:szCs w:val="20"/>
          <w:color w:val="auto"/>
        </w:rPr>
        <w:tab/>
      </w:r>
      <w:r>
        <w:rPr>
          <w:rFonts w:ascii="Arial" w:cs="Arial" w:eastAsia="Arial" w:hAnsi="Arial"/>
          <w:sz w:val="12"/>
          <w:szCs w:val="12"/>
          <w:b w:val="1"/>
          <w:bCs w:val="1"/>
          <w:color w:val="B2B3B6"/>
        </w:rPr>
        <w:t>Other</w:t>
      </w:r>
    </w:p>
    <w:p>
      <w:pPr>
        <w:spacing w:after="0" w:line="11"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540" w:val="left"/>
          <w:tab w:leader="none" w:pos="7360" w:val="left"/>
          <w:tab w:leader="none" w:pos="8400" w:val="left"/>
        </w:tabs>
        <w:rPr>
          <w:sz w:val="20"/>
          <w:szCs w:val="20"/>
          <w:color w:val="auto"/>
        </w:rPr>
      </w:pPr>
      <w:r>
        <w:rPr>
          <w:rFonts w:ascii="Arial" w:cs="Arial" w:eastAsia="Arial" w:hAnsi="Arial"/>
          <w:sz w:val="13"/>
          <w:szCs w:val="13"/>
          <w:b w:val="1"/>
          <w:bCs w:val="1"/>
          <w:color w:val="B2B3B6"/>
        </w:rPr>
        <w:t>Information</w:t>
      </w:r>
      <w:r>
        <w:rPr>
          <w:sz w:val="20"/>
          <w:szCs w:val="20"/>
          <w:color w:val="auto"/>
        </w:rPr>
        <w:tab/>
      </w:r>
      <w:r>
        <w:rPr>
          <w:rFonts w:ascii="Arial" w:cs="Arial" w:eastAsia="Arial" w:hAnsi="Arial"/>
          <w:sz w:val="13"/>
          <w:szCs w:val="13"/>
          <w:b w:val="1"/>
          <w:bCs w:val="1"/>
          <w:color w:val="B2B3B6"/>
        </w:rPr>
        <w:t>One</w:t>
      </w:r>
      <w:r>
        <w:rPr>
          <w:sz w:val="20"/>
          <w:szCs w:val="20"/>
          <w:color w:val="auto"/>
        </w:rPr>
        <w:tab/>
      </w:r>
      <w:r>
        <w:rPr>
          <w:rFonts w:ascii="Arial" w:cs="Arial" w:eastAsia="Arial" w:hAnsi="Arial"/>
          <w:sz w:val="13"/>
          <w:szCs w:val="13"/>
          <w:b w:val="1"/>
          <w:bCs w:val="1"/>
          <w:color w:val="B2B3B6"/>
        </w:rPr>
        <w:t>Governance</w:t>
      </w:r>
      <w:r>
        <w:rPr>
          <w:sz w:val="20"/>
          <w:szCs w:val="20"/>
          <w:color w:val="auto"/>
        </w:rPr>
        <w:tab/>
      </w:r>
      <w:r>
        <w:rPr>
          <w:rFonts w:ascii="Arial" w:cs="Arial" w:eastAsia="Arial" w:hAnsi="Arial"/>
          <w:sz w:val="13"/>
          <w:szCs w:val="13"/>
          <w:b w:val="1"/>
          <w:bCs w:val="1"/>
          <w:color w:val="B2B3B6"/>
        </w:rPr>
        <w:t>Two</w:t>
      </w:r>
      <w:r>
        <w:rPr>
          <w:sz w:val="20"/>
          <w:szCs w:val="20"/>
          <w:color w:val="auto"/>
        </w:rPr>
        <w:tab/>
      </w:r>
      <w:r>
        <w:rPr>
          <w:rFonts w:ascii="Arial" w:cs="Arial" w:eastAsia="Arial" w:hAnsi="Arial"/>
          <w:sz w:val="13"/>
          <w:szCs w:val="13"/>
          <w:b w:val="1"/>
          <w:bCs w:val="1"/>
          <w:color w:val="B2B3B6"/>
        </w:rPr>
        <w:t>Compensation</w:t>
      </w:r>
      <w:r>
        <w:rPr>
          <w:sz w:val="20"/>
          <w:szCs w:val="20"/>
          <w:color w:val="auto"/>
        </w:rPr>
        <w:tab/>
      </w:r>
      <w:r>
        <w:rPr>
          <w:rFonts w:ascii="Arial" w:cs="Arial" w:eastAsia="Arial" w:hAnsi="Arial"/>
          <w:sz w:val="13"/>
          <w:szCs w:val="13"/>
          <w:b w:val="1"/>
          <w:bCs w:val="1"/>
          <w:color w:val="6AAA37"/>
        </w:rPr>
        <w:t>Three</w:t>
      </w:r>
      <w:r>
        <w:rPr>
          <w:sz w:val="20"/>
          <w:szCs w:val="20"/>
          <w:color w:val="auto"/>
        </w:rPr>
        <w:tab/>
      </w:r>
      <w:r>
        <w:rPr>
          <w:rFonts w:ascii="Arial" w:cs="Arial" w:eastAsia="Arial" w:hAnsi="Arial"/>
          <w:sz w:val="13"/>
          <w:szCs w:val="13"/>
          <w:b w:val="1"/>
          <w:bCs w:val="1"/>
          <w:color w:val="B2B3B6"/>
        </w:rPr>
        <w:t>Four</w:t>
      </w:r>
      <w:r>
        <w:rPr>
          <w:sz w:val="20"/>
          <w:szCs w:val="20"/>
          <w:color w:val="auto"/>
        </w:rPr>
        <w:tab/>
      </w:r>
      <w:r>
        <w:rPr>
          <w:rFonts w:ascii="Arial" w:cs="Arial" w:eastAsia="Arial" w:hAnsi="Arial"/>
          <w:sz w:val="13"/>
          <w:szCs w:val="13"/>
          <w:b w:val="1"/>
          <w:bCs w:val="1"/>
          <w:color w:val="B2B3B6"/>
        </w:rPr>
        <w:t>Five</w:t>
      </w:r>
      <w:r>
        <w:rPr>
          <w:sz w:val="20"/>
          <w:szCs w:val="20"/>
          <w:color w:val="auto"/>
        </w:rPr>
        <w:tab/>
      </w:r>
      <w:r>
        <w:rPr>
          <w:rFonts w:ascii="Arial" w:cs="Arial" w:eastAsia="Arial" w:hAnsi="Arial"/>
          <w:sz w:val="13"/>
          <w:szCs w:val="13"/>
          <w:b w:val="1"/>
          <w:bCs w:val="1"/>
          <w:color w:val="B2B3B6"/>
        </w:rPr>
        <w:t>Proposals</w:t>
      </w:r>
      <w:r>
        <w:rPr>
          <w:sz w:val="20"/>
          <w:szCs w:val="20"/>
          <w:color w:val="auto"/>
        </w:rPr>
        <w:tab/>
      </w:r>
      <w:r>
        <w:rPr>
          <w:rFonts w:ascii="Arial" w:cs="Arial" w:eastAsia="Arial" w:hAnsi="Arial"/>
          <w:sz w:val="12"/>
          <w:szCs w:val="12"/>
          <w:b w:val="1"/>
          <w:bCs w:val="1"/>
          <w:color w:val="B2B3B6"/>
        </w:rPr>
        <w:t>Matters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Required</w:t>
      </w:r>
    </w:p>
    <w:p>
      <w:pPr>
        <w:spacing w:after="0" w:line="68"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The approval of the amendment to the Plan requires the affirmative vote of the holders of a majority of the total shares of common stock present in person, or represented by proxy, and entitled to vote on the proposal, provided that a quorum is represented at the Annual Meeting. Abstentions will have the same effect as a vote against the proposal. Broker non-votes will not be considered shares entitled to vote with respect to approval of the proposal and therefore will have no effect on the outcome of the proposal. Executed proxies will be voted “FOR” the approval of the proposal, unless specified otherwise.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Plan</w:t>
      </w:r>
    </w:p>
    <w:p>
      <w:pPr>
        <w:spacing w:after="0" w:line="81" w:lineRule="exact"/>
        <w:rPr>
          <w:sz w:val="20"/>
          <w:szCs w:val="20"/>
          <w:color w:val="auto"/>
        </w:rPr>
      </w:pPr>
    </w:p>
    <w:p>
      <w:pPr>
        <w:ind w:right="40"/>
        <w:spacing w:after="0" w:line="321" w:lineRule="auto"/>
        <w:rPr>
          <w:sz w:val="20"/>
          <w:szCs w:val="20"/>
          <w:color w:val="auto"/>
        </w:rPr>
      </w:pPr>
      <w:r>
        <w:rPr>
          <w:rFonts w:ascii="Arial" w:cs="Arial" w:eastAsia="Arial" w:hAnsi="Arial"/>
          <w:sz w:val="16"/>
          <w:szCs w:val="16"/>
          <w:color w:val="auto"/>
        </w:rPr>
        <w:t>The summary of the material features of the Plan set forth below is qualified in its entirety by the specific language of the Plan, a copy of which is attached as Appendix A to this Proxy Statement.</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There are several types of awards that may be granted under the Plan:</w:t>
      </w:r>
    </w:p>
    <w:p>
      <w:pPr>
        <w:spacing w:after="0" w:line="127" w:lineRule="exact"/>
        <w:rPr>
          <w:sz w:val="20"/>
          <w:szCs w:val="20"/>
          <w:color w:val="auto"/>
        </w:rPr>
      </w:pPr>
    </w:p>
    <w:p>
      <w:pPr>
        <w:ind w:left="180" w:right="860" w:hanging="172"/>
        <w:spacing w:after="0" w:line="321" w:lineRule="auto"/>
        <w:tabs>
          <w:tab w:leader="none" w:pos="180" w:val="left"/>
        </w:tabs>
        <w:numPr>
          <w:ilvl w:val="0"/>
          <w:numId w:val="101"/>
        </w:numPr>
        <w:rPr>
          <w:rFonts w:ascii="Arial" w:cs="Arial" w:eastAsia="Arial" w:hAnsi="Arial"/>
          <w:sz w:val="16"/>
          <w:szCs w:val="16"/>
          <w:b w:val="1"/>
          <w:bCs w:val="1"/>
          <w:color w:val="6AAA37"/>
        </w:rPr>
      </w:pPr>
      <w:r>
        <w:rPr>
          <w:rFonts w:ascii="Arial" w:cs="Arial" w:eastAsia="Arial" w:hAnsi="Arial"/>
          <w:sz w:val="16"/>
          <w:szCs w:val="16"/>
          <w:color w:val="auto"/>
        </w:rPr>
        <w:t>stock options (including both incentive stock options (“ISOs”), within the meaning of Section 422 of the Code and nonqualified options (“NQSOs”), which are options that do not qualify as ISOs);</w:t>
      </w:r>
    </w:p>
    <w:p>
      <w:pPr>
        <w:spacing w:after="0" w:line="34" w:lineRule="exact"/>
        <w:rPr>
          <w:rFonts w:ascii="Arial" w:cs="Arial" w:eastAsia="Arial" w:hAnsi="Arial"/>
          <w:sz w:val="16"/>
          <w:szCs w:val="16"/>
          <w:b w:val="1"/>
          <w:bCs w:val="1"/>
          <w:color w:val="6AAA37"/>
        </w:rPr>
      </w:pPr>
    </w:p>
    <w:p>
      <w:pPr>
        <w:ind w:left="180" w:hanging="172"/>
        <w:spacing w:after="0"/>
        <w:tabs>
          <w:tab w:leader="none" w:pos="180" w:val="left"/>
        </w:tabs>
        <w:numPr>
          <w:ilvl w:val="0"/>
          <w:numId w:val="101"/>
        </w:numPr>
        <w:rPr>
          <w:rFonts w:ascii="Arial" w:cs="Arial" w:eastAsia="Arial" w:hAnsi="Arial"/>
          <w:sz w:val="16"/>
          <w:szCs w:val="16"/>
          <w:b w:val="1"/>
          <w:bCs w:val="1"/>
          <w:color w:val="6AAA37"/>
        </w:rPr>
      </w:pPr>
      <w:r>
        <w:rPr>
          <w:rFonts w:ascii="Arial" w:cs="Arial" w:eastAsia="Arial" w:hAnsi="Arial"/>
          <w:sz w:val="16"/>
          <w:szCs w:val="16"/>
          <w:color w:val="auto"/>
        </w:rPr>
        <w:t>stock appreciation rights ("SARs");</w:t>
      </w:r>
    </w:p>
    <w:p>
      <w:pPr>
        <w:sectPr>
          <w:pgSz w:w="11900" w:h="16845" w:orient="portrait"/>
          <w:cols w:equalWidth="0" w:num="1">
            <w:col w:w="9080"/>
          </w:cols>
          <w:pgMar w:left="1400" w:top="114" w:right="1419" w:bottom="0" w:gutter="0" w:footer="0" w:header="0"/>
          <w:type w:val="continuous"/>
        </w:sectPr>
      </w:pPr>
    </w:p>
    <w:bookmarkStart w:id="70" w:name="page71"/>
    <w:bookmarkEnd w:id="70"/>
    <w:p>
      <w:pPr>
        <w:ind w:left="180" w:right="80" w:hanging="172"/>
        <w:spacing w:after="0" w:line="310" w:lineRule="auto"/>
        <w:tabs>
          <w:tab w:leader="none" w:pos="180" w:val="left"/>
        </w:tabs>
        <w:numPr>
          <w:ilvl w:val="0"/>
          <w:numId w:val="102"/>
        </w:numPr>
        <w:rPr>
          <w:rFonts w:ascii="Arial" w:cs="Arial" w:eastAsia="Arial" w:hAnsi="Arial"/>
          <w:sz w:val="16"/>
          <w:szCs w:val="16"/>
          <w:b w:val="1"/>
          <w:bCs w:val="1"/>
          <w:color w:val="6AAA37"/>
        </w:rPr>
      </w:pPr>
      <w:r>
        <w:rPr>
          <w:rFonts w:ascii="Arial" w:cs="Arial" w:eastAsia="Arial" w:hAnsi="Arial"/>
          <w:sz w:val="16"/>
          <w:szCs w:val="16"/>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593407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10375" cy="5934075"/>
                    </a:xfrm>
                    <a:prstGeom prst="rect">
                      <a:avLst/>
                    </a:prstGeom>
                    <a:noFill/>
                  </pic:spPr>
                </pic:pic>
              </a:graphicData>
            </a:graphic>
          </wp:anchor>
        </w:drawing>
        <w:t>full value awards, which means a grant of one or more shares of common stock or a right to receive one or more shares of common stock, subject to one or more of the conditions, restrictions and contingencies determined at the time of the award; and</w:t>
      </w:r>
    </w:p>
    <w:p>
      <w:pPr>
        <w:spacing w:after="0" w:line="43" w:lineRule="exact"/>
        <w:rPr>
          <w:rFonts w:ascii="Arial" w:cs="Arial" w:eastAsia="Arial" w:hAnsi="Arial"/>
          <w:sz w:val="16"/>
          <w:szCs w:val="16"/>
          <w:b w:val="1"/>
          <w:bCs w:val="1"/>
          <w:color w:val="6AAA37"/>
        </w:rPr>
      </w:pPr>
    </w:p>
    <w:p>
      <w:pPr>
        <w:ind w:left="180" w:hanging="172"/>
        <w:spacing w:after="0"/>
        <w:tabs>
          <w:tab w:leader="none" w:pos="180" w:val="left"/>
        </w:tabs>
        <w:numPr>
          <w:ilvl w:val="0"/>
          <w:numId w:val="102"/>
        </w:numPr>
        <w:rPr>
          <w:rFonts w:ascii="Arial" w:cs="Arial" w:eastAsia="Arial" w:hAnsi="Arial"/>
          <w:sz w:val="16"/>
          <w:szCs w:val="16"/>
          <w:b w:val="1"/>
          <w:bCs w:val="1"/>
          <w:color w:val="6AAA37"/>
        </w:rPr>
      </w:pPr>
      <w:r>
        <w:rPr>
          <w:rFonts w:ascii="Arial" w:cs="Arial" w:eastAsia="Arial" w:hAnsi="Arial"/>
          <w:sz w:val="16"/>
          <w:szCs w:val="16"/>
          <w:color w:val="auto"/>
        </w:rPr>
        <w:t>cash incentive awards.</w:t>
      </w:r>
    </w:p>
    <w:p>
      <w:pPr>
        <w:spacing w:after="0" w:line="18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Under the Plan, 5,356,204 shares are authorized for issuance. We are asking our stockholders to approve an additional 900,000 shares to be available for issuance under the Plan, which will increase the aggregate number of shares authorized under the Plan to 6,256,204. Based solely on the closing price of the Company’s common stock, as reported on the Nasdaq on March 10, 2025, which was $144.24 per share, the maximum aggregate market value of the new 900,000 shares that could be issued under the Plan is $129,816,000.</w:t>
      </w:r>
    </w:p>
    <w:p>
      <w:pPr>
        <w:spacing w:after="0" w:line="113" w:lineRule="exact"/>
        <w:rPr>
          <w:sz w:val="20"/>
          <w:szCs w:val="20"/>
          <w:color w:val="auto"/>
        </w:rPr>
      </w:pPr>
    </w:p>
    <w:p>
      <w:pPr>
        <w:jc w:val="both"/>
        <w:ind w:right="480"/>
        <w:spacing w:after="0" w:line="310" w:lineRule="auto"/>
        <w:rPr>
          <w:sz w:val="20"/>
          <w:szCs w:val="20"/>
          <w:color w:val="auto"/>
        </w:rPr>
      </w:pPr>
      <w:r>
        <w:rPr>
          <w:rFonts w:ascii="Arial" w:cs="Arial" w:eastAsia="Arial" w:hAnsi="Arial"/>
          <w:sz w:val="16"/>
          <w:szCs w:val="16"/>
          <w:color w:val="auto"/>
        </w:rPr>
        <w:t>Based on the 620,157 shares of common stock available for grant as of March 10, 2025, if this proposal is approved by stockholders, there would be approximately 1,520,157 shares available for issuance under the Plan as of the date of the Annual Meeting.</w:t>
      </w:r>
    </w:p>
    <w:p>
      <w:pPr>
        <w:spacing w:after="0" w:line="97"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Shares subject to an award under the Plan that remain unissued upon the cancellation, surrender, exchange, forfeiture or termination of the award without having been exercised or settled will again become available for award under the Plan. In addition, to the extent an award under the Plan is paid or settled in cash, the number of shares of common stock with respect to which such payment or settlement is made shall again be available for grants of awards pursuant to the Plan. Any shares subject to an award under the Plan that are retained by us as payment of the exercise price of an option or to satisfy (A) all tax withholding obligations with respect to a stock option or stock appreciation right, or (B) tax withholding obligations in excess of the minimum required withholding amount with respect to a full value award, and any shares purchased by us using stock option exercise proceeds, will not again be made available for future grants under the Plan. Further, for stock-settled stock appreciation rights (to the extent they are utilized in the future), the shares subject to the award shall be counted against the plan reserve, regardless of the number of shares issued.</w:t>
      </w:r>
    </w:p>
    <w:p>
      <w:pPr>
        <w:spacing w:after="0" w:line="114" w:lineRule="exact"/>
        <w:rPr>
          <w:sz w:val="20"/>
          <w:szCs w:val="20"/>
          <w:color w:val="auto"/>
        </w:rPr>
      </w:pPr>
    </w:p>
    <w:p>
      <w:pPr>
        <w:ind w:right="200"/>
        <w:spacing w:after="0" w:line="300" w:lineRule="auto"/>
        <w:rPr>
          <w:sz w:val="20"/>
          <w:szCs w:val="20"/>
          <w:color w:val="auto"/>
        </w:rPr>
      </w:pPr>
      <w:r>
        <w:rPr>
          <w:rFonts w:ascii="Arial" w:cs="Arial" w:eastAsia="Arial" w:hAnsi="Arial"/>
          <w:sz w:val="16"/>
          <w:szCs w:val="16"/>
          <w:color w:val="auto"/>
        </w:rPr>
        <w:t>The Plan requires dividends and dividend equivalents (if any) on unvested awards to be held until the underlying award is vested. The Plan includes a minimum one-year vesting requirement to all equity awards with a limited carve out of 5% of the total pool to allow for exceptions, as necessary. The Plan provides a limit on awards to non-employee directors for any calendar year (along with cash retainer and meeting fees).</w:t>
      </w:r>
    </w:p>
    <w:p>
      <w:pPr>
        <w:spacing w:after="0" w:line="106"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In addition, if a corporation acquired by (or combined with) Huron or any subsidiary has shares available under a pre-existing plan approved by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will not reduce the shares authorized for grant under the Plan. Any such awards may not, however, be made after the date awards or grants could have been made under the terms of the pre-existing plan, absent the acquisition or combination, and may only be made to individuals who were not employees or directors of Huron or any subsidiary prior to such acquisition or</w:t>
      </w:r>
    </w:p>
    <w:p>
      <w:pPr>
        <w:spacing w:after="0" w:line="343" w:lineRule="exact"/>
        <w:rPr>
          <w:sz w:val="20"/>
          <w:szCs w:val="20"/>
          <w:color w:val="auto"/>
        </w:rPr>
      </w:pPr>
    </w:p>
    <w:p>
      <w:pPr>
        <w:ind w:left="60"/>
        <w:spacing w:after="0"/>
        <w:tabs>
          <w:tab w:leader="none" w:pos="444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13"/>
          <w:szCs w:val="13"/>
          <w:b w:val="1"/>
          <w:bCs w:val="1"/>
          <w:color w:val="00558C"/>
        </w:rPr>
        <w:t>70</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420370</wp:posOffset>
            </wp:positionV>
            <wp:extent cx="6810375" cy="44996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10375" cy="4499610"/>
                    </a:xfrm>
                    <a:prstGeom prst="rect">
                      <a:avLst/>
                    </a:prstGeom>
                    <a:noFill/>
                  </pic:spPr>
                </pic:pic>
              </a:graphicData>
            </a:graphic>
          </wp:anchor>
        </w:drawing>
      </w:r>
    </w:p>
    <w:p>
      <w:pPr>
        <w:sectPr>
          <w:pgSz w:w="11900" w:h="16838" w:orient="portrait"/>
          <w:cols w:equalWidth="0" w:num="1">
            <w:col w:w="9080"/>
          </w:cols>
          <w:pgMar w:left="1400" w:top="179" w:right="14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0"/>
        <w:spacing w:after="0" w:line="274" w:lineRule="auto"/>
        <w:rPr>
          <w:sz w:val="20"/>
          <w:szCs w:val="20"/>
          <w:color w:val="auto"/>
        </w:rPr>
      </w:pPr>
      <w:r>
        <w:rPr>
          <w:rFonts w:ascii="Arial" w:cs="Arial" w:eastAsia="Arial" w:hAnsi="Arial"/>
          <w:sz w:val="13"/>
          <w:szCs w:val="13"/>
          <w:b w:val="1"/>
          <w:bCs w:val="1"/>
          <w:color w:val="B2B3B6"/>
        </w:rPr>
        <w:t>General Proposal Information 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line="274" w:lineRule="auto"/>
        <w:rPr>
          <w:sz w:val="20"/>
          <w:szCs w:val="20"/>
          <w:color w:val="auto"/>
        </w:rPr>
      </w:pPr>
      <w:r>
        <w:rPr>
          <w:rFonts w:ascii="Arial" w:cs="Arial" w:eastAsia="Arial" w:hAnsi="Arial"/>
          <w:sz w:val="13"/>
          <w:szCs w:val="13"/>
          <w:b w:val="1"/>
          <w:bCs w:val="1"/>
          <w:color w:val="B2B3B6"/>
        </w:rPr>
        <w:t>Corporate Proposal Executive Governance Two 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200"/>
        <w:spacing w:after="0" w:line="274" w:lineRule="auto"/>
        <w:rPr>
          <w:sz w:val="20"/>
          <w:szCs w:val="20"/>
          <w:color w:val="auto"/>
        </w:rPr>
      </w:pPr>
      <w:r>
        <w:rPr>
          <w:rFonts w:ascii="Arial" w:cs="Arial" w:eastAsia="Arial" w:hAnsi="Arial"/>
          <w:sz w:val="13"/>
          <w:szCs w:val="13"/>
          <w:b w:val="1"/>
          <w:bCs w:val="1"/>
          <w:color w:val="6AAA37"/>
        </w:rPr>
        <w:t xml:space="preserve">Proposal </w:t>
      </w:r>
      <w:r>
        <w:rPr>
          <w:rFonts w:ascii="Arial" w:cs="Arial" w:eastAsia="Arial" w:hAnsi="Arial"/>
          <w:sz w:val="13"/>
          <w:szCs w:val="13"/>
          <w:b w:val="1"/>
          <w:bCs w:val="1"/>
          <w:color w:val="B2B3B6"/>
        </w:rPr>
        <w:t>Proposal Proposal Stockholder Other</w:t>
      </w:r>
      <w:r>
        <w:rPr>
          <w:rFonts w:ascii="Arial" w:cs="Arial" w:eastAsia="Arial" w:hAnsi="Arial"/>
          <w:sz w:val="13"/>
          <w:szCs w:val="13"/>
          <w:b w:val="1"/>
          <w:bCs w:val="1"/>
          <w:color w:val="6AAA37"/>
        </w:rPr>
        <w:t xml:space="preserve"> Three </w:t>
      </w:r>
      <w:r>
        <w:rPr>
          <w:rFonts w:ascii="Arial" w:cs="Arial" w:eastAsia="Arial" w:hAnsi="Arial"/>
          <w:sz w:val="13"/>
          <w:szCs w:val="13"/>
          <w:b w:val="1"/>
          <w:bCs w:val="1"/>
          <w:color w:val="B2B3B6"/>
        </w:rPr>
        <w:t>Four Five Proposals Matters</w:t>
      </w:r>
    </w:p>
    <w:p>
      <w:pPr>
        <w:spacing w:after="0" w:line="200" w:lineRule="exact"/>
        <w:rPr>
          <w:sz w:val="20"/>
          <w:szCs w:val="20"/>
          <w:color w:val="auto"/>
        </w:rPr>
      </w:pPr>
    </w:p>
    <w:p>
      <w:pPr>
        <w:sectPr>
          <w:pgSz w:w="11900" w:h="16838" w:orient="portrait"/>
          <w:cols w:equalWidth="0" w:num="3">
            <w:col w:w="1600" w:space="300"/>
            <w:col w:w="2700" w:space="320"/>
            <w:col w:w="4160"/>
          </w:cols>
          <w:pgMar w:left="1400" w:top="179" w:right="1419" w:bottom="0" w:gutter="0" w:footer="0" w:header="0"/>
          <w:type w:val="continuous"/>
        </w:sectPr>
      </w:pPr>
    </w:p>
    <w:p>
      <w:pPr>
        <w:spacing w:after="0" w:line="151"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combination. Notwithstanding the foregoing, such shares may not increase the number of shares available for awards of incentive stock options unless such additional share limit is approved by the stockholders in accordance with Section 422 of the Code.</w:t>
      </w:r>
    </w:p>
    <w:p>
      <w:pPr>
        <w:spacing w:after="0" w:line="104" w:lineRule="exact"/>
        <w:rPr>
          <w:sz w:val="20"/>
          <w:szCs w:val="20"/>
          <w:color w:val="auto"/>
        </w:rPr>
      </w:pPr>
    </w:p>
    <w:p>
      <w:pPr>
        <w:ind w:right="180"/>
        <w:spacing w:after="0" w:line="289" w:lineRule="auto"/>
        <w:rPr>
          <w:sz w:val="20"/>
          <w:szCs w:val="20"/>
          <w:color w:val="auto"/>
        </w:rPr>
      </w:pPr>
      <w:r>
        <w:rPr>
          <w:rFonts w:ascii="Arial" w:cs="Arial" w:eastAsia="Arial" w:hAnsi="Arial"/>
          <w:sz w:val="16"/>
          <w:szCs w:val="16"/>
          <w:color w:val="auto"/>
        </w:rPr>
        <w:t>The Plan is administered by the Compensation Committee. Our employees, non-employee directors and independent contractors are eligible to receive awards under the Plan at the discretion of the Compensation Committee. As of March 10, 2025, there were approximately 7,570 employees, 4 executive officers, 7 non-employee directors and approximately 520 independent contractors eligible to be granted awards under the Plan. While independent contractors to the Company are eligible to participate in the Plan, as of March 10, 2025, the Company has not granted any equity awards to any independent contractors and the Company’s current practice is to not grant equity awards to independent contractors. The Compensation Committee has the authority to administer the Plan and to exercise all of the powers and authorities specifically granted to it under the Plan as necessary or advisable in the administration of the Plan, including the authority to:</w:t>
      </w:r>
    </w:p>
    <w:p>
      <w:pPr>
        <w:spacing w:after="0" w:line="64" w:lineRule="exact"/>
        <w:rPr>
          <w:sz w:val="20"/>
          <w:szCs w:val="20"/>
          <w:color w:val="auto"/>
        </w:rPr>
      </w:pPr>
    </w:p>
    <w:p>
      <w:pPr>
        <w:ind w:left="180" w:hanging="172"/>
        <w:spacing w:after="0"/>
        <w:tabs>
          <w:tab w:leader="none" w:pos="180" w:val="left"/>
        </w:tabs>
        <w:numPr>
          <w:ilvl w:val="0"/>
          <w:numId w:val="103"/>
        </w:numPr>
        <w:rPr>
          <w:rFonts w:ascii="Arial" w:cs="Arial" w:eastAsia="Arial" w:hAnsi="Arial"/>
          <w:sz w:val="16"/>
          <w:szCs w:val="16"/>
          <w:b w:val="1"/>
          <w:bCs w:val="1"/>
          <w:color w:val="6AAA37"/>
        </w:rPr>
      </w:pPr>
      <w:r>
        <w:rPr>
          <w:rFonts w:ascii="Arial" w:cs="Arial" w:eastAsia="Arial" w:hAnsi="Arial"/>
          <w:sz w:val="16"/>
          <w:szCs w:val="16"/>
          <w:color w:val="auto"/>
        </w:rPr>
        <w:t>grant awards;</w:t>
      </w:r>
    </w:p>
    <w:p>
      <w:pPr>
        <w:spacing w:after="0" w:line="126" w:lineRule="exact"/>
        <w:rPr>
          <w:rFonts w:ascii="Arial" w:cs="Arial" w:eastAsia="Arial" w:hAnsi="Arial"/>
          <w:sz w:val="16"/>
          <w:szCs w:val="16"/>
          <w:b w:val="1"/>
          <w:bCs w:val="1"/>
          <w:color w:val="6AAA37"/>
        </w:rPr>
      </w:pPr>
    </w:p>
    <w:p>
      <w:pPr>
        <w:ind w:left="180" w:hanging="172"/>
        <w:spacing w:after="0"/>
        <w:tabs>
          <w:tab w:leader="none" w:pos="180" w:val="left"/>
        </w:tabs>
        <w:numPr>
          <w:ilvl w:val="0"/>
          <w:numId w:val="103"/>
        </w:numPr>
        <w:rPr>
          <w:rFonts w:ascii="Arial" w:cs="Arial" w:eastAsia="Arial" w:hAnsi="Arial"/>
          <w:sz w:val="16"/>
          <w:szCs w:val="16"/>
          <w:b w:val="1"/>
          <w:bCs w:val="1"/>
          <w:color w:val="6AAA37"/>
        </w:rPr>
      </w:pPr>
      <w:r>
        <w:rPr>
          <w:rFonts w:ascii="Arial" w:cs="Arial" w:eastAsia="Arial" w:hAnsi="Arial"/>
          <w:sz w:val="16"/>
          <w:szCs w:val="16"/>
          <w:color w:val="auto"/>
        </w:rPr>
        <w:t>determine the individuals to whom, and the time or times at which, awards will be granted;</w:t>
      </w:r>
    </w:p>
    <w:p>
      <w:pPr>
        <w:spacing w:after="0" w:line="126" w:lineRule="exact"/>
        <w:rPr>
          <w:rFonts w:ascii="Arial" w:cs="Arial" w:eastAsia="Arial" w:hAnsi="Arial"/>
          <w:sz w:val="16"/>
          <w:szCs w:val="16"/>
          <w:b w:val="1"/>
          <w:bCs w:val="1"/>
          <w:color w:val="6AAA37"/>
        </w:rPr>
      </w:pPr>
    </w:p>
    <w:p>
      <w:pPr>
        <w:ind w:left="180" w:right="20" w:hanging="172"/>
        <w:spacing w:after="0" w:line="321" w:lineRule="auto"/>
        <w:tabs>
          <w:tab w:leader="none" w:pos="180" w:val="left"/>
        </w:tabs>
        <w:numPr>
          <w:ilvl w:val="0"/>
          <w:numId w:val="103"/>
        </w:numPr>
        <w:rPr>
          <w:rFonts w:ascii="Arial" w:cs="Arial" w:eastAsia="Arial" w:hAnsi="Arial"/>
          <w:sz w:val="16"/>
          <w:szCs w:val="16"/>
          <w:b w:val="1"/>
          <w:bCs w:val="1"/>
          <w:color w:val="6AAA37"/>
        </w:rPr>
      </w:pPr>
      <w:r>
        <w:rPr>
          <w:rFonts w:ascii="Arial" w:cs="Arial" w:eastAsia="Arial" w:hAnsi="Arial"/>
          <w:sz w:val="16"/>
          <w:szCs w:val="16"/>
          <w:color w:val="auto"/>
        </w:rPr>
        <w:t>determine the type and number of awards to be granted, the number of shares of common stock or cash or other property to which an award may relate and the terms, conditions, restrictions and performance criteria relating to any award;</w:t>
      </w:r>
    </w:p>
    <w:p>
      <w:pPr>
        <w:spacing w:after="0" w:line="34" w:lineRule="exact"/>
        <w:rPr>
          <w:rFonts w:ascii="Arial" w:cs="Arial" w:eastAsia="Arial" w:hAnsi="Arial"/>
          <w:sz w:val="16"/>
          <w:szCs w:val="16"/>
          <w:b w:val="1"/>
          <w:bCs w:val="1"/>
          <w:color w:val="6AAA37"/>
        </w:rPr>
      </w:pPr>
    </w:p>
    <w:p>
      <w:pPr>
        <w:ind w:left="180" w:right="100" w:hanging="172"/>
        <w:spacing w:after="0" w:line="321" w:lineRule="auto"/>
        <w:tabs>
          <w:tab w:leader="none" w:pos="180" w:val="left"/>
        </w:tabs>
        <w:numPr>
          <w:ilvl w:val="0"/>
          <w:numId w:val="103"/>
        </w:numPr>
        <w:rPr>
          <w:rFonts w:ascii="Arial" w:cs="Arial" w:eastAsia="Arial" w:hAnsi="Arial"/>
          <w:sz w:val="16"/>
          <w:szCs w:val="16"/>
          <w:b w:val="1"/>
          <w:bCs w:val="1"/>
          <w:color w:val="6AAA37"/>
        </w:rPr>
      </w:pPr>
      <w:r>
        <w:rPr>
          <w:rFonts w:ascii="Arial" w:cs="Arial" w:eastAsia="Arial" w:hAnsi="Arial"/>
          <w:sz w:val="16"/>
          <w:szCs w:val="16"/>
          <w:color w:val="auto"/>
        </w:rPr>
        <w:t>determine whether, to what extent and under what circumstances an award may be settled, cancelled, forfeited, exchanged or surrendered;</w:t>
      </w:r>
    </w:p>
    <w:p>
      <w:pPr>
        <w:spacing w:after="0" w:line="34" w:lineRule="exact"/>
        <w:rPr>
          <w:rFonts w:ascii="Arial" w:cs="Arial" w:eastAsia="Arial" w:hAnsi="Arial"/>
          <w:sz w:val="16"/>
          <w:szCs w:val="16"/>
          <w:b w:val="1"/>
          <w:bCs w:val="1"/>
          <w:color w:val="6AAA37"/>
        </w:rPr>
      </w:pPr>
    </w:p>
    <w:p>
      <w:pPr>
        <w:ind w:left="180" w:hanging="172"/>
        <w:spacing w:after="0"/>
        <w:tabs>
          <w:tab w:leader="none" w:pos="180" w:val="left"/>
        </w:tabs>
        <w:numPr>
          <w:ilvl w:val="0"/>
          <w:numId w:val="103"/>
        </w:numPr>
        <w:rPr>
          <w:rFonts w:ascii="Arial" w:cs="Arial" w:eastAsia="Arial" w:hAnsi="Arial"/>
          <w:sz w:val="16"/>
          <w:szCs w:val="16"/>
          <w:b w:val="1"/>
          <w:bCs w:val="1"/>
          <w:color w:val="6AAA37"/>
        </w:rPr>
      </w:pPr>
      <w:r>
        <w:rPr>
          <w:rFonts w:ascii="Arial" w:cs="Arial" w:eastAsia="Arial" w:hAnsi="Arial"/>
          <w:sz w:val="16"/>
          <w:szCs w:val="16"/>
          <w:color w:val="auto"/>
        </w:rPr>
        <w:t>conclusively interpret the Plan and all awards;</w:t>
      </w:r>
    </w:p>
    <w:p>
      <w:pPr>
        <w:spacing w:after="0" w:line="126" w:lineRule="exact"/>
        <w:rPr>
          <w:rFonts w:ascii="Arial" w:cs="Arial" w:eastAsia="Arial" w:hAnsi="Arial"/>
          <w:sz w:val="16"/>
          <w:szCs w:val="16"/>
          <w:b w:val="1"/>
          <w:bCs w:val="1"/>
          <w:color w:val="6AAA37"/>
        </w:rPr>
      </w:pPr>
    </w:p>
    <w:p>
      <w:pPr>
        <w:ind w:left="180" w:hanging="172"/>
        <w:spacing w:after="0"/>
        <w:tabs>
          <w:tab w:leader="none" w:pos="180" w:val="left"/>
        </w:tabs>
        <w:numPr>
          <w:ilvl w:val="0"/>
          <w:numId w:val="103"/>
        </w:numPr>
        <w:rPr>
          <w:rFonts w:ascii="Arial" w:cs="Arial" w:eastAsia="Arial" w:hAnsi="Arial"/>
          <w:sz w:val="16"/>
          <w:szCs w:val="16"/>
          <w:b w:val="1"/>
          <w:bCs w:val="1"/>
          <w:color w:val="6AAA37"/>
        </w:rPr>
      </w:pPr>
      <w:r>
        <w:rPr>
          <w:rFonts w:ascii="Arial" w:cs="Arial" w:eastAsia="Arial" w:hAnsi="Arial"/>
          <w:sz w:val="16"/>
          <w:szCs w:val="16"/>
          <w:color w:val="auto"/>
        </w:rPr>
        <w:t>prescribe, amend and rescind rules and regulations relating to the Plan;</w:t>
      </w:r>
    </w:p>
    <w:p>
      <w:pPr>
        <w:spacing w:after="0" w:line="126" w:lineRule="exact"/>
        <w:rPr>
          <w:rFonts w:ascii="Arial" w:cs="Arial" w:eastAsia="Arial" w:hAnsi="Arial"/>
          <w:sz w:val="16"/>
          <w:szCs w:val="16"/>
          <w:b w:val="1"/>
          <w:bCs w:val="1"/>
          <w:color w:val="6AAA37"/>
        </w:rPr>
      </w:pPr>
    </w:p>
    <w:p>
      <w:pPr>
        <w:ind w:left="180" w:hanging="172"/>
        <w:spacing w:after="0"/>
        <w:tabs>
          <w:tab w:leader="none" w:pos="180" w:val="left"/>
        </w:tabs>
        <w:numPr>
          <w:ilvl w:val="0"/>
          <w:numId w:val="103"/>
        </w:numPr>
        <w:rPr>
          <w:rFonts w:ascii="Arial" w:cs="Arial" w:eastAsia="Arial" w:hAnsi="Arial"/>
          <w:sz w:val="16"/>
          <w:szCs w:val="16"/>
          <w:b w:val="1"/>
          <w:bCs w:val="1"/>
          <w:color w:val="6AAA37"/>
        </w:rPr>
      </w:pPr>
      <w:r>
        <w:rPr>
          <w:rFonts w:ascii="Arial" w:cs="Arial" w:eastAsia="Arial" w:hAnsi="Arial"/>
          <w:sz w:val="16"/>
          <w:szCs w:val="16"/>
          <w:color w:val="auto"/>
        </w:rPr>
        <w:t>determine the terms and provisions of any award agreements; and</w:t>
      </w:r>
    </w:p>
    <w:p>
      <w:pPr>
        <w:spacing w:after="0" w:line="126" w:lineRule="exact"/>
        <w:rPr>
          <w:rFonts w:ascii="Arial" w:cs="Arial" w:eastAsia="Arial" w:hAnsi="Arial"/>
          <w:sz w:val="16"/>
          <w:szCs w:val="16"/>
          <w:b w:val="1"/>
          <w:bCs w:val="1"/>
          <w:color w:val="6AAA37"/>
        </w:rPr>
      </w:pPr>
    </w:p>
    <w:p>
      <w:pPr>
        <w:ind w:left="180" w:hanging="172"/>
        <w:spacing w:after="0"/>
        <w:tabs>
          <w:tab w:leader="none" w:pos="180" w:val="left"/>
        </w:tabs>
        <w:numPr>
          <w:ilvl w:val="0"/>
          <w:numId w:val="103"/>
        </w:numPr>
        <w:rPr>
          <w:rFonts w:ascii="Arial" w:cs="Arial" w:eastAsia="Arial" w:hAnsi="Arial"/>
          <w:sz w:val="16"/>
          <w:szCs w:val="16"/>
          <w:b w:val="1"/>
          <w:bCs w:val="1"/>
          <w:color w:val="6AAA37"/>
        </w:rPr>
      </w:pPr>
      <w:r>
        <w:rPr>
          <w:rFonts w:ascii="Arial" w:cs="Arial" w:eastAsia="Arial" w:hAnsi="Arial"/>
          <w:sz w:val="16"/>
          <w:szCs w:val="16"/>
          <w:color w:val="auto"/>
        </w:rPr>
        <w:t>make all other determinations deemed necessary or advisable for the operation and administration of the Plan.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Subject to the provisions of the Plan, the Compensation Committee may:</w:t>
      </w:r>
    </w:p>
    <w:p>
      <w:pPr>
        <w:sectPr>
          <w:pgSz w:w="11900" w:h="16838" w:orient="portrait"/>
          <w:cols w:equalWidth="0" w:num="1">
            <w:col w:w="9080"/>
          </w:cols>
          <w:pgMar w:left="1400" w:top="179" w:right="1419" w:bottom="0" w:gutter="0" w:footer="0" w:header="0"/>
          <w:type w:val="continuous"/>
        </w:sectPr>
      </w:pPr>
    </w:p>
    <w:bookmarkStart w:id="71" w:name="page72"/>
    <w:bookmarkEnd w:id="71"/>
    <w:p>
      <w:pPr>
        <w:spacing w:after="0" w:line="137" w:lineRule="exact"/>
        <w:rPr>
          <w:sz w:val="20"/>
          <w:szCs w:val="20"/>
          <w:color w:val="auto"/>
        </w:rPr>
      </w:pPr>
    </w:p>
    <w:p>
      <w:pPr>
        <w:ind w:left="180" w:hanging="172"/>
        <w:spacing w:after="0"/>
        <w:tabs>
          <w:tab w:leader="none" w:pos="180" w:val="left"/>
        </w:tabs>
        <w:numPr>
          <w:ilvl w:val="0"/>
          <w:numId w:val="104"/>
        </w:numPr>
        <w:rPr>
          <w:rFonts w:ascii="Arial" w:cs="Arial" w:eastAsia="Arial" w:hAnsi="Arial"/>
          <w:sz w:val="16"/>
          <w:szCs w:val="16"/>
          <w:b w:val="1"/>
          <w:bCs w:val="1"/>
          <w:color w:val="6AAA37"/>
        </w:rPr>
      </w:pPr>
      <w:r>
        <w:rPr>
          <w:rFonts w:ascii="Arial" w:cs="Arial" w:eastAsia="Arial" w:hAnsi="Arial"/>
          <w:sz w:val="16"/>
          <w:szCs w:val="16"/>
          <w:color w:val="auto"/>
        </w:rPr>
        <w:t>accelerate the date on which any ISO, NQSO or SAR becomes exercisable;</w:t>
      </w:r>
    </w:p>
    <w:p>
      <w:pPr>
        <w:spacing w:after="0" w:line="43" w:lineRule="exact"/>
        <w:rPr>
          <w:rFonts w:ascii="Arial" w:cs="Arial" w:eastAsia="Arial" w:hAnsi="Arial"/>
          <w:sz w:val="16"/>
          <w:szCs w:val="16"/>
          <w:b w:val="1"/>
          <w:bCs w:val="1"/>
          <w:color w:val="6AAA37"/>
        </w:rPr>
      </w:pPr>
    </w:p>
    <w:p>
      <w:pPr>
        <w:ind w:left="180" w:right="760" w:hanging="172"/>
        <w:spacing w:after="0" w:line="321" w:lineRule="auto"/>
        <w:tabs>
          <w:tab w:leader="none" w:pos="180" w:val="left"/>
        </w:tabs>
        <w:numPr>
          <w:ilvl w:val="0"/>
          <w:numId w:val="104"/>
        </w:numPr>
        <w:rPr>
          <w:rFonts w:ascii="Arial" w:cs="Arial" w:eastAsia="Arial" w:hAnsi="Arial"/>
          <w:sz w:val="16"/>
          <w:szCs w:val="16"/>
          <w:b w:val="1"/>
          <w:bCs w:val="1"/>
          <w:color w:val="6AAA37"/>
        </w:rPr>
      </w:pPr>
      <w:r>
        <w:rPr>
          <w:rFonts w:ascii="Arial" w:cs="Arial" w:eastAsia="Arial" w:hAnsi="Arial"/>
          <w:sz w:val="16"/>
          <w:szCs w:val="16"/>
          <w:color w:val="auto"/>
        </w:rPr>
        <w:t>waive or amend the operation of the Plan provisions respecting exercise of an option or a SAR after termination of employment to a period no longer than 10 years from the date of grant of the award;</w:t>
      </w:r>
    </w:p>
    <w:p>
      <w:pPr>
        <w:spacing w:after="0" w:line="34" w:lineRule="exact"/>
        <w:rPr>
          <w:rFonts w:ascii="Arial" w:cs="Arial" w:eastAsia="Arial" w:hAnsi="Arial"/>
          <w:sz w:val="16"/>
          <w:szCs w:val="16"/>
          <w:b w:val="1"/>
          <w:bCs w:val="1"/>
          <w:color w:val="6AAA37"/>
        </w:rPr>
      </w:pPr>
    </w:p>
    <w:p>
      <w:pPr>
        <w:ind w:left="180" w:hanging="172"/>
        <w:spacing w:after="0"/>
        <w:tabs>
          <w:tab w:leader="none" w:pos="180" w:val="left"/>
        </w:tabs>
        <w:numPr>
          <w:ilvl w:val="0"/>
          <w:numId w:val="104"/>
        </w:numPr>
        <w:rPr>
          <w:rFonts w:ascii="Arial" w:cs="Arial" w:eastAsia="Arial" w:hAnsi="Arial"/>
          <w:sz w:val="16"/>
          <w:szCs w:val="16"/>
          <w:b w:val="1"/>
          <w:bCs w:val="1"/>
          <w:color w:val="6AAA37"/>
        </w:rPr>
      </w:pPr>
      <w:r>
        <w:rPr>
          <w:rFonts w:ascii="Arial" w:cs="Arial" w:eastAsia="Arial" w:hAnsi="Arial"/>
          <w:sz w:val="16"/>
          <w:szCs w:val="16"/>
          <w:color w:val="auto"/>
        </w:rPr>
        <w:t>accelerate the vesting date, or waive any condition imposed by the Plan, with respect to any full value award; and</w:t>
      </w:r>
    </w:p>
    <w:p>
      <w:pPr>
        <w:spacing w:after="0" w:line="126" w:lineRule="exact"/>
        <w:rPr>
          <w:rFonts w:ascii="Arial" w:cs="Arial" w:eastAsia="Arial" w:hAnsi="Arial"/>
          <w:sz w:val="16"/>
          <w:szCs w:val="16"/>
          <w:b w:val="1"/>
          <w:bCs w:val="1"/>
          <w:color w:val="6AAA37"/>
        </w:rPr>
      </w:pPr>
    </w:p>
    <w:p>
      <w:pPr>
        <w:ind w:left="180" w:hanging="172"/>
        <w:spacing w:after="0"/>
        <w:tabs>
          <w:tab w:leader="none" w:pos="180" w:val="left"/>
        </w:tabs>
        <w:numPr>
          <w:ilvl w:val="0"/>
          <w:numId w:val="104"/>
        </w:numPr>
        <w:rPr>
          <w:rFonts w:ascii="Arial" w:cs="Arial" w:eastAsia="Arial" w:hAnsi="Arial"/>
          <w:sz w:val="16"/>
          <w:szCs w:val="16"/>
          <w:b w:val="1"/>
          <w:bCs w:val="1"/>
          <w:color w:val="6AAA37"/>
        </w:rPr>
      </w:pPr>
      <w:r>
        <w:rPr>
          <w:rFonts w:ascii="Arial" w:cs="Arial" w:eastAsia="Arial" w:hAnsi="Arial"/>
          <w:sz w:val="16"/>
          <w:szCs w:val="16"/>
          <w:color w:val="auto"/>
        </w:rPr>
        <w:t>otherwise adjust any of the terms applicable to any award in a manner consistent with the terms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-775970</wp:posOffset>
            </wp:positionV>
            <wp:extent cx="6810375" cy="4356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10375" cy="4356735"/>
                    </a:xfrm>
                    <a:prstGeom prst="rect">
                      <a:avLst/>
                    </a:prstGeom>
                    <a:noFill/>
                  </pic:spPr>
                </pic:pic>
              </a:graphicData>
            </a:graphic>
          </wp:anchor>
        </w:drawing>
      </w:r>
    </w:p>
    <w:p>
      <w:pPr>
        <w:spacing w:after="0" w:line="161"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Compensation Committee may delegate some of its authority under the Plan to one or more of our officers, to act on behalf of the Compensation Committee with respect to any matter that is the responsibility of the Compensation Committee, as described above, and to approve awards for certain other employees.</w:t>
      </w:r>
    </w:p>
    <w:p>
      <w:pPr>
        <w:spacing w:after="0" w:line="104" w:lineRule="exact"/>
        <w:rPr>
          <w:sz w:val="20"/>
          <w:szCs w:val="20"/>
          <w:color w:val="auto"/>
        </w:rPr>
      </w:pPr>
    </w:p>
    <w:p>
      <w:pPr>
        <w:ind w:right="100"/>
        <w:spacing w:after="0" w:line="310" w:lineRule="auto"/>
        <w:rPr>
          <w:sz w:val="20"/>
          <w:szCs w:val="20"/>
          <w:color w:val="auto"/>
        </w:rPr>
      </w:pPr>
      <w:r>
        <w:rPr>
          <w:rFonts w:ascii="Arial" w:cs="Arial" w:eastAsia="Arial" w:hAnsi="Arial"/>
          <w:sz w:val="16"/>
          <w:szCs w:val="16"/>
          <w:color w:val="auto"/>
        </w:rPr>
        <w:t>Our Board may suspend or terminate the Plan or revise or amend it in any respect, subject to stockholder approval where required to satisfy legal or applicable stock exchange requirements. No amendment may be made without the approval of our stockholders if such amendment would:</w:t>
      </w:r>
    </w:p>
    <w:p>
      <w:pPr>
        <w:spacing w:after="0" w:line="43" w:lineRule="exact"/>
        <w:rPr>
          <w:sz w:val="20"/>
          <w:szCs w:val="20"/>
          <w:color w:val="auto"/>
        </w:rPr>
      </w:pPr>
    </w:p>
    <w:p>
      <w:pPr>
        <w:ind w:left="180" w:hanging="172"/>
        <w:spacing w:after="0"/>
        <w:tabs>
          <w:tab w:leader="none" w:pos="180" w:val="left"/>
        </w:tabs>
        <w:numPr>
          <w:ilvl w:val="0"/>
          <w:numId w:val="105"/>
        </w:numPr>
        <w:rPr>
          <w:rFonts w:ascii="Arial" w:cs="Arial" w:eastAsia="Arial" w:hAnsi="Arial"/>
          <w:sz w:val="16"/>
          <w:szCs w:val="16"/>
          <w:b w:val="1"/>
          <w:bCs w:val="1"/>
          <w:color w:val="6AAA37"/>
        </w:rPr>
      </w:pPr>
      <w:r>
        <w:rPr>
          <w:rFonts w:ascii="Arial" w:cs="Arial" w:eastAsia="Arial" w:hAnsi="Arial"/>
          <w:sz w:val="16"/>
          <w:szCs w:val="16"/>
          <w:color w:val="auto"/>
        </w:rPr>
        <w:t>materially increase the benefits accruing to a participant under the Plan;</w:t>
      </w:r>
    </w:p>
    <w:p>
      <w:pPr>
        <w:spacing w:after="0" w:line="113" w:lineRule="exact"/>
        <w:rPr>
          <w:rFonts w:ascii="Arial" w:cs="Arial" w:eastAsia="Arial" w:hAnsi="Arial"/>
          <w:sz w:val="16"/>
          <w:szCs w:val="16"/>
          <w:b w:val="1"/>
          <w:bCs w:val="1"/>
          <w:color w:val="6AAA37"/>
        </w:rPr>
      </w:pPr>
    </w:p>
    <w:p>
      <w:pPr>
        <w:ind w:left="180" w:hanging="172"/>
        <w:spacing w:after="0"/>
        <w:tabs>
          <w:tab w:leader="none" w:pos="180" w:val="left"/>
        </w:tabs>
        <w:numPr>
          <w:ilvl w:val="0"/>
          <w:numId w:val="105"/>
        </w:numPr>
        <w:rPr>
          <w:rFonts w:ascii="Arial" w:cs="Arial" w:eastAsia="Arial" w:hAnsi="Arial"/>
          <w:sz w:val="16"/>
          <w:szCs w:val="16"/>
          <w:b w:val="1"/>
          <w:bCs w:val="1"/>
          <w:color w:val="6AAA37"/>
        </w:rPr>
      </w:pPr>
      <w:r>
        <w:rPr>
          <w:rFonts w:ascii="Arial" w:cs="Arial" w:eastAsia="Arial" w:hAnsi="Arial"/>
          <w:sz w:val="16"/>
          <w:szCs w:val="16"/>
          <w:color w:val="auto"/>
        </w:rPr>
        <w:t>increase the aggregate number of shares of common stock that may be issued under the Plan;</w:t>
      </w:r>
    </w:p>
    <w:p>
      <w:pPr>
        <w:spacing w:after="0" w:line="126" w:lineRule="exact"/>
        <w:rPr>
          <w:rFonts w:ascii="Arial" w:cs="Arial" w:eastAsia="Arial" w:hAnsi="Arial"/>
          <w:sz w:val="16"/>
          <w:szCs w:val="16"/>
          <w:b w:val="1"/>
          <w:bCs w:val="1"/>
          <w:color w:val="6AAA37"/>
        </w:rPr>
      </w:pPr>
    </w:p>
    <w:p>
      <w:pPr>
        <w:ind w:left="180" w:hanging="172"/>
        <w:spacing w:after="0"/>
        <w:tabs>
          <w:tab w:leader="none" w:pos="180" w:val="left"/>
        </w:tabs>
        <w:numPr>
          <w:ilvl w:val="0"/>
          <w:numId w:val="105"/>
        </w:numPr>
        <w:rPr>
          <w:rFonts w:ascii="Arial" w:cs="Arial" w:eastAsia="Arial" w:hAnsi="Arial"/>
          <w:sz w:val="16"/>
          <w:szCs w:val="16"/>
          <w:b w:val="1"/>
          <w:bCs w:val="1"/>
          <w:color w:val="6AAA37"/>
        </w:rPr>
      </w:pPr>
      <w:r>
        <w:rPr>
          <w:rFonts w:ascii="Arial" w:cs="Arial" w:eastAsia="Arial" w:hAnsi="Arial"/>
          <w:sz w:val="16"/>
          <w:szCs w:val="16"/>
          <w:color w:val="auto"/>
        </w:rPr>
        <w:t>modify the requirements as to eligibility to participate in the Plan; or</w:t>
      </w:r>
    </w:p>
    <w:p>
      <w:pPr>
        <w:spacing w:after="0" w:line="126" w:lineRule="exact"/>
        <w:rPr>
          <w:rFonts w:ascii="Arial" w:cs="Arial" w:eastAsia="Arial" w:hAnsi="Arial"/>
          <w:sz w:val="16"/>
          <w:szCs w:val="16"/>
          <w:b w:val="1"/>
          <w:bCs w:val="1"/>
          <w:color w:val="6AAA37"/>
        </w:rPr>
      </w:pPr>
    </w:p>
    <w:p>
      <w:pPr>
        <w:ind w:left="180" w:right="500" w:hanging="172"/>
        <w:spacing w:after="0" w:line="321" w:lineRule="auto"/>
        <w:tabs>
          <w:tab w:leader="none" w:pos="180" w:val="left"/>
        </w:tabs>
        <w:numPr>
          <w:ilvl w:val="0"/>
          <w:numId w:val="105"/>
        </w:numPr>
        <w:rPr>
          <w:rFonts w:ascii="Arial" w:cs="Arial" w:eastAsia="Arial" w:hAnsi="Arial"/>
          <w:sz w:val="16"/>
          <w:szCs w:val="16"/>
          <w:b w:val="1"/>
          <w:bCs w:val="1"/>
          <w:color w:val="6AAA37"/>
        </w:rPr>
      </w:pPr>
      <w:r>
        <w:rPr>
          <w:rFonts w:ascii="Arial" w:cs="Arial" w:eastAsia="Arial" w:hAnsi="Arial"/>
          <w:sz w:val="16"/>
          <w:szCs w:val="16"/>
          <w:color w:val="auto"/>
        </w:rPr>
        <w:t>result in the repricing or buy-back of options where the exercise price of the option is greater than the then current fair market value of a share of common stock (that is, if it is “underwater”).</w:t>
      </w:r>
    </w:p>
    <w:p>
      <w:pPr>
        <w:spacing w:after="0" w:line="88" w:lineRule="exact"/>
        <w:rPr>
          <w:sz w:val="20"/>
          <w:szCs w:val="20"/>
          <w:color w:val="auto"/>
        </w:rPr>
      </w:pPr>
    </w:p>
    <w:p>
      <w:pPr>
        <w:ind w:right="400"/>
        <w:spacing w:after="0" w:line="321" w:lineRule="auto"/>
        <w:rPr>
          <w:sz w:val="20"/>
          <w:szCs w:val="20"/>
          <w:color w:val="auto"/>
        </w:rPr>
      </w:pPr>
      <w:r>
        <w:rPr>
          <w:rFonts w:ascii="Arial" w:cs="Arial" w:eastAsia="Arial" w:hAnsi="Arial"/>
          <w:sz w:val="16"/>
          <w:szCs w:val="16"/>
          <w:color w:val="auto"/>
        </w:rPr>
        <w:t>No new awards may be made under the Plan on or after February 13, 2030, or, if earlier, on or after the termination of the Plan. Awards granted before termination of the plan may extend beyond termination in accordance with their terms.</w:t>
      </w:r>
    </w:p>
    <w:p>
      <w:pPr>
        <w:spacing w:after="0" w:line="88" w:lineRule="exact"/>
        <w:rPr>
          <w:sz w:val="20"/>
          <w:szCs w:val="20"/>
          <w:color w:val="auto"/>
        </w:rPr>
      </w:pPr>
    </w:p>
    <w:p>
      <w:pPr>
        <w:ind w:right="240"/>
        <w:spacing w:after="0" w:line="310" w:lineRule="auto"/>
        <w:rPr>
          <w:sz w:val="20"/>
          <w:szCs w:val="20"/>
          <w:color w:val="auto"/>
        </w:rPr>
      </w:pPr>
      <w:r>
        <w:rPr>
          <w:rFonts w:ascii="Arial" w:cs="Arial" w:eastAsia="Arial" w:hAnsi="Arial"/>
          <w:sz w:val="16"/>
          <w:szCs w:val="16"/>
          <w:color w:val="auto"/>
        </w:rPr>
        <w:t>Notwithstanding the provisions of the Plan, the Compensation Committee may grant awards to persons who are foreign nationals on such terms and conditions different from those specified in the Plan as may be necessary or desirable to foster and promote achievement of the purposes of the Plan, subject in any specific case to applicable requirements, such as</w:t>
      </w:r>
    </w:p>
    <w:p>
      <w:pPr>
        <w:spacing w:after="0" w:line="200" w:lineRule="exact"/>
        <w:rPr>
          <w:sz w:val="20"/>
          <w:szCs w:val="20"/>
          <w:color w:val="auto"/>
        </w:rPr>
      </w:pPr>
    </w:p>
    <w:p>
      <w:pPr>
        <w:spacing w:after="0" w:line="231" w:lineRule="exact"/>
        <w:rPr>
          <w:sz w:val="20"/>
          <w:szCs w:val="20"/>
          <w:color w:val="auto"/>
        </w:rPr>
      </w:pPr>
    </w:p>
    <w:p>
      <w:pPr>
        <w:ind w:left="60"/>
        <w:spacing w:after="0"/>
        <w:tabs>
          <w:tab w:leader="none" w:pos="446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13"/>
          <w:szCs w:val="13"/>
          <w:b w:val="1"/>
          <w:bCs w:val="1"/>
          <w:color w:val="00558C"/>
        </w:rPr>
        <w:t>71</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420370</wp:posOffset>
            </wp:positionV>
            <wp:extent cx="6810375" cy="60769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10375" cy="6076950"/>
                    </a:xfrm>
                    <a:prstGeom prst="rect">
                      <a:avLst/>
                    </a:prstGeom>
                    <a:noFill/>
                  </pic:spPr>
                </pic:pic>
              </a:graphicData>
            </a:graphic>
          </wp:anchor>
        </w:drawing>
      </w:r>
    </w:p>
    <w:p>
      <w:pPr>
        <w:sectPr>
          <w:pgSz w:w="11900" w:h="16975" w:orient="portrait"/>
          <w:cols w:equalWidth="0" w:num="1">
            <w:col w:w="9080"/>
          </w:cols>
          <w:pgMar w:left="1400" w:top="114" w:right="14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0"/>
        <w:spacing w:after="0" w:line="274" w:lineRule="auto"/>
        <w:rPr>
          <w:sz w:val="20"/>
          <w:szCs w:val="20"/>
          <w:color w:val="auto"/>
        </w:rPr>
      </w:pPr>
      <w:r>
        <w:rPr>
          <w:rFonts w:ascii="Arial" w:cs="Arial" w:eastAsia="Arial" w:hAnsi="Arial"/>
          <w:sz w:val="13"/>
          <w:szCs w:val="13"/>
          <w:b w:val="1"/>
          <w:bCs w:val="1"/>
          <w:color w:val="B2B3B6"/>
        </w:rPr>
        <w:t>General Proposal Information 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line="274" w:lineRule="auto"/>
        <w:rPr>
          <w:sz w:val="20"/>
          <w:szCs w:val="20"/>
          <w:color w:val="auto"/>
        </w:rPr>
      </w:pPr>
      <w:r>
        <w:rPr>
          <w:rFonts w:ascii="Arial" w:cs="Arial" w:eastAsia="Arial" w:hAnsi="Arial"/>
          <w:sz w:val="13"/>
          <w:szCs w:val="13"/>
          <w:b w:val="1"/>
          <w:bCs w:val="1"/>
          <w:color w:val="B2B3B6"/>
        </w:rPr>
        <w:t>Corporate Proposal Executive Governance Two 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200"/>
        <w:spacing w:after="0" w:line="274" w:lineRule="auto"/>
        <w:rPr>
          <w:sz w:val="20"/>
          <w:szCs w:val="20"/>
          <w:color w:val="auto"/>
        </w:rPr>
      </w:pPr>
      <w:r>
        <w:rPr>
          <w:rFonts w:ascii="Arial" w:cs="Arial" w:eastAsia="Arial" w:hAnsi="Arial"/>
          <w:sz w:val="13"/>
          <w:szCs w:val="13"/>
          <w:b w:val="1"/>
          <w:bCs w:val="1"/>
          <w:color w:val="6AAA37"/>
        </w:rPr>
        <w:t xml:space="preserve">Proposal </w:t>
      </w:r>
      <w:r>
        <w:rPr>
          <w:rFonts w:ascii="Arial" w:cs="Arial" w:eastAsia="Arial" w:hAnsi="Arial"/>
          <w:sz w:val="13"/>
          <w:szCs w:val="13"/>
          <w:b w:val="1"/>
          <w:bCs w:val="1"/>
          <w:color w:val="B2B3B6"/>
        </w:rPr>
        <w:t>Proposal Proposal Stockholder Other</w:t>
      </w:r>
      <w:r>
        <w:rPr>
          <w:rFonts w:ascii="Arial" w:cs="Arial" w:eastAsia="Arial" w:hAnsi="Arial"/>
          <w:sz w:val="13"/>
          <w:szCs w:val="13"/>
          <w:b w:val="1"/>
          <w:bCs w:val="1"/>
          <w:color w:val="6AAA37"/>
        </w:rPr>
        <w:t xml:space="preserve"> Three </w:t>
      </w:r>
      <w:r>
        <w:rPr>
          <w:rFonts w:ascii="Arial" w:cs="Arial" w:eastAsia="Arial" w:hAnsi="Arial"/>
          <w:sz w:val="13"/>
          <w:szCs w:val="13"/>
          <w:b w:val="1"/>
          <w:bCs w:val="1"/>
          <w:color w:val="B2B3B6"/>
        </w:rPr>
        <w:t>Four Five Proposals Matters</w:t>
      </w:r>
    </w:p>
    <w:p>
      <w:pPr>
        <w:spacing w:after="0" w:line="200" w:lineRule="exact"/>
        <w:rPr>
          <w:sz w:val="20"/>
          <w:szCs w:val="20"/>
          <w:color w:val="auto"/>
        </w:rPr>
      </w:pPr>
    </w:p>
    <w:p>
      <w:pPr>
        <w:sectPr>
          <w:pgSz w:w="11900" w:h="16975" w:orient="portrait"/>
          <w:cols w:equalWidth="0" w:num="3">
            <w:col w:w="1600" w:space="300"/>
            <w:col w:w="2700" w:space="320"/>
            <w:col w:w="4160"/>
          </w:cols>
          <w:pgMar w:left="1400" w:top="114" w:right="1419" w:bottom="0" w:gutter="0" w:footer="0" w:header="0"/>
          <w:type w:val="continuous"/>
        </w:sectPr>
      </w:pPr>
    </w:p>
    <w:p>
      <w:pPr>
        <w:spacing w:after="0" w:line="151" w:lineRule="exact"/>
        <w:rPr>
          <w:sz w:val="20"/>
          <w:szCs w:val="20"/>
          <w:color w:val="auto"/>
        </w:rPr>
      </w:pPr>
    </w:p>
    <w:p>
      <w:pPr>
        <w:jc w:val="both"/>
        <w:ind w:right="40"/>
        <w:spacing w:after="0" w:line="301" w:lineRule="auto"/>
        <w:rPr>
          <w:sz w:val="20"/>
          <w:szCs w:val="20"/>
          <w:color w:val="auto"/>
        </w:rPr>
      </w:pPr>
      <w:r>
        <w:rPr>
          <w:rFonts w:ascii="Arial" w:cs="Arial" w:eastAsia="Arial" w:hAnsi="Arial"/>
          <w:sz w:val="16"/>
          <w:szCs w:val="16"/>
          <w:color w:val="auto"/>
        </w:rPr>
        <w:t>stockholder approval. Specifically, the Compensation Committee may make such modifications, amendments, procedures and subplans as may be necessary or advisable to comply with provisions of laws in other countries or jurisdictions in which Huron operates or has employees.</w:t>
      </w:r>
    </w:p>
    <w:p>
      <w:pPr>
        <w:spacing w:after="0" w:line="10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Except for adjustments pursuant to the Plan or reductions of the exercise price approved by stockholders, the exercise price of any outstanding option or SAR may not be decreased after the date of grant, nor may an outstanding option or SAR granted under the Plan be surrendered to the Company as consideration for the grant of a replacement option or SAR with a lower exercise price. Except as approved by the Company’s stockholders, in no event may any option or SAR be surrendered to the Company in consideration for a cash payment if, at the time of the surrender, the option or SAR is underwater. Finally, no repricing of an option may be made without the approval of the Company’s stockholders if approval is required under the rules of any stock exchange on which the Company’s common stock is listed.</w:t>
      </w:r>
    </w:p>
    <w:p>
      <w:pPr>
        <w:spacing w:after="0" w:line="112" w:lineRule="exact"/>
        <w:rPr>
          <w:sz w:val="20"/>
          <w:szCs w:val="20"/>
          <w:color w:val="auto"/>
        </w:rPr>
      </w:pPr>
    </w:p>
    <w:p>
      <w:pPr>
        <w:ind w:right="400"/>
        <w:spacing w:after="0" w:line="321" w:lineRule="auto"/>
        <w:rPr>
          <w:sz w:val="20"/>
          <w:szCs w:val="20"/>
          <w:color w:val="auto"/>
        </w:rPr>
      </w:pPr>
      <w:r>
        <w:rPr>
          <w:rFonts w:ascii="Arial" w:cs="Arial" w:eastAsia="Arial" w:hAnsi="Arial"/>
          <w:sz w:val="16"/>
          <w:szCs w:val="16"/>
          <w:color w:val="auto"/>
        </w:rPr>
        <w:t>In general, the exercise price of options and SARs under the Plan may be no less than 100% of the fair market value of a share on the date of grant.</w:t>
      </w:r>
    </w:p>
    <w:p>
      <w:pPr>
        <w:spacing w:after="0" w:line="88"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Compensation Committee shall determine the expiration date of each option and SAR, as applicable, which shall be no later than the tenth anniversary of the date of grant of the award. If an option has an expiration date during or within three days of a blackout period, then the expiration date of such option shall be extended for a period of 30 days following the end of the blackout period or such longer period as permitted by the Committee. Notwithstanding the foregoing, no extension of the exercise period may occur if it would cause the option to become subject to and in violation of the requirements of Section 409A(a) of the Code.</w:t>
      </w:r>
    </w:p>
    <w:p>
      <w:pPr>
        <w:spacing w:after="0" w:line="11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Payment for shares of common stock purchased upon the exercise of an option shall be made on the effective date of such exercise by one or a combination of the following means: (1) in cash or cash equivalents; (2) by tendering, by actual delivery or attestation, shares of common stock owned by the participant for at least six months prior to the date of exercise and valued on the effective date of such exercise; or (3) by any such other methods (including broker-assisted cashless exercise via a broker selected by the Committee) as the Committee may from time to time authorize; provided, however, that in all cases, the method of making such payment shall be in compliance with applicable law.</w:t>
      </w:r>
    </w:p>
    <w:p>
      <w:pPr>
        <w:spacing w:after="0" w:line="11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Vesting terms of any award will be specified at the time an award is made, although vesting of an award will be accelerated if a participant’s employment is terminated by Huron or its successor for reasons other than cause within 12 months of a change of control or if the Plan is terminated within 12 months of a change of control without provision for the continuation of outstanding awards. Unless otherwise determined by the Compensation Committee, if a participant is terminated for cause, all of that person’s outstanding unexercised awards will expire on the date prior to the termination. Except for awards that do not exceed 5% of the total number of shares reserved for issuance under the Plan, in no event will the required period of service for full vesting be less than one year (subject, to the extent provided by the Compensation Committee, to acceleration of vesting in the event of a participant’s death, disability, or change of control).</w:t>
      </w:r>
    </w:p>
    <w:p>
      <w:pPr>
        <w:spacing w:after="0" w:line="118"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Under the Plan, the maximum number of shares of stock that may be granted to any participant during any calendar year period with respect to full value awards that are intended to be performance-based compensation shall not exceed 500,000 shares in the aggregate (subject to equitable adjustment as provided). The maximum number of shares of stock to which ISOs</w:t>
      </w:r>
    </w:p>
    <w:p>
      <w:pPr>
        <w:sectPr>
          <w:pgSz w:w="11900" w:h="16975" w:orient="portrait"/>
          <w:cols w:equalWidth="0" w:num="1">
            <w:col w:w="9080"/>
          </w:cols>
          <w:pgMar w:left="1400" w:top="114" w:right="1419" w:bottom="0" w:gutter="0" w:footer="0" w:header="0"/>
          <w:type w:val="continuous"/>
        </w:sectPr>
      </w:pPr>
    </w:p>
    <w:bookmarkStart w:id="72" w:name="page73"/>
    <w:bookmarkEnd w:id="72"/>
    <w:p>
      <w:pPr>
        <w:ind w:right="139"/>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277939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10375" cy="2779395"/>
                    </a:xfrm>
                    <a:prstGeom prst="rect">
                      <a:avLst/>
                    </a:prstGeom>
                    <a:noFill/>
                  </pic:spPr>
                </pic:pic>
              </a:graphicData>
            </a:graphic>
          </wp:anchor>
        </w:drawing>
        <w:t>relate that may be granted to any participant under the Plan is 325,000 (subject to equitable adjustment as provided). In addition, the maximum amount payable to any person for any 12-month performance period with respect to a cash incentive award that is intended to be performance-based compensation, which we discuss in further detail in the next subsection, is $10,000,000. Finally, for any participant who is an outside director, the aggregate grant date fair value of awards granted to such individual during any calendar year, along with any regular cash retainer or meeting fees paid to such participant during such calendar year, will not exceed $1,500,000.</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Criteria</w:t>
      </w:r>
    </w:p>
    <w:p>
      <w:pPr>
        <w:spacing w:after="0" w:line="81" w:lineRule="exact"/>
        <w:rPr>
          <w:sz w:val="20"/>
          <w:szCs w:val="20"/>
          <w:color w:val="auto"/>
        </w:rPr>
      </w:pPr>
    </w:p>
    <w:p>
      <w:pPr>
        <w:ind w:right="179"/>
        <w:spacing w:after="0" w:line="321" w:lineRule="auto"/>
        <w:rPr>
          <w:sz w:val="20"/>
          <w:szCs w:val="20"/>
          <w:color w:val="auto"/>
        </w:rPr>
      </w:pPr>
      <w:r>
        <w:rPr>
          <w:rFonts w:ascii="Arial" w:cs="Arial" w:eastAsia="Arial" w:hAnsi="Arial"/>
          <w:sz w:val="16"/>
          <w:szCs w:val="16"/>
          <w:color w:val="auto"/>
        </w:rPr>
        <w:t>The exercisability or payment of awards may be based upon one or more of the following business criteria as established by the Compensation Committee:</w:t>
      </w:r>
    </w:p>
    <w:p>
      <w:pPr>
        <w:spacing w:after="0" w:line="34" w:lineRule="exact"/>
        <w:rPr>
          <w:sz w:val="20"/>
          <w:szCs w:val="20"/>
          <w:color w:val="auto"/>
        </w:rPr>
      </w:pPr>
    </w:p>
    <w:p>
      <w:pPr>
        <w:ind w:left="180" w:hanging="172"/>
        <w:spacing w:after="0"/>
        <w:tabs>
          <w:tab w:leader="none" w:pos="180" w:val="left"/>
        </w:tabs>
        <w:numPr>
          <w:ilvl w:val="0"/>
          <w:numId w:val="106"/>
        </w:numPr>
        <w:rPr>
          <w:rFonts w:ascii="Arial" w:cs="Arial" w:eastAsia="Arial" w:hAnsi="Arial"/>
          <w:sz w:val="16"/>
          <w:szCs w:val="16"/>
          <w:b w:val="1"/>
          <w:bCs w:val="1"/>
          <w:color w:val="6AAA37"/>
        </w:rPr>
      </w:pPr>
      <w:r>
        <w:rPr>
          <w:rFonts w:ascii="Arial" w:cs="Arial" w:eastAsia="Arial" w:hAnsi="Arial"/>
          <w:sz w:val="16"/>
          <w:szCs w:val="16"/>
          <w:color w:val="auto"/>
        </w:rPr>
        <w:t>return on total stockholder equity;</w:t>
      </w:r>
    </w:p>
    <w:p>
      <w:pPr>
        <w:spacing w:after="0" w:line="126" w:lineRule="exact"/>
        <w:rPr>
          <w:rFonts w:ascii="Arial" w:cs="Arial" w:eastAsia="Arial" w:hAnsi="Arial"/>
          <w:sz w:val="16"/>
          <w:szCs w:val="16"/>
          <w:b w:val="1"/>
          <w:bCs w:val="1"/>
          <w:color w:val="6AAA37"/>
        </w:rPr>
      </w:pPr>
    </w:p>
    <w:p>
      <w:pPr>
        <w:ind w:left="180" w:hanging="172"/>
        <w:spacing w:after="0"/>
        <w:tabs>
          <w:tab w:leader="none" w:pos="180" w:val="left"/>
        </w:tabs>
        <w:numPr>
          <w:ilvl w:val="0"/>
          <w:numId w:val="106"/>
        </w:numPr>
        <w:rPr>
          <w:rFonts w:ascii="Arial" w:cs="Arial" w:eastAsia="Arial" w:hAnsi="Arial"/>
          <w:sz w:val="16"/>
          <w:szCs w:val="16"/>
          <w:b w:val="1"/>
          <w:bCs w:val="1"/>
          <w:color w:val="6AAA37"/>
        </w:rPr>
      </w:pPr>
      <w:r>
        <w:rPr>
          <w:rFonts w:ascii="Arial" w:cs="Arial" w:eastAsia="Arial" w:hAnsi="Arial"/>
          <w:sz w:val="16"/>
          <w:szCs w:val="16"/>
          <w:color w:val="auto"/>
        </w:rPr>
        <w:t>earnings or book value per share of Company common stock (“EPS”);</w:t>
      </w:r>
    </w:p>
    <w:p>
      <w:pPr>
        <w:spacing w:after="0" w:line="126" w:lineRule="exact"/>
        <w:rPr>
          <w:rFonts w:ascii="Arial" w:cs="Arial" w:eastAsia="Arial" w:hAnsi="Arial"/>
          <w:sz w:val="16"/>
          <w:szCs w:val="16"/>
          <w:b w:val="1"/>
          <w:bCs w:val="1"/>
          <w:color w:val="6AAA37"/>
        </w:rPr>
      </w:pPr>
    </w:p>
    <w:p>
      <w:pPr>
        <w:ind w:left="180" w:hanging="172"/>
        <w:spacing w:after="0"/>
        <w:tabs>
          <w:tab w:leader="none" w:pos="180" w:val="left"/>
        </w:tabs>
        <w:numPr>
          <w:ilvl w:val="0"/>
          <w:numId w:val="106"/>
        </w:numPr>
        <w:rPr>
          <w:rFonts w:ascii="Arial" w:cs="Arial" w:eastAsia="Arial" w:hAnsi="Arial"/>
          <w:sz w:val="16"/>
          <w:szCs w:val="16"/>
          <w:b w:val="1"/>
          <w:bCs w:val="1"/>
          <w:color w:val="6AAA37"/>
        </w:rPr>
      </w:pPr>
      <w:r>
        <w:rPr>
          <w:rFonts w:ascii="Arial" w:cs="Arial" w:eastAsia="Arial" w:hAnsi="Arial"/>
          <w:sz w:val="16"/>
          <w:szCs w:val="16"/>
          <w:color w:val="auto"/>
        </w:rPr>
        <w:t>adjusted EPS;</w:t>
      </w:r>
    </w:p>
    <w:p>
      <w:pPr>
        <w:spacing w:after="0" w:line="200" w:lineRule="exact"/>
        <w:rPr>
          <w:sz w:val="20"/>
          <w:szCs w:val="20"/>
          <w:color w:val="auto"/>
        </w:rPr>
      </w:pPr>
    </w:p>
    <w:p>
      <w:pPr>
        <w:spacing w:after="0" w:line="382" w:lineRule="exact"/>
        <w:rPr>
          <w:sz w:val="20"/>
          <w:szCs w:val="20"/>
          <w:color w:val="auto"/>
        </w:rPr>
      </w:pPr>
    </w:p>
    <w:p>
      <w:pPr>
        <w:ind w:left="60"/>
        <w:spacing w:after="0"/>
        <w:tabs>
          <w:tab w:leader="none" w:pos="444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13"/>
          <w:szCs w:val="13"/>
          <w:b w:val="1"/>
          <w:bCs w:val="1"/>
          <w:color w:val="00558C"/>
        </w:rPr>
        <w:t>72</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420370</wp:posOffset>
            </wp:positionV>
            <wp:extent cx="6810375" cy="76542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10375" cy="7654290"/>
                    </a:xfrm>
                    <a:prstGeom prst="rect">
                      <a:avLst/>
                    </a:prstGeom>
                    <a:noFill/>
                  </pic:spPr>
                </pic:pic>
              </a:graphicData>
            </a:graphic>
          </wp:anchor>
        </w:drawing>
      </w:r>
    </w:p>
    <w:p>
      <w:pPr>
        <w:sectPr>
          <w:pgSz w:w="11900" w:h="16838" w:orient="portrait"/>
          <w:cols w:equalWidth="0" w:num="1">
            <w:col w:w="9059"/>
          </w:cols>
          <w:pgMar w:left="1400" w:top="16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0"/>
        <w:spacing w:after="0" w:line="274" w:lineRule="auto"/>
        <w:rPr>
          <w:sz w:val="20"/>
          <w:szCs w:val="20"/>
          <w:color w:val="auto"/>
        </w:rPr>
      </w:pPr>
      <w:r>
        <w:rPr>
          <w:rFonts w:ascii="Arial" w:cs="Arial" w:eastAsia="Arial" w:hAnsi="Arial"/>
          <w:sz w:val="13"/>
          <w:szCs w:val="13"/>
          <w:b w:val="1"/>
          <w:bCs w:val="1"/>
          <w:color w:val="B2B3B6"/>
        </w:rPr>
        <w:t>General Proposal Information 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line="274" w:lineRule="auto"/>
        <w:rPr>
          <w:sz w:val="20"/>
          <w:szCs w:val="20"/>
          <w:color w:val="auto"/>
        </w:rPr>
      </w:pPr>
      <w:r>
        <w:rPr>
          <w:rFonts w:ascii="Arial" w:cs="Arial" w:eastAsia="Arial" w:hAnsi="Arial"/>
          <w:sz w:val="13"/>
          <w:szCs w:val="13"/>
          <w:b w:val="1"/>
          <w:bCs w:val="1"/>
          <w:color w:val="B2B3B6"/>
        </w:rPr>
        <w:t>Corporate Proposal Executive Governance Two 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179"/>
        <w:spacing w:after="0" w:line="274" w:lineRule="auto"/>
        <w:rPr>
          <w:sz w:val="20"/>
          <w:szCs w:val="20"/>
          <w:color w:val="auto"/>
        </w:rPr>
      </w:pPr>
      <w:r>
        <w:rPr>
          <w:rFonts w:ascii="Arial" w:cs="Arial" w:eastAsia="Arial" w:hAnsi="Arial"/>
          <w:sz w:val="13"/>
          <w:szCs w:val="13"/>
          <w:b w:val="1"/>
          <w:bCs w:val="1"/>
          <w:color w:val="6AAA37"/>
        </w:rPr>
        <w:t xml:space="preserve">Proposal </w:t>
      </w:r>
      <w:r>
        <w:rPr>
          <w:rFonts w:ascii="Arial" w:cs="Arial" w:eastAsia="Arial" w:hAnsi="Arial"/>
          <w:sz w:val="13"/>
          <w:szCs w:val="13"/>
          <w:b w:val="1"/>
          <w:bCs w:val="1"/>
          <w:color w:val="B2B3B6"/>
        </w:rPr>
        <w:t>Proposal Proposal Stockholder Other</w:t>
      </w:r>
      <w:r>
        <w:rPr>
          <w:rFonts w:ascii="Arial" w:cs="Arial" w:eastAsia="Arial" w:hAnsi="Arial"/>
          <w:sz w:val="13"/>
          <w:szCs w:val="13"/>
          <w:b w:val="1"/>
          <w:bCs w:val="1"/>
          <w:color w:val="6AAA37"/>
        </w:rPr>
        <w:t xml:space="preserve"> Three </w:t>
      </w:r>
      <w:r>
        <w:rPr>
          <w:rFonts w:ascii="Arial" w:cs="Arial" w:eastAsia="Arial" w:hAnsi="Arial"/>
          <w:sz w:val="13"/>
          <w:szCs w:val="13"/>
          <w:b w:val="1"/>
          <w:bCs w:val="1"/>
          <w:color w:val="B2B3B6"/>
        </w:rPr>
        <w:t>Four Five Proposals Matters</w:t>
      </w:r>
    </w:p>
    <w:p>
      <w:pPr>
        <w:spacing w:after="0" w:line="200" w:lineRule="exact"/>
        <w:rPr>
          <w:sz w:val="20"/>
          <w:szCs w:val="20"/>
          <w:color w:val="auto"/>
        </w:rPr>
      </w:pPr>
    </w:p>
    <w:p>
      <w:pPr>
        <w:sectPr>
          <w:pgSz w:w="11900" w:h="16838" w:orient="portrait"/>
          <w:cols w:equalWidth="0" w:num="3">
            <w:col w:w="1600" w:space="300"/>
            <w:col w:w="2700" w:space="320"/>
            <w:col w:w="4139"/>
          </w:cols>
          <w:pgMar w:left="1400" w:top="166" w:right="1440" w:bottom="0" w:gutter="0" w:footer="0" w:header="0"/>
          <w:type w:val="continuous"/>
        </w:sectPr>
      </w:pPr>
    </w:p>
    <w:p>
      <w:pPr>
        <w:spacing w:after="0" w:line="151" w:lineRule="exact"/>
        <w:rPr>
          <w:sz w:val="20"/>
          <w:szCs w:val="20"/>
          <w:color w:val="auto"/>
        </w:rPr>
      </w:pPr>
    </w:p>
    <w:p>
      <w:pPr>
        <w:ind w:left="180" w:hanging="172"/>
        <w:spacing w:after="0"/>
        <w:tabs>
          <w:tab w:leader="none" w:pos="180" w:val="left"/>
        </w:tabs>
        <w:numPr>
          <w:ilvl w:val="0"/>
          <w:numId w:val="107"/>
        </w:numPr>
        <w:rPr>
          <w:rFonts w:ascii="Arial" w:cs="Arial" w:eastAsia="Arial" w:hAnsi="Arial"/>
          <w:sz w:val="16"/>
          <w:szCs w:val="16"/>
          <w:b w:val="1"/>
          <w:bCs w:val="1"/>
          <w:color w:val="6AAA37"/>
        </w:rPr>
      </w:pPr>
      <w:r>
        <w:rPr>
          <w:rFonts w:ascii="Arial" w:cs="Arial" w:eastAsia="Arial" w:hAnsi="Arial"/>
          <w:sz w:val="16"/>
          <w:szCs w:val="16"/>
          <w:color w:val="auto"/>
        </w:rPr>
        <w:t>net income (before or after taxes);</w:t>
      </w:r>
    </w:p>
    <w:p>
      <w:pPr>
        <w:spacing w:after="0" w:line="113" w:lineRule="exact"/>
        <w:rPr>
          <w:rFonts w:ascii="Arial" w:cs="Arial" w:eastAsia="Arial" w:hAnsi="Arial"/>
          <w:sz w:val="16"/>
          <w:szCs w:val="16"/>
          <w:b w:val="1"/>
          <w:bCs w:val="1"/>
          <w:color w:val="6AAA37"/>
        </w:rPr>
      </w:pPr>
    </w:p>
    <w:p>
      <w:pPr>
        <w:ind w:left="180" w:right="299" w:hanging="172"/>
        <w:spacing w:after="0" w:line="339" w:lineRule="auto"/>
        <w:tabs>
          <w:tab w:leader="none" w:pos="180" w:val="left"/>
        </w:tabs>
        <w:numPr>
          <w:ilvl w:val="0"/>
          <w:numId w:val="107"/>
        </w:numPr>
        <w:rPr>
          <w:rFonts w:ascii="Arial" w:cs="Arial" w:eastAsia="Arial" w:hAnsi="Arial"/>
          <w:sz w:val="16"/>
          <w:szCs w:val="16"/>
          <w:b w:val="1"/>
          <w:bCs w:val="1"/>
          <w:color w:val="6AAA37"/>
        </w:rPr>
      </w:pPr>
      <w:r>
        <w:rPr>
          <w:rFonts w:ascii="Arial" w:cs="Arial" w:eastAsia="Arial" w:hAnsi="Arial"/>
          <w:sz w:val="16"/>
          <w:szCs w:val="16"/>
          <w:color w:val="auto"/>
        </w:rPr>
        <w:t>earnings before all or any interest, taxes, depreciation and/or amortization (“EBIT,” “EBITA” or “EBITDA”) measured as a dollar amount or a percentage of revenue;</w:t>
      </w:r>
    </w:p>
    <w:p>
      <w:pPr>
        <w:spacing w:after="0" w:line="20" w:lineRule="exact"/>
        <w:rPr>
          <w:rFonts w:ascii="Arial" w:cs="Arial" w:eastAsia="Arial" w:hAnsi="Arial"/>
          <w:sz w:val="16"/>
          <w:szCs w:val="16"/>
          <w:b w:val="1"/>
          <w:bCs w:val="1"/>
          <w:color w:val="6AAA37"/>
        </w:rPr>
      </w:pPr>
    </w:p>
    <w:p>
      <w:pPr>
        <w:ind w:left="180" w:hanging="172"/>
        <w:spacing w:after="0"/>
        <w:tabs>
          <w:tab w:leader="none" w:pos="180" w:val="left"/>
        </w:tabs>
        <w:numPr>
          <w:ilvl w:val="0"/>
          <w:numId w:val="107"/>
        </w:numPr>
        <w:rPr>
          <w:rFonts w:ascii="Arial" w:cs="Arial" w:eastAsia="Arial" w:hAnsi="Arial"/>
          <w:sz w:val="16"/>
          <w:szCs w:val="16"/>
          <w:b w:val="1"/>
          <w:bCs w:val="1"/>
          <w:color w:val="6AAA37"/>
        </w:rPr>
      </w:pPr>
      <w:r>
        <w:rPr>
          <w:rFonts w:ascii="Arial" w:cs="Arial" w:eastAsia="Arial" w:hAnsi="Arial"/>
          <w:sz w:val="16"/>
          <w:szCs w:val="16"/>
          <w:color w:val="auto"/>
        </w:rPr>
        <w:t>adjusted EBITDA;</w:t>
      </w:r>
    </w:p>
    <w:p>
      <w:pPr>
        <w:spacing w:after="0" w:line="113" w:lineRule="exact"/>
        <w:rPr>
          <w:rFonts w:ascii="Arial" w:cs="Arial" w:eastAsia="Arial" w:hAnsi="Arial"/>
          <w:sz w:val="16"/>
          <w:szCs w:val="16"/>
          <w:b w:val="1"/>
          <w:bCs w:val="1"/>
          <w:color w:val="6AAA37"/>
        </w:rPr>
      </w:pPr>
    </w:p>
    <w:p>
      <w:pPr>
        <w:ind w:left="180" w:hanging="172"/>
        <w:spacing w:after="0"/>
        <w:tabs>
          <w:tab w:leader="none" w:pos="180" w:val="left"/>
        </w:tabs>
        <w:numPr>
          <w:ilvl w:val="0"/>
          <w:numId w:val="107"/>
        </w:numPr>
        <w:rPr>
          <w:rFonts w:ascii="Arial" w:cs="Arial" w:eastAsia="Arial" w:hAnsi="Arial"/>
          <w:sz w:val="16"/>
          <w:szCs w:val="16"/>
          <w:b w:val="1"/>
          <w:bCs w:val="1"/>
          <w:color w:val="6AAA37"/>
        </w:rPr>
      </w:pPr>
      <w:r>
        <w:rPr>
          <w:rFonts w:ascii="Arial" w:cs="Arial" w:eastAsia="Arial" w:hAnsi="Arial"/>
          <w:sz w:val="16"/>
          <w:szCs w:val="16"/>
          <w:color w:val="auto"/>
        </w:rPr>
        <w:t>return on assets, capital or investment;</w:t>
      </w:r>
    </w:p>
    <w:p>
      <w:pPr>
        <w:spacing w:after="0" w:line="126" w:lineRule="exact"/>
        <w:rPr>
          <w:rFonts w:ascii="Arial" w:cs="Arial" w:eastAsia="Arial" w:hAnsi="Arial"/>
          <w:sz w:val="16"/>
          <w:szCs w:val="16"/>
          <w:b w:val="1"/>
          <w:bCs w:val="1"/>
          <w:color w:val="6AAA37"/>
        </w:rPr>
      </w:pPr>
    </w:p>
    <w:p>
      <w:pPr>
        <w:ind w:left="180" w:hanging="172"/>
        <w:spacing w:after="0"/>
        <w:tabs>
          <w:tab w:leader="none" w:pos="180" w:val="left"/>
        </w:tabs>
        <w:numPr>
          <w:ilvl w:val="0"/>
          <w:numId w:val="107"/>
        </w:numPr>
        <w:rPr>
          <w:rFonts w:ascii="Arial" w:cs="Arial" w:eastAsia="Arial" w:hAnsi="Arial"/>
          <w:sz w:val="16"/>
          <w:szCs w:val="16"/>
          <w:b w:val="1"/>
          <w:bCs w:val="1"/>
          <w:color w:val="6AAA37"/>
        </w:rPr>
      </w:pPr>
      <w:r>
        <w:rPr>
          <w:rFonts w:ascii="Arial" w:cs="Arial" w:eastAsia="Arial" w:hAnsi="Arial"/>
          <w:sz w:val="16"/>
          <w:szCs w:val="16"/>
          <w:color w:val="auto"/>
        </w:rPr>
        <w:t>market share;</w:t>
      </w:r>
    </w:p>
    <w:p>
      <w:pPr>
        <w:spacing w:after="0" w:line="126" w:lineRule="exact"/>
        <w:rPr>
          <w:rFonts w:ascii="Arial" w:cs="Arial" w:eastAsia="Arial" w:hAnsi="Arial"/>
          <w:sz w:val="16"/>
          <w:szCs w:val="16"/>
          <w:b w:val="1"/>
          <w:bCs w:val="1"/>
          <w:color w:val="6AAA37"/>
        </w:rPr>
      </w:pPr>
    </w:p>
    <w:p>
      <w:pPr>
        <w:ind w:left="180" w:hanging="172"/>
        <w:spacing w:after="0"/>
        <w:tabs>
          <w:tab w:leader="none" w:pos="180" w:val="left"/>
        </w:tabs>
        <w:numPr>
          <w:ilvl w:val="0"/>
          <w:numId w:val="107"/>
        </w:numPr>
        <w:rPr>
          <w:rFonts w:ascii="Arial" w:cs="Arial" w:eastAsia="Arial" w:hAnsi="Arial"/>
          <w:sz w:val="16"/>
          <w:szCs w:val="16"/>
          <w:b w:val="1"/>
          <w:bCs w:val="1"/>
          <w:color w:val="6AAA37"/>
        </w:rPr>
      </w:pPr>
      <w:r>
        <w:rPr>
          <w:rFonts w:ascii="Arial" w:cs="Arial" w:eastAsia="Arial" w:hAnsi="Arial"/>
          <w:sz w:val="16"/>
          <w:szCs w:val="16"/>
          <w:color w:val="auto"/>
        </w:rPr>
        <w:t>market capitalization;</w:t>
      </w:r>
    </w:p>
    <w:p>
      <w:pPr>
        <w:spacing w:after="0" w:line="126" w:lineRule="exact"/>
        <w:rPr>
          <w:rFonts w:ascii="Arial" w:cs="Arial" w:eastAsia="Arial" w:hAnsi="Arial"/>
          <w:sz w:val="16"/>
          <w:szCs w:val="16"/>
          <w:b w:val="1"/>
          <w:bCs w:val="1"/>
          <w:color w:val="6AAA37"/>
        </w:rPr>
      </w:pPr>
    </w:p>
    <w:p>
      <w:pPr>
        <w:ind w:left="180" w:hanging="172"/>
        <w:spacing w:after="0"/>
        <w:tabs>
          <w:tab w:leader="none" w:pos="180" w:val="left"/>
        </w:tabs>
        <w:numPr>
          <w:ilvl w:val="0"/>
          <w:numId w:val="107"/>
        </w:numPr>
        <w:rPr>
          <w:rFonts w:ascii="Arial" w:cs="Arial" w:eastAsia="Arial" w:hAnsi="Arial"/>
          <w:sz w:val="16"/>
          <w:szCs w:val="16"/>
          <w:b w:val="1"/>
          <w:bCs w:val="1"/>
          <w:color w:val="6AAA37"/>
        </w:rPr>
      </w:pPr>
      <w:r>
        <w:rPr>
          <w:rFonts w:ascii="Arial" w:cs="Arial" w:eastAsia="Arial" w:hAnsi="Arial"/>
          <w:sz w:val="16"/>
          <w:szCs w:val="16"/>
          <w:color w:val="auto"/>
        </w:rPr>
        <w:t>cost reduction goals;</w:t>
      </w:r>
    </w:p>
    <w:p>
      <w:pPr>
        <w:spacing w:after="0" w:line="126" w:lineRule="exact"/>
        <w:rPr>
          <w:rFonts w:ascii="Arial" w:cs="Arial" w:eastAsia="Arial" w:hAnsi="Arial"/>
          <w:sz w:val="16"/>
          <w:szCs w:val="16"/>
          <w:b w:val="1"/>
          <w:bCs w:val="1"/>
          <w:color w:val="6AAA37"/>
        </w:rPr>
      </w:pPr>
    </w:p>
    <w:p>
      <w:pPr>
        <w:ind w:left="180" w:hanging="172"/>
        <w:spacing w:after="0"/>
        <w:tabs>
          <w:tab w:leader="none" w:pos="180" w:val="left"/>
        </w:tabs>
        <w:numPr>
          <w:ilvl w:val="0"/>
          <w:numId w:val="107"/>
        </w:numPr>
        <w:rPr>
          <w:rFonts w:ascii="Arial" w:cs="Arial" w:eastAsia="Arial" w:hAnsi="Arial"/>
          <w:sz w:val="16"/>
          <w:szCs w:val="16"/>
          <w:b w:val="1"/>
          <w:bCs w:val="1"/>
          <w:color w:val="6AAA37"/>
        </w:rPr>
      </w:pPr>
      <w:r>
        <w:rPr>
          <w:rFonts w:ascii="Arial" w:cs="Arial" w:eastAsia="Arial" w:hAnsi="Arial"/>
          <w:sz w:val="16"/>
          <w:szCs w:val="16"/>
          <w:color w:val="auto"/>
        </w:rPr>
        <w:t>levels of expense, costs or liabilities;</w:t>
      </w:r>
    </w:p>
    <w:p>
      <w:pPr>
        <w:spacing w:after="0" w:line="126" w:lineRule="exact"/>
        <w:rPr>
          <w:rFonts w:ascii="Arial" w:cs="Arial" w:eastAsia="Arial" w:hAnsi="Arial"/>
          <w:sz w:val="16"/>
          <w:szCs w:val="16"/>
          <w:b w:val="1"/>
          <w:bCs w:val="1"/>
          <w:color w:val="6AAA37"/>
        </w:rPr>
      </w:pPr>
    </w:p>
    <w:p>
      <w:pPr>
        <w:ind w:left="180" w:hanging="172"/>
        <w:spacing w:after="0"/>
        <w:tabs>
          <w:tab w:leader="none" w:pos="180" w:val="left"/>
        </w:tabs>
        <w:numPr>
          <w:ilvl w:val="0"/>
          <w:numId w:val="107"/>
        </w:numPr>
        <w:rPr>
          <w:rFonts w:ascii="Arial" w:cs="Arial" w:eastAsia="Arial" w:hAnsi="Arial"/>
          <w:sz w:val="16"/>
          <w:szCs w:val="16"/>
          <w:b w:val="1"/>
          <w:bCs w:val="1"/>
          <w:color w:val="6AAA37"/>
        </w:rPr>
      </w:pPr>
      <w:r>
        <w:rPr>
          <w:rFonts w:ascii="Arial" w:cs="Arial" w:eastAsia="Arial" w:hAnsi="Arial"/>
          <w:sz w:val="16"/>
          <w:szCs w:val="16"/>
          <w:color w:val="auto"/>
        </w:rPr>
        <w:t>department, division or business unit level performance;</w:t>
      </w:r>
    </w:p>
    <w:p>
      <w:pPr>
        <w:spacing w:after="0" w:line="126" w:lineRule="exact"/>
        <w:rPr>
          <w:rFonts w:ascii="Arial" w:cs="Arial" w:eastAsia="Arial" w:hAnsi="Arial"/>
          <w:sz w:val="16"/>
          <w:szCs w:val="16"/>
          <w:b w:val="1"/>
          <w:bCs w:val="1"/>
          <w:color w:val="6AAA37"/>
        </w:rPr>
      </w:pPr>
    </w:p>
    <w:p>
      <w:pPr>
        <w:ind w:left="180" w:hanging="172"/>
        <w:spacing w:after="0"/>
        <w:tabs>
          <w:tab w:leader="none" w:pos="180" w:val="left"/>
        </w:tabs>
        <w:numPr>
          <w:ilvl w:val="0"/>
          <w:numId w:val="107"/>
        </w:numPr>
        <w:rPr>
          <w:rFonts w:ascii="Arial" w:cs="Arial" w:eastAsia="Arial" w:hAnsi="Arial"/>
          <w:sz w:val="16"/>
          <w:szCs w:val="16"/>
          <w:b w:val="1"/>
          <w:bCs w:val="1"/>
          <w:color w:val="6AAA37"/>
        </w:rPr>
      </w:pPr>
      <w:r>
        <w:rPr>
          <w:rFonts w:ascii="Arial" w:cs="Arial" w:eastAsia="Arial" w:hAnsi="Arial"/>
          <w:sz w:val="16"/>
          <w:szCs w:val="16"/>
          <w:color w:val="auto"/>
        </w:rPr>
        <w:t>operating income;</w:t>
      </w:r>
    </w:p>
    <w:p>
      <w:pPr>
        <w:spacing w:after="0" w:line="113" w:lineRule="exact"/>
        <w:rPr>
          <w:rFonts w:ascii="Arial" w:cs="Arial" w:eastAsia="Arial" w:hAnsi="Arial"/>
          <w:sz w:val="16"/>
          <w:szCs w:val="16"/>
          <w:b w:val="1"/>
          <w:bCs w:val="1"/>
          <w:color w:val="6AAA37"/>
        </w:rPr>
      </w:pPr>
    </w:p>
    <w:p>
      <w:pPr>
        <w:ind w:left="180" w:hanging="172"/>
        <w:spacing w:after="0"/>
        <w:tabs>
          <w:tab w:leader="none" w:pos="180" w:val="left"/>
        </w:tabs>
        <w:numPr>
          <w:ilvl w:val="0"/>
          <w:numId w:val="107"/>
        </w:numPr>
        <w:rPr>
          <w:rFonts w:ascii="Arial" w:cs="Arial" w:eastAsia="Arial" w:hAnsi="Arial"/>
          <w:sz w:val="16"/>
          <w:szCs w:val="16"/>
          <w:b w:val="1"/>
          <w:bCs w:val="1"/>
          <w:color w:val="6AAA37"/>
        </w:rPr>
      </w:pPr>
      <w:r>
        <w:rPr>
          <w:rFonts w:ascii="Arial" w:cs="Arial" w:eastAsia="Arial" w:hAnsi="Arial"/>
          <w:sz w:val="16"/>
          <w:szCs w:val="16"/>
          <w:color w:val="auto"/>
        </w:rPr>
        <w:t>sales or revenues;</w:t>
      </w:r>
    </w:p>
    <w:p>
      <w:pPr>
        <w:spacing w:after="0" w:line="126" w:lineRule="exact"/>
        <w:rPr>
          <w:rFonts w:ascii="Arial" w:cs="Arial" w:eastAsia="Arial" w:hAnsi="Arial"/>
          <w:sz w:val="16"/>
          <w:szCs w:val="16"/>
          <w:b w:val="1"/>
          <w:bCs w:val="1"/>
          <w:color w:val="6AAA37"/>
        </w:rPr>
      </w:pPr>
    </w:p>
    <w:p>
      <w:pPr>
        <w:ind w:left="180" w:hanging="172"/>
        <w:spacing w:after="0"/>
        <w:tabs>
          <w:tab w:leader="none" w:pos="180" w:val="left"/>
        </w:tabs>
        <w:numPr>
          <w:ilvl w:val="0"/>
          <w:numId w:val="107"/>
        </w:numPr>
        <w:rPr>
          <w:rFonts w:ascii="Arial" w:cs="Arial" w:eastAsia="Arial" w:hAnsi="Arial"/>
          <w:sz w:val="16"/>
          <w:szCs w:val="16"/>
          <w:b w:val="1"/>
          <w:bCs w:val="1"/>
          <w:color w:val="6AAA37"/>
        </w:rPr>
      </w:pPr>
      <w:r>
        <w:rPr>
          <w:rFonts w:ascii="Arial" w:cs="Arial" w:eastAsia="Arial" w:hAnsi="Arial"/>
          <w:sz w:val="16"/>
          <w:szCs w:val="16"/>
          <w:color w:val="auto"/>
        </w:rPr>
        <w:t>stock price appreciation;</w:t>
      </w:r>
    </w:p>
    <w:p>
      <w:pPr>
        <w:spacing w:after="0" w:line="126" w:lineRule="exact"/>
        <w:rPr>
          <w:rFonts w:ascii="Arial" w:cs="Arial" w:eastAsia="Arial" w:hAnsi="Arial"/>
          <w:sz w:val="16"/>
          <w:szCs w:val="16"/>
          <w:b w:val="1"/>
          <w:bCs w:val="1"/>
          <w:color w:val="6AAA37"/>
        </w:rPr>
      </w:pPr>
    </w:p>
    <w:p>
      <w:pPr>
        <w:ind w:left="180" w:hanging="172"/>
        <w:spacing w:after="0"/>
        <w:tabs>
          <w:tab w:leader="none" w:pos="180" w:val="left"/>
        </w:tabs>
        <w:numPr>
          <w:ilvl w:val="0"/>
          <w:numId w:val="107"/>
        </w:numPr>
        <w:rPr>
          <w:rFonts w:ascii="Arial" w:cs="Arial" w:eastAsia="Arial" w:hAnsi="Arial"/>
          <w:sz w:val="16"/>
          <w:szCs w:val="16"/>
          <w:b w:val="1"/>
          <w:bCs w:val="1"/>
          <w:color w:val="6AAA37"/>
        </w:rPr>
      </w:pPr>
      <w:r>
        <w:rPr>
          <w:rFonts w:ascii="Arial" w:cs="Arial" w:eastAsia="Arial" w:hAnsi="Arial"/>
          <w:sz w:val="16"/>
          <w:szCs w:val="16"/>
          <w:color w:val="auto"/>
        </w:rPr>
        <w:t>total shareholder return (TSR);</w:t>
      </w:r>
    </w:p>
    <w:p>
      <w:pPr>
        <w:spacing w:after="0" w:line="126" w:lineRule="exact"/>
        <w:rPr>
          <w:rFonts w:ascii="Arial" w:cs="Arial" w:eastAsia="Arial" w:hAnsi="Arial"/>
          <w:sz w:val="16"/>
          <w:szCs w:val="16"/>
          <w:b w:val="1"/>
          <w:bCs w:val="1"/>
          <w:color w:val="6AAA37"/>
        </w:rPr>
      </w:pPr>
    </w:p>
    <w:p>
      <w:pPr>
        <w:ind w:left="180" w:hanging="172"/>
        <w:spacing w:after="0"/>
        <w:tabs>
          <w:tab w:leader="none" w:pos="180" w:val="left"/>
        </w:tabs>
        <w:numPr>
          <w:ilvl w:val="0"/>
          <w:numId w:val="107"/>
        </w:numPr>
        <w:rPr>
          <w:rFonts w:ascii="Arial" w:cs="Arial" w:eastAsia="Arial" w:hAnsi="Arial"/>
          <w:sz w:val="16"/>
          <w:szCs w:val="16"/>
          <w:b w:val="1"/>
          <w:bCs w:val="1"/>
          <w:color w:val="6AAA37"/>
        </w:rPr>
      </w:pPr>
      <w:r>
        <w:rPr>
          <w:rFonts w:ascii="Arial" w:cs="Arial" w:eastAsia="Arial" w:hAnsi="Arial"/>
          <w:sz w:val="16"/>
          <w:szCs w:val="16"/>
          <w:color w:val="auto"/>
        </w:rPr>
        <w:t>implementation or completion of critical projects or processes;</w:t>
      </w:r>
    </w:p>
    <w:p>
      <w:pPr>
        <w:spacing w:after="0" w:line="126" w:lineRule="exact"/>
        <w:rPr>
          <w:rFonts w:ascii="Arial" w:cs="Arial" w:eastAsia="Arial" w:hAnsi="Arial"/>
          <w:sz w:val="16"/>
          <w:szCs w:val="16"/>
          <w:b w:val="1"/>
          <w:bCs w:val="1"/>
          <w:color w:val="6AAA37"/>
        </w:rPr>
      </w:pPr>
    </w:p>
    <w:p>
      <w:pPr>
        <w:ind w:left="180" w:hanging="172"/>
        <w:spacing w:after="0"/>
        <w:tabs>
          <w:tab w:leader="none" w:pos="180" w:val="left"/>
        </w:tabs>
        <w:numPr>
          <w:ilvl w:val="0"/>
          <w:numId w:val="107"/>
        </w:numPr>
        <w:rPr>
          <w:rFonts w:ascii="Arial" w:cs="Arial" w:eastAsia="Arial" w:hAnsi="Arial"/>
          <w:sz w:val="16"/>
          <w:szCs w:val="16"/>
          <w:b w:val="1"/>
          <w:bCs w:val="1"/>
          <w:color w:val="6AAA37"/>
        </w:rPr>
      </w:pPr>
      <w:r>
        <w:rPr>
          <w:rFonts w:ascii="Arial" w:cs="Arial" w:eastAsia="Arial" w:hAnsi="Arial"/>
          <w:sz w:val="16"/>
          <w:szCs w:val="16"/>
          <w:color w:val="auto"/>
        </w:rPr>
        <w:t>days sales outstanding (DSO);</w:t>
      </w:r>
    </w:p>
    <w:p>
      <w:pPr>
        <w:spacing w:after="0" w:line="126" w:lineRule="exact"/>
        <w:rPr>
          <w:rFonts w:ascii="Arial" w:cs="Arial" w:eastAsia="Arial" w:hAnsi="Arial"/>
          <w:sz w:val="16"/>
          <w:szCs w:val="16"/>
          <w:b w:val="1"/>
          <w:bCs w:val="1"/>
          <w:color w:val="6AAA37"/>
        </w:rPr>
      </w:pPr>
    </w:p>
    <w:p>
      <w:pPr>
        <w:ind w:left="180" w:hanging="172"/>
        <w:spacing w:after="0"/>
        <w:tabs>
          <w:tab w:leader="none" w:pos="180" w:val="left"/>
        </w:tabs>
        <w:numPr>
          <w:ilvl w:val="0"/>
          <w:numId w:val="107"/>
        </w:numPr>
        <w:rPr>
          <w:rFonts w:ascii="Arial" w:cs="Arial" w:eastAsia="Arial" w:hAnsi="Arial"/>
          <w:sz w:val="16"/>
          <w:szCs w:val="16"/>
          <w:b w:val="1"/>
          <w:bCs w:val="1"/>
          <w:color w:val="6AAA37"/>
        </w:rPr>
      </w:pPr>
      <w:r>
        <w:rPr>
          <w:rFonts w:ascii="Arial" w:cs="Arial" w:eastAsia="Arial" w:hAnsi="Arial"/>
          <w:sz w:val="16"/>
          <w:szCs w:val="16"/>
          <w:color w:val="auto"/>
        </w:rPr>
        <w:t>financial coverage ratios;</w:t>
      </w:r>
    </w:p>
    <w:p>
      <w:pPr>
        <w:spacing w:after="0" w:line="126" w:lineRule="exact"/>
        <w:rPr>
          <w:rFonts w:ascii="Arial" w:cs="Arial" w:eastAsia="Arial" w:hAnsi="Arial"/>
          <w:sz w:val="16"/>
          <w:szCs w:val="16"/>
          <w:b w:val="1"/>
          <w:bCs w:val="1"/>
          <w:color w:val="6AAA37"/>
        </w:rPr>
      </w:pPr>
    </w:p>
    <w:p>
      <w:pPr>
        <w:ind w:left="180" w:hanging="172"/>
        <w:spacing w:after="0"/>
        <w:tabs>
          <w:tab w:leader="none" w:pos="180" w:val="left"/>
        </w:tabs>
        <w:numPr>
          <w:ilvl w:val="0"/>
          <w:numId w:val="107"/>
        </w:numPr>
        <w:rPr>
          <w:rFonts w:ascii="Arial" w:cs="Arial" w:eastAsia="Arial" w:hAnsi="Arial"/>
          <w:sz w:val="16"/>
          <w:szCs w:val="16"/>
          <w:b w:val="1"/>
          <w:bCs w:val="1"/>
          <w:color w:val="6AAA37"/>
        </w:rPr>
      </w:pPr>
      <w:r>
        <w:rPr>
          <w:rFonts w:ascii="Arial" w:cs="Arial" w:eastAsia="Arial" w:hAnsi="Arial"/>
          <w:sz w:val="16"/>
          <w:szCs w:val="16"/>
          <w:color w:val="auto"/>
        </w:rPr>
        <w:t>other non-GAAP financial measures; and</w:t>
      </w:r>
    </w:p>
    <w:p>
      <w:pPr>
        <w:spacing w:after="0" w:line="126" w:lineRule="exact"/>
        <w:rPr>
          <w:rFonts w:ascii="Arial" w:cs="Arial" w:eastAsia="Arial" w:hAnsi="Arial"/>
          <w:sz w:val="16"/>
          <w:szCs w:val="16"/>
          <w:b w:val="1"/>
          <w:bCs w:val="1"/>
          <w:color w:val="6AAA37"/>
        </w:rPr>
      </w:pPr>
    </w:p>
    <w:p>
      <w:pPr>
        <w:ind w:left="180" w:hanging="172"/>
        <w:spacing w:after="0"/>
        <w:tabs>
          <w:tab w:leader="none" w:pos="180" w:val="left"/>
        </w:tabs>
        <w:numPr>
          <w:ilvl w:val="0"/>
          <w:numId w:val="107"/>
        </w:numPr>
        <w:rPr>
          <w:rFonts w:ascii="Arial" w:cs="Arial" w:eastAsia="Arial" w:hAnsi="Arial"/>
          <w:sz w:val="16"/>
          <w:szCs w:val="16"/>
          <w:b w:val="1"/>
          <w:bCs w:val="1"/>
          <w:color w:val="6AAA37"/>
        </w:rPr>
      </w:pPr>
      <w:r>
        <w:rPr>
          <w:rFonts w:ascii="Arial" w:cs="Arial" w:eastAsia="Arial" w:hAnsi="Arial"/>
          <w:sz w:val="16"/>
          <w:szCs w:val="16"/>
          <w:color w:val="auto"/>
        </w:rPr>
        <w:t>any combination of the foregoing.</w:t>
      </w:r>
    </w:p>
    <w:p>
      <w:pPr>
        <w:spacing w:after="0" w:line="167" w:lineRule="exact"/>
        <w:rPr>
          <w:sz w:val="20"/>
          <w:szCs w:val="20"/>
          <w:color w:val="auto"/>
        </w:rPr>
      </w:pPr>
    </w:p>
    <w:p>
      <w:pPr>
        <w:ind w:right="19"/>
        <w:spacing w:after="0" w:line="293" w:lineRule="auto"/>
        <w:rPr>
          <w:sz w:val="20"/>
          <w:szCs w:val="20"/>
          <w:color w:val="auto"/>
        </w:rPr>
      </w:pPr>
      <w:r>
        <w:rPr>
          <w:rFonts w:ascii="Arial" w:cs="Arial" w:eastAsia="Arial" w:hAnsi="Arial"/>
          <w:sz w:val="16"/>
          <w:szCs w:val="16"/>
          <w:color w:val="auto"/>
        </w:rPr>
        <w:t>These business criteria may be applied to results including or excluding discontinued operations, expressed in terms of attaining a specified level of the particular criteria or the attainment of a percentage increase or decrease in the particular criteria, and may be applied to one or more of the Company, an affiliate of the Company, or a department, division or strategic business unit of the Company and/or one or more affiliates of the Company. The business criteria also may be applied to the performance of the Company and/or one or more affiliates of the Company relative to a market index, a group of other companies or a combination thereof, as determined by the Compensation Committee. The business criteria may be subject to:</w:t>
      </w:r>
    </w:p>
    <w:p>
      <w:pPr>
        <w:spacing w:after="0" w:line="56" w:lineRule="exact"/>
        <w:rPr>
          <w:sz w:val="20"/>
          <w:szCs w:val="20"/>
          <w:color w:val="auto"/>
        </w:rPr>
      </w:pPr>
    </w:p>
    <w:p>
      <w:pPr>
        <w:ind w:left="180" w:hanging="172"/>
        <w:spacing w:after="0"/>
        <w:tabs>
          <w:tab w:leader="none" w:pos="180" w:val="left"/>
        </w:tabs>
        <w:numPr>
          <w:ilvl w:val="0"/>
          <w:numId w:val="108"/>
        </w:numPr>
        <w:rPr>
          <w:rFonts w:ascii="Arial" w:cs="Arial" w:eastAsia="Arial" w:hAnsi="Arial"/>
          <w:sz w:val="16"/>
          <w:szCs w:val="16"/>
          <w:b w:val="1"/>
          <w:bCs w:val="1"/>
          <w:color w:val="6AAA37"/>
        </w:rPr>
      </w:pPr>
      <w:r>
        <w:rPr>
          <w:rFonts w:ascii="Arial" w:cs="Arial" w:eastAsia="Arial" w:hAnsi="Arial"/>
          <w:sz w:val="16"/>
          <w:szCs w:val="16"/>
          <w:color w:val="auto"/>
        </w:rPr>
        <w:t>a threshold level of performance below which no payment will be made (or no vesting will occur);</w:t>
      </w:r>
    </w:p>
    <w:p>
      <w:pPr>
        <w:spacing w:after="0" w:line="126" w:lineRule="exact"/>
        <w:rPr>
          <w:rFonts w:ascii="Arial" w:cs="Arial" w:eastAsia="Arial" w:hAnsi="Arial"/>
          <w:sz w:val="16"/>
          <w:szCs w:val="16"/>
          <w:b w:val="1"/>
          <w:bCs w:val="1"/>
          <w:color w:val="6AAA37"/>
        </w:rPr>
      </w:pPr>
    </w:p>
    <w:p>
      <w:pPr>
        <w:ind w:left="180" w:hanging="172"/>
        <w:spacing w:after="0"/>
        <w:tabs>
          <w:tab w:leader="none" w:pos="180" w:val="left"/>
        </w:tabs>
        <w:numPr>
          <w:ilvl w:val="0"/>
          <w:numId w:val="108"/>
        </w:numPr>
        <w:rPr>
          <w:rFonts w:ascii="Arial" w:cs="Arial" w:eastAsia="Arial" w:hAnsi="Arial"/>
          <w:sz w:val="16"/>
          <w:szCs w:val="16"/>
          <w:b w:val="1"/>
          <w:bCs w:val="1"/>
          <w:color w:val="6AAA37"/>
        </w:rPr>
      </w:pPr>
      <w:r>
        <w:rPr>
          <w:rFonts w:ascii="Arial" w:cs="Arial" w:eastAsia="Arial" w:hAnsi="Arial"/>
          <w:sz w:val="16"/>
          <w:szCs w:val="16"/>
          <w:color w:val="auto"/>
        </w:rPr>
        <w:t>levels of performance at which specified payments will be made (or specified vesting will occur); and</w:t>
      </w:r>
    </w:p>
    <w:p>
      <w:pPr>
        <w:spacing w:after="0" w:line="126" w:lineRule="exact"/>
        <w:rPr>
          <w:rFonts w:ascii="Arial" w:cs="Arial" w:eastAsia="Arial" w:hAnsi="Arial"/>
          <w:sz w:val="16"/>
          <w:szCs w:val="16"/>
          <w:b w:val="1"/>
          <w:bCs w:val="1"/>
          <w:color w:val="6AAA37"/>
        </w:rPr>
      </w:pPr>
    </w:p>
    <w:p>
      <w:pPr>
        <w:ind w:left="180" w:hanging="172"/>
        <w:spacing w:after="0"/>
        <w:tabs>
          <w:tab w:leader="none" w:pos="180" w:val="left"/>
        </w:tabs>
        <w:numPr>
          <w:ilvl w:val="0"/>
          <w:numId w:val="108"/>
        </w:numPr>
        <w:rPr>
          <w:rFonts w:ascii="Arial" w:cs="Arial" w:eastAsia="Arial" w:hAnsi="Arial"/>
          <w:sz w:val="16"/>
          <w:szCs w:val="16"/>
          <w:b w:val="1"/>
          <w:bCs w:val="1"/>
          <w:color w:val="6AAA37"/>
        </w:rPr>
      </w:pPr>
      <w:r>
        <w:rPr>
          <w:rFonts w:ascii="Arial" w:cs="Arial" w:eastAsia="Arial" w:hAnsi="Arial"/>
          <w:sz w:val="16"/>
          <w:szCs w:val="16"/>
          <w:color w:val="auto"/>
        </w:rPr>
        <w:t>a maximum level of performance above which no additional payment will be made (or at which full vesting will occur).</w:t>
      </w:r>
    </w:p>
    <w:p>
      <w:pPr>
        <w:spacing w:after="0" w:line="181" w:lineRule="exact"/>
        <w:rPr>
          <w:sz w:val="20"/>
          <w:szCs w:val="20"/>
          <w:color w:val="auto"/>
        </w:rPr>
      </w:pPr>
    </w:p>
    <w:p>
      <w:pPr>
        <w:ind w:right="19"/>
        <w:spacing w:after="0" w:line="301" w:lineRule="auto"/>
        <w:rPr>
          <w:sz w:val="20"/>
          <w:szCs w:val="20"/>
          <w:color w:val="auto"/>
        </w:rPr>
      </w:pPr>
      <w:r>
        <w:rPr>
          <w:rFonts w:ascii="Arial" w:cs="Arial" w:eastAsia="Arial" w:hAnsi="Arial"/>
          <w:sz w:val="16"/>
          <w:szCs w:val="16"/>
          <w:color w:val="auto"/>
        </w:rPr>
        <w:t>Each of the business criteria will be determined, where applicable, in accordance with generally accepted accounting principles and will be subject to certification by the Compensation Committee. The Compensation Committee has the authority to make equitable adjustments to the business criteria in recognition of:</w:t>
      </w:r>
    </w:p>
    <w:p>
      <w:pPr>
        <w:spacing w:after="0" w:line="50" w:lineRule="exact"/>
        <w:rPr>
          <w:sz w:val="20"/>
          <w:szCs w:val="20"/>
          <w:color w:val="auto"/>
        </w:rPr>
      </w:pPr>
    </w:p>
    <w:p>
      <w:pPr>
        <w:ind w:left="180" w:right="439" w:hanging="172"/>
        <w:spacing w:after="0" w:line="321" w:lineRule="auto"/>
        <w:tabs>
          <w:tab w:leader="none" w:pos="180" w:val="left"/>
        </w:tabs>
        <w:numPr>
          <w:ilvl w:val="0"/>
          <w:numId w:val="109"/>
        </w:numPr>
        <w:rPr>
          <w:rFonts w:ascii="Arial" w:cs="Arial" w:eastAsia="Arial" w:hAnsi="Arial"/>
          <w:sz w:val="16"/>
          <w:szCs w:val="16"/>
          <w:b w:val="1"/>
          <w:bCs w:val="1"/>
          <w:color w:val="6AAA37"/>
        </w:rPr>
      </w:pPr>
      <w:r>
        <w:rPr>
          <w:rFonts w:ascii="Arial" w:cs="Arial" w:eastAsia="Arial" w:hAnsi="Arial"/>
          <w:sz w:val="16"/>
          <w:szCs w:val="16"/>
          <w:color w:val="auto"/>
        </w:rPr>
        <w:t>special, unusual or non-recurring events affecting the Company or any of its affiliates or the financial statements of the Company or any of its affiliates;</w:t>
      </w:r>
    </w:p>
    <w:p>
      <w:pPr>
        <w:spacing w:after="0" w:line="34" w:lineRule="exact"/>
        <w:rPr>
          <w:rFonts w:ascii="Arial" w:cs="Arial" w:eastAsia="Arial" w:hAnsi="Arial"/>
          <w:sz w:val="16"/>
          <w:szCs w:val="16"/>
          <w:b w:val="1"/>
          <w:bCs w:val="1"/>
          <w:color w:val="6AAA37"/>
        </w:rPr>
      </w:pPr>
    </w:p>
    <w:p>
      <w:pPr>
        <w:ind w:left="180" w:hanging="172"/>
        <w:spacing w:after="0"/>
        <w:tabs>
          <w:tab w:leader="none" w:pos="180" w:val="left"/>
        </w:tabs>
        <w:numPr>
          <w:ilvl w:val="0"/>
          <w:numId w:val="109"/>
        </w:numPr>
        <w:rPr>
          <w:rFonts w:ascii="Arial" w:cs="Arial" w:eastAsia="Arial" w:hAnsi="Arial"/>
          <w:sz w:val="16"/>
          <w:szCs w:val="16"/>
          <w:b w:val="1"/>
          <w:bCs w:val="1"/>
          <w:color w:val="6AAA37"/>
        </w:rPr>
      </w:pPr>
      <w:r>
        <w:rPr>
          <w:rFonts w:ascii="Arial" w:cs="Arial" w:eastAsia="Arial" w:hAnsi="Arial"/>
          <w:sz w:val="16"/>
          <w:szCs w:val="16"/>
          <w:color w:val="auto"/>
        </w:rPr>
        <w:t>changes in applicable laws or regulations;</w:t>
      </w:r>
    </w:p>
    <w:p>
      <w:pPr>
        <w:spacing w:after="0" w:line="126" w:lineRule="exact"/>
        <w:rPr>
          <w:rFonts w:ascii="Arial" w:cs="Arial" w:eastAsia="Arial" w:hAnsi="Arial"/>
          <w:sz w:val="16"/>
          <w:szCs w:val="16"/>
          <w:b w:val="1"/>
          <w:bCs w:val="1"/>
          <w:color w:val="6AAA37"/>
        </w:rPr>
      </w:pPr>
    </w:p>
    <w:p>
      <w:pPr>
        <w:ind w:left="180" w:right="139" w:hanging="172"/>
        <w:spacing w:after="0" w:line="321" w:lineRule="auto"/>
        <w:tabs>
          <w:tab w:leader="none" w:pos="180" w:val="left"/>
        </w:tabs>
        <w:numPr>
          <w:ilvl w:val="0"/>
          <w:numId w:val="109"/>
        </w:numPr>
        <w:rPr>
          <w:rFonts w:ascii="Arial" w:cs="Arial" w:eastAsia="Arial" w:hAnsi="Arial"/>
          <w:sz w:val="16"/>
          <w:szCs w:val="16"/>
          <w:b w:val="1"/>
          <w:bCs w:val="1"/>
          <w:color w:val="6AAA37"/>
        </w:rPr>
      </w:pPr>
      <w:r>
        <w:rPr>
          <w:rFonts w:ascii="Arial" w:cs="Arial" w:eastAsia="Arial" w:hAnsi="Arial"/>
          <w:sz w:val="16"/>
          <w:szCs w:val="16"/>
          <w:color w:val="auto"/>
        </w:rPr>
        <w:t>gains, losses or expenses determined to be extraordinary or unusual in nature or infrequent in occurrence or related to the disposal of a segment of a business or related to a change in accounting principles;</w:t>
      </w:r>
    </w:p>
    <w:p>
      <w:pPr>
        <w:spacing w:after="0" w:line="34" w:lineRule="exact"/>
        <w:rPr>
          <w:rFonts w:ascii="Arial" w:cs="Arial" w:eastAsia="Arial" w:hAnsi="Arial"/>
          <w:sz w:val="16"/>
          <w:szCs w:val="16"/>
          <w:b w:val="1"/>
          <w:bCs w:val="1"/>
          <w:color w:val="6AAA37"/>
        </w:rPr>
      </w:pPr>
    </w:p>
    <w:p>
      <w:pPr>
        <w:ind w:left="180" w:hanging="172"/>
        <w:spacing w:after="0"/>
        <w:tabs>
          <w:tab w:leader="none" w:pos="180" w:val="left"/>
        </w:tabs>
        <w:numPr>
          <w:ilvl w:val="0"/>
          <w:numId w:val="109"/>
        </w:numPr>
        <w:rPr>
          <w:rFonts w:ascii="Arial" w:cs="Arial" w:eastAsia="Arial" w:hAnsi="Arial"/>
          <w:sz w:val="16"/>
          <w:szCs w:val="16"/>
          <w:b w:val="1"/>
          <w:bCs w:val="1"/>
          <w:color w:val="6AAA37"/>
        </w:rPr>
      </w:pPr>
      <w:r>
        <w:rPr>
          <w:rFonts w:ascii="Arial" w:cs="Arial" w:eastAsia="Arial" w:hAnsi="Arial"/>
          <w:sz w:val="16"/>
          <w:szCs w:val="16"/>
          <w:color w:val="auto"/>
        </w:rPr>
        <w:t>asset write-downs;</w:t>
      </w:r>
    </w:p>
    <w:p>
      <w:pPr>
        <w:spacing w:after="0" w:line="126" w:lineRule="exact"/>
        <w:rPr>
          <w:rFonts w:ascii="Arial" w:cs="Arial" w:eastAsia="Arial" w:hAnsi="Arial"/>
          <w:sz w:val="16"/>
          <w:szCs w:val="16"/>
          <w:b w:val="1"/>
          <w:bCs w:val="1"/>
          <w:color w:val="6AAA37"/>
        </w:rPr>
      </w:pPr>
    </w:p>
    <w:p>
      <w:pPr>
        <w:ind w:left="180" w:hanging="172"/>
        <w:spacing w:after="0"/>
        <w:tabs>
          <w:tab w:leader="none" w:pos="180" w:val="left"/>
        </w:tabs>
        <w:numPr>
          <w:ilvl w:val="0"/>
          <w:numId w:val="109"/>
        </w:numPr>
        <w:rPr>
          <w:rFonts w:ascii="Arial" w:cs="Arial" w:eastAsia="Arial" w:hAnsi="Arial"/>
          <w:sz w:val="16"/>
          <w:szCs w:val="16"/>
          <w:b w:val="1"/>
          <w:bCs w:val="1"/>
          <w:color w:val="6AAA37"/>
        </w:rPr>
      </w:pPr>
      <w:r>
        <w:rPr>
          <w:rFonts w:ascii="Arial" w:cs="Arial" w:eastAsia="Arial" w:hAnsi="Arial"/>
          <w:sz w:val="16"/>
          <w:szCs w:val="16"/>
          <w:color w:val="auto"/>
        </w:rPr>
        <w:t>litigation, claim judgments, settlements or restatement related expenses;</w:t>
      </w:r>
    </w:p>
    <w:p>
      <w:pPr>
        <w:sectPr>
          <w:pgSz w:w="11900" w:h="16838" w:orient="portrait"/>
          <w:cols w:equalWidth="0" w:num="1">
            <w:col w:w="9059"/>
          </w:cols>
          <w:pgMar w:left="1400" w:top="166" w:right="1440" w:bottom="0" w:gutter="0" w:footer="0" w:header="0"/>
          <w:type w:val="continuous"/>
        </w:sectPr>
      </w:pPr>
    </w:p>
    <w:bookmarkStart w:id="73" w:name="page74"/>
    <w:bookmarkEnd w:id="73"/>
    <w:p>
      <w:pPr>
        <w:ind w:left="180" w:hanging="172"/>
        <w:spacing w:after="0"/>
        <w:tabs>
          <w:tab w:leader="none" w:pos="180" w:val="left"/>
        </w:tabs>
        <w:numPr>
          <w:ilvl w:val="0"/>
          <w:numId w:val="110"/>
        </w:numPr>
        <w:rPr>
          <w:rFonts w:ascii="Arial" w:cs="Arial" w:eastAsia="Arial" w:hAnsi="Arial"/>
          <w:sz w:val="16"/>
          <w:szCs w:val="16"/>
          <w:b w:val="1"/>
          <w:bCs w:val="1"/>
          <w:color w:val="6AAA37"/>
        </w:rPr>
      </w:pPr>
      <w:r>
        <w:rPr>
          <w:rFonts w:ascii="Arial" w:cs="Arial" w:eastAsia="Arial" w:hAnsi="Arial"/>
          <w:sz w:val="16"/>
          <w:szCs w:val="16"/>
          <w:color w:val="auto"/>
        </w:rPr>
        <w:t>accruals for reorganization and restructuring programs;</w:t>
      </w:r>
    </w:p>
    <w:p>
      <w:pPr>
        <w:spacing w:after="0" w:line="111" w:lineRule="exact"/>
        <w:rPr>
          <w:rFonts w:ascii="Arial" w:cs="Arial" w:eastAsia="Arial" w:hAnsi="Arial"/>
          <w:sz w:val="16"/>
          <w:szCs w:val="16"/>
          <w:b w:val="1"/>
          <w:bCs w:val="1"/>
          <w:color w:val="6AAA37"/>
        </w:rPr>
      </w:pPr>
    </w:p>
    <w:p>
      <w:pPr>
        <w:ind w:left="180" w:hanging="172"/>
        <w:spacing w:after="0"/>
        <w:tabs>
          <w:tab w:leader="none" w:pos="180" w:val="left"/>
        </w:tabs>
        <w:numPr>
          <w:ilvl w:val="0"/>
          <w:numId w:val="110"/>
        </w:numPr>
        <w:rPr>
          <w:rFonts w:ascii="Arial" w:cs="Arial" w:eastAsia="Arial" w:hAnsi="Arial"/>
          <w:sz w:val="16"/>
          <w:szCs w:val="16"/>
          <w:b w:val="1"/>
          <w:bCs w:val="1"/>
          <w:color w:val="6AAA37"/>
        </w:rPr>
      </w:pPr>
      <w:r>
        <w:rPr>
          <w:rFonts w:ascii="Arial" w:cs="Arial" w:eastAsia="Arial" w:hAnsi="Arial"/>
          <w:sz w:val="16"/>
          <w:szCs w:val="16"/>
          <w:color w:val="auto"/>
        </w:rPr>
        <w:t>acquisitions or divestitures (including expenses related thereto);</w:t>
      </w:r>
    </w:p>
    <w:p>
      <w:pPr>
        <w:spacing w:after="0" w:line="126" w:lineRule="exact"/>
        <w:rPr>
          <w:rFonts w:ascii="Arial" w:cs="Arial" w:eastAsia="Arial" w:hAnsi="Arial"/>
          <w:sz w:val="16"/>
          <w:szCs w:val="16"/>
          <w:b w:val="1"/>
          <w:bCs w:val="1"/>
          <w:color w:val="6AAA37"/>
        </w:rPr>
      </w:pPr>
    </w:p>
    <w:p>
      <w:pPr>
        <w:ind w:left="180" w:hanging="172"/>
        <w:spacing w:after="0"/>
        <w:tabs>
          <w:tab w:leader="none" w:pos="180" w:val="left"/>
        </w:tabs>
        <w:numPr>
          <w:ilvl w:val="0"/>
          <w:numId w:val="110"/>
        </w:numPr>
        <w:rPr>
          <w:rFonts w:ascii="Arial" w:cs="Arial" w:eastAsia="Arial" w:hAnsi="Arial"/>
          <w:sz w:val="16"/>
          <w:szCs w:val="16"/>
          <w:b w:val="1"/>
          <w:bCs w:val="1"/>
          <w:color w:val="6AAA37"/>
        </w:rPr>
      </w:pPr>
      <w:r>
        <w:rPr>
          <w:rFonts w:ascii="Arial" w:cs="Arial" w:eastAsia="Arial" w:hAnsi="Arial"/>
          <w:sz w:val="16"/>
          <w:szCs w:val="16"/>
          <w:color w:val="auto"/>
        </w:rPr>
        <w:t>foreign exchange gains and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-484505</wp:posOffset>
            </wp:positionV>
            <wp:extent cx="6810375" cy="12020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10375" cy="12020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60"/>
        <w:spacing w:after="0"/>
        <w:tabs>
          <w:tab w:leader="none" w:pos="444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13"/>
          <w:szCs w:val="13"/>
          <w:b w:val="1"/>
          <w:bCs w:val="1"/>
          <w:color w:val="00558C"/>
        </w:rPr>
        <w:t>73</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420370</wp:posOffset>
            </wp:positionV>
            <wp:extent cx="6810375" cy="886777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540" w:val="left"/>
          <w:tab w:leader="none" w:pos="7360" w:val="left"/>
          <w:tab w:leader="none" w:pos="8400" w:val="left"/>
        </w:tabs>
        <w:rPr>
          <w:sz w:val="20"/>
          <w:szCs w:val="20"/>
          <w:color w:val="auto"/>
        </w:rPr>
      </w:pPr>
      <w:r>
        <w:rPr>
          <w:rFonts w:ascii="Arial" w:cs="Arial" w:eastAsia="Arial" w:hAnsi="Arial"/>
          <w:sz w:val="13"/>
          <w:szCs w:val="13"/>
          <w:b w:val="1"/>
          <w:bCs w:val="1"/>
          <w:color w:val="B2B3B6"/>
        </w:rPr>
        <w:t>General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Corporate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Executive</w:t>
      </w:r>
      <w:r>
        <w:rPr>
          <w:sz w:val="20"/>
          <w:szCs w:val="20"/>
          <w:color w:val="auto"/>
        </w:rPr>
        <w:tab/>
      </w:r>
      <w:r>
        <w:rPr>
          <w:rFonts w:ascii="Arial" w:cs="Arial" w:eastAsia="Arial" w:hAnsi="Arial"/>
          <w:sz w:val="13"/>
          <w:szCs w:val="13"/>
          <w:b w:val="1"/>
          <w:bCs w:val="1"/>
          <w:color w:val="6AAA37"/>
        </w:rPr>
        <w:t>Proposal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Stockholder</w:t>
      </w:r>
      <w:r>
        <w:rPr>
          <w:sz w:val="20"/>
          <w:szCs w:val="20"/>
          <w:color w:val="auto"/>
        </w:rPr>
        <w:tab/>
      </w:r>
      <w:r>
        <w:rPr>
          <w:rFonts w:ascii="Arial" w:cs="Arial" w:eastAsia="Arial" w:hAnsi="Arial"/>
          <w:sz w:val="12"/>
          <w:szCs w:val="12"/>
          <w:b w:val="1"/>
          <w:bCs w:val="1"/>
          <w:color w:val="B2B3B6"/>
        </w:rPr>
        <w:t>Other</w:t>
      </w:r>
    </w:p>
    <w:p>
      <w:pPr>
        <w:spacing w:after="0" w:line="11"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540" w:val="left"/>
          <w:tab w:leader="none" w:pos="7360" w:val="left"/>
          <w:tab w:leader="none" w:pos="8400" w:val="left"/>
        </w:tabs>
        <w:rPr>
          <w:sz w:val="20"/>
          <w:szCs w:val="20"/>
          <w:color w:val="auto"/>
        </w:rPr>
      </w:pPr>
      <w:r>
        <w:rPr>
          <w:rFonts w:ascii="Arial" w:cs="Arial" w:eastAsia="Arial" w:hAnsi="Arial"/>
          <w:sz w:val="13"/>
          <w:szCs w:val="13"/>
          <w:b w:val="1"/>
          <w:bCs w:val="1"/>
          <w:color w:val="B2B3B6"/>
        </w:rPr>
        <w:t>Information</w:t>
      </w:r>
      <w:r>
        <w:rPr>
          <w:sz w:val="20"/>
          <w:szCs w:val="20"/>
          <w:color w:val="auto"/>
        </w:rPr>
        <w:tab/>
      </w:r>
      <w:r>
        <w:rPr>
          <w:rFonts w:ascii="Arial" w:cs="Arial" w:eastAsia="Arial" w:hAnsi="Arial"/>
          <w:sz w:val="13"/>
          <w:szCs w:val="13"/>
          <w:b w:val="1"/>
          <w:bCs w:val="1"/>
          <w:color w:val="B2B3B6"/>
        </w:rPr>
        <w:t>One</w:t>
      </w:r>
      <w:r>
        <w:rPr>
          <w:sz w:val="20"/>
          <w:szCs w:val="20"/>
          <w:color w:val="auto"/>
        </w:rPr>
        <w:tab/>
      </w:r>
      <w:r>
        <w:rPr>
          <w:rFonts w:ascii="Arial" w:cs="Arial" w:eastAsia="Arial" w:hAnsi="Arial"/>
          <w:sz w:val="13"/>
          <w:szCs w:val="13"/>
          <w:b w:val="1"/>
          <w:bCs w:val="1"/>
          <w:color w:val="B2B3B6"/>
        </w:rPr>
        <w:t>Governance</w:t>
      </w:r>
      <w:r>
        <w:rPr>
          <w:sz w:val="20"/>
          <w:szCs w:val="20"/>
          <w:color w:val="auto"/>
        </w:rPr>
        <w:tab/>
      </w:r>
      <w:r>
        <w:rPr>
          <w:rFonts w:ascii="Arial" w:cs="Arial" w:eastAsia="Arial" w:hAnsi="Arial"/>
          <w:sz w:val="13"/>
          <w:szCs w:val="13"/>
          <w:b w:val="1"/>
          <w:bCs w:val="1"/>
          <w:color w:val="B2B3B6"/>
        </w:rPr>
        <w:t>Two</w:t>
      </w:r>
      <w:r>
        <w:rPr>
          <w:sz w:val="20"/>
          <w:szCs w:val="20"/>
          <w:color w:val="auto"/>
        </w:rPr>
        <w:tab/>
      </w:r>
      <w:r>
        <w:rPr>
          <w:rFonts w:ascii="Arial" w:cs="Arial" w:eastAsia="Arial" w:hAnsi="Arial"/>
          <w:sz w:val="13"/>
          <w:szCs w:val="13"/>
          <w:b w:val="1"/>
          <w:bCs w:val="1"/>
          <w:color w:val="B2B3B6"/>
        </w:rPr>
        <w:t>Compensation</w:t>
      </w:r>
      <w:r>
        <w:rPr>
          <w:sz w:val="20"/>
          <w:szCs w:val="20"/>
          <w:color w:val="auto"/>
        </w:rPr>
        <w:tab/>
      </w:r>
      <w:r>
        <w:rPr>
          <w:rFonts w:ascii="Arial" w:cs="Arial" w:eastAsia="Arial" w:hAnsi="Arial"/>
          <w:sz w:val="13"/>
          <w:szCs w:val="13"/>
          <w:b w:val="1"/>
          <w:bCs w:val="1"/>
          <w:color w:val="6AAA37"/>
        </w:rPr>
        <w:t>Three</w:t>
      </w:r>
      <w:r>
        <w:rPr>
          <w:sz w:val="20"/>
          <w:szCs w:val="20"/>
          <w:color w:val="auto"/>
        </w:rPr>
        <w:tab/>
      </w:r>
      <w:r>
        <w:rPr>
          <w:rFonts w:ascii="Arial" w:cs="Arial" w:eastAsia="Arial" w:hAnsi="Arial"/>
          <w:sz w:val="13"/>
          <w:szCs w:val="13"/>
          <w:b w:val="1"/>
          <w:bCs w:val="1"/>
          <w:color w:val="B2B3B6"/>
        </w:rPr>
        <w:t>Four</w:t>
      </w:r>
      <w:r>
        <w:rPr>
          <w:sz w:val="20"/>
          <w:szCs w:val="20"/>
          <w:color w:val="auto"/>
        </w:rPr>
        <w:tab/>
      </w:r>
      <w:r>
        <w:rPr>
          <w:rFonts w:ascii="Arial" w:cs="Arial" w:eastAsia="Arial" w:hAnsi="Arial"/>
          <w:sz w:val="13"/>
          <w:szCs w:val="13"/>
          <w:b w:val="1"/>
          <w:bCs w:val="1"/>
          <w:color w:val="B2B3B6"/>
        </w:rPr>
        <w:t>Five</w:t>
      </w:r>
      <w:r>
        <w:rPr>
          <w:sz w:val="20"/>
          <w:szCs w:val="20"/>
          <w:color w:val="auto"/>
        </w:rPr>
        <w:tab/>
      </w:r>
      <w:r>
        <w:rPr>
          <w:rFonts w:ascii="Arial" w:cs="Arial" w:eastAsia="Arial" w:hAnsi="Arial"/>
          <w:sz w:val="13"/>
          <w:szCs w:val="13"/>
          <w:b w:val="1"/>
          <w:bCs w:val="1"/>
          <w:color w:val="B2B3B6"/>
        </w:rPr>
        <w:t>Proposals</w:t>
      </w:r>
      <w:r>
        <w:rPr>
          <w:sz w:val="20"/>
          <w:szCs w:val="20"/>
          <w:color w:val="auto"/>
        </w:rPr>
        <w:tab/>
      </w:r>
      <w:r>
        <w:rPr>
          <w:rFonts w:ascii="Arial" w:cs="Arial" w:eastAsia="Arial" w:hAnsi="Arial"/>
          <w:sz w:val="12"/>
          <w:szCs w:val="12"/>
          <w:b w:val="1"/>
          <w:bCs w:val="1"/>
          <w:color w:val="B2B3B6"/>
        </w:rPr>
        <w:t>Matters</w:t>
      </w:r>
    </w:p>
    <w:p>
      <w:pPr>
        <w:spacing w:after="0" w:line="382" w:lineRule="exact"/>
        <w:rPr>
          <w:sz w:val="20"/>
          <w:szCs w:val="20"/>
          <w:color w:val="auto"/>
        </w:rPr>
      </w:pPr>
    </w:p>
    <w:p>
      <w:pPr>
        <w:ind w:left="180" w:hanging="172"/>
        <w:spacing w:after="0"/>
        <w:tabs>
          <w:tab w:leader="none" w:pos="180" w:val="left"/>
        </w:tabs>
        <w:numPr>
          <w:ilvl w:val="0"/>
          <w:numId w:val="111"/>
        </w:numPr>
        <w:rPr>
          <w:rFonts w:ascii="Arial" w:cs="Arial" w:eastAsia="Arial" w:hAnsi="Arial"/>
          <w:sz w:val="16"/>
          <w:szCs w:val="16"/>
          <w:b w:val="1"/>
          <w:bCs w:val="1"/>
          <w:color w:val="6AAA37"/>
        </w:rPr>
      </w:pPr>
      <w:r>
        <w:rPr>
          <w:rFonts w:ascii="Arial" w:cs="Arial" w:eastAsia="Arial" w:hAnsi="Arial"/>
          <w:sz w:val="16"/>
          <w:szCs w:val="16"/>
          <w:color w:val="auto"/>
        </w:rPr>
        <w:t>non-cash interest; and</w:t>
      </w:r>
    </w:p>
    <w:p>
      <w:pPr>
        <w:spacing w:after="0" w:line="113" w:lineRule="exact"/>
        <w:rPr>
          <w:rFonts w:ascii="Arial" w:cs="Arial" w:eastAsia="Arial" w:hAnsi="Arial"/>
          <w:sz w:val="16"/>
          <w:szCs w:val="16"/>
          <w:b w:val="1"/>
          <w:bCs w:val="1"/>
          <w:color w:val="6AAA37"/>
        </w:rPr>
      </w:pPr>
    </w:p>
    <w:p>
      <w:pPr>
        <w:ind w:left="180" w:right="420" w:hanging="172"/>
        <w:spacing w:after="0" w:line="339" w:lineRule="auto"/>
        <w:tabs>
          <w:tab w:leader="none" w:pos="180" w:val="left"/>
        </w:tabs>
        <w:numPr>
          <w:ilvl w:val="0"/>
          <w:numId w:val="111"/>
        </w:numPr>
        <w:rPr>
          <w:rFonts w:ascii="Arial" w:cs="Arial" w:eastAsia="Arial" w:hAnsi="Arial"/>
          <w:sz w:val="16"/>
          <w:szCs w:val="16"/>
          <w:b w:val="1"/>
          <w:bCs w:val="1"/>
          <w:color w:val="6AAA37"/>
        </w:rPr>
      </w:pPr>
      <w:r>
        <w:rPr>
          <w:rFonts w:ascii="Arial" w:cs="Arial" w:eastAsia="Arial" w:hAnsi="Arial"/>
          <w:sz w:val="16"/>
          <w:szCs w:val="16"/>
          <w:color w:val="auto"/>
        </w:rPr>
        <w:t>an event either not directly related to the operations of the Company or not within reasonable control of the Company’s management.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w:t>
      </w:r>
    </w:p>
    <w:p>
      <w:pPr>
        <w:spacing w:after="0" w:line="8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following provides only a general description of the application of U.S. federal income tax laws to certain awards under the Plan. This discussion is intended for the information of our stockholders considering how to vote at the Annual Meeting and not as tax guidance to participants in the Plan, as the applicable tax consequences may vary with the types of awards made, the identity of the recipients and the method of payment or settlement. Different tax rules may apply, including in the case of variations in transactions that are permitted under the Plan (such as payment of the exercise price of an option by surrender of previously acquired shares of common stock). This summary does not address in any detail the effects of other federal taxes (including possible “golden parachute” excise taxes) or taxes imposed under state, local or foreign tax laws.</w:t>
      </w:r>
    </w:p>
    <w:p>
      <w:pPr>
        <w:spacing w:after="0" w:line="112" w:lineRule="exact"/>
        <w:rPr>
          <w:sz w:val="20"/>
          <w:szCs w:val="20"/>
          <w:color w:val="auto"/>
        </w:rPr>
      </w:pPr>
    </w:p>
    <w:p>
      <w:pPr>
        <w:jc w:val="both"/>
        <w:ind w:right="80"/>
        <w:spacing w:after="0" w:line="310" w:lineRule="auto"/>
        <w:rPr>
          <w:sz w:val="20"/>
          <w:szCs w:val="20"/>
          <w:color w:val="auto"/>
        </w:rPr>
      </w:pPr>
      <w:r>
        <w:rPr>
          <w:rFonts w:ascii="Arial" w:cs="Arial" w:eastAsia="Arial" w:hAnsi="Arial"/>
          <w:sz w:val="16"/>
          <w:szCs w:val="16"/>
          <w:color w:val="auto"/>
        </w:rPr>
        <w:t>We generally will be entitled to withhold any required taxes in connection with the exercise or payment of any award, and may require the participant to pay such taxes as a condition to the exercise or payment of an award. ISOs may only be granted to our employees and employees of certain of our subsidiaries.</w:t>
      </w:r>
    </w:p>
    <w:p>
      <w:pPr>
        <w:spacing w:after="0" w:line="97" w:lineRule="exact"/>
        <w:rPr>
          <w:sz w:val="20"/>
          <w:szCs w:val="20"/>
          <w:color w:val="auto"/>
        </w:rPr>
      </w:pPr>
    </w:p>
    <w:p>
      <w:pPr>
        <w:ind w:right="360"/>
        <w:spacing w:after="0" w:line="321" w:lineRule="auto"/>
        <w:rPr>
          <w:sz w:val="20"/>
          <w:szCs w:val="20"/>
          <w:color w:val="auto"/>
        </w:rPr>
      </w:pPr>
      <w:r>
        <w:rPr>
          <w:rFonts w:ascii="Arial" w:cs="Arial" w:eastAsia="Arial" w:hAnsi="Arial"/>
          <w:sz w:val="16"/>
          <w:szCs w:val="16"/>
          <w:b w:val="1"/>
          <w:bCs w:val="1"/>
          <w:color w:val="auto"/>
        </w:rPr>
        <w:t xml:space="preserve">Stock Options. </w:t>
      </w:r>
      <w:r>
        <w:rPr>
          <w:rFonts w:ascii="Arial" w:cs="Arial" w:eastAsia="Arial" w:hAnsi="Arial"/>
          <w:sz w:val="16"/>
          <w:szCs w:val="16"/>
          <w:color w:val="auto"/>
        </w:rPr>
        <w:t>ISOs and NQSOs are treated differently for federal income tax purposes. ISOs are intended to satisfy the</w:t>
      </w:r>
      <w:r>
        <w:rPr>
          <w:rFonts w:ascii="Arial" w:cs="Arial" w:eastAsia="Arial" w:hAnsi="Arial"/>
          <w:sz w:val="16"/>
          <w:szCs w:val="16"/>
          <w:b w:val="1"/>
          <w:bCs w:val="1"/>
          <w:color w:val="auto"/>
        </w:rPr>
        <w:t xml:space="preserve"> </w:t>
      </w:r>
      <w:r>
        <w:rPr>
          <w:rFonts w:ascii="Arial" w:cs="Arial" w:eastAsia="Arial" w:hAnsi="Arial"/>
          <w:sz w:val="16"/>
          <w:szCs w:val="16"/>
          <w:color w:val="auto"/>
        </w:rPr>
        <w:t>requirements of Section 422 of the Code. NQSOs need not satisfy such requirements.</w:t>
      </w:r>
    </w:p>
    <w:p>
      <w:pPr>
        <w:spacing w:after="0" w:line="88"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Generally, a participant is not taxed on the grant of an ISO and is not taxed on the exercise of an ISO, except as described in the next sentence and provided that the participant has been an employee of the Company and its subsidiaries (determined in accordance with Internal Revenue Code rules) from the date the ISO was granted until three months before the date of exercise. The difference between the exercise price and the fair market value of the shares on the exercise date, however, will be a preference item for purposes of the alternative minimum tax, and thus a participant could be subject to the alternative minimum tax as a result of the exercise of an ISO. If a participant holds the shares acquired upon exercise of an ISO for at least two years following the ISO grant date and at least one year following exercise, the participant recognizes capital gain (or loss, as applicable), if any, upon a subsequent disposition of such shares. The measure of the gain is the difference between the proceeds received on disposition and the participant’s basis in the shares (which generally equals the exercise price).</w:t>
      </w:r>
    </w:p>
    <w:p>
      <w:pPr>
        <w:spacing w:after="0" w:line="11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If a participant disposes of shares acquired pursuant to exercise of an ISO before satisfying the one-year and two-year holding periods described above, then as of the date of exercise: (i) if the proceeds received exceed the exercise price of the ISO, the participant will recognize long-term or short-term capital gain (as applicable) equal to the excess, if any, of the proceeds received over the fair market value of the shares on the date of exercise, and will recognize ordinary income equal to the excess, if any, of the lesser of the proceeds received or the fair market value of the shares on the date of exercise over the exercise price of an ISO; or (ii) if the proceeds received are less than the exercise price of the ISO, the participant will recognize a capital loss equal to the excess of the exercise price of the ISO over the proceeds received.</w:t>
      </w:r>
    </w:p>
    <w:p>
      <w:pPr>
        <w:spacing w:after="0" w:line="112" w:lineRule="exact"/>
        <w:rPr>
          <w:sz w:val="20"/>
          <w:szCs w:val="20"/>
          <w:color w:val="auto"/>
        </w:rPr>
      </w:pPr>
    </w:p>
    <w:p>
      <w:pPr>
        <w:ind w:right="360"/>
        <w:spacing w:after="0" w:line="300" w:lineRule="auto"/>
        <w:rPr>
          <w:sz w:val="20"/>
          <w:szCs w:val="20"/>
          <w:color w:val="auto"/>
        </w:rPr>
      </w:pPr>
      <w:r>
        <w:rPr>
          <w:rFonts w:ascii="Arial" w:cs="Arial" w:eastAsia="Arial" w:hAnsi="Arial"/>
          <w:sz w:val="16"/>
          <w:szCs w:val="16"/>
          <w:color w:val="auto"/>
        </w:rPr>
        <w:t>We are not entitled to an income tax deduction on the grant or exercise of an ISO or on the participant’s disposition of the shares after satisfying the holding period requirements described above. If the holding periods are not satisfied, we will be entitled to a deduction (subject to the limit under Section 162(m) of the Code discussed below) in the year the participant disposes of the shares in an amount equal to the ordinary income recognized by the participant.</w:t>
      </w:r>
    </w:p>
    <w:p>
      <w:pPr>
        <w:spacing w:after="0" w:line="10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A recipient generally will not realize any taxable income upon the grant of an NQSO. Upon exercise of an NQSO, the participant will realize ordinary income in an amount generally measured by the excess, if any, of the fair market value of the shares on the date of exercise over the stock option exercise price. We will generally be entitled to a deduction (subject to the limit under Section 162(m) of the Code) in the same amount as the ordinary income realized by the participant. Upon the sale of shares acquired upon exercise of an NQSO, the participant will realize short-term or long-term capital gain or loss, depending upon the length of time the shares are held. Such gain or loss will be measured by the difference between the sale price of the shares and the fair market value on the date of exercise.</w:t>
      </w:r>
    </w:p>
    <w:p>
      <w:pPr>
        <w:spacing w:after="0" w:line="112"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b w:val="1"/>
          <w:bCs w:val="1"/>
          <w:color w:val="auto"/>
        </w:rPr>
        <w:t xml:space="preserve">SARs. </w:t>
      </w:r>
      <w:r>
        <w:rPr>
          <w:rFonts w:ascii="Arial" w:cs="Arial" w:eastAsia="Arial" w:hAnsi="Arial"/>
          <w:sz w:val="16"/>
          <w:szCs w:val="16"/>
          <w:color w:val="auto"/>
        </w:rPr>
        <w:t>A participant generally will not realize any taxable income upon the grant of a SAR. Upon the exercise of such right, the</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 will recognize ordinary income in an amount equal to the amount of cash and/or the fair market value, at the date of such exercise, of the shares received by the participant as a result of such exercise. We will generally be entitled to a deduction (subject to the limit under Section 162(m) of the Code) in the same amount as the ordinary income realized by the participant.</w:t>
      </w:r>
    </w:p>
    <w:p>
      <w:pPr>
        <w:sectPr>
          <w:pgSz w:w="11900" w:h="16838" w:orient="portrait"/>
          <w:cols w:equalWidth="0" w:num="1">
            <w:col w:w="9080"/>
          </w:cols>
          <w:pgMar w:left="1400" w:top="114" w:right="1419" w:bottom="680" w:gutter="0" w:footer="0" w:header="0"/>
        </w:sectPr>
      </w:pPr>
    </w:p>
    <w:p>
      <w:pPr>
        <w:spacing w:after="0" w:line="200" w:lineRule="exact"/>
        <w:rPr>
          <w:sz w:val="20"/>
          <w:szCs w:val="20"/>
          <w:color w:val="auto"/>
        </w:rPr>
      </w:pPr>
    </w:p>
    <w:p>
      <w:pPr>
        <w:spacing w:after="0" w:line="350" w:lineRule="exact"/>
        <w:rPr>
          <w:sz w:val="20"/>
          <w:szCs w:val="20"/>
          <w:color w:val="auto"/>
        </w:rPr>
      </w:pPr>
    </w:p>
    <w:p>
      <w:pPr>
        <w:ind w:left="60"/>
        <w:spacing w:after="0"/>
        <w:tabs>
          <w:tab w:leader="none" w:pos="444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13"/>
          <w:szCs w:val="13"/>
          <w:b w:val="1"/>
          <w:bCs w:val="1"/>
          <w:color w:val="00558C"/>
        </w:rPr>
        <w:t>74</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420370</wp:posOffset>
            </wp:positionV>
            <wp:extent cx="6810375" cy="2819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10375" cy="281940"/>
                    </a:xfrm>
                    <a:prstGeom prst="rect">
                      <a:avLst/>
                    </a:prstGeom>
                    <a:noFill/>
                  </pic:spPr>
                </pic:pic>
              </a:graphicData>
            </a:graphic>
          </wp:anchor>
        </w:drawing>
      </w:r>
    </w:p>
    <w:p>
      <w:pPr>
        <w:sectPr>
          <w:pgSz w:w="11900" w:h="16838" w:orient="portrait"/>
          <w:cols w:equalWidth="0" w:num="1">
            <w:col w:w="9080"/>
          </w:cols>
          <w:pgMar w:left="1400" w:top="114" w:right="1419" w:bottom="680" w:gutter="0" w:footer="0" w:header="0"/>
          <w:type w:val="continuous"/>
        </w:sectPr>
      </w:pPr>
    </w:p>
    <w:bookmarkStart w:id="74" w:name="page75"/>
    <w:bookmarkEnd w:id="74"/>
    <w:p>
      <w:pPr>
        <w:spacing w:after="0" w:line="72" w:lineRule="exact"/>
        <w:rPr>
          <w:sz w:val="20"/>
          <w:szCs w:val="20"/>
          <w:color w:val="auto"/>
        </w:rPr>
      </w:pPr>
    </w:p>
    <w:tbl>
      <w:tblPr>
        <w:tblLayout w:type="fixed"/>
        <w:tblInd w:w="60" w:type="dxa"/>
        <w:tblCellMar>
          <w:top w:w="0" w:type="dxa"/>
          <w:left w:w="0" w:type="dxa"/>
          <w:bottom w:w="0" w:type="dxa"/>
          <w:right w:w="0" w:type="dxa"/>
        </w:tblCellMar>
      </w:tblPr>
      <w:tr>
        <w:trPr>
          <w:trHeight w:val="149"/>
        </w:trPr>
        <w:tc>
          <w:tcPr>
            <w:tcW w:w="840" w:type="dxa"/>
            <w:vAlign w:val="bottom"/>
          </w:tcPr>
          <w:p>
            <w:pPr>
              <w:spacing w:after="0"/>
              <w:rPr>
                <w:sz w:val="20"/>
                <w:szCs w:val="20"/>
                <w:color w:val="auto"/>
              </w:rPr>
            </w:pPr>
            <w:r>
              <w:rPr>
                <w:rFonts w:ascii="Arial" w:cs="Arial" w:eastAsia="Arial" w:hAnsi="Arial"/>
                <w:sz w:val="13"/>
                <w:szCs w:val="13"/>
                <w:b w:val="1"/>
                <w:bCs w:val="1"/>
                <w:color w:val="B2B3B6"/>
              </w:rPr>
              <w:t>General</w:t>
            </w:r>
          </w:p>
        </w:tc>
        <w:tc>
          <w:tcPr>
            <w:tcW w:w="840" w:type="dxa"/>
            <w:vAlign w:val="bottom"/>
          </w:tcPr>
          <w:p>
            <w:pPr>
              <w:ind w:left="160"/>
              <w:spacing w:after="0"/>
              <w:rPr>
                <w:sz w:val="20"/>
                <w:szCs w:val="20"/>
                <w:color w:val="auto"/>
              </w:rPr>
            </w:pPr>
            <w:r>
              <w:rPr>
                <w:rFonts w:ascii="Arial" w:cs="Arial" w:eastAsia="Arial" w:hAnsi="Arial"/>
                <w:sz w:val="13"/>
                <w:szCs w:val="13"/>
                <w:b w:val="1"/>
                <w:bCs w:val="1"/>
                <w:color w:val="B2B3B6"/>
              </w:rPr>
              <w:t>Proposal</w:t>
            </w:r>
          </w:p>
        </w:tc>
        <w:tc>
          <w:tcPr>
            <w:tcW w:w="1020" w:type="dxa"/>
            <w:vAlign w:val="bottom"/>
          </w:tcPr>
          <w:p>
            <w:pPr>
              <w:ind w:left="160"/>
              <w:spacing w:after="0"/>
              <w:rPr>
                <w:sz w:val="20"/>
                <w:szCs w:val="20"/>
                <w:color w:val="auto"/>
              </w:rPr>
            </w:pPr>
            <w:r>
              <w:rPr>
                <w:rFonts w:ascii="Arial" w:cs="Arial" w:eastAsia="Arial" w:hAnsi="Arial"/>
                <w:sz w:val="13"/>
                <w:szCs w:val="13"/>
                <w:b w:val="1"/>
                <w:bCs w:val="1"/>
                <w:color w:val="B2B3B6"/>
              </w:rPr>
              <w:t>Corporate</w:t>
            </w:r>
          </w:p>
        </w:tc>
        <w:tc>
          <w:tcPr>
            <w:tcW w:w="820" w:type="dxa"/>
            <w:vAlign w:val="bottom"/>
          </w:tcPr>
          <w:p>
            <w:pPr>
              <w:ind w:left="140"/>
              <w:spacing w:after="0"/>
              <w:rPr>
                <w:sz w:val="20"/>
                <w:szCs w:val="20"/>
                <w:color w:val="auto"/>
              </w:rPr>
            </w:pPr>
            <w:r>
              <w:rPr>
                <w:rFonts w:ascii="Arial" w:cs="Arial" w:eastAsia="Arial" w:hAnsi="Arial"/>
                <w:sz w:val="13"/>
                <w:szCs w:val="13"/>
                <w:b w:val="1"/>
                <w:bCs w:val="1"/>
                <w:color w:val="B2B3B6"/>
              </w:rPr>
              <w:t>Proposal</w:t>
            </w:r>
          </w:p>
        </w:tc>
        <w:tc>
          <w:tcPr>
            <w:tcW w:w="1280" w:type="dxa"/>
            <w:vAlign w:val="bottom"/>
          </w:tcPr>
          <w:p>
            <w:pPr>
              <w:ind w:left="140"/>
              <w:spacing w:after="0"/>
              <w:rPr>
                <w:sz w:val="20"/>
                <w:szCs w:val="20"/>
                <w:color w:val="auto"/>
              </w:rPr>
            </w:pPr>
            <w:r>
              <w:rPr>
                <w:rFonts w:ascii="Arial" w:cs="Arial" w:eastAsia="Arial" w:hAnsi="Arial"/>
                <w:sz w:val="13"/>
                <w:szCs w:val="13"/>
                <w:b w:val="1"/>
                <w:bCs w:val="1"/>
                <w:color w:val="B2B3B6"/>
              </w:rPr>
              <w:t>Executive</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6AAA37"/>
              </w:rPr>
              <w:t>Proposal</w:t>
            </w:r>
          </w:p>
        </w:tc>
        <w:tc>
          <w:tcPr>
            <w:tcW w:w="720" w:type="dxa"/>
            <w:vAlign w:val="bottom"/>
          </w:tcPr>
          <w:p>
            <w:pPr>
              <w:ind w:left="40"/>
              <w:spacing w:after="0"/>
              <w:rPr>
                <w:sz w:val="20"/>
                <w:szCs w:val="20"/>
                <w:color w:val="auto"/>
              </w:rPr>
            </w:pPr>
            <w:r>
              <w:rPr>
                <w:rFonts w:ascii="Arial" w:cs="Arial" w:eastAsia="Arial" w:hAnsi="Arial"/>
                <w:sz w:val="13"/>
                <w:szCs w:val="13"/>
                <w:b w:val="1"/>
                <w:bCs w:val="1"/>
                <w:color w:val="B2B3B6"/>
              </w:rPr>
              <w:t>Proposal</w:t>
            </w:r>
          </w:p>
        </w:tc>
        <w:tc>
          <w:tcPr>
            <w:tcW w:w="820" w:type="dxa"/>
            <w:vAlign w:val="bottom"/>
          </w:tcPr>
          <w:p>
            <w:pPr>
              <w:ind w:left="140"/>
              <w:spacing w:after="0"/>
              <w:rPr>
                <w:sz w:val="20"/>
                <w:szCs w:val="20"/>
                <w:color w:val="auto"/>
              </w:rPr>
            </w:pPr>
            <w:r>
              <w:rPr>
                <w:rFonts w:ascii="Arial" w:cs="Arial" w:eastAsia="Arial" w:hAnsi="Arial"/>
                <w:sz w:val="13"/>
                <w:szCs w:val="13"/>
                <w:b w:val="1"/>
                <w:bCs w:val="1"/>
                <w:color w:val="B2B3B6"/>
              </w:rPr>
              <w:t>Proposal</w:t>
            </w:r>
          </w:p>
        </w:tc>
        <w:tc>
          <w:tcPr>
            <w:tcW w:w="1020" w:type="dxa"/>
            <w:vAlign w:val="bottom"/>
          </w:tcPr>
          <w:p>
            <w:pPr>
              <w:ind w:left="140"/>
              <w:spacing w:after="0"/>
              <w:rPr>
                <w:sz w:val="20"/>
                <w:szCs w:val="20"/>
                <w:color w:val="auto"/>
              </w:rPr>
            </w:pPr>
            <w:r>
              <w:rPr>
                <w:rFonts w:ascii="Arial" w:cs="Arial" w:eastAsia="Arial" w:hAnsi="Arial"/>
                <w:sz w:val="13"/>
                <w:szCs w:val="13"/>
                <w:b w:val="1"/>
                <w:bCs w:val="1"/>
                <w:color w:val="B2B3B6"/>
              </w:rPr>
              <w:t>Stockholder</w:t>
            </w:r>
          </w:p>
        </w:tc>
        <w:tc>
          <w:tcPr>
            <w:tcW w:w="620" w:type="dxa"/>
            <w:vAlign w:val="bottom"/>
          </w:tcPr>
          <w:p>
            <w:pPr>
              <w:ind w:left="160"/>
              <w:spacing w:after="0"/>
              <w:rPr>
                <w:sz w:val="20"/>
                <w:szCs w:val="20"/>
                <w:color w:val="auto"/>
              </w:rPr>
            </w:pPr>
            <w:r>
              <w:rPr>
                <w:rFonts w:ascii="Arial" w:cs="Arial" w:eastAsia="Arial" w:hAnsi="Arial"/>
                <w:sz w:val="13"/>
                <w:szCs w:val="13"/>
                <w:b w:val="1"/>
                <w:bCs w:val="1"/>
                <w:color w:val="B2B3B6"/>
              </w:rPr>
              <w:t>Other</w:t>
            </w:r>
          </w:p>
        </w:tc>
      </w:tr>
      <w:tr>
        <w:trPr>
          <w:trHeight w:val="172"/>
        </w:trPr>
        <w:tc>
          <w:tcPr>
            <w:tcW w:w="840" w:type="dxa"/>
            <w:vAlign w:val="bottom"/>
          </w:tcPr>
          <w:p>
            <w:pPr>
              <w:spacing w:after="0"/>
              <w:rPr>
                <w:sz w:val="20"/>
                <w:szCs w:val="20"/>
                <w:color w:val="auto"/>
              </w:rPr>
            </w:pPr>
            <w:r>
              <w:rPr>
                <w:rFonts w:ascii="Arial" w:cs="Arial" w:eastAsia="Arial" w:hAnsi="Arial"/>
                <w:sz w:val="13"/>
                <w:szCs w:val="13"/>
                <w:b w:val="1"/>
                <w:bCs w:val="1"/>
                <w:color w:val="B2B3B6"/>
              </w:rPr>
              <w:t>Information</w:t>
            </w:r>
          </w:p>
        </w:tc>
        <w:tc>
          <w:tcPr>
            <w:tcW w:w="840" w:type="dxa"/>
            <w:vAlign w:val="bottom"/>
          </w:tcPr>
          <w:p>
            <w:pPr>
              <w:ind w:left="160"/>
              <w:spacing w:after="0"/>
              <w:rPr>
                <w:sz w:val="20"/>
                <w:szCs w:val="20"/>
                <w:color w:val="auto"/>
              </w:rPr>
            </w:pPr>
            <w:r>
              <w:rPr>
                <w:rFonts w:ascii="Arial" w:cs="Arial" w:eastAsia="Arial" w:hAnsi="Arial"/>
                <w:sz w:val="13"/>
                <w:szCs w:val="13"/>
                <w:b w:val="1"/>
                <w:bCs w:val="1"/>
                <w:color w:val="B2B3B6"/>
              </w:rPr>
              <w:t>One</w:t>
            </w:r>
          </w:p>
        </w:tc>
        <w:tc>
          <w:tcPr>
            <w:tcW w:w="1020" w:type="dxa"/>
            <w:vAlign w:val="bottom"/>
          </w:tcPr>
          <w:p>
            <w:pPr>
              <w:ind w:left="160"/>
              <w:spacing w:after="0"/>
              <w:rPr>
                <w:sz w:val="20"/>
                <w:szCs w:val="20"/>
                <w:color w:val="auto"/>
              </w:rPr>
            </w:pPr>
            <w:r>
              <w:rPr>
                <w:rFonts w:ascii="Arial" w:cs="Arial" w:eastAsia="Arial" w:hAnsi="Arial"/>
                <w:sz w:val="13"/>
                <w:szCs w:val="13"/>
                <w:b w:val="1"/>
                <w:bCs w:val="1"/>
                <w:color w:val="B2B3B6"/>
              </w:rPr>
              <w:t>Governance</w:t>
            </w:r>
          </w:p>
        </w:tc>
        <w:tc>
          <w:tcPr>
            <w:tcW w:w="820" w:type="dxa"/>
            <w:vAlign w:val="bottom"/>
          </w:tcPr>
          <w:p>
            <w:pPr>
              <w:ind w:left="140"/>
              <w:spacing w:after="0"/>
              <w:rPr>
                <w:sz w:val="20"/>
                <w:szCs w:val="20"/>
                <w:color w:val="auto"/>
              </w:rPr>
            </w:pPr>
            <w:r>
              <w:rPr>
                <w:rFonts w:ascii="Arial" w:cs="Arial" w:eastAsia="Arial" w:hAnsi="Arial"/>
                <w:sz w:val="13"/>
                <w:szCs w:val="13"/>
                <w:b w:val="1"/>
                <w:bCs w:val="1"/>
                <w:color w:val="B2B3B6"/>
              </w:rPr>
              <w:t>Two</w:t>
            </w:r>
          </w:p>
        </w:tc>
        <w:tc>
          <w:tcPr>
            <w:tcW w:w="1280" w:type="dxa"/>
            <w:vAlign w:val="bottom"/>
          </w:tcPr>
          <w:p>
            <w:pPr>
              <w:ind w:left="140"/>
              <w:spacing w:after="0"/>
              <w:rPr>
                <w:sz w:val="20"/>
                <w:szCs w:val="20"/>
                <w:color w:val="auto"/>
              </w:rPr>
            </w:pPr>
            <w:r>
              <w:rPr>
                <w:rFonts w:ascii="Arial" w:cs="Arial" w:eastAsia="Arial" w:hAnsi="Arial"/>
                <w:sz w:val="13"/>
                <w:szCs w:val="13"/>
                <w:b w:val="1"/>
                <w:bCs w:val="1"/>
                <w:color w:val="B2B3B6"/>
              </w:rPr>
              <w:t>Compensation</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6AAA37"/>
              </w:rPr>
              <w:t>Three</w:t>
            </w:r>
          </w:p>
        </w:tc>
        <w:tc>
          <w:tcPr>
            <w:tcW w:w="720" w:type="dxa"/>
            <w:vAlign w:val="bottom"/>
          </w:tcPr>
          <w:p>
            <w:pPr>
              <w:ind w:left="40"/>
              <w:spacing w:after="0"/>
              <w:rPr>
                <w:sz w:val="20"/>
                <w:szCs w:val="20"/>
                <w:color w:val="auto"/>
              </w:rPr>
            </w:pPr>
            <w:r>
              <w:rPr>
                <w:rFonts w:ascii="Arial" w:cs="Arial" w:eastAsia="Arial" w:hAnsi="Arial"/>
                <w:sz w:val="13"/>
                <w:szCs w:val="13"/>
                <w:b w:val="1"/>
                <w:bCs w:val="1"/>
                <w:color w:val="B2B3B6"/>
              </w:rPr>
              <w:t>Four</w:t>
            </w:r>
          </w:p>
        </w:tc>
        <w:tc>
          <w:tcPr>
            <w:tcW w:w="820" w:type="dxa"/>
            <w:vAlign w:val="bottom"/>
          </w:tcPr>
          <w:p>
            <w:pPr>
              <w:ind w:left="140"/>
              <w:spacing w:after="0"/>
              <w:rPr>
                <w:sz w:val="20"/>
                <w:szCs w:val="20"/>
                <w:color w:val="auto"/>
              </w:rPr>
            </w:pPr>
            <w:r>
              <w:rPr>
                <w:rFonts w:ascii="Arial" w:cs="Arial" w:eastAsia="Arial" w:hAnsi="Arial"/>
                <w:sz w:val="13"/>
                <w:szCs w:val="13"/>
                <w:b w:val="1"/>
                <w:bCs w:val="1"/>
                <w:color w:val="B2B3B6"/>
              </w:rPr>
              <w:t>Five</w:t>
            </w:r>
          </w:p>
        </w:tc>
        <w:tc>
          <w:tcPr>
            <w:tcW w:w="1020" w:type="dxa"/>
            <w:vAlign w:val="bottom"/>
          </w:tcPr>
          <w:p>
            <w:pPr>
              <w:ind w:left="140"/>
              <w:spacing w:after="0"/>
              <w:rPr>
                <w:sz w:val="20"/>
                <w:szCs w:val="20"/>
                <w:color w:val="auto"/>
              </w:rPr>
            </w:pPr>
            <w:r>
              <w:rPr>
                <w:rFonts w:ascii="Arial" w:cs="Arial" w:eastAsia="Arial" w:hAnsi="Arial"/>
                <w:sz w:val="13"/>
                <w:szCs w:val="13"/>
                <w:b w:val="1"/>
                <w:bCs w:val="1"/>
                <w:color w:val="B2B3B6"/>
              </w:rPr>
              <w:t>Proposals</w:t>
            </w:r>
          </w:p>
        </w:tc>
        <w:tc>
          <w:tcPr>
            <w:tcW w:w="620" w:type="dxa"/>
            <w:vAlign w:val="bottom"/>
          </w:tcPr>
          <w:p>
            <w:pPr>
              <w:ind w:left="160"/>
              <w:spacing w:after="0"/>
              <w:rPr>
                <w:sz w:val="20"/>
                <w:szCs w:val="20"/>
                <w:color w:val="auto"/>
              </w:rPr>
            </w:pPr>
            <w:r>
              <w:rPr>
                <w:rFonts w:ascii="Arial" w:cs="Arial" w:eastAsia="Arial" w:hAnsi="Arial"/>
                <w:sz w:val="13"/>
                <w:szCs w:val="13"/>
                <w:b w:val="1"/>
                <w:bCs w:val="1"/>
                <w:color w:val="B2B3B6"/>
                <w:w w:val="95"/>
              </w:rPr>
              <w:t>Matters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-185420</wp:posOffset>
            </wp:positionV>
            <wp:extent cx="6810375" cy="85744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10375" cy="8574405"/>
                    </a:xfrm>
                    <a:prstGeom prst="rect">
                      <a:avLst/>
                    </a:prstGeom>
                    <a:noFill/>
                  </pic:spPr>
                </pic:pic>
              </a:graphicData>
            </a:graphic>
          </wp:anchor>
        </w:drawing>
      </w:r>
    </w:p>
    <w:p>
      <w:pPr>
        <w:spacing w:after="0" w:line="320" w:lineRule="exact"/>
        <w:rPr>
          <w:sz w:val="20"/>
          <w:szCs w:val="20"/>
          <w:color w:val="auto"/>
        </w:rPr>
      </w:pPr>
    </w:p>
    <w:p>
      <w:pPr>
        <w:spacing w:after="0" w:line="288" w:lineRule="auto"/>
        <w:rPr>
          <w:sz w:val="20"/>
          <w:szCs w:val="20"/>
          <w:color w:val="auto"/>
        </w:rPr>
      </w:pPr>
      <w:r>
        <w:rPr>
          <w:rFonts w:ascii="Arial" w:cs="Arial" w:eastAsia="Arial" w:hAnsi="Arial"/>
          <w:sz w:val="16"/>
          <w:szCs w:val="16"/>
          <w:b w:val="1"/>
          <w:bCs w:val="1"/>
          <w:color w:val="auto"/>
        </w:rPr>
        <w:t xml:space="preserve">Full Value Awards. </w:t>
      </w:r>
      <w:r>
        <w:rPr>
          <w:rFonts w:ascii="Arial" w:cs="Arial" w:eastAsia="Arial" w:hAnsi="Arial"/>
          <w:sz w:val="16"/>
          <w:szCs w:val="16"/>
          <w:color w:val="auto"/>
        </w:rPr>
        <w:t>If a restriction on transferability and substantial risk of forfeiture applies to shares of common stock or</w:t>
      </w:r>
      <w:r>
        <w:rPr>
          <w:rFonts w:ascii="Arial" w:cs="Arial" w:eastAsia="Arial" w:hAnsi="Arial"/>
          <w:sz w:val="16"/>
          <w:szCs w:val="16"/>
          <w:b w:val="1"/>
          <w:bCs w:val="1"/>
          <w:color w:val="auto"/>
        </w:rPr>
        <w:t xml:space="preserve"> </w:t>
      </w:r>
      <w:r>
        <w:rPr>
          <w:rFonts w:ascii="Arial" w:cs="Arial" w:eastAsia="Arial" w:hAnsi="Arial"/>
          <w:sz w:val="16"/>
          <w:szCs w:val="16"/>
          <w:color w:val="auto"/>
        </w:rPr>
        <w:t>other property actually distributed to a participant under an award (such as, for example, a grant of restricted stock), the participant generally must recognize ordinary income equal to the fair market value of the transferred amounts at the earliest time either the transferability restriction or risk of forfeiture lapses. In the usual case, we can claim a tax deduction (subject to the limit under Section 162(m) of the Code) in an amount equal to the ordinary income recognized by the participant, except as discussed below. A participant may choose to make a special filing to elect to be taxed at the time of grant of restricted stock or other property rather than upon lapse of restrictions on transferability or the risk of forfeiture, but if the participant subsequently forfeits such shares of common stock or property he or she would not be entitled to any tax deduction, including as a capital loss, for the value of shares of common stock on which he or she previously paid tax.</w:t>
      </w:r>
    </w:p>
    <w:p>
      <w:pPr>
        <w:spacing w:after="0" w:line="119" w:lineRule="exact"/>
        <w:rPr>
          <w:sz w:val="20"/>
          <w:szCs w:val="20"/>
          <w:color w:val="auto"/>
        </w:rPr>
      </w:pPr>
    </w:p>
    <w:p>
      <w:pPr>
        <w:ind w:right="560"/>
        <w:spacing w:after="0" w:line="321" w:lineRule="auto"/>
        <w:rPr>
          <w:sz w:val="20"/>
          <w:szCs w:val="20"/>
          <w:color w:val="auto"/>
        </w:rPr>
      </w:pPr>
      <w:r>
        <w:rPr>
          <w:rFonts w:ascii="Arial" w:cs="Arial" w:eastAsia="Arial" w:hAnsi="Arial"/>
          <w:sz w:val="16"/>
          <w:szCs w:val="16"/>
          <w:color w:val="auto"/>
        </w:rPr>
        <w:t>If no substantial risk of forfeiture applies to property distributed to a participant, the participant generally must recognize ordinary income equal to the fair market value of shares of common stock actually received.</w:t>
      </w:r>
    </w:p>
    <w:p>
      <w:pPr>
        <w:spacing w:after="0" w:line="88" w:lineRule="exact"/>
        <w:rPr>
          <w:sz w:val="20"/>
          <w:szCs w:val="20"/>
          <w:color w:val="auto"/>
        </w:rPr>
      </w:pPr>
    </w:p>
    <w:p>
      <w:pPr>
        <w:ind w:right="340"/>
        <w:spacing w:after="0" w:line="300" w:lineRule="auto"/>
        <w:rPr>
          <w:sz w:val="20"/>
          <w:szCs w:val="20"/>
          <w:color w:val="auto"/>
        </w:rPr>
      </w:pPr>
      <w:r>
        <w:rPr>
          <w:rFonts w:ascii="Arial" w:cs="Arial" w:eastAsia="Arial" w:hAnsi="Arial"/>
          <w:sz w:val="16"/>
          <w:szCs w:val="16"/>
          <w:color w:val="auto"/>
        </w:rPr>
        <w:t>If an award does not consist of property (such as stock units), the participant generally must recognize ordinary income for U.S. income tax purposes when the award is paid in an amount equal to the amount payable or, if the award is settled in shares of common stock, the fair market value on the date of distribution, and we would normally be entitled to a corresponding deduction (subject to the limit under Section 162(m) of the Code).</w:t>
      </w:r>
    </w:p>
    <w:p>
      <w:pPr>
        <w:spacing w:after="0" w:line="106"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In general, under Section 162(m) of the Code, income tax deductions of publicly held corporations may be limited to the extent total compensation (including base salary, annual bonus, stock option exercises and nonqualified benefits) for certain executive officers exceeds $1.0 million (less the amount of any “excess parachute payments” as defined in Section 280G of the Code) in any taxable year of the corporation. The exception for qualified “performance-based” compensation was eliminated by the Tax Cuts and Jobs Act of 2017 for tax years beginning on or after January 1, 2018. As a result, any new equity awards under the Plan will be subject to the $1.0 million deduction limitation. Under the Tax Cuts and Jobs Act, the term “covered employee” now includes any individual who served as the chief executive officer or chief financial officer at any time during the taxable year and the three other most highly compensated officers for the taxable year. Once an individual becomes a covered employee, that individual will remain a covered employee for all future years, including after termination or death.</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Plan Benefits</w:t>
      </w:r>
    </w:p>
    <w:p>
      <w:pPr>
        <w:spacing w:after="0" w:line="81"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No awards made under the Plan prior to the date of the Annual Meeting were granted subject to stockholder approval of this Proposal Three. The future awards to be made under the Plan are subject to the discretion of the Compensation Committee and therefore are not determinable at this time. Moreover, the number of shares that would be earned with respect to any grant may vary based on the achievement of any applicable performance goals, which is not determinable at this time.</w:t>
      </w:r>
    </w:p>
    <w:p>
      <w:pPr>
        <w:spacing w:after="0" w:line="108" w:lineRule="exact"/>
        <w:rPr>
          <w:sz w:val="20"/>
          <w:szCs w:val="20"/>
          <w:color w:val="auto"/>
        </w:rPr>
      </w:pPr>
    </w:p>
    <w:p>
      <w:pPr>
        <w:ind w:right="20"/>
        <w:spacing w:after="0" w:line="300" w:lineRule="auto"/>
        <w:rPr>
          <w:sz w:val="20"/>
          <w:szCs w:val="20"/>
          <w:color w:val="auto"/>
        </w:rPr>
      </w:pPr>
      <w:r>
        <w:rPr>
          <w:rFonts w:ascii="Arial" w:cs="Arial" w:eastAsia="Arial" w:hAnsi="Arial"/>
          <w:sz w:val="16"/>
          <w:szCs w:val="16"/>
          <w:color w:val="auto"/>
        </w:rPr>
        <w:t>The Plan authorizes the grant of discretionary awards to non-employee directors, the terms and conditions of which are determined by the Compensation Committee. Under our 2025 director compensation program, our non-employee directors will receive annual equity grants on the date of each annual stockholder’s meeting in the form of restricted stock unit awards with a dollar value equal to $170,000.</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Awards Granted under the Plan</w:t>
      </w:r>
    </w:p>
    <w:p>
      <w:pPr>
        <w:spacing w:after="0" w:line="68" w:lineRule="exact"/>
        <w:rPr>
          <w:sz w:val="20"/>
          <w:szCs w:val="20"/>
          <w:color w:val="auto"/>
        </w:rPr>
      </w:pPr>
    </w:p>
    <w:p>
      <w:pPr>
        <w:ind w:right="220"/>
        <w:spacing w:after="0" w:line="339" w:lineRule="auto"/>
        <w:rPr>
          <w:sz w:val="20"/>
          <w:szCs w:val="20"/>
          <w:color w:val="auto"/>
        </w:rPr>
      </w:pPr>
      <w:r>
        <w:rPr>
          <w:rFonts w:ascii="Arial" w:cs="Arial" w:eastAsia="Arial" w:hAnsi="Arial"/>
          <w:sz w:val="16"/>
          <w:szCs w:val="16"/>
          <w:color w:val="auto"/>
        </w:rPr>
        <w:t>Our named executive officers and members of our Board will be eligible to receive grants under the Plan and therefore have an interest in this Proposal.</w:t>
      </w:r>
    </w:p>
    <w:p>
      <w:pPr>
        <w:spacing w:after="0" w:line="61" w:lineRule="exact"/>
        <w:rPr>
          <w:sz w:val="20"/>
          <w:szCs w:val="20"/>
          <w:color w:val="auto"/>
        </w:rPr>
      </w:pPr>
    </w:p>
    <w:p>
      <w:pPr>
        <w:ind w:right="200"/>
        <w:spacing w:after="0" w:line="339" w:lineRule="auto"/>
        <w:rPr>
          <w:sz w:val="20"/>
          <w:szCs w:val="20"/>
          <w:color w:val="auto"/>
        </w:rPr>
      </w:pPr>
      <w:r>
        <w:rPr>
          <w:rFonts w:ascii="Arial" w:cs="Arial" w:eastAsia="Arial" w:hAnsi="Arial"/>
          <w:sz w:val="16"/>
          <w:szCs w:val="16"/>
          <w:color w:val="auto"/>
        </w:rPr>
        <w:t>Because grants under the Plan to participants are within the discretion of the Compensation Committee (or its delegate), it is not possible to determine the grants that will be made to participants under the Plan.</w:t>
      </w:r>
    </w:p>
    <w:p>
      <w:pPr>
        <w:spacing w:after="0" w:line="61" w:lineRule="exact"/>
        <w:rPr>
          <w:sz w:val="20"/>
          <w:szCs w:val="20"/>
          <w:color w:val="auto"/>
        </w:rPr>
      </w:pPr>
    </w:p>
    <w:p>
      <w:pPr>
        <w:ind w:right="360"/>
        <w:spacing w:after="0" w:line="339" w:lineRule="auto"/>
        <w:rPr>
          <w:sz w:val="20"/>
          <w:szCs w:val="20"/>
          <w:color w:val="auto"/>
        </w:rPr>
      </w:pPr>
      <w:r>
        <w:rPr>
          <w:rFonts w:ascii="Arial" w:cs="Arial" w:eastAsia="Arial" w:hAnsi="Arial"/>
          <w:sz w:val="16"/>
          <w:szCs w:val="16"/>
          <w:color w:val="auto"/>
        </w:rPr>
        <w:t>The following table sets forth information with respect to the number of shares subject to equity awards previously granted under the Plan since its inception through March 10, 2025 for certain individuals: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60"/>
        <w:spacing w:after="0"/>
        <w:tabs>
          <w:tab w:leader="none" w:pos="444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13"/>
          <w:szCs w:val="13"/>
          <w:b w:val="1"/>
          <w:bCs w:val="1"/>
          <w:color w:val="00558C"/>
        </w:rPr>
        <w:t>75</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420370</wp:posOffset>
            </wp:positionV>
            <wp:extent cx="6810375" cy="185928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10375" cy="1859280"/>
                    </a:xfrm>
                    <a:prstGeom prst="rect">
                      <a:avLst/>
                    </a:prstGeom>
                    <a:noFill/>
                  </pic:spPr>
                </pic:pic>
              </a:graphicData>
            </a:graphic>
          </wp:anchor>
        </w:drawing>
      </w:r>
    </w:p>
    <w:p>
      <w:pPr>
        <w:sectPr>
          <w:pgSz w:w="11900" w:h="16910" w:orient="portrait"/>
          <w:cols w:equalWidth="0" w:num="1">
            <w:col w:w="9100"/>
          </w:cols>
          <w:pgMar w:left="1400" w:top="112" w:right="1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0"/>
        <w:spacing w:after="0" w:line="274" w:lineRule="auto"/>
        <w:rPr>
          <w:sz w:val="20"/>
          <w:szCs w:val="20"/>
          <w:color w:val="auto"/>
        </w:rPr>
      </w:pPr>
      <w:r>
        <w:rPr>
          <w:rFonts w:ascii="Arial" w:cs="Arial" w:eastAsia="Arial" w:hAnsi="Arial"/>
          <w:sz w:val="13"/>
          <w:szCs w:val="13"/>
          <w:b w:val="1"/>
          <w:bCs w:val="1"/>
          <w:color w:val="B2B3B6"/>
        </w:rPr>
        <w:t>General Proposal Information 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line="274" w:lineRule="auto"/>
        <w:rPr>
          <w:sz w:val="20"/>
          <w:szCs w:val="20"/>
          <w:color w:val="auto"/>
        </w:rPr>
      </w:pPr>
      <w:r>
        <w:rPr>
          <w:rFonts w:ascii="Arial" w:cs="Arial" w:eastAsia="Arial" w:hAnsi="Arial"/>
          <w:sz w:val="13"/>
          <w:szCs w:val="13"/>
          <w:b w:val="1"/>
          <w:bCs w:val="1"/>
          <w:color w:val="B2B3B6"/>
        </w:rPr>
        <w:t>Corporate Proposal Executive Governance Two 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2"/>
          <w:szCs w:val="12"/>
          <w:b w:val="1"/>
          <w:bCs w:val="1"/>
          <w:color w:val="6AAA37"/>
        </w:rPr>
        <w:t>Proposal</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b w:val="1"/>
          <w:bCs w:val="1"/>
          <w:color w:val="6AAA37"/>
        </w:rPr>
        <w:t>Three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line="274" w:lineRule="auto"/>
        <w:rPr>
          <w:sz w:val="20"/>
          <w:szCs w:val="20"/>
          <w:color w:val="auto"/>
        </w:rPr>
      </w:pPr>
      <w:r>
        <w:rPr>
          <w:rFonts w:ascii="Arial" w:cs="Arial" w:eastAsia="Arial" w:hAnsi="Arial"/>
          <w:sz w:val="13"/>
          <w:szCs w:val="13"/>
          <w:b w:val="1"/>
          <w:bCs w:val="1"/>
          <w:color w:val="B2B3B6"/>
        </w:rPr>
        <w:t>Proposal Proposal Four Five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220"/>
        <w:spacing w:after="0" w:line="274" w:lineRule="auto"/>
        <w:rPr>
          <w:sz w:val="20"/>
          <w:szCs w:val="20"/>
          <w:color w:val="auto"/>
        </w:rPr>
      </w:pPr>
      <w:r>
        <w:rPr>
          <w:rFonts w:ascii="Arial" w:cs="Arial" w:eastAsia="Arial" w:hAnsi="Arial"/>
          <w:sz w:val="13"/>
          <w:szCs w:val="13"/>
          <w:b w:val="1"/>
          <w:bCs w:val="1"/>
          <w:color w:val="B2B3B6"/>
        </w:rPr>
        <w:t>Stockholder Other Proposals Matters</w:t>
      </w:r>
    </w:p>
    <w:p>
      <w:pPr>
        <w:spacing w:after="0" w:line="200" w:lineRule="exact"/>
        <w:rPr>
          <w:sz w:val="20"/>
          <w:szCs w:val="20"/>
          <w:color w:val="auto"/>
        </w:rPr>
      </w:pPr>
    </w:p>
    <w:p>
      <w:pPr>
        <w:sectPr>
          <w:pgSz w:w="11900" w:h="16910" w:orient="portrait"/>
          <w:cols w:equalWidth="0" w:num="5">
            <w:col w:w="1600" w:space="300"/>
            <w:col w:w="2700" w:space="320"/>
            <w:col w:w="540" w:space="280"/>
            <w:col w:w="1360" w:space="280"/>
            <w:col w:w="1720"/>
          </w:cols>
          <w:pgMar w:left="1400" w:top="112" w:right="1399" w:bottom="0" w:gutter="0" w:footer="0" w:header="0"/>
          <w:type w:val="continuous"/>
        </w:sectPr>
      </w:pPr>
    </w:p>
    <w:p>
      <w:pPr>
        <w:spacing w:after="0" w:line="250" w:lineRule="exact"/>
        <w:rPr>
          <w:sz w:val="20"/>
          <w:szCs w:val="20"/>
          <w:color w:val="auto"/>
        </w:rPr>
      </w:pPr>
    </w:p>
    <w:tbl>
      <w:tblPr>
        <w:tblLayout w:type="fixed"/>
        <w:tblInd w:w="140" w:type="dxa"/>
        <w:tblCellMar>
          <w:top w:w="0" w:type="dxa"/>
          <w:left w:w="0" w:type="dxa"/>
          <w:bottom w:w="0" w:type="dxa"/>
          <w:right w:w="0" w:type="dxa"/>
        </w:tblCellMar>
      </w:tblPr>
      <w:tr>
        <w:trPr>
          <w:trHeight w:val="176"/>
        </w:trPr>
        <w:tc>
          <w:tcPr>
            <w:tcW w:w="392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1480" w:type="dxa"/>
            <w:vAlign w:val="bottom"/>
          </w:tcPr>
          <w:p>
            <w:pPr>
              <w:jc w:val="right"/>
              <w:ind w:right="69"/>
              <w:spacing w:after="0"/>
              <w:rPr>
                <w:sz w:val="20"/>
                <w:szCs w:val="20"/>
                <w:color w:val="auto"/>
              </w:rPr>
            </w:pPr>
            <w:r>
              <w:rPr>
                <w:rFonts w:ascii="Arial" w:cs="Arial" w:eastAsia="Arial" w:hAnsi="Arial"/>
                <w:sz w:val="14"/>
                <w:szCs w:val="14"/>
                <w:b w:val="1"/>
                <w:bCs w:val="1"/>
                <w:color w:val="FFFFFF"/>
              </w:rPr>
              <w:t>Number of Shares</w:t>
            </w:r>
          </w:p>
        </w:tc>
        <w:tc>
          <w:tcPr>
            <w:tcW w:w="0" w:type="dxa"/>
            <w:vAlign w:val="bottom"/>
          </w:tcPr>
          <w:p>
            <w:pPr>
              <w:spacing w:after="0"/>
              <w:rPr>
                <w:sz w:val="1"/>
                <w:szCs w:val="1"/>
                <w:color w:val="auto"/>
              </w:rPr>
            </w:pPr>
          </w:p>
        </w:tc>
      </w:tr>
      <w:tr>
        <w:trPr>
          <w:trHeight w:val="176"/>
        </w:trPr>
        <w:tc>
          <w:tcPr>
            <w:tcW w:w="3920" w:type="dxa"/>
            <w:vAlign w:val="bottom"/>
          </w:tcPr>
          <w:p>
            <w:pPr>
              <w:spacing w:after="0"/>
              <w:rPr>
                <w:sz w:val="15"/>
                <w:szCs w:val="15"/>
                <w:color w:val="auto"/>
              </w:rPr>
            </w:pPr>
          </w:p>
        </w:tc>
        <w:tc>
          <w:tcPr>
            <w:tcW w:w="3060" w:type="dxa"/>
            <w:vAlign w:val="bottom"/>
          </w:tcPr>
          <w:p>
            <w:pPr>
              <w:jc w:val="right"/>
              <w:ind w:right="190"/>
              <w:spacing w:after="0"/>
              <w:rPr>
                <w:sz w:val="20"/>
                <w:szCs w:val="20"/>
                <w:color w:val="auto"/>
              </w:rPr>
            </w:pPr>
            <w:r>
              <w:rPr>
                <w:rFonts w:ascii="Arial" w:cs="Arial" w:eastAsia="Arial" w:hAnsi="Arial"/>
                <w:sz w:val="14"/>
                <w:szCs w:val="14"/>
                <w:b w:val="1"/>
                <w:bCs w:val="1"/>
                <w:color w:val="FFFFFF"/>
              </w:rPr>
              <w:t>Number of Options</w:t>
            </w:r>
          </w:p>
        </w:tc>
        <w:tc>
          <w:tcPr>
            <w:tcW w:w="1480" w:type="dxa"/>
            <w:vAlign w:val="bottom"/>
          </w:tcPr>
          <w:p>
            <w:pPr>
              <w:jc w:val="right"/>
              <w:ind w:right="69"/>
              <w:spacing w:after="0"/>
              <w:rPr>
                <w:sz w:val="20"/>
                <w:szCs w:val="20"/>
                <w:color w:val="auto"/>
              </w:rPr>
            </w:pPr>
            <w:r>
              <w:rPr>
                <w:rFonts w:ascii="Arial" w:cs="Arial" w:eastAsia="Arial" w:hAnsi="Arial"/>
                <w:sz w:val="14"/>
                <w:szCs w:val="14"/>
                <w:b w:val="1"/>
                <w:bCs w:val="1"/>
                <w:color w:val="FFFFFF"/>
              </w:rPr>
              <w:t>Subject to Stock</w:t>
            </w:r>
          </w:p>
        </w:tc>
        <w:tc>
          <w:tcPr>
            <w:tcW w:w="0" w:type="dxa"/>
            <w:vAlign w:val="bottom"/>
          </w:tcPr>
          <w:p>
            <w:pPr>
              <w:spacing w:after="0"/>
              <w:rPr>
                <w:sz w:val="1"/>
                <w:szCs w:val="1"/>
                <w:color w:val="auto"/>
              </w:rPr>
            </w:pPr>
          </w:p>
        </w:tc>
      </w:tr>
      <w:tr>
        <w:trPr>
          <w:trHeight w:val="196"/>
        </w:trPr>
        <w:tc>
          <w:tcPr>
            <w:tcW w:w="3920" w:type="dxa"/>
            <w:vAlign w:val="bottom"/>
          </w:tcPr>
          <w:p>
            <w:pPr>
              <w:spacing w:after="0"/>
              <w:rPr>
                <w:sz w:val="20"/>
                <w:szCs w:val="20"/>
                <w:color w:val="auto"/>
              </w:rPr>
            </w:pPr>
            <w:r>
              <w:rPr>
                <w:rFonts w:ascii="Arial" w:cs="Arial" w:eastAsia="Arial" w:hAnsi="Arial"/>
                <w:sz w:val="14"/>
                <w:szCs w:val="14"/>
                <w:b w:val="1"/>
                <w:bCs w:val="1"/>
                <w:color w:val="FFFFFF"/>
              </w:rPr>
              <w:t>Name of Individual or Group</w:t>
            </w:r>
          </w:p>
        </w:tc>
        <w:tc>
          <w:tcPr>
            <w:tcW w:w="3060" w:type="dxa"/>
            <w:vAlign w:val="bottom"/>
          </w:tcPr>
          <w:p>
            <w:pPr>
              <w:jc w:val="right"/>
              <w:ind w:right="150"/>
              <w:spacing w:after="0"/>
              <w:rPr>
                <w:sz w:val="20"/>
                <w:szCs w:val="20"/>
                <w:color w:val="auto"/>
              </w:rPr>
            </w:pPr>
            <w:r>
              <w:rPr>
                <w:rFonts w:ascii="Arial" w:cs="Arial" w:eastAsia="Arial" w:hAnsi="Arial"/>
                <w:sz w:val="14"/>
                <w:szCs w:val="14"/>
                <w:b w:val="1"/>
                <w:bCs w:val="1"/>
                <w:color w:val="FFFFFF"/>
              </w:rPr>
              <w:t>Granted (#)</w:t>
            </w:r>
          </w:p>
        </w:tc>
        <w:tc>
          <w:tcPr>
            <w:tcW w:w="1480" w:type="dxa"/>
            <w:vAlign w:val="bottom"/>
          </w:tcPr>
          <w:p>
            <w:pPr>
              <w:jc w:val="right"/>
              <w:ind w:right="49"/>
              <w:spacing w:after="0"/>
              <w:rPr>
                <w:sz w:val="20"/>
                <w:szCs w:val="20"/>
                <w:color w:val="auto"/>
              </w:rPr>
            </w:pPr>
            <w:r>
              <w:rPr>
                <w:rFonts w:ascii="Arial" w:cs="Arial" w:eastAsia="Arial" w:hAnsi="Arial"/>
                <w:sz w:val="14"/>
                <w:szCs w:val="14"/>
                <w:b w:val="1"/>
                <w:bCs w:val="1"/>
                <w:color w:val="FFFFFF"/>
              </w:rPr>
              <w:t>Awards (#)</w:t>
            </w:r>
          </w:p>
        </w:tc>
        <w:tc>
          <w:tcPr>
            <w:tcW w:w="0" w:type="dxa"/>
            <w:vAlign w:val="bottom"/>
          </w:tcPr>
          <w:p>
            <w:pPr>
              <w:spacing w:after="0"/>
              <w:rPr>
                <w:sz w:val="1"/>
                <w:szCs w:val="1"/>
                <w:color w:val="auto"/>
              </w:rPr>
            </w:pPr>
          </w:p>
        </w:tc>
      </w:tr>
      <w:tr>
        <w:trPr>
          <w:trHeight w:val="378"/>
        </w:trPr>
        <w:tc>
          <w:tcPr>
            <w:tcW w:w="3920" w:type="dxa"/>
            <w:vAlign w:val="bottom"/>
          </w:tcPr>
          <w:p>
            <w:pPr>
              <w:spacing w:after="0"/>
              <w:rPr>
                <w:sz w:val="20"/>
                <w:szCs w:val="20"/>
                <w:color w:val="auto"/>
              </w:rPr>
            </w:pPr>
            <w:r>
              <w:rPr>
                <w:rFonts w:ascii="Arial" w:cs="Arial" w:eastAsia="Arial" w:hAnsi="Arial"/>
                <w:sz w:val="14"/>
                <w:szCs w:val="14"/>
                <w:b w:val="1"/>
                <w:bCs w:val="1"/>
                <w:color w:val="auto"/>
              </w:rPr>
              <w:t>2024 NEOs:</w:t>
            </w:r>
          </w:p>
        </w:tc>
        <w:tc>
          <w:tcPr>
            <w:tcW w:w="30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3920" w:type="dxa"/>
            <w:vAlign w:val="bottom"/>
          </w:tcPr>
          <w:p>
            <w:pPr>
              <w:ind w:left="180"/>
              <w:spacing w:after="0"/>
              <w:rPr>
                <w:sz w:val="20"/>
                <w:szCs w:val="20"/>
                <w:color w:val="auto"/>
              </w:rPr>
            </w:pPr>
            <w:r>
              <w:rPr>
                <w:rFonts w:ascii="Arial" w:cs="Arial" w:eastAsia="Arial" w:hAnsi="Arial"/>
                <w:sz w:val="14"/>
                <w:szCs w:val="14"/>
                <w:color w:val="auto"/>
              </w:rPr>
              <w:t>C. Mark Hussey</w:t>
            </w:r>
          </w:p>
        </w:tc>
        <w:tc>
          <w:tcPr>
            <w:tcW w:w="3060" w:type="dxa"/>
            <w:vAlign w:val="bottom"/>
            <w:vMerge w:val="restart"/>
          </w:tcPr>
          <w:p>
            <w:pPr>
              <w:jc w:val="right"/>
              <w:ind w:right="30"/>
              <w:spacing w:after="0"/>
              <w:rPr>
                <w:sz w:val="20"/>
                <w:szCs w:val="20"/>
                <w:color w:val="auto"/>
              </w:rPr>
            </w:pPr>
            <w:r>
              <w:rPr>
                <w:rFonts w:ascii="Arial" w:cs="Arial" w:eastAsia="Arial" w:hAnsi="Arial"/>
                <w:sz w:val="13"/>
                <w:szCs w:val="13"/>
                <w:color w:val="auto"/>
              </w:rPr>
              <w:t>7,731</w:t>
            </w:r>
          </w:p>
        </w:tc>
        <w:tc>
          <w:tcPr>
            <w:tcW w:w="1480" w:type="dxa"/>
            <w:vAlign w:val="bottom"/>
            <w:vMerge w:val="restart"/>
          </w:tcPr>
          <w:p>
            <w:pPr>
              <w:jc w:val="right"/>
              <w:spacing w:after="0"/>
              <w:rPr>
                <w:sz w:val="20"/>
                <w:szCs w:val="20"/>
                <w:color w:val="auto"/>
              </w:rPr>
            </w:pPr>
            <w:r>
              <w:rPr>
                <w:rFonts w:ascii="Arial" w:cs="Arial" w:eastAsia="Arial" w:hAnsi="Arial"/>
                <w:sz w:val="13"/>
                <w:szCs w:val="13"/>
                <w:color w:val="auto"/>
              </w:rPr>
              <w:t>367,517</w:t>
            </w:r>
          </w:p>
        </w:tc>
        <w:tc>
          <w:tcPr>
            <w:tcW w:w="0" w:type="dxa"/>
            <w:vAlign w:val="bottom"/>
          </w:tcPr>
          <w:p>
            <w:pPr>
              <w:spacing w:after="0"/>
              <w:rPr>
                <w:sz w:val="1"/>
                <w:szCs w:val="1"/>
                <w:color w:val="auto"/>
              </w:rPr>
            </w:pPr>
          </w:p>
        </w:tc>
      </w:tr>
      <w:tr>
        <w:trPr>
          <w:trHeight w:val="90"/>
        </w:trPr>
        <w:tc>
          <w:tcPr>
            <w:tcW w:w="3920" w:type="dxa"/>
            <w:vAlign w:val="bottom"/>
            <w:vMerge w:val="restart"/>
          </w:tcPr>
          <w:p>
            <w:pPr>
              <w:ind w:left="180"/>
              <w:spacing w:after="0"/>
              <w:rPr>
                <w:sz w:val="20"/>
                <w:szCs w:val="20"/>
                <w:color w:val="auto"/>
              </w:rPr>
            </w:pPr>
            <w:r>
              <w:rPr>
                <w:rFonts w:ascii="Arial" w:cs="Arial" w:eastAsia="Arial" w:hAnsi="Arial"/>
                <w:sz w:val="14"/>
                <w:szCs w:val="14"/>
                <w:i w:val="1"/>
                <w:iCs w:val="1"/>
                <w:color w:val="auto"/>
              </w:rPr>
              <w:t>Chief Executive Officer &amp; President</w:t>
            </w:r>
          </w:p>
        </w:tc>
        <w:tc>
          <w:tcPr>
            <w:tcW w:w="3060" w:type="dxa"/>
            <w:vAlign w:val="bottom"/>
            <w:vMerge w:val="continue"/>
          </w:tcPr>
          <w:p>
            <w:pPr>
              <w:spacing w:after="0"/>
              <w:rPr>
                <w:sz w:val="7"/>
                <w:szCs w:val="7"/>
                <w:color w:val="auto"/>
              </w:rPr>
            </w:pPr>
          </w:p>
        </w:tc>
        <w:tc>
          <w:tcPr>
            <w:tcW w:w="1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3920" w:type="dxa"/>
            <w:vAlign w:val="bottom"/>
            <w:vMerge w:val="continue"/>
          </w:tcPr>
          <w:p>
            <w:pPr>
              <w:spacing w:after="0"/>
              <w:rPr>
                <w:sz w:val="8"/>
                <w:szCs w:val="8"/>
                <w:color w:val="auto"/>
              </w:rPr>
            </w:pPr>
          </w:p>
        </w:tc>
        <w:tc>
          <w:tcPr>
            <w:tcW w:w="30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3920" w:type="dxa"/>
            <w:vAlign w:val="bottom"/>
          </w:tcPr>
          <w:p>
            <w:pPr>
              <w:ind w:left="180"/>
              <w:spacing w:after="0"/>
              <w:rPr>
                <w:sz w:val="20"/>
                <w:szCs w:val="20"/>
                <w:color w:val="auto"/>
              </w:rPr>
            </w:pPr>
            <w:r>
              <w:rPr>
                <w:rFonts w:ascii="Arial" w:cs="Arial" w:eastAsia="Arial" w:hAnsi="Arial"/>
                <w:sz w:val="14"/>
                <w:szCs w:val="14"/>
                <w:color w:val="auto"/>
              </w:rPr>
              <w:t>John D. Kelly</w:t>
            </w:r>
          </w:p>
        </w:tc>
        <w:tc>
          <w:tcPr>
            <w:tcW w:w="30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910" w:orient="portrait"/>
          <w:cols w:equalWidth="0" w:num="1">
            <w:col w:w="9100"/>
          </w:cols>
          <w:pgMar w:left="1400" w:top="112" w:right="1399" w:bottom="0" w:gutter="0" w:footer="0" w:header="0"/>
          <w:type w:val="continuous"/>
        </w:sectPr>
      </w:pPr>
    </w:p>
    <w:bookmarkStart w:id="75" w:name="page76"/>
    <w:bookmarkEnd w:id="75"/>
    <w:p>
      <w:pPr>
        <w:spacing w:after="0" w:line="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699706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10375" cy="699706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9"/>
        </w:trPr>
        <w:tc>
          <w:tcPr>
            <w:tcW w:w="5460" w:type="dxa"/>
            <w:vAlign w:val="bottom"/>
            <w:shd w:val="clear" w:color="auto" w:fill="00558C"/>
          </w:tcPr>
          <w:p>
            <w:pPr>
              <w:ind w:left="320"/>
              <w:spacing w:after="0"/>
              <w:rPr>
                <w:sz w:val="20"/>
                <w:szCs w:val="20"/>
                <w:color w:val="auto"/>
              </w:rPr>
            </w:pPr>
            <w:r>
              <w:rPr>
                <w:rFonts w:ascii="Arial" w:cs="Arial" w:eastAsia="Arial" w:hAnsi="Arial"/>
                <w:sz w:val="14"/>
                <w:szCs w:val="14"/>
                <w:i w:val="1"/>
                <w:iCs w:val="1"/>
                <w:color w:val="auto"/>
              </w:rPr>
              <w:t>Executive Vice President and Chief Financial Officer</w:t>
            </w:r>
          </w:p>
        </w:tc>
        <w:tc>
          <w:tcPr>
            <w:tcW w:w="2060" w:type="dxa"/>
            <w:vAlign w:val="bottom"/>
            <w:shd w:val="clear" w:color="auto" w:fill="00558C"/>
          </w:tcPr>
          <w:p>
            <w:pPr>
              <w:jc w:val="right"/>
              <w:ind w:right="433"/>
              <w:spacing w:after="0"/>
              <w:rPr>
                <w:sz w:val="20"/>
                <w:szCs w:val="20"/>
                <w:color w:val="auto"/>
              </w:rPr>
            </w:pPr>
            <w:r>
              <w:rPr>
                <w:rFonts w:ascii="Arial" w:cs="Arial" w:eastAsia="Arial" w:hAnsi="Arial"/>
                <w:sz w:val="13"/>
                <w:szCs w:val="13"/>
                <w:color w:val="auto"/>
              </w:rPr>
              <w:t>—</w:t>
            </w:r>
          </w:p>
        </w:tc>
        <w:tc>
          <w:tcPr>
            <w:tcW w:w="1160" w:type="dxa"/>
            <w:vAlign w:val="bottom"/>
            <w:shd w:val="clear" w:color="auto" w:fill="00558C"/>
          </w:tcPr>
          <w:p>
            <w:pPr>
              <w:jc w:val="right"/>
              <w:ind w:right="13"/>
              <w:spacing w:after="0"/>
              <w:rPr>
                <w:sz w:val="20"/>
                <w:szCs w:val="20"/>
                <w:color w:val="auto"/>
              </w:rPr>
            </w:pPr>
            <w:r>
              <w:rPr>
                <w:rFonts w:ascii="Arial" w:cs="Arial" w:eastAsia="Arial" w:hAnsi="Arial"/>
                <w:sz w:val="13"/>
                <w:szCs w:val="13"/>
                <w:color w:val="auto"/>
              </w:rPr>
              <w:t>145,842</w:t>
            </w:r>
          </w:p>
        </w:tc>
        <w:tc>
          <w:tcPr>
            <w:tcW w:w="300" w:type="dxa"/>
            <w:vAlign w:val="bottom"/>
            <w:shd w:val="clear" w:color="auto" w:fill="00558C"/>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5460" w:type="dxa"/>
            <w:vAlign w:val="bottom"/>
            <w:shd w:val="clear" w:color="auto" w:fill="00558C"/>
          </w:tcPr>
          <w:p>
            <w:pPr>
              <w:ind w:left="320"/>
              <w:spacing w:after="0"/>
              <w:rPr>
                <w:sz w:val="20"/>
                <w:szCs w:val="20"/>
                <w:color w:val="auto"/>
              </w:rPr>
            </w:pPr>
            <w:r>
              <w:rPr>
                <w:rFonts w:ascii="Arial" w:cs="Arial" w:eastAsia="Arial" w:hAnsi="Arial"/>
                <w:sz w:val="14"/>
                <w:szCs w:val="14"/>
                <w:color w:val="auto"/>
              </w:rPr>
              <w:t>J. Ronald Dail</w:t>
            </w:r>
          </w:p>
        </w:tc>
        <w:tc>
          <w:tcPr>
            <w:tcW w:w="2060" w:type="dxa"/>
            <w:vAlign w:val="bottom"/>
            <w:vMerge w:val="restart"/>
            <w:shd w:val="clear" w:color="auto" w:fill="00558C"/>
          </w:tcPr>
          <w:p>
            <w:pPr>
              <w:jc w:val="right"/>
              <w:ind w:right="433"/>
              <w:spacing w:after="0"/>
              <w:rPr>
                <w:sz w:val="20"/>
                <w:szCs w:val="20"/>
                <w:color w:val="auto"/>
              </w:rPr>
            </w:pPr>
            <w:r>
              <w:rPr>
                <w:rFonts w:ascii="Arial" w:cs="Arial" w:eastAsia="Arial" w:hAnsi="Arial"/>
                <w:sz w:val="13"/>
                <w:szCs w:val="13"/>
                <w:color w:val="auto"/>
              </w:rPr>
              <w:t>3,677</w:t>
            </w:r>
          </w:p>
        </w:tc>
        <w:tc>
          <w:tcPr>
            <w:tcW w:w="1160" w:type="dxa"/>
            <w:vAlign w:val="bottom"/>
            <w:vMerge w:val="restart"/>
            <w:shd w:val="clear" w:color="auto" w:fill="00558C"/>
          </w:tcPr>
          <w:p>
            <w:pPr>
              <w:jc w:val="right"/>
              <w:ind w:right="13"/>
              <w:spacing w:after="0"/>
              <w:rPr>
                <w:sz w:val="20"/>
                <w:szCs w:val="20"/>
                <w:color w:val="auto"/>
              </w:rPr>
            </w:pPr>
            <w:r>
              <w:rPr>
                <w:rFonts w:ascii="Arial" w:cs="Arial" w:eastAsia="Arial" w:hAnsi="Arial"/>
                <w:sz w:val="13"/>
                <w:szCs w:val="13"/>
                <w:color w:val="auto"/>
              </w:rPr>
              <w:t>151,658</w:t>
            </w:r>
          </w:p>
        </w:tc>
        <w:tc>
          <w:tcPr>
            <w:tcW w:w="300" w:type="dxa"/>
            <w:vAlign w:val="bottom"/>
            <w:shd w:val="clear" w:color="auto" w:fill="00558C"/>
          </w:tcPr>
          <w:p>
            <w:pPr>
              <w:spacing w:after="0"/>
              <w:rPr>
                <w:sz w:val="23"/>
                <w:szCs w:val="23"/>
                <w:color w:val="auto"/>
              </w:rPr>
            </w:pPr>
          </w:p>
        </w:tc>
        <w:tc>
          <w:tcPr>
            <w:tcW w:w="0" w:type="dxa"/>
            <w:vAlign w:val="bottom"/>
          </w:tcPr>
          <w:p>
            <w:pPr>
              <w:spacing w:after="0"/>
              <w:rPr>
                <w:sz w:val="1"/>
                <w:szCs w:val="1"/>
                <w:color w:val="auto"/>
              </w:rPr>
            </w:pPr>
          </w:p>
        </w:tc>
      </w:tr>
      <w:tr>
        <w:trPr>
          <w:trHeight w:val="90"/>
        </w:trPr>
        <w:tc>
          <w:tcPr>
            <w:tcW w:w="5460" w:type="dxa"/>
            <w:vAlign w:val="bottom"/>
            <w:vMerge w:val="restart"/>
            <w:shd w:val="clear" w:color="auto" w:fill="00558C"/>
          </w:tcPr>
          <w:p>
            <w:pPr>
              <w:ind w:left="320"/>
              <w:spacing w:after="0" w:line="156" w:lineRule="exact"/>
              <w:rPr>
                <w:sz w:val="20"/>
                <w:szCs w:val="20"/>
                <w:color w:val="auto"/>
              </w:rPr>
            </w:pPr>
            <w:r>
              <w:rPr>
                <w:rFonts w:ascii="Arial" w:cs="Arial" w:eastAsia="Arial" w:hAnsi="Arial"/>
                <w:sz w:val="14"/>
                <w:szCs w:val="14"/>
                <w:i w:val="1"/>
                <w:iCs w:val="1"/>
                <w:color w:val="auto"/>
              </w:rPr>
              <w:t>Executive Vice President and Chief Operating Officer</w:t>
            </w:r>
          </w:p>
        </w:tc>
        <w:tc>
          <w:tcPr>
            <w:tcW w:w="2060" w:type="dxa"/>
            <w:vAlign w:val="bottom"/>
            <w:vMerge w:val="continue"/>
            <w:shd w:val="clear" w:color="auto" w:fill="00558C"/>
          </w:tcPr>
          <w:p>
            <w:pPr>
              <w:spacing w:after="0"/>
              <w:rPr>
                <w:sz w:val="7"/>
                <w:szCs w:val="7"/>
                <w:color w:val="auto"/>
              </w:rPr>
            </w:pPr>
          </w:p>
        </w:tc>
        <w:tc>
          <w:tcPr>
            <w:tcW w:w="1160" w:type="dxa"/>
            <w:vAlign w:val="bottom"/>
            <w:vMerge w:val="continue"/>
            <w:shd w:val="clear" w:color="auto" w:fill="00558C"/>
          </w:tcPr>
          <w:p>
            <w:pPr>
              <w:spacing w:after="0"/>
              <w:rPr>
                <w:sz w:val="7"/>
                <w:szCs w:val="7"/>
                <w:color w:val="auto"/>
              </w:rPr>
            </w:pPr>
          </w:p>
        </w:tc>
        <w:tc>
          <w:tcPr>
            <w:tcW w:w="300" w:type="dxa"/>
            <w:vAlign w:val="bottom"/>
            <w:shd w:val="clear" w:color="auto" w:fill="00558C"/>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5460" w:type="dxa"/>
            <w:vAlign w:val="bottom"/>
            <w:vMerge w:val="continue"/>
            <w:shd w:val="clear" w:color="auto" w:fill="00558C"/>
          </w:tcPr>
          <w:p>
            <w:pPr>
              <w:spacing w:after="0"/>
              <w:rPr>
                <w:sz w:val="5"/>
                <w:szCs w:val="5"/>
                <w:color w:val="auto"/>
              </w:rPr>
            </w:pPr>
          </w:p>
        </w:tc>
        <w:tc>
          <w:tcPr>
            <w:tcW w:w="2060" w:type="dxa"/>
            <w:vAlign w:val="bottom"/>
            <w:shd w:val="clear" w:color="auto" w:fill="00558C"/>
          </w:tcPr>
          <w:p>
            <w:pPr>
              <w:spacing w:after="0"/>
              <w:rPr>
                <w:sz w:val="5"/>
                <w:szCs w:val="5"/>
                <w:color w:val="auto"/>
              </w:rPr>
            </w:pPr>
          </w:p>
        </w:tc>
        <w:tc>
          <w:tcPr>
            <w:tcW w:w="1160" w:type="dxa"/>
            <w:vAlign w:val="bottom"/>
            <w:shd w:val="clear" w:color="auto" w:fill="00558C"/>
          </w:tcPr>
          <w:p>
            <w:pPr>
              <w:spacing w:after="0"/>
              <w:rPr>
                <w:sz w:val="5"/>
                <w:szCs w:val="5"/>
                <w:color w:val="auto"/>
              </w:rPr>
            </w:pPr>
          </w:p>
        </w:tc>
        <w:tc>
          <w:tcPr>
            <w:tcW w:w="300" w:type="dxa"/>
            <w:vAlign w:val="bottom"/>
            <w:shd w:val="clear" w:color="auto" w:fill="00558C"/>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5460" w:type="dxa"/>
            <w:vAlign w:val="bottom"/>
            <w:shd w:val="clear" w:color="auto" w:fill="00558C"/>
          </w:tcPr>
          <w:p>
            <w:pPr>
              <w:spacing w:after="0"/>
              <w:rPr>
                <w:sz w:val="8"/>
                <w:szCs w:val="8"/>
                <w:color w:val="auto"/>
              </w:rPr>
            </w:pPr>
          </w:p>
        </w:tc>
        <w:tc>
          <w:tcPr>
            <w:tcW w:w="2060" w:type="dxa"/>
            <w:vAlign w:val="bottom"/>
            <w:shd w:val="clear" w:color="auto" w:fill="00558C"/>
          </w:tcPr>
          <w:p>
            <w:pPr>
              <w:spacing w:after="0"/>
              <w:rPr>
                <w:sz w:val="8"/>
                <w:szCs w:val="8"/>
                <w:color w:val="auto"/>
              </w:rPr>
            </w:pPr>
          </w:p>
        </w:tc>
        <w:tc>
          <w:tcPr>
            <w:tcW w:w="1160" w:type="dxa"/>
            <w:vAlign w:val="bottom"/>
            <w:shd w:val="clear" w:color="auto" w:fill="00558C"/>
          </w:tcPr>
          <w:p>
            <w:pPr>
              <w:spacing w:after="0"/>
              <w:rPr>
                <w:sz w:val="8"/>
                <w:szCs w:val="8"/>
                <w:color w:val="auto"/>
              </w:rPr>
            </w:pPr>
          </w:p>
        </w:tc>
        <w:tc>
          <w:tcPr>
            <w:tcW w:w="300" w:type="dxa"/>
            <w:vAlign w:val="bottom"/>
            <w:shd w:val="clear" w:color="auto" w:fill="00558C"/>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5460" w:type="dxa"/>
            <w:vAlign w:val="bottom"/>
          </w:tcPr>
          <w:p>
            <w:pPr>
              <w:ind w:left="320"/>
              <w:spacing w:after="0"/>
              <w:rPr>
                <w:sz w:val="20"/>
                <w:szCs w:val="20"/>
                <w:color w:val="auto"/>
              </w:rPr>
            </w:pPr>
            <w:r>
              <w:rPr>
                <w:rFonts w:ascii="Arial" w:cs="Arial" w:eastAsia="Arial" w:hAnsi="Arial"/>
                <w:sz w:val="14"/>
                <w:szCs w:val="14"/>
                <w:color w:val="auto"/>
              </w:rPr>
              <w:t>Ernest W. Torain, Jr.</w:t>
            </w:r>
          </w:p>
        </w:tc>
        <w:tc>
          <w:tcPr>
            <w:tcW w:w="2060" w:type="dxa"/>
            <w:vAlign w:val="bottom"/>
            <w:vMerge w:val="restart"/>
          </w:tcPr>
          <w:p>
            <w:pPr>
              <w:jc w:val="right"/>
              <w:ind w:right="433"/>
              <w:spacing w:after="0"/>
              <w:rPr>
                <w:sz w:val="20"/>
                <w:szCs w:val="20"/>
                <w:color w:val="auto"/>
              </w:rPr>
            </w:pPr>
            <w:r>
              <w:rPr>
                <w:rFonts w:ascii="Arial" w:cs="Arial" w:eastAsia="Arial" w:hAnsi="Arial"/>
                <w:sz w:val="13"/>
                <w:szCs w:val="13"/>
                <w:color w:val="auto"/>
              </w:rPr>
              <w:t>—</w:t>
            </w:r>
          </w:p>
        </w:tc>
        <w:tc>
          <w:tcPr>
            <w:tcW w:w="1160" w:type="dxa"/>
            <w:vAlign w:val="bottom"/>
            <w:vMerge w:val="restart"/>
          </w:tcPr>
          <w:p>
            <w:pPr>
              <w:jc w:val="right"/>
              <w:ind w:right="13"/>
              <w:spacing w:after="0"/>
              <w:rPr>
                <w:sz w:val="20"/>
                <w:szCs w:val="20"/>
                <w:color w:val="auto"/>
              </w:rPr>
            </w:pPr>
            <w:r>
              <w:rPr>
                <w:rFonts w:ascii="Arial" w:cs="Arial" w:eastAsia="Arial" w:hAnsi="Arial"/>
                <w:sz w:val="13"/>
                <w:szCs w:val="13"/>
                <w:color w:val="auto"/>
              </w:rPr>
              <w:t>47,181</w:t>
            </w: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5"/>
        </w:trPr>
        <w:tc>
          <w:tcPr>
            <w:tcW w:w="5460" w:type="dxa"/>
            <w:vAlign w:val="bottom"/>
            <w:vMerge w:val="restart"/>
          </w:tcPr>
          <w:p>
            <w:pPr>
              <w:ind w:left="320"/>
              <w:spacing w:after="0"/>
              <w:rPr>
                <w:sz w:val="20"/>
                <w:szCs w:val="20"/>
                <w:color w:val="auto"/>
              </w:rPr>
            </w:pPr>
            <w:r>
              <w:rPr>
                <w:rFonts w:ascii="Arial" w:cs="Arial" w:eastAsia="Arial" w:hAnsi="Arial"/>
                <w:sz w:val="14"/>
                <w:szCs w:val="14"/>
                <w:i w:val="1"/>
                <w:iCs w:val="1"/>
                <w:color w:val="auto"/>
              </w:rPr>
              <w:t>Former Executive Vice President, General Counsel and Corporate Secretary</w:t>
            </w:r>
          </w:p>
        </w:tc>
        <w:tc>
          <w:tcPr>
            <w:tcW w:w="206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5460" w:type="dxa"/>
            <w:vAlign w:val="bottom"/>
            <w:vMerge w:val="continue"/>
          </w:tcPr>
          <w:p>
            <w:pPr>
              <w:spacing w:after="0"/>
              <w:rPr>
                <w:sz w:val="9"/>
                <w:szCs w:val="9"/>
                <w:color w:val="auto"/>
              </w:rPr>
            </w:pPr>
          </w:p>
        </w:tc>
        <w:tc>
          <w:tcPr>
            <w:tcW w:w="20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0"/>
        </w:trPr>
        <w:tc>
          <w:tcPr>
            <w:tcW w:w="5460" w:type="dxa"/>
            <w:vAlign w:val="bottom"/>
          </w:tcPr>
          <w:p>
            <w:pPr>
              <w:ind w:left="140"/>
              <w:spacing w:after="0"/>
              <w:rPr>
                <w:sz w:val="20"/>
                <w:szCs w:val="20"/>
                <w:color w:val="auto"/>
              </w:rPr>
            </w:pPr>
            <w:r>
              <w:rPr>
                <w:rFonts w:ascii="Arial" w:cs="Arial" w:eastAsia="Arial" w:hAnsi="Arial"/>
                <w:sz w:val="14"/>
                <w:szCs w:val="14"/>
                <w:b w:val="1"/>
                <w:bCs w:val="1"/>
                <w:color w:val="auto"/>
              </w:rPr>
              <w:t>All current executive officers as a group</w:t>
            </w:r>
          </w:p>
        </w:tc>
        <w:tc>
          <w:tcPr>
            <w:tcW w:w="2060" w:type="dxa"/>
            <w:vAlign w:val="bottom"/>
          </w:tcPr>
          <w:p>
            <w:pPr>
              <w:jc w:val="right"/>
              <w:ind w:right="433"/>
              <w:spacing w:after="0"/>
              <w:rPr>
                <w:sz w:val="20"/>
                <w:szCs w:val="20"/>
                <w:color w:val="auto"/>
              </w:rPr>
            </w:pPr>
            <w:r>
              <w:rPr>
                <w:rFonts w:ascii="Arial" w:cs="Arial" w:eastAsia="Arial" w:hAnsi="Arial"/>
                <w:sz w:val="13"/>
                <w:szCs w:val="13"/>
                <w:b w:val="1"/>
                <w:bCs w:val="1"/>
                <w:color w:val="auto"/>
              </w:rPr>
              <w:t>11,408</w:t>
            </w:r>
          </w:p>
        </w:tc>
        <w:tc>
          <w:tcPr>
            <w:tcW w:w="1160" w:type="dxa"/>
            <w:vAlign w:val="bottom"/>
          </w:tcPr>
          <w:p>
            <w:pPr>
              <w:jc w:val="right"/>
              <w:ind w:right="13"/>
              <w:spacing w:after="0"/>
              <w:rPr>
                <w:sz w:val="20"/>
                <w:szCs w:val="20"/>
                <w:color w:val="auto"/>
              </w:rPr>
            </w:pPr>
            <w:r>
              <w:rPr>
                <w:rFonts w:ascii="Arial" w:cs="Arial" w:eastAsia="Arial" w:hAnsi="Arial"/>
                <w:sz w:val="13"/>
                <w:szCs w:val="13"/>
                <w:b w:val="1"/>
                <w:bCs w:val="1"/>
                <w:color w:val="auto"/>
              </w:rPr>
              <w:t>712,198</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460" w:type="dxa"/>
            <w:vAlign w:val="bottom"/>
          </w:tcPr>
          <w:p>
            <w:pPr>
              <w:ind w:left="140"/>
              <w:spacing w:after="0"/>
              <w:rPr>
                <w:sz w:val="20"/>
                <w:szCs w:val="20"/>
                <w:color w:val="auto"/>
              </w:rPr>
            </w:pPr>
            <w:r>
              <w:rPr>
                <w:rFonts w:ascii="Arial" w:cs="Arial" w:eastAsia="Arial" w:hAnsi="Arial"/>
                <w:sz w:val="14"/>
                <w:szCs w:val="14"/>
                <w:b w:val="1"/>
                <w:bCs w:val="1"/>
                <w:color w:val="auto"/>
              </w:rPr>
              <w:t>All current non-employee directors as a group</w:t>
            </w:r>
          </w:p>
        </w:tc>
        <w:tc>
          <w:tcPr>
            <w:tcW w:w="2060" w:type="dxa"/>
            <w:vAlign w:val="bottom"/>
          </w:tcPr>
          <w:p>
            <w:pPr>
              <w:jc w:val="right"/>
              <w:ind w:right="433"/>
              <w:spacing w:after="0"/>
              <w:rPr>
                <w:sz w:val="20"/>
                <w:szCs w:val="20"/>
                <w:color w:val="auto"/>
              </w:rPr>
            </w:pPr>
            <w:r>
              <w:rPr>
                <w:rFonts w:ascii="Arial" w:cs="Arial" w:eastAsia="Arial" w:hAnsi="Arial"/>
                <w:sz w:val="13"/>
                <w:szCs w:val="13"/>
                <w:b w:val="1"/>
                <w:bCs w:val="1"/>
                <w:color w:val="auto"/>
              </w:rPr>
              <w:t>—</w:t>
            </w:r>
          </w:p>
        </w:tc>
        <w:tc>
          <w:tcPr>
            <w:tcW w:w="1160" w:type="dxa"/>
            <w:vAlign w:val="bottom"/>
          </w:tcPr>
          <w:p>
            <w:pPr>
              <w:jc w:val="right"/>
              <w:ind w:right="13"/>
              <w:spacing w:after="0"/>
              <w:rPr>
                <w:sz w:val="20"/>
                <w:szCs w:val="20"/>
                <w:color w:val="auto"/>
              </w:rPr>
            </w:pPr>
            <w:r>
              <w:rPr>
                <w:rFonts w:ascii="Arial" w:cs="Arial" w:eastAsia="Arial" w:hAnsi="Arial"/>
                <w:sz w:val="13"/>
                <w:szCs w:val="13"/>
                <w:b w:val="1"/>
                <w:bCs w:val="1"/>
                <w:color w:val="auto"/>
              </w:rPr>
              <w:t>216,767</w:t>
            </w:r>
          </w:p>
        </w:tc>
        <w:tc>
          <w:tcPr>
            <w:tcW w:w="300" w:type="dxa"/>
            <w:vAlign w:val="bottom"/>
          </w:tcPr>
          <w:p>
            <w:pPr>
              <w:ind w:left="80"/>
              <w:spacing w:after="0"/>
              <w:rPr>
                <w:sz w:val="20"/>
                <w:szCs w:val="20"/>
                <w:color w:val="auto"/>
              </w:rPr>
            </w:pPr>
            <w:r>
              <w:rPr>
                <w:rFonts w:ascii="Arial" w:cs="Arial" w:eastAsia="Arial" w:hAnsi="Arial"/>
                <w:sz w:val="13"/>
                <w:szCs w:val="13"/>
                <w:color w:val="FFFFFF"/>
              </w:rPr>
              <w:t>‘</w:t>
            </w:r>
            <w:r>
              <w:rPr>
                <w:rFonts w:ascii="Arial" w:cs="Arial" w:eastAsia="Arial" w:hAnsi="Arial"/>
                <w:sz w:val="13"/>
                <w:szCs w:val="13"/>
                <w:color w:val="000000"/>
              </w:rPr>
              <w:t>(1)</w:t>
            </w:r>
          </w:p>
        </w:tc>
        <w:tc>
          <w:tcPr>
            <w:tcW w:w="0" w:type="dxa"/>
            <w:vAlign w:val="bottom"/>
          </w:tcPr>
          <w:p>
            <w:pPr>
              <w:spacing w:after="0"/>
              <w:rPr>
                <w:sz w:val="1"/>
                <w:szCs w:val="1"/>
                <w:color w:val="auto"/>
              </w:rPr>
            </w:pPr>
          </w:p>
        </w:tc>
      </w:tr>
      <w:tr>
        <w:trPr>
          <w:trHeight w:val="324"/>
        </w:trPr>
        <w:tc>
          <w:tcPr>
            <w:tcW w:w="5460" w:type="dxa"/>
            <w:vAlign w:val="bottom"/>
          </w:tcPr>
          <w:p>
            <w:pPr>
              <w:ind w:left="140"/>
              <w:spacing w:after="0"/>
              <w:rPr>
                <w:sz w:val="20"/>
                <w:szCs w:val="20"/>
                <w:color w:val="auto"/>
              </w:rPr>
            </w:pPr>
            <w:r>
              <w:rPr>
                <w:rFonts w:ascii="Arial" w:cs="Arial" w:eastAsia="Arial" w:hAnsi="Arial"/>
                <w:sz w:val="14"/>
                <w:szCs w:val="14"/>
                <w:b w:val="1"/>
                <w:bCs w:val="1"/>
                <w:color w:val="auto"/>
              </w:rPr>
              <w:t>Each nominee for election as a director</w:t>
            </w:r>
          </w:p>
        </w:tc>
        <w:tc>
          <w:tcPr>
            <w:tcW w:w="2060" w:type="dxa"/>
            <w:vAlign w:val="bottom"/>
          </w:tcPr>
          <w:p>
            <w:pPr>
              <w:jc w:val="right"/>
              <w:ind w:right="433"/>
              <w:spacing w:after="0"/>
              <w:rPr>
                <w:sz w:val="20"/>
                <w:szCs w:val="20"/>
                <w:color w:val="auto"/>
              </w:rPr>
            </w:pPr>
            <w:r>
              <w:rPr>
                <w:rFonts w:ascii="Arial" w:cs="Arial" w:eastAsia="Arial" w:hAnsi="Arial"/>
                <w:sz w:val="13"/>
                <w:szCs w:val="13"/>
                <w:b w:val="1"/>
                <w:bCs w:val="1"/>
                <w:color w:val="auto"/>
              </w:rPr>
              <w:t>—</w:t>
            </w:r>
          </w:p>
        </w:tc>
        <w:tc>
          <w:tcPr>
            <w:tcW w:w="1160" w:type="dxa"/>
            <w:vAlign w:val="bottom"/>
          </w:tcPr>
          <w:p>
            <w:pPr>
              <w:jc w:val="right"/>
              <w:ind w:right="13"/>
              <w:spacing w:after="0"/>
              <w:rPr>
                <w:sz w:val="20"/>
                <w:szCs w:val="20"/>
                <w:color w:val="auto"/>
              </w:rPr>
            </w:pPr>
            <w:r>
              <w:rPr>
                <w:rFonts w:ascii="Arial" w:cs="Arial" w:eastAsia="Arial" w:hAnsi="Arial"/>
                <w:sz w:val="13"/>
                <w:szCs w:val="13"/>
                <w:b w:val="1"/>
                <w:bCs w:val="1"/>
                <w:color w:val="auto"/>
              </w:rPr>
              <w:t>—</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460" w:type="dxa"/>
            <w:vAlign w:val="bottom"/>
          </w:tcPr>
          <w:p>
            <w:pPr>
              <w:ind w:left="140"/>
              <w:spacing w:after="0"/>
              <w:rPr>
                <w:sz w:val="20"/>
                <w:szCs w:val="20"/>
                <w:color w:val="auto"/>
              </w:rPr>
            </w:pPr>
            <w:r>
              <w:rPr>
                <w:rFonts w:ascii="Arial" w:cs="Arial" w:eastAsia="Arial" w:hAnsi="Arial"/>
                <w:sz w:val="14"/>
                <w:szCs w:val="14"/>
                <w:b w:val="1"/>
                <w:bCs w:val="1"/>
                <w:color w:val="auto"/>
              </w:rPr>
              <w:t>Associate of any such directors, executive officers or nominees</w:t>
            </w:r>
          </w:p>
        </w:tc>
        <w:tc>
          <w:tcPr>
            <w:tcW w:w="2060" w:type="dxa"/>
            <w:vAlign w:val="bottom"/>
          </w:tcPr>
          <w:p>
            <w:pPr>
              <w:jc w:val="right"/>
              <w:ind w:right="433"/>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460" w:type="dxa"/>
            <w:vAlign w:val="bottom"/>
          </w:tcPr>
          <w:p>
            <w:pPr>
              <w:ind w:left="140"/>
              <w:spacing w:after="0"/>
              <w:rPr>
                <w:sz w:val="20"/>
                <w:szCs w:val="20"/>
                <w:color w:val="auto"/>
              </w:rPr>
            </w:pPr>
            <w:r>
              <w:rPr>
                <w:rFonts w:ascii="Arial" w:cs="Arial" w:eastAsia="Arial" w:hAnsi="Arial"/>
                <w:sz w:val="14"/>
                <w:szCs w:val="14"/>
                <w:b w:val="1"/>
                <w:bCs w:val="1"/>
                <w:color w:val="auto"/>
              </w:rPr>
              <w:t>Other persons who received or is to receive 5% of such options or rights</w:t>
            </w:r>
          </w:p>
        </w:tc>
        <w:tc>
          <w:tcPr>
            <w:tcW w:w="2060" w:type="dxa"/>
            <w:vAlign w:val="bottom"/>
          </w:tcPr>
          <w:p>
            <w:pPr>
              <w:jc w:val="right"/>
              <w:ind w:right="433"/>
              <w:spacing w:after="0"/>
              <w:rPr>
                <w:sz w:val="20"/>
                <w:szCs w:val="20"/>
                <w:color w:val="auto"/>
              </w:rPr>
            </w:pPr>
            <w:r>
              <w:rPr>
                <w:rFonts w:ascii="Arial" w:cs="Arial" w:eastAsia="Arial" w:hAnsi="Arial"/>
                <w:sz w:val="13"/>
                <w:szCs w:val="13"/>
                <w:b w:val="1"/>
                <w:bCs w:val="1"/>
                <w:color w:val="auto"/>
              </w:rPr>
              <w:t>—</w:t>
            </w:r>
          </w:p>
        </w:tc>
        <w:tc>
          <w:tcPr>
            <w:tcW w:w="1160" w:type="dxa"/>
            <w:vAlign w:val="bottom"/>
          </w:tcPr>
          <w:p>
            <w:pPr>
              <w:jc w:val="right"/>
              <w:ind w:right="13"/>
              <w:spacing w:after="0"/>
              <w:rPr>
                <w:sz w:val="20"/>
                <w:szCs w:val="20"/>
                <w:color w:val="auto"/>
              </w:rPr>
            </w:pPr>
            <w:r>
              <w:rPr>
                <w:rFonts w:ascii="Arial" w:cs="Arial" w:eastAsia="Arial" w:hAnsi="Arial"/>
                <w:sz w:val="13"/>
                <w:szCs w:val="13"/>
                <w:b w:val="1"/>
                <w:bCs w:val="1"/>
                <w:color w:val="auto"/>
              </w:rPr>
              <w:t>—</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460" w:type="dxa"/>
            <w:vAlign w:val="bottom"/>
          </w:tcPr>
          <w:p>
            <w:pPr>
              <w:ind w:left="140"/>
              <w:spacing w:after="0"/>
              <w:rPr>
                <w:sz w:val="20"/>
                <w:szCs w:val="20"/>
                <w:color w:val="auto"/>
              </w:rPr>
            </w:pPr>
            <w:r>
              <w:rPr>
                <w:rFonts w:ascii="Arial" w:cs="Arial" w:eastAsia="Arial" w:hAnsi="Arial"/>
                <w:sz w:val="14"/>
                <w:szCs w:val="14"/>
                <w:b w:val="1"/>
                <w:bCs w:val="1"/>
                <w:color w:val="auto"/>
              </w:rPr>
              <w:t>All employees as a group (excluding executive officers)</w:t>
            </w:r>
          </w:p>
        </w:tc>
        <w:tc>
          <w:tcPr>
            <w:tcW w:w="2060" w:type="dxa"/>
            <w:vAlign w:val="bottom"/>
          </w:tcPr>
          <w:p>
            <w:pPr>
              <w:jc w:val="right"/>
              <w:ind w:right="433"/>
              <w:spacing w:after="0"/>
              <w:rPr>
                <w:sz w:val="20"/>
                <w:szCs w:val="20"/>
                <w:color w:val="auto"/>
              </w:rPr>
            </w:pPr>
            <w:r>
              <w:rPr>
                <w:rFonts w:ascii="Arial" w:cs="Arial" w:eastAsia="Arial" w:hAnsi="Arial"/>
                <w:sz w:val="13"/>
                <w:szCs w:val="13"/>
                <w:b w:val="1"/>
                <w:bCs w:val="1"/>
                <w:color w:val="auto"/>
              </w:rPr>
              <w:t>331,869</w:t>
            </w:r>
          </w:p>
        </w:tc>
        <w:tc>
          <w:tcPr>
            <w:tcW w:w="1160" w:type="dxa"/>
            <w:vAlign w:val="bottom"/>
          </w:tcPr>
          <w:p>
            <w:pPr>
              <w:jc w:val="right"/>
              <w:ind w:right="13"/>
              <w:spacing w:after="0"/>
              <w:rPr>
                <w:sz w:val="20"/>
                <w:szCs w:val="20"/>
                <w:color w:val="auto"/>
              </w:rPr>
            </w:pPr>
            <w:r>
              <w:rPr>
                <w:rFonts w:ascii="Arial" w:cs="Arial" w:eastAsia="Arial" w:hAnsi="Arial"/>
                <w:sz w:val="13"/>
                <w:szCs w:val="13"/>
                <w:b w:val="1"/>
                <w:bCs w:val="1"/>
                <w:color w:val="auto"/>
              </w:rPr>
              <w:t>6,100,778</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3" w:lineRule="exact"/>
        <w:rPr>
          <w:sz w:val="20"/>
          <w:szCs w:val="20"/>
          <w:color w:val="auto"/>
        </w:rPr>
      </w:pPr>
    </w:p>
    <w:p>
      <w:pPr>
        <w:jc w:val="both"/>
        <w:ind w:left="420" w:right="80" w:hanging="339"/>
        <w:spacing w:after="0" w:line="305" w:lineRule="auto"/>
        <w:tabs>
          <w:tab w:leader="none" w:pos="400" w:val="left"/>
        </w:tabs>
        <w:rPr>
          <w:sz w:val="20"/>
          <w:szCs w:val="20"/>
          <w:color w:val="auto"/>
        </w:rPr>
      </w:pPr>
      <w:r>
        <w:rPr>
          <w:rFonts w:ascii="Arial" w:cs="Arial" w:eastAsia="Arial" w:hAnsi="Arial"/>
          <w:sz w:val="14"/>
          <w:szCs w:val="14"/>
          <w:color w:val="auto"/>
        </w:rPr>
        <w:t>(1)</w:t>
        <w:tab/>
        <w:t>Each nominee for election as a director is currently serving as a non-employee director. Therefore, the value of the options granted and stock awards for Messrs. Markell, McCartney, and Sawyer, as well as Mses. Zumwalt and Singh-Bushell, are included in this line item.</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 ities Authorized for Issuance Under Equity Compensation Plans</w:t>
      </w:r>
    </w:p>
    <w:p>
      <w:pPr>
        <w:spacing w:after="0" w:line="81" w:lineRule="exact"/>
        <w:rPr>
          <w:sz w:val="20"/>
          <w:szCs w:val="20"/>
          <w:color w:val="auto"/>
        </w:rPr>
      </w:pPr>
    </w:p>
    <w:p>
      <w:pPr>
        <w:ind w:right="620"/>
        <w:spacing w:after="0" w:line="321" w:lineRule="auto"/>
        <w:rPr>
          <w:sz w:val="20"/>
          <w:szCs w:val="20"/>
          <w:color w:val="auto"/>
        </w:rPr>
      </w:pPr>
      <w:r>
        <w:rPr>
          <w:rFonts w:ascii="Arial" w:cs="Arial" w:eastAsia="Arial" w:hAnsi="Arial"/>
          <w:sz w:val="16"/>
          <w:szCs w:val="16"/>
          <w:color w:val="auto"/>
        </w:rPr>
        <w:t>The following table summarizes information with respect to equity compensation plans approved by stockholders as of December 31, 2024. We do not have equity compensation plans that have not been approved by stockholders.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94"/>
        </w:trPr>
        <w:tc>
          <w:tcPr>
            <w:tcW w:w="4060" w:type="dxa"/>
            <w:vAlign w:val="bottom"/>
            <w:shd w:val="clear" w:color="auto" w:fill="F2F3F2"/>
          </w:tcPr>
          <w:p>
            <w:pPr>
              <w:spacing w:after="0"/>
              <w:rPr>
                <w:sz w:val="8"/>
                <w:szCs w:val="8"/>
                <w:color w:val="auto"/>
              </w:rPr>
            </w:pPr>
          </w:p>
        </w:tc>
        <w:tc>
          <w:tcPr>
            <w:tcW w:w="1680" w:type="dxa"/>
            <w:vAlign w:val="bottom"/>
            <w:shd w:val="clear" w:color="auto" w:fill="F2F3F2"/>
          </w:tcPr>
          <w:p>
            <w:pPr>
              <w:spacing w:after="0"/>
              <w:rPr>
                <w:sz w:val="8"/>
                <w:szCs w:val="8"/>
                <w:color w:val="auto"/>
              </w:rPr>
            </w:pPr>
          </w:p>
        </w:tc>
        <w:tc>
          <w:tcPr>
            <w:tcW w:w="1560" w:type="dxa"/>
            <w:vAlign w:val="bottom"/>
            <w:shd w:val="clear" w:color="auto" w:fill="F2F3F2"/>
          </w:tcPr>
          <w:p>
            <w:pPr>
              <w:spacing w:after="0"/>
              <w:rPr>
                <w:sz w:val="8"/>
                <w:szCs w:val="8"/>
                <w:color w:val="auto"/>
              </w:rPr>
            </w:pPr>
          </w:p>
        </w:tc>
        <w:tc>
          <w:tcPr>
            <w:tcW w:w="1680" w:type="dxa"/>
            <w:vAlign w:val="bottom"/>
            <w:shd w:val="clear" w:color="auto" w:fill="F2F3F2"/>
          </w:tcPr>
          <w:p>
            <w:pPr>
              <w:spacing w:after="0"/>
              <w:rPr>
                <w:sz w:val="8"/>
                <w:szCs w:val="8"/>
                <w:color w:val="auto"/>
              </w:rPr>
            </w:pPr>
          </w:p>
        </w:tc>
        <w:tc>
          <w:tcPr>
            <w:tcW w:w="100" w:type="dxa"/>
            <w:vAlign w:val="bottom"/>
          </w:tcPr>
          <w:p>
            <w:pPr>
              <w:spacing w:after="0"/>
              <w:rPr>
                <w:sz w:val="8"/>
                <w:szCs w:val="8"/>
                <w:color w:val="auto"/>
              </w:rPr>
            </w:pPr>
          </w:p>
        </w:tc>
      </w:tr>
      <w:tr>
        <w:trPr>
          <w:trHeight w:val="207"/>
        </w:trPr>
        <w:tc>
          <w:tcPr>
            <w:tcW w:w="4060" w:type="dxa"/>
            <w:vAlign w:val="bottom"/>
            <w:shd w:val="clear" w:color="auto" w:fill="00558C"/>
          </w:tcPr>
          <w:p>
            <w:pPr>
              <w:spacing w:after="0"/>
              <w:rPr>
                <w:sz w:val="17"/>
                <w:szCs w:val="17"/>
                <w:color w:val="auto"/>
              </w:rPr>
            </w:pPr>
          </w:p>
        </w:tc>
        <w:tc>
          <w:tcPr>
            <w:tcW w:w="1680" w:type="dxa"/>
            <w:vAlign w:val="bottom"/>
            <w:shd w:val="clear" w:color="auto" w:fill="00558C"/>
          </w:tcPr>
          <w:p>
            <w:pPr>
              <w:jc w:val="right"/>
              <w:ind w:right="150"/>
              <w:spacing w:after="0"/>
              <w:rPr>
                <w:sz w:val="20"/>
                <w:szCs w:val="20"/>
                <w:color w:val="auto"/>
              </w:rPr>
            </w:pPr>
            <w:r>
              <w:rPr>
                <w:rFonts w:ascii="Arial" w:cs="Arial" w:eastAsia="Arial" w:hAnsi="Arial"/>
                <w:sz w:val="14"/>
                <w:szCs w:val="14"/>
                <w:b w:val="1"/>
                <w:bCs w:val="1"/>
                <w:color w:val="FFFFFF"/>
              </w:rPr>
              <w:t>Number of Shares</w:t>
            </w:r>
          </w:p>
        </w:tc>
        <w:tc>
          <w:tcPr>
            <w:tcW w:w="1560" w:type="dxa"/>
            <w:vAlign w:val="bottom"/>
            <w:shd w:val="clear" w:color="auto" w:fill="00558C"/>
          </w:tcPr>
          <w:p>
            <w:pPr>
              <w:spacing w:after="0"/>
              <w:rPr>
                <w:sz w:val="17"/>
                <w:szCs w:val="17"/>
                <w:color w:val="auto"/>
              </w:rPr>
            </w:pPr>
          </w:p>
        </w:tc>
        <w:tc>
          <w:tcPr>
            <w:tcW w:w="1680" w:type="dxa"/>
            <w:vAlign w:val="bottom"/>
            <w:shd w:val="clear" w:color="auto" w:fill="00558C"/>
          </w:tcPr>
          <w:p>
            <w:pPr>
              <w:jc w:val="right"/>
              <w:ind w:right="110"/>
              <w:spacing w:after="0"/>
              <w:rPr>
                <w:sz w:val="20"/>
                <w:szCs w:val="20"/>
                <w:color w:val="auto"/>
              </w:rPr>
            </w:pPr>
            <w:r>
              <w:rPr>
                <w:rFonts w:ascii="Arial" w:cs="Arial" w:eastAsia="Arial" w:hAnsi="Arial"/>
                <w:sz w:val="14"/>
                <w:szCs w:val="14"/>
                <w:b w:val="1"/>
                <w:bCs w:val="1"/>
                <w:color w:val="FFFFFF"/>
              </w:rPr>
              <w:t>Number of Shares</w:t>
            </w:r>
          </w:p>
        </w:tc>
        <w:tc>
          <w:tcPr>
            <w:tcW w:w="100" w:type="dxa"/>
            <w:vAlign w:val="bottom"/>
            <w:shd w:val="clear" w:color="auto" w:fill="00558C"/>
          </w:tcPr>
          <w:p>
            <w:pPr>
              <w:spacing w:after="0"/>
              <w:rPr>
                <w:sz w:val="17"/>
                <w:szCs w:val="17"/>
                <w:color w:val="auto"/>
              </w:rPr>
            </w:pPr>
          </w:p>
        </w:tc>
      </w:tr>
      <w:tr>
        <w:trPr>
          <w:trHeight w:val="162"/>
        </w:trPr>
        <w:tc>
          <w:tcPr>
            <w:tcW w:w="4060" w:type="dxa"/>
            <w:vAlign w:val="bottom"/>
            <w:shd w:val="clear" w:color="auto" w:fill="00558C"/>
          </w:tcPr>
          <w:p>
            <w:pPr>
              <w:spacing w:after="0"/>
              <w:rPr>
                <w:sz w:val="14"/>
                <w:szCs w:val="14"/>
                <w:color w:val="auto"/>
              </w:rPr>
            </w:pPr>
          </w:p>
        </w:tc>
        <w:tc>
          <w:tcPr>
            <w:tcW w:w="1680" w:type="dxa"/>
            <w:vAlign w:val="bottom"/>
            <w:shd w:val="clear" w:color="auto" w:fill="00558C"/>
          </w:tcPr>
          <w:p>
            <w:pPr>
              <w:jc w:val="right"/>
              <w:ind w:right="150"/>
              <w:spacing w:after="0"/>
              <w:rPr>
                <w:sz w:val="20"/>
                <w:szCs w:val="20"/>
                <w:color w:val="auto"/>
              </w:rPr>
            </w:pPr>
            <w:r>
              <w:rPr>
                <w:rFonts w:ascii="Arial" w:cs="Arial" w:eastAsia="Arial" w:hAnsi="Arial"/>
                <w:sz w:val="14"/>
                <w:szCs w:val="14"/>
                <w:b w:val="1"/>
                <w:bCs w:val="1"/>
                <w:color w:val="FFFFFF"/>
              </w:rPr>
              <w:t>to be Issued Upon</w:t>
            </w:r>
          </w:p>
        </w:tc>
        <w:tc>
          <w:tcPr>
            <w:tcW w:w="1560" w:type="dxa"/>
            <w:vAlign w:val="bottom"/>
            <w:shd w:val="clear" w:color="auto" w:fill="00558C"/>
          </w:tcPr>
          <w:p>
            <w:pPr>
              <w:jc w:val="right"/>
              <w:ind w:right="150"/>
              <w:spacing w:after="0"/>
              <w:rPr>
                <w:sz w:val="20"/>
                <w:szCs w:val="20"/>
                <w:color w:val="auto"/>
              </w:rPr>
            </w:pPr>
            <w:r>
              <w:rPr>
                <w:rFonts w:ascii="Arial" w:cs="Arial" w:eastAsia="Arial" w:hAnsi="Arial"/>
                <w:sz w:val="14"/>
                <w:szCs w:val="14"/>
                <w:b w:val="1"/>
                <w:bCs w:val="1"/>
                <w:color w:val="FFFFFF"/>
              </w:rPr>
              <w:t>Weighted Average</w:t>
            </w:r>
          </w:p>
        </w:tc>
        <w:tc>
          <w:tcPr>
            <w:tcW w:w="1680" w:type="dxa"/>
            <w:vAlign w:val="bottom"/>
            <w:shd w:val="clear" w:color="auto" w:fill="00558C"/>
          </w:tcPr>
          <w:p>
            <w:pPr>
              <w:jc w:val="right"/>
              <w:ind w:right="150"/>
              <w:spacing w:after="0"/>
              <w:rPr>
                <w:sz w:val="20"/>
                <w:szCs w:val="20"/>
                <w:color w:val="auto"/>
              </w:rPr>
            </w:pPr>
            <w:r>
              <w:rPr>
                <w:rFonts w:ascii="Arial" w:cs="Arial" w:eastAsia="Arial" w:hAnsi="Arial"/>
                <w:sz w:val="14"/>
                <w:szCs w:val="14"/>
                <w:b w:val="1"/>
                <w:bCs w:val="1"/>
                <w:color w:val="FFFFFF"/>
              </w:rPr>
              <w:t>Remaining Available</w:t>
            </w:r>
          </w:p>
        </w:tc>
        <w:tc>
          <w:tcPr>
            <w:tcW w:w="100" w:type="dxa"/>
            <w:vAlign w:val="bottom"/>
            <w:shd w:val="clear" w:color="auto" w:fill="00558C"/>
          </w:tcPr>
          <w:p>
            <w:pPr>
              <w:spacing w:after="0"/>
              <w:rPr>
                <w:sz w:val="14"/>
                <w:szCs w:val="14"/>
                <w:color w:val="auto"/>
              </w:rPr>
            </w:pPr>
          </w:p>
        </w:tc>
      </w:tr>
      <w:tr>
        <w:trPr>
          <w:trHeight w:val="175"/>
        </w:trPr>
        <w:tc>
          <w:tcPr>
            <w:tcW w:w="4060" w:type="dxa"/>
            <w:vAlign w:val="bottom"/>
            <w:shd w:val="clear" w:color="auto" w:fill="00558C"/>
          </w:tcPr>
          <w:p>
            <w:pPr>
              <w:spacing w:after="0"/>
              <w:rPr>
                <w:sz w:val="15"/>
                <w:szCs w:val="15"/>
                <w:color w:val="auto"/>
              </w:rPr>
            </w:pPr>
          </w:p>
        </w:tc>
        <w:tc>
          <w:tcPr>
            <w:tcW w:w="1680" w:type="dxa"/>
            <w:vAlign w:val="bottom"/>
            <w:shd w:val="clear" w:color="auto" w:fill="00558C"/>
          </w:tcPr>
          <w:p>
            <w:pPr>
              <w:jc w:val="right"/>
              <w:ind w:right="90"/>
              <w:spacing w:after="0"/>
              <w:rPr>
                <w:sz w:val="20"/>
                <w:szCs w:val="20"/>
                <w:color w:val="auto"/>
              </w:rPr>
            </w:pPr>
            <w:r>
              <w:rPr>
                <w:rFonts w:ascii="Arial" w:cs="Arial" w:eastAsia="Arial" w:hAnsi="Arial"/>
                <w:sz w:val="14"/>
                <w:szCs w:val="14"/>
                <w:b w:val="1"/>
                <w:bCs w:val="1"/>
                <w:color w:val="FFFFFF"/>
              </w:rPr>
              <w:t>Exercise of</w:t>
            </w:r>
          </w:p>
        </w:tc>
        <w:tc>
          <w:tcPr>
            <w:tcW w:w="1560" w:type="dxa"/>
            <w:vAlign w:val="bottom"/>
            <w:shd w:val="clear" w:color="auto" w:fill="00558C"/>
          </w:tcPr>
          <w:p>
            <w:pPr>
              <w:jc w:val="right"/>
              <w:ind w:right="70"/>
              <w:spacing w:after="0"/>
              <w:rPr>
                <w:sz w:val="20"/>
                <w:szCs w:val="20"/>
                <w:color w:val="auto"/>
              </w:rPr>
            </w:pPr>
            <w:r>
              <w:rPr>
                <w:rFonts w:ascii="Arial" w:cs="Arial" w:eastAsia="Arial" w:hAnsi="Arial"/>
                <w:sz w:val="14"/>
                <w:szCs w:val="14"/>
                <w:b w:val="1"/>
                <w:bCs w:val="1"/>
                <w:color w:val="FFFFFF"/>
              </w:rPr>
              <w:t>Exercise Price of</w:t>
            </w:r>
          </w:p>
        </w:tc>
        <w:tc>
          <w:tcPr>
            <w:tcW w:w="1680" w:type="dxa"/>
            <w:vAlign w:val="bottom"/>
            <w:shd w:val="clear" w:color="auto" w:fill="00558C"/>
          </w:tcPr>
          <w:p>
            <w:pPr>
              <w:jc w:val="right"/>
              <w:ind w:right="130"/>
              <w:spacing w:after="0"/>
              <w:rPr>
                <w:sz w:val="20"/>
                <w:szCs w:val="20"/>
                <w:color w:val="auto"/>
              </w:rPr>
            </w:pPr>
            <w:r>
              <w:rPr>
                <w:rFonts w:ascii="Arial" w:cs="Arial" w:eastAsia="Arial" w:hAnsi="Arial"/>
                <w:sz w:val="14"/>
                <w:szCs w:val="14"/>
                <w:b w:val="1"/>
                <w:bCs w:val="1"/>
                <w:color w:val="FFFFFF"/>
              </w:rPr>
              <w:t>for Future Issuance</w:t>
            </w:r>
          </w:p>
        </w:tc>
        <w:tc>
          <w:tcPr>
            <w:tcW w:w="100" w:type="dxa"/>
            <w:vAlign w:val="bottom"/>
            <w:shd w:val="clear" w:color="auto" w:fill="00558C"/>
          </w:tcPr>
          <w:p>
            <w:pPr>
              <w:spacing w:after="0"/>
              <w:rPr>
                <w:sz w:val="15"/>
                <w:szCs w:val="15"/>
                <w:color w:val="auto"/>
              </w:rPr>
            </w:pPr>
          </w:p>
        </w:tc>
      </w:tr>
      <w:tr>
        <w:trPr>
          <w:trHeight w:val="176"/>
        </w:trPr>
        <w:tc>
          <w:tcPr>
            <w:tcW w:w="4060" w:type="dxa"/>
            <w:vAlign w:val="bottom"/>
            <w:shd w:val="clear" w:color="auto" w:fill="00558C"/>
          </w:tcPr>
          <w:p>
            <w:pPr>
              <w:spacing w:after="0"/>
              <w:rPr>
                <w:sz w:val="15"/>
                <w:szCs w:val="15"/>
                <w:color w:val="auto"/>
              </w:rPr>
            </w:pPr>
          </w:p>
        </w:tc>
        <w:tc>
          <w:tcPr>
            <w:tcW w:w="1680" w:type="dxa"/>
            <w:vAlign w:val="bottom"/>
            <w:shd w:val="clear" w:color="auto" w:fill="00558C"/>
          </w:tcPr>
          <w:p>
            <w:pPr>
              <w:jc w:val="right"/>
              <w:ind w:right="150"/>
              <w:spacing w:after="0"/>
              <w:rPr>
                <w:sz w:val="20"/>
                <w:szCs w:val="20"/>
                <w:color w:val="auto"/>
              </w:rPr>
            </w:pPr>
            <w:r>
              <w:rPr>
                <w:rFonts w:ascii="Arial" w:cs="Arial" w:eastAsia="Arial" w:hAnsi="Arial"/>
                <w:sz w:val="14"/>
                <w:szCs w:val="14"/>
                <w:b w:val="1"/>
                <w:bCs w:val="1"/>
                <w:color w:val="FFFFFF"/>
              </w:rPr>
              <w:t>Outstanding</w:t>
            </w:r>
          </w:p>
        </w:tc>
        <w:tc>
          <w:tcPr>
            <w:tcW w:w="1560" w:type="dxa"/>
            <w:vAlign w:val="bottom"/>
            <w:shd w:val="clear" w:color="auto" w:fill="00558C"/>
          </w:tcPr>
          <w:p>
            <w:pPr>
              <w:jc w:val="right"/>
              <w:ind w:right="90"/>
              <w:spacing w:after="0"/>
              <w:rPr>
                <w:sz w:val="20"/>
                <w:szCs w:val="20"/>
                <w:color w:val="auto"/>
              </w:rPr>
            </w:pPr>
            <w:r>
              <w:rPr>
                <w:rFonts w:ascii="Arial" w:cs="Arial" w:eastAsia="Arial" w:hAnsi="Arial"/>
                <w:sz w:val="14"/>
                <w:szCs w:val="14"/>
                <w:b w:val="1"/>
                <w:bCs w:val="1"/>
                <w:color w:val="FFFFFF"/>
              </w:rPr>
              <w:t>Outstanding</w:t>
            </w:r>
          </w:p>
        </w:tc>
        <w:tc>
          <w:tcPr>
            <w:tcW w:w="1680" w:type="dxa"/>
            <w:vAlign w:val="bottom"/>
            <w:shd w:val="clear" w:color="auto" w:fill="00558C"/>
          </w:tcPr>
          <w:p>
            <w:pPr>
              <w:jc w:val="right"/>
              <w:ind w:right="130"/>
              <w:spacing w:after="0"/>
              <w:rPr>
                <w:sz w:val="20"/>
                <w:szCs w:val="20"/>
                <w:color w:val="auto"/>
              </w:rPr>
            </w:pPr>
            <w:r>
              <w:rPr>
                <w:rFonts w:ascii="Arial" w:cs="Arial" w:eastAsia="Arial" w:hAnsi="Arial"/>
                <w:sz w:val="14"/>
                <w:szCs w:val="14"/>
                <w:b w:val="1"/>
                <w:bCs w:val="1"/>
                <w:color w:val="FFFFFF"/>
              </w:rPr>
              <w:t>(excluding shares in</w:t>
            </w:r>
          </w:p>
        </w:tc>
        <w:tc>
          <w:tcPr>
            <w:tcW w:w="100" w:type="dxa"/>
            <w:vAlign w:val="bottom"/>
            <w:shd w:val="clear" w:color="auto" w:fill="00558C"/>
          </w:tcPr>
          <w:p>
            <w:pPr>
              <w:spacing w:after="0"/>
              <w:rPr>
                <w:sz w:val="15"/>
                <w:szCs w:val="15"/>
                <w:color w:val="auto"/>
              </w:rPr>
            </w:pPr>
          </w:p>
        </w:tc>
      </w:tr>
      <w:tr>
        <w:trPr>
          <w:trHeight w:val="196"/>
        </w:trPr>
        <w:tc>
          <w:tcPr>
            <w:tcW w:w="4060" w:type="dxa"/>
            <w:vAlign w:val="bottom"/>
            <w:shd w:val="clear" w:color="auto" w:fill="00558C"/>
          </w:tcPr>
          <w:p>
            <w:pPr>
              <w:ind w:left="140"/>
              <w:spacing w:after="0"/>
              <w:rPr>
                <w:sz w:val="20"/>
                <w:szCs w:val="20"/>
                <w:color w:val="auto"/>
              </w:rPr>
            </w:pPr>
            <w:r>
              <w:rPr>
                <w:rFonts w:ascii="Arial" w:cs="Arial" w:eastAsia="Arial" w:hAnsi="Arial"/>
                <w:sz w:val="14"/>
                <w:szCs w:val="14"/>
                <w:b w:val="1"/>
                <w:bCs w:val="1"/>
                <w:color w:val="FFFFFF"/>
              </w:rPr>
              <w:t>Plan Category</w:t>
            </w:r>
          </w:p>
        </w:tc>
        <w:tc>
          <w:tcPr>
            <w:tcW w:w="1680" w:type="dxa"/>
            <w:vAlign w:val="bottom"/>
            <w:shd w:val="clear" w:color="auto" w:fill="00558C"/>
          </w:tcPr>
          <w:p>
            <w:pPr>
              <w:jc w:val="right"/>
              <w:ind w:right="130"/>
              <w:spacing w:after="0"/>
              <w:rPr>
                <w:sz w:val="20"/>
                <w:szCs w:val="20"/>
                <w:color w:val="auto"/>
              </w:rPr>
            </w:pPr>
            <w:r>
              <w:rPr>
                <w:rFonts w:ascii="Arial" w:cs="Arial" w:eastAsia="Arial" w:hAnsi="Arial"/>
                <w:sz w:val="14"/>
                <w:szCs w:val="14"/>
                <w:b w:val="1"/>
                <w:bCs w:val="1"/>
                <w:color w:val="FFFFFF"/>
              </w:rPr>
              <w:t>Options (#)</w:t>
            </w:r>
          </w:p>
        </w:tc>
        <w:tc>
          <w:tcPr>
            <w:tcW w:w="1560" w:type="dxa"/>
            <w:vAlign w:val="bottom"/>
            <w:shd w:val="clear" w:color="auto" w:fill="00558C"/>
          </w:tcPr>
          <w:p>
            <w:pPr>
              <w:jc w:val="right"/>
              <w:ind w:right="50"/>
              <w:spacing w:after="0"/>
              <w:rPr>
                <w:sz w:val="20"/>
                <w:szCs w:val="20"/>
                <w:color w:val="auto"/>
              </w:rPr>
            </w:pPr>
            <w:r>
              <w:rPr>
                <w:rFonts w:ascii="Arial" w:cs="Arial" w:eastAsia="Arial" w:hAnsi="Arial"/>
                <w:sz w:val="14"/>
                <w:szCs w:val="14"/>
                <w:b w:val="1"/>
                <w:bCs w:val="1"/>
                <w:color w:val="FFFFFF"/>
              </w:rPr>
              <w:t>Options ($)</w:t>
            </w:r>
          </w:p>
        </w:tc>
        <w:tc>
          <w:tcPr>
            <w:tcW w:w="1680" w:type="dxa"/>
            <w:vAlign w:val="bottom"/>
            <w:shd w:val="clear" w:color="auto" w:fill="00558C"/>
          </w:tcPr>
          <w:p>
            <w:pPr>
              <w:jc w:val="right"/>
              <w:ind w:right="90"/>
              <w:spacing w:after="0"/>
              <w:rPr>
                <w:sz w:val="20"/>
                <w:szCs w:val="20"/>
                <w:color w:val="auto"/>
              </w:rPr>
            </w:pPr>
            <w:r>
              <w:rPr>
                <w:rFonts w:ascii="Arial" w:cs="Arial" w:eastAsia="Arial" w:hAnsi="Arial"/>
                <w:sz w:val="14"/>
                <w:szCs w:val="14"/>
                <w:b w:val="1"/>
                <w:bCs w:val="1"/>
                <w:color w:val="FFFFFF"/>
              </w:rPr>
              <w:t>1st column) (#)</w:t>
            </w:r>
          </w:p>
        </w:tc>
        <w:tc>
          <w:tcPr>
            <w:tcW w:w="100" w:type="dxa"/>
            <w:vAlign w:val="bottom"/>
            <w:shd w:val="clear" w:color="auto" w:fill="00558C"/>
          </w:tcPr>
          <w:p>
            <w:pPr>
              <w:spacing w:after="0"/>
              <w:rPr>
                <w:sz w:val="17"/>
                <w:szCs w:val="17"/>
                <w:color w:val="auto"/>
              </w:rPr>
            </w:pPr>
          </w:p>
        </w:tc>
      </w:tr>
      <w:tr>
        <w:trPr>
          <w:trHeight w:val="110"/>
        </w:trPr>
        <w:tc>
          <w:tcPr>
            <w:tcW w:w="4060" w:type="dxa"/>
            <w:vAlign w:val="bottom"/>
            <w:shd w:val="clear" w:color="auto" w:fill="00558C"/>
          </w:tcPr>
          <w:p>
            <w:pPr>
              <w:spacing w:after="0"/>
              <w:rPr>
                <w:sz w:val="9"/>
                <w:szCs w:val="9"/>
                <w:color w:val="auto"/>
              </w:rPr>
            </w:pPr>
          </w:p>
        </w:tc>
        <w:tc>
          <w:tcPr>
            <w:tcW w:w="1680" w:type="dxa"/>
            <w:vAlign w:val="bottom"/>
            <w:shd w:val="clear" w:color="auto" w:fill="00558C"/>
          </w:tcPr>
          <w:p>
            <w:pPr>
              <w:spacing w:after="0"/>
              <w:rPr>
                <w:sz w:val="9"/>
                <w:szCs w:val="9"/>
                <w:color w:val="auto"/>
              </w:rPr>
            </w:pPr>
          </w:p>
        </w:tc>
        <w:tc>
          <w:tcPr>
            <w:tcW w:w="1560" w:type="dxa"/>
            <w:vAlign w:val="bottom"/>
            <w:shd w:val="clear" w:color="auto" w:fill="00558C"/>
          </w:tcPr>
          <w:p>
            <w:pPr>
              <w:spacing w:after="0"/>
              <w:rPr>
                <w:sz w:val="9"/>
                <w:szCs w:val="9"/>
                <w:color w:val="auto"/>
              </w:rPr>
            </w:pPr>
          </w:p>
        </w:tc>
        <w:tc>
          <w:tcPr>
            <w:tcW w:w="1680" w:type="dxa"/>
            <w:vAlign w:val="bottom"/>
            <w:shd w:val="clear" w:color="auto" w:fill="00558C"/>
          </w:tcPr>
          <w:p>
            <w:pPr>
              <w:spacing w:after="0"/>
              <w:rPr>
                <w:sz w:val="9"/>
                <w:szCs w:val="9"/>
                <w:color w:val="auto"/>
              </w:rPr>
            </w:pPr>
          </w:p>
        </w:tc>
        <w:tc>
          <w:tcPr>
            <w:tcW w:w="100" w:type="dxa"/>
            <w:vAlign w:val="bottom"/>
            <w:shd w:val="clear" w:color="auto" w:fill="00558C"/>
          </w:tcPr>
          <w:p>
            <w:pPr>
              <w:spacing w:after="0"/>
              <w:rPr>
                <w:sz w:val="9"/>
                <w:szCs w:val="9"/>
                <w:color w:val="auto"/>
              </w:rPr>
            </w:pPr>
          </w:p>
        </w:tc>
      </w:tr>
      <w:tr>
        <w:trPr>
          <w:trHeight w:val="262"/>
        </w:trPr>
        <w:tc>
          <w:tcPr>
            <w:tcW w:w="4060" w:type="dxa"/>
            <w:vAlign w:val="bottom"/>
            <w:shd w:val="clear" w:color="auto" w:fill="F2F3F2"/>
          </w:tcPr>
          <w:p>
            <w:pPr>
              <w:ind w:left="140"/>
              <w:spacing w:after="0"/>
              <w:rPr>
                <w:sz w:val="20"/>
                <w:szCs w:val="20"/>
                <w:color w:val="auto"/>
              </w:rPr>
            </w:pPr>
            <w:r>
              <w:rPr>
                <w:rFonts w:ascii="Arial" w:cs="Arial" w:eastAsia="Arial" w:hAnsi="Arial"/>
                <w:sz w:val="14"/>
                <w:szCs w:val="14"/>
                <w:color w:val="auto"/>
              </w:rPr>
              <w:t>Equity compensation plans approved by stockholders:</w:t>
            </w:r>
          </w:p>
        </w:tc>
        <w:tc>
          <w:tcPr>
            <w:tcW w:w="1680" w:type="dxa"/>
            <w:vAlign w:val="bottom"/>
            <w:shd w:val="clear" w:color="auto" w:fill="F2F3F2"/>
          </w:tcPr>
          <w:p>
            <w:pPr>
              <w:spacing w:after="0"/>
              <w:rPr>
                <w:sz w:val="22"/>
                <w:szCs w:val="22"/>
                <w:color w:val="auto"/>
              </w:rPr>
            </w:pPr>
          </w:p>
        </w:tc>
        <w:tc>
          <w:tcPr>
            <w:tcW w:w="1560" w:type="dxa"/>
            <w:vAlign w:val="bottom"/>
            <w:shd w:val="clear" w:color="auto" w:fill="F2F3F2"/>
          </w:tcPr>
          <w:p>
            <w:pPr>
              <w:spacing w:after="0"/>
              <w:rPr>
                <w:sz w:val="22"/>
                <w:szCs w:val="22"/>
                <w:color w:val="auto"/>
              </w:rPr>
            </w:pPr>
          </w:p>
        </w:tc>
        <w:tc>
          <w:tcPr>
            <w:tcW w:w="1680" w:type="dxa"/>
            <w:vAlign w:val="bottom"/>
            <w:shd w:val="clear" w:color="auto" w:fill="F2F3F2"/>
          </w:tcPr>
          <w:p>
            <w:pPr>
              <w:spacing w:after="0"/>
              <w:rPr>
                <w:sz w:val="22"/>
                <w:szCs w:val="22"/>
                <w:color w:val="auto"/>
              </w:rPr>
            </w:pPr>
          </w:p>
        </w:tc>
        <w:tc>
          <w:tcPr>
            <w:tcW w:w="100" w:type="dxa"/>
            <w:vAlign w:val="bottom"/>
            <w:shd w:val="clear" w:color="auto" w:fill="F2F3F2"/>
          </w:tcPr>
          <w:p>
            <w:pPr>
              <w:spacing w:after="0"/>
              <w:rPr>
                <w:sz w:val="22"/>
                <w:szCs w:val="22"/>
                <w:color w:val="auto"/>
              </w:rPr>
            </w:pPr>
          </w:p>
        </w:tc>
      </w:tr>
      <w:tr>
        <w:trPr>
          <w:trHeight w:val="62"/>
        </w:trPr>
        <w:tc>
          <w:tcPr>
            <w:tcW w:w="4060" w:type="dxa"/>
            <w:vAlign w:val="bottom"/>
            <w:shd w:val="clear" w:color="auto" w:fill="F2F3F2"/>
          </w:tcPr>
          <w:p>
            <w:pPr>
              <w:spacing w:after="0"/>
              <w:rPr>
                <w:sz w:val="5"/>
                <w:szCs w:val="5"/>
                <w:color w:val="auto"/>
              </w:rPr>
            </w:pPr>
          </w:p>
        </w:tc>
        <w:tc>
          <w:tcPr>
            <w:tcW w:w="1680" w:type="dxa"/>
            <w:vAlign w:val="bottom"/>
            <w:shd w:val="clear" w:color="auto" w:fill="F2F3F2"/>
          </w:tcPr>
          <w:p>
            <w:pPr>
              <w:spacing w:after="0"/>
              <w:rPr>
                <w:sz w:val="5"/>
                <w:szCs w:val="5"/>
                <w:color w:val="auto"/>
              </w:rPr>
            </w:pPr>
          </w:p>
        </w:tc>
        <w:tc>
          <w:tcPr>
            <w:tcW w:w="1560" w:type="dxa"/>
            <w:vAlign w:val="bottom"/>
            <w:shd w:val="clear" w:color="auto" w:fill="F2F3F2"/>
          </w:tcPr>
          <w:p>
            <w:pPr>
              <w:spacing w:after="0"/>
              <w:rPr>
                <w:sz w:val="5"/>
                <w:szCs w:val="5"/>
                <w:color w:val="auto"/>
              </w:rPr>
            </w:pPr>
          </w:p>
        </w:tc>
        <w:tc>
          <w:tcPr>
            <w:tcW w:w="1680" w:type="dxa"/>
            <w:vAlign w:val="bottom"/>
            <w:shd w:val="clear" w:color="auto" w:fill="F2F3F2"/>
          </w:tcPr>
          <w:p>
            <w:pPr>
              <w:spacing w:after="0"/>
              <w:rPr>
                <w:sz w:val="5"/>
                <w:szCs w:val="5"/>
                <w:color w:val="auto"/>
              </w:rPr>
            </w:pPr>
          </w:p>
        </w:tc>
        <w:tc>
          <w:tcPr>
            <w:tcW w:w="100" w:type="dxa"/>
            <w:vAlign w:val="bottom"/>
            <w:shd w:val="clear" w:color="auto" w:fill="F2F3F2"/>
          </w:tcPr>
          <w:p>
            <w:pPr>
              <w:spacing w:after="0"/>
              <w:rPr>
                <w:sz w:val="5"/>
                <w:szCs w:val="5"/>
                <w:color w:val="auto"/>
              </w:rPr>
            </w:pPr>
          </w:p>
        </w:tc>
      </w:tr>
      <w:tr>
        <w:trPr>
          <w:trHeight w:val="322"/>
        </w:trPr>
        <w:tc>
          <w:tcPr>
            <w:tcW w:w="4060" w:type="dxa"/>
            <w:vAlign w:val="bottom"/>
          </w:tcPr>
          <w:p>
            <w:pPr>
              <w:ind w:left="320"/>
              <w:spacing w:after="0"/>
              <w:rPr>
                <w:sz w:val="20"/>
                <w:szCs w:val="20"/>
                <w:color w:val="auto"/>
              </w:rPr>
            </w:pPr>
            <w:r>
              <w:rPr>
                <w:rFonts w:ascii="Arial" w:cs="Arial" w:eastAsia="Arial" w:hAnsi="Arial"/>
                <w:sz w:val="14"/>
                <w:szCs w:val="14"/>
                <w:color w:val="auto"/>
              </w:rPr>
              <w:t xml:space="preserve">2012 Omnibus Incentive Plan </w:t>
            </w:r>
            <w:r>
              <w:rPr>
                <w:rFonts w:ascii="Arial" w:cs="Arial" w:eastAsia="Arial" w:hAnsi="Arial"/>
                <w:sz w:val="18"/>
                <w:szCs w:val="18"/>
                <w:color w:val="auto"/>
                <w:vertAlign w:val="superscript"/>
              </w:rPr>
              <w:t>(1)</w:t>
            </w:r>
          </w:p>
        </w:tc>
        <w:tc>
          <w:tcPr>
            <w:tcW w:w="1680" w:type="dxa"/>
            <w:vAlign w:val="bottom"/>
          </w:tcPr>
          <w:p>
            <w:pPr>
              <w:jc w:val="right"/>
              <w:ind w:right="30"/>
              <w:spacing w:after="0"/>
              <w:rPr>
                <w:sz w:val="20"/>
                <w:szCs w:val="20"/>
                <w:color w:val="auto"/>
              </w:rPr>
            </w:pPr>
            <w:r>
              <w:rPr>
                <w:rFonts w:ascii="Arial" w:cs="Arial" w:eastAsia="Arial" w:hAnsi="Arial"/>
                <w:sz w:val="13"/>
                <w:szCs w:val="13"/>
                <w:color w:val="auto"/>
              </w:rPr>
              <w:t>189,203</w:t>
            </w:r>
          </w:p>
        </w:tc>
        <w:tc>
          <w:tcPr>
            <w:tcW w:w="1560" w:type="dxa"/>
            <w:vAlign w:val="bottom"/>
          </w:tcPr>
          <w:p>
            <w:pPr>
              <w:jc w:val="right"/>
              <w:spacing w:after="0"/>
              <w:rPr>
                <w:sz w:val="20"/>
                <w:szCs w:val="20"/>
                <w:color w:val="auto"/>
              </w:rPr>
            </w:pPr>
            <w:r>
              <w:rPr>
                <w:rFonts w:ascii="Arial" w:cs="Arial" w:eastAsia="Arial" w:hAnsi="Arial"/>
                <w:sz w:val="13"/>
                <w:szCs w:val="13"/>
                <w:color w:val="auto"/>
              </w:rPr>
              <w:t>$69.80</w:t>
            </w:r>
          </w:p>
        </w:tc>
        <w:tc>
          <w:tcPr>
            <w:tcW w:w="1680" w:type="dxa"/>
            <w:vAlign w:val="bottom"/>
          </w:tcPr>
          <w:p>
            <w:pPr>
              <w:jc w:val="right"/>
              <w:spacing w:after="0"/>
              <w:rPr>
                <w:sz w:val="20"/>
                <w:szCs w:val="20"/>
                <w:color w:val="auto"/>
              </w:rPr>
            </w:pPr>
            <w:r>
              <w:rPr>
                <w:rFonts w:ascii="Arial" w:cs="Arial" w:eastAsia="Arial" w:hAnsi="Arial"/>
                <w:sz w:val="13"/>
                <w:szCs w:val="13"/>
                <w:color w:val="auto"/>
              </w:rPr>
              <w:t>815,308</w:t>
            </w:r>
          </w:p>
        </w:tc>
        <w:tc>
          <w:tcPr>
            <w:tcW w:w="100" w:type="dxa"/>
            <w:vAlign w:val="bottom"/>
          </w:tcPr>
          <w:p>
            <w:pPr>
              <w:spacing w:after="0"/>
              <w:rPr>
                <w:sz w:val="24"/>
                <w:szCs w:val="24"/>
                <w:color w:val="auto"/>
              </w:rPr>
            </w:pPr>
          </w:p>
        </w:tc>
      </w:tr>
      <w:tr>
        <w:trPr>
          <w:trHeight w:val="326"/>
        </w:trPr>
        <w:tc>
          <w:tcPr>
            <w:tcW w:w="4060" w:type="dxa"/>
            <w:vAlign w:val="bottom"/>
            <w:shd w:val="clear" w:color="auto" w:fill="F2F3F2"/>
          </w:tcPr>
          <w:p>
            <w:pPr>
              <w:ind w:left="320"/>
              <w:spacing w:after="0"/>
              <w:rPr>
                <w:sz w:val="20"/>
                <w:szCs w:val="20"/>
                <w:color w:val="auto"/>
              </w:rPr>
            </w:pPr>
            <w:r>
              <w:rPr>
                <w:rFonts w:ascii="Arial" w:cs="Arial" w:eastAsia="Arial" w:hAnsi="Arial"/>
                <w:sz w:val="14"/>
                <w:szCs w:val="14"/>
                <w:color w:val="auto"/>
              </w:rPr>
              <w:t xml:space="preserve">Stock Ownership Participation Plan </w:t>
            </w:r>
            <w:r>
              <w:rPr>
                <w:rFonts w:ascii="Arial" w:cs="Arial" w:eastAsia="Arial" w:hAnsi="Arial"/>
                <w:sz w:val="18"/>
                <w:szCs w:val="18"/>
                <w:color w:val="auto"/>
                <w:vertAlign w:val="superscript"/>
              </w:rPr>
              <w:t>(2)</w:t>
            </w:r>
          </w:p>
        </w:tc>
        <w:tc>
          <w:tcPr>
            <w:tcW w:w="1680" w:type="dxa"/>
            <w:vAlign w:val="bottom"/>
            <w:shd w:val="clear" w:color="auto" w:fill="F2F3F2"/>
          </w:tcPr>
          <w:p>
            <w:pPr>
              <w:jc w:val="right"/>
              <w:ind w:right="10"/>
              <w:spacing w:after="0"/>
              <w:rPr>
                <w:sz w:val="20"/>
                <w:szCs w:val="20"/>
                <w:color w:val="auto"/>
              </w:rPr>
            </w:pPr>
            <w:r>
              <w:rPr>
                <w:rFonts w:ascii="Arial" w:cs="Arial" w:eastAsia="Arial" w:hAnsi="Arial"/>
                <w:sz w:val="13"/>
                <w:szCs w:val="13"/>
                <w:color w:val="auto"/>
              </w:rPr>
              <w:t>—</w:t>
            </w:r>
          </w:p>
        </w:tc>
        <w:tc>
          <w:tcPr>
            <w:tcW w:w="1560" w:type="dxa"/>
            <w:vAlign w:val="bottom"/>
            <w:shd w:val="clear" w:color="auto" w:fill="F2F3F2"/>
          </w:tcPr>
          <w:p>
            <w:pPr>
              <w:jc w:val="right"/>
              <w:spacing w:after="0"/>
              <w:rPr>
                <w:sz w:val="20"/>
                <w:szCs w:val="20"/>
                <w:color w:val="auto"/>
              </w:rPr>
            </w:pPr>
            <w:r>
              <w:rPr>
                <w:rFonts w:ascii="Arial" w:cs="Arial" w:eastAsia="Arial" w:hAnsi="Arial"/>
                <w:sz w:val="13"/>
                <w:szCs w:val="13"/>
                <w:color w:val="auto"/>
              </w:rPr>
              <w:t>N/A</w:t>
            </w:r>
          </w:p>
        </w:tc>
        <w:tc>
          <w:tcPr>
            <w:tcW w:w="1680" w:type="dxa"/>
            <w:vAlign w:val="bottom"/>
            <w:shd w:val="clear" w:color="auto" w:fill="F2F3F2"/>
          </w:tcPr>
          <w:p>
            <w:pPr>
              <w:jc w:val="right"/>
              <w:spacing w:after="0"/>
              <w:rPr>
                <w:sz w:val="20"/>
                <w:szCs w:val="20"/>
                <w:color w:val="auto"/>
              </w:rPr>
            </w:pPr>
            <w:r>
              <w:rPr>
                <w:rFonts w:ascii="Arial" w:cs="Arial" w:eastAsia="Arial" w:hAnsi="Arial"/>
                <w:sz w:val="13"/>
                <w:szCs w:val="13"/>
                <w:color w:val="auto"/>
              </w:rPr>
              <w:t>235,789</w:t>
            </w:r>
          </w:p>
        </w:tc>
        <w:tc>
          <w:tcPr>
            <w:tcW w:w="100" w:type="dxa"/>
            <w:vAlign w:val="bottom"/>
            <w:shd w:val="clear" w:color="auto" w:fill="F2F3F2"/>
          </w:tcPr>
          <w:p>
            <w:pPr>
              <w:spacing w:after="0"/>
              <w:rPr>
                <w:sz w:val="24"/>
                <w:szCs w:val="24"/>
                <w:color w:val="auto"/>
              </w:rPr>
            </w:pPr>
          </w:p>
        </w:tc>
      </w:tr>
      <w:tr>
        <w:trPr>
          <w:trHeight w:val="262"/>
        </w:trPr>
        <w:tc>
          <w:tcPr>
            <w:tcW w:w="4060" w:type="dxa"/>
            <w:vAlign w:val="bottom"/>
          </w:tcPr>
          <w:p>
            <w:pPr>
              <w:ind w:left="140"/>
              <w:spacing w:after="0"/>
              <w:rPr>
                <w:sz w:val="20"/>
                <w:szCs w:val="20"/>
                <w:color w:val="auto"/>
              </w:rPr>
            </w:pPr>
            <w:r>
              <w:rPr>
                <w:rFonts w:ascii="Arial" w:cs="Arial" w:eastAsia="Arial" w:hAnsi="Arial"/>
                <w:sz w:val="14"/>
                <w:szCs w:val="14"/>
                <w:color w:val="auto"/>
              </w:rPr>
              <w:t>Equity compensation plans not approved by stockholders</w:t>
            </w:r>
          </w:p>
        </w:tc>
        <w:tc>
          <w:tcPr>
            <w:tcW w:w="1680" w:type="dxa"/>
            <w:vAlign w:val="bottom"/>
          </w:tcPr>
          <w:p>
            <w:pPr>
              <w:jc w:val="right"/>
              <w:ind w:right="30"/>
              <w:spacing w:after="0"/>
              <w:rPr>
                <w:sz w:val="20"/>
                <w:szCs w:val="20"/>
                <w:color w:val="auto"/>
              </w:rPr>
            </w:pPr>
            <w:r>
              <w:rPr>
                <w:rFonts w:ascii="Arial" w:cs="Arial" w:eastAsia="Arial" w:hAnsi="Arial"/>
                <w:sz w:val="13"/>
                <w:szCs w:val="13"/>
                <w:color w:val="auto"/>
              </w:rPr>
              <w:t>N/A</w:t>
            </w:r>
          </w:p>
        </w:tc>
        <w:tc>
          <w:tcPr>
            <w:tcW w:w="1560" w:type="dxa"/>
            <w:vAlign w:val="bottom"/>
          </w:tcPr>
          <w:p>
            <w:pPr>
              <w:jc w:val="right"/>
              <w:spacing w:after="0"/>
              <w:rPr>
                <w:sz w:val="20"/>
                <w:szCs w:val="20"/>
                <w:color w:val="auto"/>
              </w:rPr>
            </w:pPr>
            <w:r>
              <w:rPr>
                <w:rFonts w:ascii="Arial" w:cs="Arial" w:eastAsia="Arial" w:hAnsi="Arial"/>
                <w:sz w:val="13"/>
                <w:szCs w:val="13"/>
                <w:color w:val="auto"/>
              </w:rPr>
              <w:t>N/A</w:t>
            </w:r>
          </w:p>
        </w:tc>
        <w:tc>
          <w:tcPr>
            <w:tcW w:w="1680" w:type="dxa"/>
            <w:vAlign w:val="bottom"/>
          </w:tcPr>
          <w:p>
            <w:pPr>
              <w:jc w:val="right"/>
              <w:spacing w:after="0"/>
              <w:rPr>
                <w:sz w:val="20"/>
                <w:szCs w:val="20"/>
                <w:color w:val="auto"/>
              </w:rPr>
            </w:pPr>
            <w:r>
              <w:rPr>
                <w:rFonts w:ascii="Arial" w:cs="Arial" w:eastAsia="Arial" w:hAnsi="Arial"/>
                <w:sz w:val="13"/>
                <w:szCs w:val="13"/>
                <w:color w:val="auto"/>
              </w:rPr>
              <w:t>N/A</w:t>
            </w:r>
          </w:p>
        </w:tc>
        <w:tc>
          <w:tcPr>
            <w:tcW w:w="100" w:type="dxa"/>
            <w:vAlign w:val="bottom"/>
          </w:tcPr>
          <w:p>
            <w:pPr>
              <w:spacing w:after="0"/>
              <w:rPr>
                <w:sz w:val="22"/>
                <w:szCs w:val="22"/>
                <w:color w:val="auto"/>
              </w:rPr>
            </w:pPr>
          </w:p>
        </w:tc>
      </w:tr>
      <w:tr>
        <w:trPr>
          <w:trHeight w:val="62"/>
        </w:trPr>
        <w:tc>
          <w:tcPr>
            <w:tcW w:w="4060" w:type="dxa"/>
            <w:vAlign w:val="bottom"/>
            <w:tcBorders>
              <w:bottom w:val="single" w:sz="8" w:color="B6B6B6"/>
            </w:tcBorders>
          </w:tcPr>
          <w:p>
            <w:pPr>
              <w:spacing w:after="0"/>
              <w:rPr>
                <w:sz w:val="5"/>
                <w:szCs w:val="5"/>
                <w:color w:val="auto"/>
              </w:rPr>
            </w:pPr>
          </w:p>
        </w:tc>
        <w:tc>
          <w:tcPr>
            <w:tcW w:w="1680" w:type="dxa"/>
            <w:vAlign w:val="bottom"/>
            <w:tcBorders>
              <w:bottom w:val="single" w:sz="8" w:color="B6B6B6"/>
            </w:tcBorders>
          </w:tcPr>
          <w:p>
            <w:pPr>
              <w:spacing w:after="0"/>
              <w:rPr>
                <w:sz w:val="5"/>
                <w:szCs w:val="5"/>
                <w:color w:val="auto"/>
              </w:rPr>
            </w:pPr>
          </w:p>
        </w:tc>
        <w:tc>
          <w:tcPr>
            <w:tcW w:w="1560" w:type="dxa"/>
            <w:vAlign w:val="bottom"/>
            <w:tcBorders>
              <w:bottom w:val="single" w:sz="8" w:color="B6B6B6"/>
            </w:tcBorders>
          </w:tcPr>
          <w:p>
            <w:pPr>
              <w:spacing w:after="0"/>
              <w:rPr>
                <w:sz w:val="5"/>
                <w:szCs w:val="5"/>
                <w:color w:val="auto"/>
              </w:rPr>
            </w:pPr>
          </w:p>
        </w:tc>
        <w:tc>
          <w:tcPr>
            <w:tcW w:w="1680" w:type="dxa"/>
            <w:vAlign w:val="bottom"/>
            <w:tcBorders>
              <w:bottom w:val="single" w:sz="8" w:color="B6B6B6"/>
            </w:tcBorders>
          </w:tcPr>
          <w:p>
            <w:pPr>
              <w:spacing w:after="0"/>
              <w:rPr>
                <w:sz w:val="5"/>
                <w:szCs w:val="5"/>
                <w:color w:val="auto"/>
              </w:rPr>
            </w:pPr>
          </w:p>
        </w:tc>
        <w:tc>
          <w:tcPr>
            <w:tcW w:w="100" w:type="dxa"/>
            <w:vAlign w:val="bottom"/>
            <w:tcBorders>
              <w:bottom w:val="single" w:sz="8" w:color="B6B6B6"/>
            </w:tcBorders>
          </w:tcPr>
          <w:p>
            <w:pPr>
              <w:spacing w:after="0"/>
              <w:rPr>
                <w:sz w:val="5"/>
                <w:szCs w:val="5"/>
                <w:color w:val="auto"/>
              </w:rPr>
            </w:pPr>
          </w:p>
        </w:tc>
      </w:tr>
      <w:tr>
        <w:trPr>
          <w:trHeight w:val="284"/>
        </w:trPr>
        <w:tc>
          <w:tcPr>
            <w:tcW w:w="4060" w:type="dxa"/>
            <w:vAlign w:val="bottom"/>
            <w:tcBorders>
              <w:bottom w:val="single" w:sz="8" w:color="F2F3F2"/>
            </w:tcBorders>
            <w:shd w:val="clear" w:color="auto" w:fill="F2F3F2"/>
          </w:tcPr>
          <w:p>
            <w:pPr>
              <w:ind w:left="140"/>
              <w:spacing w:after="0"/>
              <w:rPr>
                <w:sz w:val="20"/>
                <w:szCs w:val="20"/>
                <w:color w:val="auto"/>
              </w:rPr>
            </w:pPr>
            <w:r>
              <w:rPr>
                <w:rFonts w:ascii="Arial" w:cs="Arial" w:eastAsia="Arial" w:hAnsi="Arial"/>
                <w:sz w:val="14"/>
                <w:szCs w:val="14"/>
                <w:b w:val="1"/>
                <w:bCs w:val="1"/>
                <w:color w:val="auto"/>
              </w:rPr>
              <w:t>Total</w:t>
            </w:r>
          </w:p>
        </w:tc>
        <w:tc>
          <w:tcPr>
            <w:tcW w:w="1680" w:type="dxa"/>
            <w:vAlign w:val="bottom"/>
            <w:tcBorders>
              <w:bottom w:val="single" w:sz="8" w:color="F2F3F2"/>
            </w:tcBorders>
            <w:shd w:val="clear" w:color="auto" w:fill="F2F3F2"/>
          </w:tcPr>
          <w:p>
            <w:pPr>
              <w:jc w:val="right"/>
              <w:ind w:right="30"/>
              <w:spacing w:after="0"/>
              <w:rPr>
                <w:sz w:val="20"/>
                <w:szCs w:val="20"/>
                <w:color w:val="auto"/>
              </w:rPr>
            </w:pPr>
            <w:r>
              <w:rPr>
                <w:rFonts w:ascii="Arial" w:cs="Arial" w:eastAsia="Arial" w:hAnsi="Arial"/>
                <w:sz w:val="13"/>
                <w:szCs w:val="13"/>
                <w:b w:val="1"/>
                <w:bCs w:val="1"/>
                <w:color w:val="auto"/>
              </w:rPr>
              <w:t>189,203</w:t>
            </w:r>
          </w:p>
        </w:tc>
        <w:tc>
          <w:tcPr>
            <w:tcW w:w="1560" w:type="dxa"/>
            <w:vAlign w:val="bottom"/>
            <w:tcBorders>
              <w:bottom w:val="single" w:sz="8" w:color="F2F3F2"/>
            </w:tcBorders>
            <w:shd w:val="clear" w:color="auto" w:fill="F2F3F2"/>
          </w:tcPr>
          <w:p>
            <w:pPr>
              <w:jc w:val="right"/>
              <w:spacing w:after="0"/>
              <w:rPr>
                <w:sz w:val="20"/>
                <w:szCs w:val="20"/>
                <w:color w:val="auto"/>
              </w:rPr>
            </w:pPr>
            <w:r>
              <w:rPr>
                <w:rFonts w:ascii="Arial" w:cs="Arial" w:eastAsia="Arial" w:hAnsi="Arial"/>
                <w:sz w:val="13"/>
                <w:szCs w:val="13"/>
                <w:b w:val="1"/>
                <w:bCs w:val="1"/>
                <w:color w:val="auto"/>
              </w:rPr>
              <w:t>$69.80</w:t>
            </w:r>
          </w:p>
        </w:tc>
        <w:tc>
          <w:tcPr>
            <w:tcW w:w="1680" w:type="dxa"/>
            <w:vAlign w:val="bottom"/>
            <w:tcBorders>
              <w:bottom w:val="single" w:sz="8" w:color="F2F3F2"/>
            </w:tcBorders>
            <w:shd w:val="clear" w:color="auto" w:fill="F2F3F2"/>
          </w:tcPr>
          <w:p>
            <w:pPr>
              <w:jc w:val="right"/>
              <w:spacing w:after="0"/>
              <w:rPr>
                <w:sz w:val="20"/>
                <w:szCs w:val="20"/>
                <w:color w:val="auto"/>
              </w:rPr>
            </w:pPr>
            <w:r>
              <w:rPr>
                <w:rFonts w:ascii="Arial" w:cs="Arial" w:eastAsia="Arial" w:hAnsi="Arial"/>
                <w:sz w:val="13"/>
                <w:szCs w:val="13"/>
                <w:b w:val="1"/>
                <w:bCs w:val="1"/>
                <w:color w:val="auto"/>
              </w:rPr>
              <w:t>1,051,097</w:t>
            </w:r>
          </w:p>
        </w:tc>
        <w:tc>
          <w:tcPr>
            <w:tcW w:w="100" w:type="dxa"/>
            <w:vAlign w:val="bottom"/>
            <w:tcBorders>
              <w:bottom w:val="single" w:sz="8" w:color="F2F3F2"/>
            </w:tcBorders>
            <w:shd w:val="clear" w:color="auto" w:fill="F2F3F2"/>
          </w:tcPr>
          <w:p>
            <w:pPr>
              <w:spacing w:after="0"/>
              <w:rPr>
                <w:sz w:val="24"/>
                <w:szCs w:val="24"/>
                <w:color w:val="auto"/>
              </w:rPr>
            </w:pPr>
          </w:p>
        </w:tc>
      </w:tr>
      <w:tr>
        <w:trPr>
          <w:trHeight w:val="20"/>
        </w:trPr>
        <w:tc>
          <w:tcPr>
            <w:tcW w:w="4060" w:type="dxa"/>
            <w:vAlign w:val="bottom"/>
            <w:shd w:val="clear" w:color="auto" w:fill="B6B6B6"/>
          </w:tcPr>
          <w:p>
            <w:pPr>
              <w:spacing w:after="0" w:line="20" w:lineRule="exact"/>
              <w:rPr>
                <w:sz w:val="1"/>
                <w:szCs w:val="1"/>
                <w:color w:val="auto"/>
              </w:rPr>
            </w:pPr>
          </w:p>
        </w:tc>
        <w:tc>
          <w:tcPr>
            <w:tcW w:w="1680" w:type="dxa"/>
            <w:vAlign w:val="bottom"/>
            <w:shd w:val="clear" w:color="auto" w:fill="B6B6B6"/>
          </w:tcPr>
          <w:p>
            <w:pPr>
              <w:spacing w:after="0" w:line="20" w:lineRule="exact"/>
              <w:rPr>
                <w:sz w:val="1"/>
                <w:szCs w:val="1"/>
                <w:color w:val="auto"/>
              </w:rPr>
            </w:pPr>
          </w:p>
        </w:tc>
        <w:tc>
          <w:tcPr>
            <w:tcW w:w="1560" w:type="dxa"/>
            <w:vAlign w:val="bottom"/>
            <w:shd w:val="clear" w:color="auto" w:fill="B6B6B6"/>
          </w:tcPr>
          <w:p>
            <w:pPr>
              <w:spacing w:after="0" w:line="20" w:lineRule="exact"/>
              <w:rPr>
                <w:sz w:val="1"/>
                <w:szCs w:val="1"/>
                <w:color w:val="auto"/>
              </w:rPr>
            </w:pPr>
          </w:p>
        </w:tc>
        <w:tc>
          <w:tcPr>
            <w:tcW w:w="1680" w:type="dxa"/>
            <w:vAlign w:val="bottom"/>
            <w:shd w:val="clear" w:color="auto" w:fill="B6B6B6"/>
          </w:tcPr>
          <w:p>
            <w:pPr>
              <w:spacing w:after="0" w:line="20" w:lineRule="exact"/>
              <w:rPr>
                <w:sz w:val="1"/>
                <w:szCs w:val="1"/>
                <w:color w:val="auto"/>
              </w:rPr>
            </w:pPr>
          </w:p>
        </w:tc>
        <w:tc>
          <w:tcPr>
            <w:tcW w:w="100" w:type="dxa"/>
            <w:vAlign w:val="bottom"/>
            <w:shd w:val="clear" w:color="auto" w:fill="B6B6B6"/>
          </w:tcPr>
          <w:p>
            <w:pPr>
              <w:spacing w:after="0" w:line="20" w:lineRule="exact"/>
              <w:rPr>
                <w:sz w:val="1"/>
                <w:szCs w:val="1"/>
                <w:color w:val="auto"/>
              </w:rPr>
            </w:pPr>
          </w:p>
        </w:tc>
      </w:tr>
    </w:tbl>
    <w:p>
      <w:pPr>
        <w:spacing w:after="0" w:line="193" w:lineRule="exact"/>
        <w:rPr>
          <w:sz w:val="20"/>
          <w:szCs w:val="20"/>
          <w:color w:val="auto"/>
        </w:rPr>
      </w:pPr>
    </w:p>
    <w:p>
      <w:pPr>
        <w:ind w:left="420" w:right="160" w:hanging="331"/>
        <w:spacing w:after="0" w:line="281" w:lineRule="auto"/>
        <w:tabs>
          <w:tab w:leader="none" w:pos="42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Our 2012 Omnibus Incentive Plan was approved by our stockholders at our annual meeting held on May 1, 2012. Subsequent to the initial approval and through December 31, 2024, our stockholders have approved amendments to the 2012 Omnibus Incentive Plan to increase the number of share authorized for issuance to 5.4 million shares, in the aggregate.</w:t>
      </w:r>
    </w:p>
    <w:p>
      <w:pPr>
        <w:spacing w:after="0" w:line="1" w:lineRule="exact"/>
        <w:rPr>
          <w:rFonts w:ascii="Arial" w:cs="Arial" w:eastAsia="Arial" w:hAnsi="Arial"/>
          <w:sz w:val="14"/>
          <w:szCs w:val="14"/>
          <w:color w:val="auto"/>
        </w:rPr>
      </w:pPr>
    </w:p>
    <w:p>
      <w:pPr>
        <w:ind w:left="420" w:right="40" w:hanging="331"/>
        <w:spacing w:after="0" w:line="283" w:lineRule="auto"/>
        <w:tabs>
          <w:tab w:leader="none" w:pos="42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Our Stock Ownership participation Program was approved by our stockholders at our annual meeting held on May 1, 2015. Subsequent to the initial approval and through December 31, 2024, our stockholders have approved amendments to the Stock Ownership Participation Program to increase the number of shares authorized for issuance to 0.9 million shares, in the aggregate.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with the SEC</w:t>
      </w:r>
    </w:p>
    <w:p>
      <w:pPr>
        <w:spacing w:after="0" w:line="81" w:lineRule="exact"/>
        <w:rPr>
          <w:sz w:val="20"/>
          <w:szCs w:val="20"/>
          <w:color w:val="auto"/>
        </w:rPr>
      </w:pPr>
    </w:p>
    <w:p>
      <w:pPr>
        <w:ind w:right="560"/>
        <w:spacing w:after="0" w:line="321" w:lineRule="auto"/>
        <w:rPr>
          <w:sz w:val="20"/>
          <w:szCs w:val="20"/>
          <w:color w:val="auto"/>
        </w:rPr>
      </w:pPr>
      <w:r>
        <w:rPr>
          <w:rFonts w:ascii="Arial" w:cs="Arial" w:eastAsia="Arial" w:hAnsi="Arial"/>
          <w:sz w:val="16"/>
          <w:szCs w:val="16"/>
          <w:color w:val="auto"/>
        </w:rPr>
        <w:t>We intend to file with the U.S. Securities and Exchange Commission a registration statement on Form S-8 covering the 900,000 additional shares reserved for issuance under the Plan.</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tabs>
          <w:tab w:leader="none" w:pos="444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13"/>
          <w:szCs w:val="13"/>
          <w:b w:val="1"/>
          <w:bCs w:val="1"/>
          <w:color w:val="00558C"/>
        </w:rPr>
        <w:t>76</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420370</wp:posOffset>
            </wp:positionV>
            <wp:extent cx="6810375" cy="34366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10375" cy="3436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540" w:val="left"/>
          <w:tab w:leader="none" w:pos="7360" w:val="left"/>
          <w:tab w:leader="none" w:pos="8400" w:val="left"/>
        </w:tabs>
        <w:rPr>
          <w:sz w:val="20"/>
          <w:szCs w:val="20"/>
          <w:color w:val="auto"/>
        </w:rPr>
      </w:pPr>
      <w:r>
        <w:rPr>
          <w:rFonts w:ascii="Arial" w:cs="Arial" w:eastAsia="Arial" w:hAnsi="Arial"/>
          <w:sz w:val="13"/>
          <w:szCs w:val="13"/>
          <w:b w:val="1"/>
          <w:bCs w:val="1"/>
          <w:color w:val="B2B3B6"/>
        </w:rPr>
        <w:t>General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Corporate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Executive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6AAA37"/>
        </w:rPr>
        <w:t>Proposal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Stockholder</w:t>
      </w:r>
      <w:r>
        <w:rPr>
          <w:sz w:val="20"/>
          <w:szCs w:val="20"/>
          <w:color w:val="auto"/>
        </w:rPr>
        <w:tab/>
      </w:r>
      <w:r>
        <w:rPr>
          <w:rFonts w:ascii="Arial" w:cs="Arial" w:eastAsia="Arial" w:hAnsi="Arial"/>
          <w:sz w:val="12"/>
          <w:szCs w:val="12"/>
          <w:b w:val="1"/>
          <w:bCs w:val="1"/>
          <w:color w:val="B2B3B6"/>
        </w:rPr>
        <w:t>Other</w:t>
      </w:r>
    </w:p>
    <w:p>
      <w:pPr>
        <w:spacing w:after="0" w:line="11"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540" w:val="left"/>
          <w:tab w:leader="none" w:pos="7360" w:val="left"/>
          <w:tab w:leader="none" w:pos="8400" w:val="left"/>
        </w:tabs>
        <w:rPr>
          <w:sz w:val="20"/>
          <w:szCs w:val="20"/>
          <w:color w:val="auto"/>
        </w:rPr>
      </w:pPr>
      <w:r>
        <w:rPr>
          <w:rFonts w:ascii="Arial" w:cs="Arial" w:eastAsia="Arial" w:hAnsi="Arial"/>
          <w:sz w:val="13"/>
          <w:szCs w:val="13"/>
          <w:b w:val="1"/>
          <w:bCs w:val="1"/>
          <w:color w:val="B2B3B6"/>
        </w:rPr>
        <w:t>Information</w:t>
      </w:r>
      <w:r>
        <w:rPr>
          <w:sz w:val="20"/>
          <w:szCs w:val="20"/>
          <w:color w:val="auto"/>
        </w:rPr>
        <w:tab/>
      </w:r>
      <w:r>
        <w:rPr>
          <w:rFonts w:ascii="Arial" w:cs="Arial" w:eastAsia="Arial" w:hAnsi="Arial"/>
          <w:sz w:val="13"/>
          <w:szCs w:val="13"/>
          <w:b w:val="1"/>
          <w:bCs w:val="1"/>
          <w:color w:val="B2B3B6"/>
        </w:rPr>
        <w:t>One</w:t>
      </w:r>
      <w:r>
        <w:rPr>
          <w:sz w:val="20"/>
          <w:szCs w:val="20"/>
          <w:color w:val="auto"/>
        </w:rPr>
        <w:tab/>
      </w:r>
      <w:r>
        <w:rPr>
          <w:rFonts w:ascii="Arial" w:cs="Arial" w:eastAsia="Arial" w:hAnsi="Arial"/>
          <w:sz w:val="13"/>
          <w:szCs w:val="13"/>
          <w:b w:val="1"/>
          <w:bCs w:val="1"/>
          <w:color w:val="B2B3B6"/>
        </w:rPr>
        <w:t>Governance</w:t>
      </w:r>
      <w:r>
        <w:rPr>
          <w:sz w:val="20"/>
          <w:szCs w:val="20"/>
          <w:color w:val="auto"/>
        </w:rPr>
        <w:tab/>
      </w:r>
      <w:r>
        <w:rPr>
          <w:rFonts w:ascii="Arial" w:cs="Arial" w:eastAsia="Arial" w:hAnsi="Arial"/>
          <w:sz w:val="13"/>
          <w:szCs w:val="13"/>
          <w:b w:val="1"/>
          <w:bCs w:val="1"/>
          <w:color w:val="B2B3B6"/>
        </w:rPr>
        <w:t>Two</w:t>
      </w:r>
      <w:r>
        <w:rPr>
          <w:sz w:val="20"/>
          <w:szCs w:val="20"/>
          <w:color w:val="auto"/>
        </w:rPr>
        <w:tab/>
      </w:r>
      <w:r>
        <w:rPr>
          <w:rFonts w:ascii="Arial" w:cs="Arial" w:eastAsia="Arial" w:hAnsi="Arial"/>
          <w:sz w:val="13"/>
          <w:szCs w:val="13"/>
          <w:b w:val="1"/>
          <w:bCs w:val="1"/>
          <w:color w:val="B2B3B6"/>
        </w:rPr>
        <w:t>Compensation</w:t>
      </w:r>
      <w:r>
        <w:rPr>
          <w:sz w:val="20"/>
          <w:szCs w:val="20"/>
          <w:color w:val="auto"/>
        </w:rPr>
        <w:tab/>
      </w:r>
      <w:r>
        <w:rPr>
          <w:rFonts w:ascii="Arial" w:cs="Arial" w:eastAsia="Arial" w:hAnsi="Arial"/>
          <w:sz w:val="13"/>
          <w:szCs w:val="13"/>
          <w:b w:val="1"/>
          <w:bCs w:val="1"/>
          <w:color w:val="B2B3B6"/>
        </w:rPr>
        <w:t>Three</w:t>
      </w:r>
      <w:r>
        <w:rPr>
          <w:sz w:val="20"/>
          <w:szCs w:val="20"/>
          <w:color w:val="auto"/>
        </w:rPr>
        <w:tab/>
      </w:r>
      <w:r>
        <w:rPr>
          <w:rFonts w:ascii="Arial" w:cs="Arial" w:eastAsia="Arial" w:hAnsi="Arial"/>
          <w:sz w:val="13"/>
          <w:szCs w:val="13"/>
          <w:b w:val="1"/>
          <w:bCs w:val="1"/>
          <w:color w:val="6AAA37"/>
        </w:rPr>
        <w:t>Four</w:t>
      </w:r>
      <w:r>
        <w:rPr>
          <w:sz w:val="20"/>
          <w:szCs w:val="20"/>
          <w:color w:val="auto"/>
        </w:rPr>
        <w:tab/>
      </w:r>
      <w:r>
        <w:rPr>
          <w:rFonts w:ascii="Arial" w:cs="Arial" w:eastAsia="Arial" w:hAnsi="Arial"/>
          <w:sz w:val="13"/>
          <w:szCs w:val="13"/>
          <w:b w:val="1"/>
          <w:bCs w:val="1"/>
          <w:color w:val="B2B3B6"/>
        </w:rPr>
        <w:t>Five</w:t>
      </w:r>
      <w:r>
        <w:rPr>
          <w:sz w:val="20"/>
          <w:szCs w:val="20"/>
          <w:color w:val="auto"/>
        </w:rPr>
        <w:tab/>
      </w:r>
      <w:r>
        <w:rPr>
          <w:rFonts w:ascii="Arial" w:cs="Arial" w:eastAsia="Arial" w:hAnsi="Arial"/>
          <w:sz w:val="13"/>
          <w:szCs w:val="13"/>
          <w:b w:val="1"/>
          <w:bCs w:val="1"/>
          <w:color w:val="B2B3B6"/>
        </w:rPr>
        <w:t>Proposals</w:t>
      </w:r>
      <w:r>
        <w:rPr>
          <w:sz w:val="20"/>
          <w:szCs w:val="20"/>
          <w:color w:val="auto"/>
        </w:rPr>
        <w:tab/>
      </w:r>
      <w:r>
        <w:rPr>
          <w:rFonts w:ascii="Arial" w:cs="Arial" w:eastAsia="Arial" w:hAnsi="Arial"/>
          <w:sz w:val="12"/>
          <w:szCs w:val="12"/>
          <w:b w:val="1"/>
          <w:bCs w:val="1"/>
          <w:color w:val="B2B3B6"/>
        </w:rPr>
        <w:t>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54"/>
          <w:szCs w:val="54"/>
          <w:color w:val="00558C"/>
        </w:rPr>
        <w:t>Proposal Four</w:t>
      </w:r>
    </w:p>
    <w:p>
      <w:pPr>
        <w:spacing w:after="0" w:line="360" w:lineRule="exact"/>
        <w:rPr>
          <w:sz w:val="20"/>
          <w:szCs w:val="20"/>
          <w:color w:val="auto"/>
        </w:rPr>
      </w:pPr>
    </w:p>
    <w:p>
      <w:pPr>
        <w:ind w:right="1960"/>
        <w:spacing w:after="0" w:line="288" w:lineRule="auto"/>
        <w:rPr>
          <w:sz w:val="20"/>
          <w:szCs w:val="20"/>
          <w:color w:val="auto"/>
        </w:rPr>
      </w:pPr>
      <w:r>
        <w:rPr>
          <w:rFonts w:ascii="Arial" w:cs="Arial" w:eastAsia="Arial" w:hAnsi="Arial"/>
          <w:sz w:val="29"/>
          <w:szCs w:val="29"/>
          <w:b w:val="1"/>
          <w:bCs w:val="1"/>
          <w:color w:val="B2B3B6"/>
        </w:rPr>
        <w:t>Approval of an Amendment to the Company’s Stock Ownership Participation Program</w:t>
      </w:r>
    </w:p>
    <w:p>
      <w:pPr>
        <w:sectPr>
          <w:pgSz w:w="11900" w:h="16875" w:orient="portrait"/>
          <w:cols w:equalWidth="0" w:num="1">
            <w:col w:w="9080"/>
          </w:cols>
          <w:pgMar w:left="1400" w:top="140" w:right="1419" w:bottom="0" w:gutter="0" w:footer="0" w:header="0"/>
        </w:sectPr>
      </w:pPr>
    </w:p>
    <w:p>
      <w:pPr>
        <w:spacing w:after="0" w:line="232" w:lineRule="exact"/>
        <w:rPr>
          <w:sz w:val="20"/>
          <w:szCs w:val="20"/>
          <w:color w:val="auto"/>
        </w:rPr>
      </w:pPr>
    </w:p>
    <w:p>
      <w:pPr>
        <w:ind w:right="260"/>
        <w:spacing w:after="0" w:line="293" w:lineRule="auto"/>
        <w:rPr>
          <w:sz w:val="20"/>
          <w:szCs w:val="20"/>
          <w:color w:val="auto"/>
        </w:rPr>
      </w:pPr>
      <w:r>
        <w:rPr>
          <w:rFonts w:ascii="Arial" w:cs="Arial" w:eastAsia="Arial" w:hAnsi="Arial"/>
          <w:sz w:val="16"/>
          <w:szCs w:val="16"/>
          <w:color w:val="auto"/>
        </w:rPr>
        <w:t>To enable us to continue to offer meaningful ownership opportunities to our broader employee population, on March 19, 2025, our Board approved, subject to stockholder approval, an amendment to the Company's Stock Ownership Participation Program (the "SOPP Plan") to increase the number of shares of common stock (“shares”) available for grant under the SOPP Plan by 150,000 shares.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21"/>
          <w:szCs w:val="21"/>
          <w:b w:val="1"/>
          <w:bCs w:val="1"/>
          <w:color w:val="FFFFFF"/>
        </w:rPr>
        <w:t>Recommendation</w:t>
      </w:r>
    </w:p>
    <w:p>
      <w:pPr>
        <w:spacing w:after="0" w:line="69" w:lineRule="exact"/>
        <w:rPr>
          <w:sz w:val="20"/>
          <w:szCs w:val="20"/>
          <w:color w:val="auto"/>
        </w:rPr>
      </w:pPr>
    </w:p>
    <w:p>
      <w:pPr>
        <w:spacing w:after="0"/>
        <w:rPr>
          <w:sz w:val="20"/>
          <w:szCs w:val="20"/>
          <w:color w:val="auto"/>
        </w:rPr>
      </w:pPr>
      <w:r>
        <w:rPr>
          <w:rFonts w:ascii="Arial" w:cs="Arial" w:eastAsia="Arial" w:hAnsi="Arial"/>
          <w:sz w:val="22"/>
          <w:szCs w:val="22"/>
          <w:b w:val="1"/>
          <w:bCs w:val="1"/>
          <w:color w:val="FFFFFF"/>
        </w:rPr>
        <w:t>of the Board</w:t>
      </w:r>
    </w:p>
    <w:p>
      <w:pPr>
        <w:sectPr>
          <w:pgSz w:w="11900" w:h="16875" w:orient="portrait"/>
          <w:cols w:equalWidth="0" w:num="2">
            <w:col w:w="5700" w:space="720"/>
            <w:col w:w="2660"/>
          </w:cols>
          <w:pgMar w:left="1400" w:top="140" w:right="1419" w:bottom="0" w:gutter="0" w:footer="0" w:header="0"/>
          <w:type w:val="continuous"/>
        </w:sectPr>
      </w:pPr>
    </w:p>
    <w:bookmarkStart w:id="76" w:name="page77"/>
    <w:bookmarkEnd w:id="76"/>
    <w:p>
      <w:pPr>
        <w:spacing w:after="0" w:line="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541972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10375" cy="541972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Background and Reasons for Amending the Plan</w:t>
      </w:r>
    </w:p>
    <w:p>
      <w:pPr>
        <w:spacing w:after="0" w:line="68" w:lineRule="exact"/>
        <w:rPr>
          <w:sz w:val="20"/>
          <w:szCs w:val="20"/>
          <w:color w:val="auto"/>
        </w:rPr>
      </w:pPr>
    </w:p>
    <w:p>
      <w:pPr>
        <w:ind w:right="200"/>
        <w:spacing w:after="0" w:line="292" w:lineRule="auto"/>
        <w:rPr>
          <w:sz w:val="20"/>
          <w:szCs w:val="20"/>
          <w:color w:val="auto"/>
        </w:rPr>
      </w:pPr>
      <w:r>
        <w:rPr>
          <w:rFonts w:ascii="Arial" w:cs="Arial" w:eastAsia="Arial" w:hAnsi="Arial"/>
          <w:sz w:val="16"/>
          <w:szCs w:val="16"/>
          <w:color w:val="auto"/>
        </w:rPr>
        <w:t>Huron operates in a highly competitive talent market and our compensation philosophy is focused on motivating and effectively rewarding our professionals for their significant contributions. To continue to attract and retain highly qualified employees, align those employees' interests with stockholders' interests, foster a strong commitment to the Company's growth strategy, and provide an opportunity to share in the growth of the Company, we believe it is critical to provide an opportunity for employee stock ownership.</w:t>
      </w:r>
    </w:p>
    <w:p>
      <w:pPr>
        <w:spacing w:after="0" w:line="113" w:lineRule="exact"/>
        <w:rPr>
          <w:sz w:val="20"/>
          <w:szCs w:val="20"/>
          <w:color w:val="auto"/>
        </w:rPr>
      </w:pPr>
    </w:p>
    <w:p>
      <w:pPr>
        <w:ind w:right="220"/>
        <w:spacing w:after="0" w:line="288" w:lineRule="auto"/>
        <w:rPr>
          <w:sz w:val="20"/>
          <w:szCs w:val="20"/>
          <w:color w:val="auto"/>
        </w:rPr>
      </w:pPr>
      <w:r>
        <w:rPr>
          <w:rFonts w:ascii="Arial" w:cs="Arial" w:eastAsia="Arial" w:hAnsi="Arial"/>
          <w:sz w:val="16"/>
          <w:szCs w:val="16"/>
          <w:color w:val="auto"/>
        </w:rPr>
        <w:t>Huron's non-qualified SOPP Plan was initially approved by stockholder vote in 2015, and has since become a key feature of our Total Rewards program for employees who do not receive equity-based awards as part of their normal compensation plan. The SOPP Plan encourages broad-based participation across our employee population. Employees of the Company or a participating subsidiary who are: (i) below the principal level, and (ii) employed in a position other than that of Project Consultant or on a temporary basis, are eligible to participate in the SOPP Plan. As of March 10, 2025, there were approximately 7,190 such employees eligible to participate in the SOPP Plan.</w:t>
      </w:r>
    </w:p>
    <w:p>
      <w:pPr>
        <w:spacing w:after="0" w:line="114"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Subject to the limitations set forth in the SOPP Plan, eligible employees may elect to contribute up to an aggregate amount of $20,000 per calendar year of their base salary and/or annual bonus through after-tax payroll deductions. Accumulated contributions made during the offering periods are used to purchase shares of the Company's common stock at the current stock price on the date of purchase.</w:t>
      </w:r>
    </w:p>
    <w:p>
      <w:pPr>
        <w:spacing w:after="0" w:line="20" w:lineRule="exact"/>
        <w:rPr>
          <w:sz w:val="20"/>
          <w:szCs w:val="20"/>
          <w:color w:val="auto"/>
        </w:rPr>
      </w:pPr>
      <w:r>
        <w:rPr>
          <w:sz w:val="20"/>
          <w:szCs w:val="20"/>
          <w:color w:val="auto"/>
        </w:rPr>
        <w:br w:type="column"/>
      </w:r>
    </w:p>
    <w:p>
      <w:pPr>
        <w:spacing w:after="0" w:line="370" w:lineRule="exact"/>
        <w:rPr>
          <w:sz w:val="20"/>
          <w:szCs w:val="20"/>
          <w:color w:val="auto"/>
        </w:rPr>
      </w:pPr>
    </w:p>
    <w:p>
      <w:pPr>
        <w:ind w:right="740"/>
        <w:spacing w:after="0" w:line="274" w:lineRule="auto"/>
        <w:rPr>
          <w:sz w:val="20"/>
          <w:szCs w:val="20"/>
          <w:color w:val="auto"/>
        </w:rPr>
      </w:pPr>
      <w:r>
        <w:rPr>
          <w:rFonts w:ascii="Arial" w:cs="Arial" w:eastAsia="Arial" w:hAnsi="Arial"/>
          <w:sz w:val="17"/>
          <w:szCs w:val="17"/>
          <w:color w:val="FFFFFF"/>
        </w:rPr>
        <w:t>The Board recommends that stockholders vote FOR approval of the amendment to the company’s stock ownership participation program.</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54"/>
          <w:szCs w:val="54"/>
          <w:color w:val="6AAA37"/>
        </w:rPr>
        <w:t>25%</w:t>
      </w:r>
    </w:p>
    <w:p>
      <w:pPr>
        <w:spacing w:after="0" w:line="86" w:lineRule="exact"/>
        <w:rPr>
          <w:sz w:val="20"/>
          <w:szCs w:val="20"/>
          <w:color w:val="auto"/>
        </w:rPr>
      </w:pPr>
    </w:p>
    <w:p>
      <w:pPr>
        <w:ind w:right="780"/>
        <w:spacing w:after="0" w:line="264" w:lineRule="auto"/>
        <w:rPr>
          <w:sz w:val="20"/>
          <w:szCs w:val="20"/>
          <w:color w:val="auto"/>
        </w:rPr>
      </w:pPr>
      <w:r>
        <w:rPr>
          <w:rFonts w:ascii="Arial" w:cs="Arial" w:eastAsia="Arial" w:hAnsi="Arial"/>
          <w:sz w:val="16"/>
          <w:szCs w:val="16"/>
          <w:color w:val="auto"/>
        </w:rPr>
        <w:t>restricted stock unit match for all employee share purchases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54"/>
          <w:szCs w:val="54"/>
          <w:color w:val="6AAA37"/>
        </w:rPr>
        <w:t>95%</w:t>
      </w:r>
    </w:p>
    <w:p>
      <w:pPr>
        <w:spacing w:after="0" w:line="86" w:lineRule="exact"/>
        <w:rPr>
          <w:sz w:val="20"/>
          <w:szCs w:val="20"/>
          <w:color w:val="auto"/>
        </w:rPr>
      </w:pPr>
    </w:p>
    <w:p>
      <w:pPr>
        <w:ind w:right="740"/>
        <w:spacing w:after="0" w:line="252" w:lineRule="auto"/>
        <w:rPr>
          <w:sz w:val="20"/>
          <w:szCs w:val="20"/>
          <w:color w:val="auto"/>
        </w:rPr>
      </w:pPr>
      <w:r>
        <w:rPr>
          <w:rFonts w:ascii="Arial" w:cs="Arial" w:eastAsia="Arial" w:hAnsi="Arial"/>
          <w:sz w:val="16"/>
          <w:szCs w:val="16"/>
          <w:color w:val="auto"/>
        </w:rPr>
        <w:t>of our global workforce is eligible to participate in the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SOPP</w:t>
      </w:r>
    </w:p>
    <w:p>
      <w:pPr>
        <w:spacing w:after="0" w:line="200" w:lineRule="exact"/>
        <w:rPr>
          <w:sz w:val="20"/>
          <w:szCs w:val="20"/>
          <w:color w:val="auto"/>
        </w:rPr>
      </w:pPr>
    </w:p>
    <w:p>
      <w:pPr>
        <w:sectPr>
          <w:pgSz w:w="11900" w:h="16931" w:orient="portrait"/>
          <w:cols w:equalWidth="0" w:num="2">
            <w:col w:w="5700" w:space="720"/>
            <w:col w:w="2660"/>
          </w:cols>
          <w:pgMar w:left="1400" w:top="229" w:right="14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3000" w:type="dxa"/>
            <w:vAlign w:val="bottom"/>
          </w:tcPr>
          <w:p>
            <w:pPr>
              <w:spacing w:after="0"/>
              <w:rPr>
                <w:sz w:val="20"/>
                <w:szCs w:val="20"/>
                <w:color w:val="auto"/>
              </w:rPr>
            </w:pPr>
            <w:r>
              <w:rPr>
                <w:rFonts w:ascii="Arial" w:cs="Arial" w:eastAsia="Arial" w:hAnsi="Arial"/>
                <w:sz w:val="13"/>
                <w:szCs w:val="13"/>
                <w:color w:val="auto"/>
              </w:rPr>
              <w:t>Huron Consulting Group Inc.</w:t>
            </w:r>
          </w:p>
        </w:tc>
        <w:tc>
          <w:tcPr>
            <w:tcW w:w="3140" w:type="dxa"/>
            <w:vAlign w:val="bottom"/>
          </w:tcPr>
          <w:p>
            <w:pPr>
              <w:jc w:val="right"/>
              <w:ind w:right="1537"/>
              <w:spacing w:after="0"/>
              <w:rPr>
                <w:sz w:val="20"/>
                <w:szCs w:val="20"/>
                <w:color w:val="auto"/>
              </w:rPr>
            </w:pPr>
            <w:r>
              <w:rPr>
                <w:rFonts w:ascii="Arial" w:cs="Arial" w:eastAsia="Arial" w:hAnsi="Arial"/>
                <w:sz w:val="13"/>
                <w:szCs w:val="13"/>
                <w:b w:val="1"/>
                <w:bCs w:val="1"/>
                <w:color w:val="00558C"/>
              </w:rPr>
              <w:t>77</w:t>
            </w:r>
          </w:p>
        </w:tc>
        <w:tc>
          <w:tcPr>
            <w:tcW w:w="2840" w:type="dxa"/>
            <w:vAlign w:val="bottom"/>
          </w:tcPr>
          <w:p>
            <w:pPr>
              <w:ind w:left="1580"/>
              <w:spacing w:after="0"/>
              <w:rPr>
                <w:sz w:val="20"/>
                <w:szCs w:val="20"/>
                <w:color w:val="auto"/>
              </w:rPr>
            </w:pPr>
            <w:r>
              <w:rPr>
                <w:rFonts w:ascii="Arial" w:cs="Arial" w:eastAsia="Arial" w:hAnsi="Arial"/>
                <w:sz w:val="13"/>
                <w:szCs w:val="13"/>
                <w:color w:val="auto"/>
                <w:w w:val="96"/>
              </w:rPr>
              <w:t>2025 Proxy Statement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397510</wp:posOffset>
            </wp:positionV>
            <wp:extent cx="6810375" cy="501396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10375" cy="5013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540" w:val="left"/>
          <w:tab w:leader="none" w:pos="7360" w:val="left"/>
          <w:tab w:leader="none" w:pos="8400" w:val="left"/>
        </w:tabs>
        <w:rPr>
          <w:sz w:val="20"/>
          <w:szCs w:val="20"/>
          <w:color w:val="auto"/>
        </w:rPr>
      </w:pPr>
      <w:r>
        <w:rPr>
          <w:rFonts w:ascii="Arial" w:cs="Arial" w:eastAsia="Arial" w:hAnsi="Arial"/>
          <w:sz w:val="13"/>
          <w:szCs w:val="13"/>
          <w:b w:val="1"/>
          <w:bCs w:val="1"/>
          <w:color w:val="B2B3B6"/>
        </w:rPr>
        <w:t>General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Corporate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Executive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6AAA37"/>
        </w:rPr>
        <w:t>Proposal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Stockholder</w:t>
      </w:r>
      <w:r>
        <w:rPr>
          <w:sz w:val="20"/>
          <w:szCs w:val="20"/>
          <w:color w:val="auto"/>
        </w:rPr>
        <w:tab/>
      </w:r>
      <w:r>
        <w:rPr>
          <w:rFonts w:ascii="Arial" w:cs="Arial" w:eastAsia="Arial" w:hAnsi="Arial"/>
          <w:sz w:val="12"/>
          <w:szCs w:val="12"/>
          <w:b w:val="1"/>
          <w:bCs w:val="1"/>
          <w:color w:val="B2B3B6"/>
        </w:rPr>
        <w:t>Other</w:t>
      </w:r>
    </w:p>
    <w:p>
      <w:pPr>
        <w:spacing w:after="0" w:line="11"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540" w:val="left"/>
          <w:tab w:leader="none" w:pos="7360" w:val="left"/>
          <w:tab w:leader="none" w:pos="8400" w:val="left"/>
        </w:tabs>
        <w:rPr>
          <w:sz w:val="20"/>
          <w:szCs w:val="20"/>
          <w:color w:val="auto"/>
        </w:rPr>
      </w:pPr>
      <w:r>
        <w:rPr>
          <w:rFonts w:ascii="Arial" w:cs="Arial" w:eastAsia="Arial" w:hAnsi="Arial"/>
          <w:sz w:val="13"/>
          <w:szCs w:val="13"/>
          <w:b w:val="1"/>
          <w:bCs w:val="1"/>
          <w:color w:val="B2B3B6"/>
        </w:rPr>
        <w:t>Information</w:t>
      </w:r>
      <w:r>
        <w:rPr>
          <w:sz w:val="20"/>
          <w:szCs w:val="20"/>
          <w:color w:val="auto"/>
        </w:rPr>
        <w:tab/>
      </w:r>
      <w:r>
        <w:rPr>
          <w:rFonts w:ascii="Arial" w:cs="Arial" w:eastAsia="Arial" w:hAnsi="Arial"/>
          <w:sz w:val="13"/>
          <w:szCs w:val="13"/>
          <w:b w:val="1"/>
          <w:bCs w:val="1"/>
          <w:color w:val="B2B3B6"/>
        </w:rPr>
        <w:t>One</w:t>
      </w:r>
      <w:r>
        <w:rPr>
          <w:sz w:val="20"/>
          <w:szCs w:val="20"/>
          <w:color w:val="auto"/>
        </w:rPr>
        <w:tab/>
      </w:r>
      <w:r>
        <w:rPr>
          <w:rFonts w:ascii="Arial" w:cs="Arial" w:eastAsia="Arial" w:hAnsi="Arial"/>
          <w:sz w:val="13"/>
          <w:szCs w:val="13"/>
          <w:b w:val="1"/>
          <w:bCs w:val="1"/>
          <w:color w:val="B2B3B6"/>
        </w:rPr>
        <w:t>Governance</w:t>
      </w:r>
      <w:r>
        <w:rPr>
          <w:sz w:val="20"/>
          <w:szCs w:val="20"/>
          <w:color w:val="auto"/>
        </w:rPr>
        <w:tab/>
      </w:r>
      <w:r>
        <w:rPr>
          <w:rFonts w:ascii="Arial" w:cs="Arial" w:eastAsia="Arial" w:hAnsi="Arial"/>
          <w:sz w:val="13"/>
          <w:szCs w:val="13"/>
          <w:b w:val="1"/>
          <w:bCs w:val="1"/>
          <w:color w:val="B2B3B6"/>
        </w:rPr>
        <w:t>Two</w:t>
      </w:r>
      <w:r>
        <w:rPr>
          <w:sz w:val="20"/>
          <w:szCs w:val="20"/>
          <w:color w:val="auto"/>
        </w:rPr>
        <w:tab/>
      </w:r>
      <w:r>
        <w:rPr>
          <w:rFonts w:ascii="Arial" w:cs="Arial" w:eastAsia="Arial" w:hAnsi="Arial"/>
          <w:sz w:val="13"/>
          <w:szCs w:val="13"/>
          <w:b w:val="1"/>
          <w:bCs w:val="1"/>
          <w:color w:val="B2B3B6"/>
        </w:rPr>
        <w:t>Compensation</w:t>
      </w:r>
      <w:r>
        <w:rPr>
          <w:sz w:val="20"/>
          <w:szCs w:val="20"/>
          <w:color w:val="auto"/>
        </w:rPr>
        <w:tab/>
      </w:r>
      <w:r>
        <w:rPr>
          <w:rFonts w:ascii="Arial" w:cs="Arial" w:eastAsia="Arial" w:hAnsi="Arial"/>
          <w:sz w:val="13"/>
          <w:szCs w:val="13"/>
          <w:b w:val="1"/>
          <w:bCs w:val="1"/>
          <w:color w:val="B2B3B6"/>
        </w:rPr>
        <w:t>Three</w:t>
      </w:r>
      <w:r>
        <w:rPr>
          <w:sz w:val="20"/>
          <w:szCs w:val="20"/>
          <w:color w:val="auto"/>
        </w:rPr>
        <w:tab/>
      </w:r>
      <w:r>
        <w:rPr>
          <w:rFonts w:ascii="Arial" w:cs="Arial" w:eastAsia="Arial" w:hAnsi="Arial"/>
          <w:sz w:val="13"/>
          <w:szCs w:val="13"/>
          <w:b w:val="1"/>
          <w:bCs w:val="1"/>
          <w:color w:val="6AAA37"/>
        </w:rPr>
        <w:t>Four</w:t>
      </w:r>
      <w:r>
        <w:rPr>
          <w:sz w:val="20"/>
          <w:szCs w:val="20"/>
          <w:color w:val="auto"/>
        </w:rPr>
        <w:tab/>
      </w:r>
      <w:r>
        <w:rPr>
          <w:rFonts w:ascii="Arial" w:cs="Arial" w:eastAsia="Arial" w:hAnsi="Arial"/>
          <w:sz w:val="13"/>
          <w:szCs w:val="13"/>
          <w:b w:val="1"/>
          <w:bCs w:val="1"/>
          <w:color w:val="B2B3B6"/>
        </w:rPr>
        <w:t>Five</w:t>
      </w:r>
      <w:r>
        <w:rPr>
          <w:sz w:val="20"/>
          <w:szCs w:val="20"/>
          <w:color w:val="auto"/>
        </w:rPr>
        <w:tab/>
      </w:r>
      <w:r>
        <w:rPr>
          <w:rFonts w:ascii="Arial" w:cs="Arial" w:eastAsia="Arial" w:hAnsi="Arial"/>
          <w:sz w:val="13"/>
          <w:szCs w:val="13"/>
          <w:b w:val="1"/>
          <w:bCs w:val="1"/>
          <w:color w:val="B2B3B6"/>
        </w:rPr>
        <w:t>Proposals</w:t>
      </w:r>
      <w:r>
        <w:rPr>
          <w:sz w:val="20"/>
          <w:szCs w:val="20"/>
          <w:color w:val="auto"/>
        </w:rPr>
        <w:tab/>
      </w:r>
      <w:r>
        <w:rPr>
          <w:rFonts w:ascii="Arial" w:cs="Arial" w:eastAsia="Arial" w:hAnsi="Arial"/>
          <w:sz w:val="12"/>
          <w:szCs w:val="12"/>
          <w:b w:val="1"/>
          <w:bCs w:val="1"/>
          <w:color w:val="B2B3B6"/>
        </w:rPr>
        <w:t>Matters</w:t>
      </w:r>
    </w:p>
    <w:p>
      <w:pPr>
        <w:spacing w:after="0" w:line="30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Employees who purchase stock under the SOPP Plan receive a 25% restricted stock unit match, which vests after one year so long as the purchased shares are held by the employee for the specified holding period. The terms of the matched shares, including the number of shares granted and the vesting requirements, are set forth in a separate restricted stock unit grant agreement. We have chosen to offer a restricted stock unit match instead of a traditional discount in order to encourage participation by employees who are prepared to own Huron stock for the required holding period.</w:t>
      </w:r>
    </w:p>
    <w:p>
      <w:pPr>
        <w:spacing w:after="0" w:line="113" w:lineRule="exact"/>
        <w:rPr>
          <w:sz w:val="20"/>
          <w:szCs w:val="20"/>
          <w:color w:val="auto"/>
        </w:rPr>
      </w:pPr>
    </w:p>
    <w:p>
      <w:pPr>
        <w:ind w:right="140"/>
        <w:spacing w:after="0" w:line="310" w:lineRule="auto"/>
        <w:rPr>
          <w:sz w:val="20"/>
          <w:szCs w:val="20"/>
          <w:color w:val="auto"/>
        </w:rPr>
      </w:pPr>
      <w:r>
        <w:rPr>
          <w:rFonts w:ascii="Arial" w:cs="Arial" w:eastAsia="Arial" w:hAnsi="Arial"/>
          <w:sz w:val="16"/>
          <w:szCs w:val="16"/>
          <w:color w:val="auto"/>
        </w:rPr>
        <w:t>As of March 10, 2025, 222,234 shares of common stock remained available for grant under the SOPP Plan. With approval of the 150,000 share increase, the total number of shares available for future grant will increase to 372,234 shares, which represents approximately 2.1% of outstanding common shares.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Required</w:t>
      </w:r>
    </w:p>
    <w:p>
      <w:pPr>
        <w:spacing w:after="0" w:line="81"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 approval of the amendment to the SOPP Plan requires the affirmative vote of the holders of a majority of the total shares of common stock present in person, or represented by proxy, and entitled to vote on the proposal, provided that a quorum is represented at the meeting. Abstentions will have the same effect as a vote against the proposal. Broker non-votes will not be considered shares entitled to vote with respect to approval of the proposal and therefore will have no effect on the outcome of the proposal. Executed proxies will be voted "FOR" the approval of the proposal, unless specified otherwise.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Plan</w:t>
      </w:r>
    </w:p>
    <w:p>
      <w:pPr>
        <w:spacing w:after="0" w:line="81" w:lineRule="exact"/>
        <w:rPr>
          <w:sz w:val="20"/>
          <w:szCs w:val="20"/>
          <w:color w:val="auto"/>
        </w:rPr>
      </w:pPr>
    </w:p>
    <w:p>
      <w:pPr>
        <w:ind w:right="40"/>
        <w:spacing w:after="0" w:line="321" w:lineRule="auto"/>
        <w:rPr>
          <w:sz w:val="20"/>
          <w:szCs w:val="20"/>
          <w:color w:val="auto"/>
        </w:rPr>
      </w:pPr>
      <w:r>
        <w:rPr>
          <w:rFonts w:ascii="Arial" w:cs="Arial" w:eastAsia="Arial" w:hAnsi="Arial"/>
          <w:sz w:val="16"/>
          <w:szCs w:val="16"/>
          <w:color w:val="auto"/>
        </w:rPr>
        <w:t>The following description of the SOPP Plan, as amended, is qualified in its entirety by the specific language of the SOPP Plan, as amended, a copy of which is attached as Appendix B to this Proxy Statement.</w:t>
      </w:r>
    </w:p>
    <w:p>
      <w:pPr>
        <w:spacing w:after="0" w:line="88"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Under the SOPP Plan, 900,000 shares are authorized for issuance. We are asking our stockholders to approve an additional 150,000 shares to be available for issuance under the Plan, which will increase the aggregate number of shares authorized under the SOPP Plan to 1,050,000. Based solely on the closing price of the Company’s common stock, as reported on the Nasdaq on March 10, 2025, which was $144.24 per share, the maximum aggregate market value of the new 150,000 shares that could be issued under the Plan is $21,636,000.</w:t>
      </w:r>
    </w:p>
    <w:p>
      <w:pPr>
        <w:spacing w:after="0" w:line="113"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Subject to the limitations set forth in the SOPP Plan, eligible employees may elect to contribute up to an aggregate amount (the limit which is currently $20,000 per calendar year) of their base salary and/or annual bonus through after-tax payroll deductions. Accumulated contributions made during the Offering Periods (as defined below) are used to purchase shares of the Company's common stock (“shares”) at the current stock price on the date of purchase. Employees who purchase stock under the SOPP Plan receive a 25% restricted stock unit match (“matched shares”), which vests after one year so long as the</w:t>
      </w:r>
    </w:p>
    <w:p>
      <w:pPr>
        <w:sectPr>
          <w:pgSz w:w="11900" w:h="16931" w:orient="portrait"/>
          <w:cols w:equalWidth="0" w:num="1">
            <w:col w:w="9080"/>
          </w:cols>
          <w:pgMar w:left="1400" w:top="229" w:right="1419" w:bottom="0" w:gutter="0" w:footer="0" w:header="0"/>
          <w:type w:val="continuous"/>
        </w:sectPr>
      </w:pPr>
    </w:p>
    <w:bookmarkStart w:id="77" w:name="page78"/>
    <w:bookmarkEnd w:id="77"/>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auto"/>
        </w:rPr>
        <w:t>purchased shares are held by the employee for the specified holding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-98425</wp:posOffset>
            </wp:positionV>
            <wp:extent cx="6810375" cy="38423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10375" cy="3842385"/>
                    </a:xfrm>
                    <a:prstGeom prst="rect">
                      <a:avLst/>
                    </a:prstGeom>
                    <a:noFill/>
                  </pic:spPr>
                </pic:pic>
              </a:graphicData>
            </a:graphic>
          </wp:anchor>
        </w:drawing>
      </w:r>
    </w:p>
    <w:p>
      <w:pPr>
        <w:spacing w:after="0" w:line="161" w:lineRule="exact"/>
        <w:rPr>
          <w:sz w:val="20"/>
          <w:szCs w:val="20"/>
          <w:color w:val="auto"/>
        </w:rPr>
      </w:pPr>
    </w:p>
    <w:p>
      <w:pPr>
        <w:jc w:val="both"/>
        <w:ind w:right="160"/>
        <w:spacing w:after="0" w:line="296" w:lineRule="auto"/>
        <w:rPr>
          <w:sz w:val="20"/>
          <w:szCs w:val="20"/>
          <w:color w:val="auto"/>
        </w:rPr>
      </w:pPr>
      <w:r>
        <w:rPr>
          <w:rFonts w:ascii="Arial" w:cs="Arial" w:eastAsia="Arial" w:hAnsi="Arial"/>
          <w:sz w:val="16"/>
          <w:szCs w:val="16"/>
          <w:color w:val="auto"/>
        </w:rPr>
        <w:t>“Offering Period” means the quarterly offerings of shares beginning on the first day of January, the first day of April, the first day of July and the first day of October, and terminating, respectively, on the last day of March, the last day of June, the last day of September, and the last day of December. “Bonus Offering Period” means an annual offering of shares beginning and terminating on the dates selected by the Company. The first business day of each Offering Period and Bonus Offering Period is an “Enrollment Date.”</w:t>
      </w:r>
    </w:p>
    <w:p>
      <w:pPr>
        <w:spacing w:after="0" w:line="107" w:lineRule="exact"/>
        <w:rPr>
          <w:sz w:val="20"/>
          <w:szCs w:val="20"/>
          <w:color w:val="auto"/>
        </w:rPr>
      </w:pPr>
    </w:p>
    <w:p>
      <w:pPr>
        <w:ind w:right="260"/>
        <w:spacing w:after="0" w:line="295" w:lineRule="auto"/>
        <w:rPr>
          <w:sz w:val="20"/>
          <w:szCs w:val="20"/>
          <w:color w:val="auto"/>
        </w:rPr>
      </w:pPr>
      <w:r>
        <w:rPr>
          <w:rFonts w:ascii="Arial" w:cs="Arial" w:eastAsia="Arial" w:hAnsi="Arial"/>
          <w:sz w:val="16"/>
          <w:szCs w:val="16"/>
          <w:color w:val="auto"/>
        </w:rPr>
        <w:t>The terms of the matched shares, including the number of shares granted and the vesting requirements, are set forth in a separate restricted stock unit grant agreement. We have chosen to offer a restricted stock unit match instead of a traditional discount in order to encourage participation by employees who are prepared to own Huron stock for the required holding period.</w:t>
      </w:r>
    </w:p>
    <w:p>
      <w:pPr>
        <w:spacing w:after="0" w:line="108" w:lineRule="exact"/>
        <w:rPr>
          <w:sz w:val="20"/>
          <w:szCs w:val="20"/>
          <w:color w:val="auto"/>
        </w:rPr>
      </w:pPr>
    </w:p>
    <w:p>
      <w:pPr>
        <w:ind w:right="320"/>
        <w:spacing w:after="0" w:line="321" w:lineRule="auto"/>
        <w:rPr>
          <w:sz w:val="20"/>
          <w:szCs w:val="20"/>
          <w:color w:val="auto"/>
        </w:rPr>
      </w:pPr>
      <w:r>
        <w:rPr>
          <w:rFonts w:ascii="Arial" w:cs="Arial" w:eastAsia="Arial" w:hAnsi="Arial"/>
          <w:sz w:val="16"/>
          <w:szCs w:val="16"/>
          <w:color w:val="auto"/>
        </w:rPr>
        <w:t>The SOPP Plan is not intended to qualify as an “employee stock purchase plan” under section 423 of the Internal Revenue Code of 1986, as amended.</w:t>
      </w:r>
    </w:p>
    <w:p>
      <w:pPr>
        <w:spacing w:after="0" w:line="88"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b w:val="1"/>
          <w:bCs w:val="1"/>
          <w:i w:val="1"/>
          <w:iCs w:val="1"/>
          <w:color w:val="auto"/>
        </w:rPr>
        <w:t xml:space="preserve">Shares Subject to Plan. </w:t>
      </w:r>
      <w:r>
        <w:rPr>
          <w:rFonts w:ascii="Arial" w:cs="Arial" w:eastAsia="Arial" w:hAnsi="Arial"/>
          <w:sz w:val="16"/>
          <w:szCs w:val="16"/>
          <w:color w:val="auto"/>
        </w:rPr>
        <w:t>Subject to stockholder approval at the Annual Meeting, the SOPP Plan will have no more than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372,234 of our shares reserved for issuance under the SOPP Plan (inclusive of the 150,000 share increase), subject to appropriate adjustment in the event of any stock split, reverse stock split, stock dividend, combination or reclassification of the common stock of the Company, or any other increase or decrease in the number of Shares effected without receipt of consideration by the Company. If, on a given Purchase Date (as defined in the SOPP Plan), the number of shares to be allocated to participants’ brokerage accounts and the corresponding restricted stock unit match exceed the number of shares then available under the SOPP Plan, a pro rata allocation of the shares remaining available will be made. Any matched shares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0"/>
        <w:spacing w:after="0"/>
        <w:tabs>
          <w:tab w:leader="none" w:pos="444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13"/>
          <w:szCs w:val="13"/>
          <w:b w:val="1"/>
          <w:bCs w:val="1"/>
          <w:color w:val="00558C"/>
        </w:rPr>
        <w:t>78</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420370</wp:posOffset>
            </wp:positionV>
            <wp:extent cx="6810375" cy="65913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10375" cy="6591300"/>
                    </a:xfrm>
                    <a:prstGeom prst="rect">
                      <a:avLst/>
                    </a:prstGeom>
                    <a:noFill/>
                  </pic:spPr>
                </pic:pic>
              </a:graphicData>
            </a:graphic>
          </wp:anchor>
        </w:drawing>
      </w:r>
    </w:p>
    <w:p>
      <w:pPr>
        <w:sectPr>
          <w:pgSz w:w="11900" w:h="16973" w:orient="portrait"/>
          <w:cols w:equalWidth="0" w:num="1">
            <w:col w:w="9100"/>
          </w:cols>
          <w:pgMar w:left="1400" w:top="111" w:right="1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0"/>
        <w:spacing w:after="0" w:line="274" w:lineRule="auto"/>
        <w:rPr>
          <w:sz w:val="20"/>
          <w:szCs w:val="20"/>
          <w:color w:val="auto"/>
        </w:rPr>
      </w:pPr>
      <w:r>
        <w:rPr>
          <w:rFonts w:ascii="Arial" w:cs="Arial" w:eastAsia="Arial" w:hAnsi="Arial"/>
          <w:sz w:val="13"/>
          <w:szCs w:val="13"/>
          <w:b w:val="1"/>
          <w:bCs w:val="1"/>
          <w:color w:val="B2B3B6"/>
        </w:rPr>
        <w:t>General Proposal Information 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line="274" w:lineRule="auto"/>
        <w:rPr>
          <w:sz w:val="20"/>
          <w:szCs w:val="20"/>
          <w:color w:val="auto"/>
        </w:rPr>
      </w:pPr>
      <w:r>
        <w:rPr>
          <w:rFonts w:ascii="Arial" w:cs="Arial" w:eastAsia="Arial" w:hAnsi="Arial"/>
          <w:sz w:val="13"/>
          <w:szCs w:val="13"/>
          <w:b w:val="1"/>
          <w:bCs w:val="1"/>
          <w:color w:val="B2B3B6"/>
        </w:rPr>
        <w:t>Corporate Proposal Executive Governance Two 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220"/>
        <w:spacing w:after="0" w:line="274" w:lineRule="auto"/>
        <w:rPr>
          <w:sz w:val="20"/>
          <w:szCs w:val="20"/>
          <w:color w:val="auto"/>
        </w:rPr>
      </w:pPr>
      <w:r>
        <w:rPr>
          <w:rFonts w:ascii="Arial" w:cs="Arial" w:eastAsia="Arial" w:hAnsi="Arial"/>
          <w:sz w:val="13"/>
          <w:szCs w:val="13"/>
          <w:b w:val="1"/>
          <w:bCs w:val="1"/>
          <w:color w:val="B2B3B6"/>
        </w:rPr>
        <w:t xml:space="preserve">Proposal </w:t>
      </w:r>
      <w:r>
        <w:rPr>
          <w:rFonts w:ascii="Arial" w:cs="Arial" w:eastAsia="Arial" w:hAnsi="Arial"/>
          <w:sz w:val="13"/>
          <w:szCs w:val="13"/>
          <w:b w:val="1"/>
          <w:bCs w:val="1"/>
          <w:color w:val="6AAA37"/>
        </w:rPr>
        <w:t>Proposal</w:t>
      </w:r>
      <w:r>
        <w:rPr>
          <w:rFonts w:ascii="Arial" w:cs="Arial" w:eastAsia="Arial" w:hAnsi="Arial"/>
          <w:sz w:val="13"/>
          <w:szCs w:val="13"/>
          <w:b w:val="1"/>
          <w:bCs w:val="1"/>
          <w:color w:val="B2B3B6"/>
        </w:rPr>
        <w:t xml:space="preserve"> Proposal Stockholder Other Three </w:t>
      </w:r>
      <w:r>
        <w:rPr>
          <w:rFonts w:ascii="Arial" w:cs="Arial" w:eastAsia="Arial" w:hAnsi="Arial"/>
          <w:sz w:val="13"/>
          <w:szCs w:val="13"/>
          <w:b w:val="1"/>
          <w:bCs w:val="1"/>
          <w:color w:val="6AAA37"/>
        </w:rPr>
        <w:t>Four</w:t>
      </w:r>
      <w:r>
        <w:rPr>
          <w:rFonts w:ascii="Arial" w:cs="Arial" w:eastAsia="Arial" w:hAnsi="Arial"/>
          <w:sz w:val="13"/>
          <w:szCs w:val="13"/>
          <w:b w:val="1"/>
          <w:bCs w:val="1"/>
          <w:color w:val="B2B3B6"/>
        </w:rPr>
        <w:t xml:space="preserve"> Five Proposals Matters</w:t>
      </w:r>
    </w:p>
    <w:p>
      <w:pPr>
        <w:spacing w:after="0" w:line="200" w:lineRule="exact"/>
        <w:rPr>
          <w:sz w:val="20"/>
          <w:szCs w:val="20"/>
          <w:color w:val="auto"/>
        </w:rPr>
      </w:pPr>
    </w:p>
    <w:p>
      <w:pPr>
        <w:sectPr>
          <w:pgSz w:w="11900" w:h="16973" w:orient="portrait"/>
          <w:cols w:equalWidth="0" w:num="3">
            <w:col w:w="1600" w:space="300"/>
            <w:col w:w="2700" w:space="320"/>
            <w:col w:w="4180"/>
          </w:cols>
          <w:pgMar w:left="1400" w:top="111" w:right="1399" w:bottom="0" w:gutter="0" w:footer="0" w:header="0"/>
          <w:type w:val="continuous"/>
        </w:sectPr>
      </w:pPr>
    </w:p>
    <w:p>
      <w:pPr>
        <w:spacing w:after="0" w:line="70" w:lineRule="exact"/>
        <w:rPr>
          <w:sz w:val="20"/>
          <w:szCs w:val="20"/>
          <w:color w:val="auto"/>
        </w:rPr>
      </w:pPr>
    </w:p>
    <w:p>
      <w:pPr>
        <w:ind w:right="440"/>
        <w:spacing w:after="0" w:line="321" w:lineRule="auto"/>
        <w:rPr>
          <w:sz w:val="20"/>
          <w:szCs w:val="20"/>
          <w:color w:val="auto"/>
        </w:rPr>
      </w:pPr>
      <w:r>
        <w:rPr>
          <w:rFonts w:ascii="Arial" w:cs="Arial" w:eastAsia="Arial" w:hAnsi="Arial"/>
          <w:sz w:val="16"/>
          <w:szCs w:val="16"/>
          <w:color w:val="auto"/>
        </w:rPr>
        <w:t>retained to satisfy tax withholding obligations and any forfeited matched shares will be available again for grant under the SOPP Plan as purchased shares or matched shares.</w:t>
      </w:r>
    </w:p>
    <w:p>
      <w:pPr>
        <w:spacing w:after="0" w:line="88"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b w:val="1"/>
          <w:bCs w:val="1"/>
          <w:i w:val="1"/>
          <w:iCs w:val="1"/>
          <w:color w:val="auto"/>
        </w:rPr>
        <w:t xml:space="preserve">Administration. </w:t>
      </w:r>
      <w:r>
        <w:rPr>
          <w:rFonts w:ascii="Arial" w:cs="Arial" w:eastAsia="Arial" w:hAnsi="Arial"/>
          <w:sz w:val="16"/>
          <w:szCs w:val="16"/>
          <w:color w:val="auto"/>
        </w:rPr>
        <w:t>The Compensation Committee (the “Committee”), or to the extent the Committee has delegated certain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administrative authority over the SOPP Plan to the Internal Committee (as defined in the SOPP Plan), the Internal Committee, generally administers the SOPP Plan. Specifically, the Committee has the discretionary authority to determine the time and frequency of Offering Periods and Bonus Offering Periods, the terms and conditions for the purchase of shares and the receipt of matching restricted stock units, the percentage for matching restricted stock units, and any other term or feature of the SOPP Plan that affects the cost of the SOPP Plan to the Company, while the Internal Committee has the discretionary authority to do everything necessary and appropriate to administer the operations of the SOPP Plan.</w:t>
      </w:r>
    </w:p>
    <w:p>
      <w:pPr>
        <w:spacing w:after="0" w:line="112"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b w:val="1"/>
          <w:bCs w:val="1"/>
          <w:i w:val="1"/>
          <w:iCs w:val="1"/>
          <w:color w:val="auto"/>
        </w:rPr>
        <w:t xml:space="preserve">Eligibility. </w:t>
      </w:r>
      <w:r>
        <w:rPr>
          <w:rFonts w:ascii="Arial" w:cs="Arial" w:eastAsia="Arial" w:hAnsi="Arial"/>
          <w:sz w:val="16"/>
          <w:szCs w:val="16"/>
          <w:color w:val="auto"/>
        </w:rPr>
        <w:t>Employees of the Company or a participating subsidiary who are: (i) below the principal level, and (ii) employed in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position other than that of Project Consultant or not employed on a temporary basis, are eligible to participate in the SOPP Plan. As of March 10, 2025, there were approximately 7,190 such employees eligible to participate in the SOPP Plan.</w:t>
      </w:r>
    </w:p>
    <w:p>
      <w:pPr>
        <w:spacing w:after="0" w:line="104"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i w:val="1"/>
          <w:iCs w:val="1"/>
          <w:color w:val="auto"/>
        </w:rPr>
        <w:t xml:space="preserve">Participation. </w:t>
      </w:r>
      <w:r>
        <w:rPr>
          <w:rFonts w:ascii="Arial" w:cs="Arial" w:eastAsia="Arial" w:hAnsi="Arial"/>
          <w:sz w:val="16"/>
          <w:szCs w:val="16"/>
          <w:color w:val="auto"/>
        </w:rPr>
        <w:t>An eligible employee may become a participant in the SOPP Plan as of an Enrollment Date by making an online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election of the amount of base salary and annual bonus to contribute prior to the applicable Enrollment Date in accordance with the process established by the Internal Committee. Payroll deductions for a participant commence on the first full payroll period following the Enrollment Date and continue for each payroll period thereafter during the Offering Period and each subsequent Offering Period unless: (i) changed in connection with a subsequent Enrollment Date; or (ii) terminated in connection with a termination of employment or cessation of eligibility to participate in the SOPP Plan. In addition, a new payroll deduction election must be submitted by the participant for each Bonus Offering Period.</w:t>
      </w:r>
    </w:p>
    <w:p>
      <w:pPr>
        <w:spacing w:after="0" w:line="112" w:lineRule="exact"/>
        <w:rPr>
          <w:sz w:val="20"/>
          <w:szCs w:val="20"/>
          <w:color w:val="auto"/>
        </w:rPr>
      </w:pPr>
    </w:p>
    <w:p>
      <w:pPr>
        <w:ind w:right="80"/>
        <w:spacing w:after="0" w:line="300" w:lineRule="auto"/>
        <w:rPr>
          <w:sz w:val="20"/>
          <w:szCs w:val="20"/>
          <w:color w:val="auto"/>
        </w:rPr>
      </w:pPr>
      <w:r>
        <w:rPr>
          <w:rFonts w:ascii="Arial" w:cs="Arial" w:eastAsia="Arial" w:hAnsi="Arial"/>
          <w:sz w:val="16"/>
          <w:szCs w:val="16"/>
          <w:b w:val="1"/>
          <w:bCs w:val="1"/>
          <w:i w:val="1"/>
          <w:iCs w:val="1"/>
          <w:color w:val="auto"/>
        </w:rPr>
        <w:t xml:space="preserve">Withdrawals. </w:t>
      </w:r>
      <w:r>
        <w:rPr>
          <w:rFonts w:ascii="Arial" w:cs="Arial" w:eastAsia="Arial" w:hAnsi="Arial"/>
          <w:sz w:val="16"/>
          <w:szCs w:val="16"/>
          <w:color w:val="auto"/>
        </w:rPr>
        <w:t>A participant may withdraw from the SOPP Plan by making an online withdrawal election before the applicable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Enrollment Date in accordance with the process established by the Internal Committee. Once a withdrawal becomes effective, no further payroll deductions for the purchase of shares will be made under the SOPP Plan unless the participant properly submits new enrollment documents.</w:t>
      </w:r>
    </w:p>
    <w:p>
      <w:pPr>
        <w:spacing w:after="0" w:line="10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b w:val="1"/>
          <w:bCs w:val="1"/>
          <w:i w:val="1"/>
          <w:iCs w:val="1"/>
          <w:color w:val="auto"/>
        </w:rPr>
        <w:t xml:space="preserve">Purchased Shares. </w:t>
      </w:r>
      <w:r>
        <w:rPr>
          <w:rFonts w:ascii="Arial" w:cs="Arial" w:eastAsia="Arial" w:hAnsi="Arial"/>
          <w:sz w:val="16"/>
          <w:szCs w:val="16"/>
          <w:color w:val="auto"/>
        </w:rPr>
        <w:t>A participant may instruct the Broker (as defined in the SOPP Plan) to sell the participant’s purchased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through the brokerage account at any time and to pay the proceeds to the participant, less any applicable expenses and withholdings. Any such sale is subject to Company policies including, without limitation, the Company’s Insider Trading Policy. In addition, a participant may withdraw the participant’s purchased shares at any time at his or her own expense subject to applicable tax withholdings; any withdrawn fractional shares will be paid in cash.</w:t>
      </w:r>
    </w:p>
    <w:p>
      <w:pPr>
        <w:spacing w:after="0" w:line="113"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b w:val="1"/>
          <w:bCs w:val="1"/>
          <w:i w:val="1"/>
          <w:iCs w:val="1"/>
          <w:color w:val="auto"/>
        </w:rPr>
        <w:t xml:space="preserve">Termination of Employment; Cessation of Eligibility. </w:t>
      </w:r>
      <w:r>
        <w:rPr>
          <w:rFonts w:ascii="Arial" w:cs="Arial" w:eastAsia="Arial" w:hAnsi="Arial"/>
          <w:sz w:val="16"/>
          <w:szCs w:val="16"/>
          <w:color w:val="auto"/>
        </w:rPr>
        <w:t>If a participant’s employment is terminated or a participant otherwise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ceases to be eligible to participate in the SOPP Plan before a Purchase Date for any reason, the payroll deductions credited to the participant’s Purchase Account will be returned to the participant and no further payroll deductions will be credited to the participant’s Purchase Account. Upon a participant’s termination of employment, any unvested matched shares will be forfeited, except if the termination of employment is due to the participant’s death or disability, then any unvested matched shares will vest in full.</w:t>
      </w:r>
    </w:p>
    <w:p>
      <w:pPr>
        <w:spacing w:after="0" w:line="110" w:lineRule="exact"/>
        <w:rPr>
          <w:sz w:val="20"/>
          <w:szCs w:val="20"/>
          <w:color w:val="auto"/>
        </w:rPr>
      </w:pPr>
    </w:p>
    <w:p>
      <w:pPr>
        <w:ind w:right="60"/>
        <w:spacing w:after="0" w:line="300" w:lineRule="auto"/>
        <w:rPr>
          <w:sz w:val="20"/>
          <w:szCs w:val="20"/>
          <w:color w:val="auto"/>
        </w:rPr>
      </w:pPr>
      <w:r>
        <w:rPr>
          <w:rFonts w:ascii="Arial" w:cs="Arial" w:eastAsia="Arial" w:hAnsi="Arial"/>
          <w:sz w:val="16"/>
          <w:szCs w:val="16"/>
          <w:b w:val="1"/>
          <w:bCs w:val="1"/>
          <w:i w:val="1"/>
          <w:iCs w:val="1"/>
          <w:color w:val="auto"/>
        </w:rPr>
        <w:t xml:space="preserve">Merger or Asset Sale. </w:t>
      </w:r>
      <w:r>
        <w:rPr>
          <w:rFonts w:ascii="Arial" w:cs="Arial" w:eastAsia="Arial" w:hAnsi="Arial"/>
          <w:sz w:val="16"/>
          <w:szCs w:val="16"/>
          <w:color w:val="auto"/>
        </w:rPr>
        <w:t>In the event of a proposed sale of all or substantially all of the assets of the Company, or the merger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with or into another corporation, the terms and conditions of the then-outstanding Offering Period and Bonus Offering Period will either be assumed or substituted, provided that, if the successor refuses to so assume or substitute, then, in the Committee’s discretion, the in-progress Offering Periods will either be shortened (with written notice to participants) or</w:t>
      </w:r>
    </w:p>
    <w:p>
      <w:pPr>
        <w:sectPr>
          <w:pgSz w:w="11900" w:h="16973" w:orient="portrait"/>
          <w:cols w:equalWidth="0" w:num="1">
            <w:col w:w="9100"/>
          </w:cols>
          <w:pgMar w:left="1400" w:top="111" w:right="1399" w:bottom="0" w:gutter="0" w:footer="0" w:header="0"/>
          <w:type w:val="continuous"/>
        </w:sectPr>
      </w:pPr>
    </w:p>
    <w:bookmarkStart w:id="78" w:name="page79"/>
    <w:bookmarkEnd w:id="7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22650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10375" cy="2265045"/>
                    </a:xfrm>
                    <a:prstGeom prst="rect">
                      <a:avLst/>
                    </a:prstGeom>
                    <a:noFill/>
                  </pic:spPr>
                </pic:pic>
              </a:graphicData>
            </a:graphic>
          </wp:anchor>
        </w:drawing>
        <w:t>the Offering Periods will be canceled and any accumulated contributions will be returned to the applicable participant.</w:t>
      </w:r>
    </w:p>
    <w:p>
      <w:pPr>
        <w:spacing w:after="0" w:line="181"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b w:val="1"/>
          <w:bCs w:val="1"/>
          <w:i w:val="1"/>
          <w:iCs w:val="1"/>
          <w:color w:val="auto"/>
        </w:rPr>
        <w:t xml:space="preserve">Tax Withholding. </w:t>
      </w:r>
      <w:r>
        <w:rPr>
          <w:rFonts w:ascii="Arial" w:cs="Arial" w:eastAsia="Arial" w:hAnsi="Arial"/>
          <w:sz w:val="16"/>
          <w:szCs w:val="16"/>
          <w:color w:val="auto"/>
        </w:rPr>
        <w:t>The participant will be solely responsible for paying to the Company all applicable taxes in connection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vesting of the matched shares. Unless the participant makes advance arrangements to make such payment in cash, the Company will satisfy any such withholding tax obligation through net withholding of matched shares.</w:t>
      </w:r>
    </w:p>
    <w:p>
      <w:pPr>
        <w:spacing w:after="0" w:line="104"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b w:val="1"/>
          <w:bCs w:val="1"/>
          <w:i w:val="1"/>
          <w:iCs w:val="1"/>
          <w:color w:val="auto"/>
        </w:rPr>
        <w:t xml:space="preserve">Interest; Use of Funds. </w:t>
      </w:r>
      <w:r>
        <w:rPr>
          <w:rFonts w:ascii="Arial" w:cs="Arial" w:eastAsia="Arial" w:hAnsi="Arial"/>
          <w:sz w:val="16"/>
          <w:szCs w:val="16"/>
          <w:color w:val="auto"/>
        </w:rPr>
        <w:t>No interest will accrue on the payroll deductions of a participant to the SOPP Plan. Participant payroll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deductions received or held by the Company under the SOPP Plan may be used by the Company for any corporate purpose and the Company is not obligated to segregate such payroll deductions.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60"/>
        <w:spacing w:after="0"/>
        <w:tabs>
          <w:tab w:leader="none" w:pos="444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13"/>
          <w:szCs w:val="13"/>
          <w:b w:val="1"/>
          <w:bCs w:val="1"/>
          <w:color w:val="00558C"/>
        </w:rPr>
        <w:t>79</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420370</wp:posOffset>
            </wp:positionV>
            <wp:extent cx="6810375" cy="81686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10375" cy="816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540" w:val="left"/>
          <w:tab w:leader="none" w:pos="7360" w:val="left"/>
          <w:tab w:leader="none" w:pos="8400" w:val="left"/>
        </w:tabs>
        <w:rPr>
          <w:sz w:val="20"/>
          <w:szCs w:val="20"/>
          <w:color w:val="auto"/>
        </w:rPr>
      </w:pPr>
      <w:r>
        <w:rPr>
          <w:rFonts w:ascii="Arial" w:cs="Arial" w:eastAsia="Arial" w:hAnsi="Arial"/>
          <w:sz w:val="13"/>
          <w:szCs w:val="13"/>
          <w:b w:val="1"/>
          <w:bCs w:val="1"/>
          <w:color w:val="B2B3B6"/>
        </w:rPr>
        <w:t>General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Corporate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Executive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6AAA37"/>
        </w:rPr>
        <w:t>Proposal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Stockholder</w:t>
      </w:r>
      <w:r>
        <w:rPr>
          <w:sz w:val="20"/>
          <w:szCs w:val="20"/>
          <w:color w:val="auto"/>
        </w:rPr>
        <w:tab/>
      </w:r>
      <w:r>
        <w:rPr>
          <w:rFonts w:ascii="Arial" w:cs="Arial" w:eastAsia="Arial" w:hAnsi="Arial"/>
          <w:sz w:val="12"/>
          <w:szCs w:val="12"/>
          <w:b w:val="1"/>
          <w:bCs w:val="1"/>
          <w:color w:val="B2B3B6"/>
        </w:rPr>
        <w:t>Other</w:t>
      </w:r>
    </w:p>
    <w:p>
      <w:pPr>
        <w:spacing w:after="0" w:line="11"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540" w:val="left"/>
          <w:tab w:leader="none" w:pos="7360" w:val="left"/>
          <w:tab w:leader="none" w:pos="8400" w:val="left"/>
        </w:tabs>
        <w:rPr>
          <w:sz w:val="20"/>
          <w:szCs w:val="20"/>
          <w:color w:val="auto"/>
        </w:rPr>
      </w:pPr>
      <w:r>
        <w:rPr>
          <w:rFonts w:ascii="Arial" w:cs="Arial" w:eastAsia="Arial" w:hAnsi="Arial"/>
          <w:sz w:val="13"/>
          <w:szCs w:val="13"/>
          <w:b w:val="1"/>
          <w:bCs w:val="1"/>
          <w:color w:val="B2B3B6"/>
        </w:rPr>
        <w:t>Information</w:t>
      </w:r>
      <w:r>
        <w:rPr>
          <w:sz w:val="20"/>
          <w:szCs w:val="20"/>
          <w:color w:val="auto"/>
        </w:rPr>
        <w:tab/>
      </w:r>
      <w:r>
        <w:rPr>
          <w:rFonts w:ascii="Arial" w:cs="Arial" w:eastAsia="Arial" w:hAnsi="Arial"/>
          <w:sz w:val="13"/>
          <w:szCs w:val="13"/>
          <w:b w:val="1"/>
          <w:bCs w:val="1"/>
          <w:color w:val="B2B3B6"/>
        </w:rPr>
        <w:t>One</w:t>
      </w:r>
      <w:r>
        <w:rPr>
          <w:sz w:val="20"/>
          <w:szCs w:val="20"/>
          <w:color w:val="auto"/>
        </w:rPr>
        <w:tab/>
      </w:r>
      <w:r>
        <w:rPr>
          <w:rFonts w:ascii="Arial" w:cs="Arial" w:eastAsia="Arial" w:hAnsi="Arial"/>
          <w:sz w:val="13"/>
          <w:szCs w:val="13"/>
          <w:b w:val="1"/>
          <w:bCs w:val="1"/>
          <w:color w:val="B2B3B6"/>
        </w:rPr>
        <w:t>Governance</w:t>
      </w:r>
      <w:r>
        <w:rPr>
          <w:sz w:val="20"/>
          <w:szCs w:val="20"/>
          <w:color w:val="auto"/>
        </w:rPr>
        <w:tab/>
      </w:r>
      <w:r>
        <w:rPr>
          <w:rFonts w:ascii="Arial" w:cs="Arial" w:eastAsia="Arial" w:hAnsi="Arial"/>
          <w:sz w:val="13"/>
          <w:szCs w:val="13"/>
          <w:b w:val="1"/>
          <w:bCs w:val="1"/>
          <w:color w:val="B2B3B6"/>
        </w:rPr>
        <w:t>Two</w:t>
      </w:r>
      <w:r>
        <w:rPr>
          <w:sz w:val="20"/>
          <w:szCs w:val="20"/>
          <w:color w:val="auto"/>
        </w:rPr>
        <w:tab/>
      </w:r>
      <w:r>
        <w:rPr>
          <w:rFonts w:ascii="Arial" w:cs="Arial" w:eastAsia="Arial" w:hAnsi="Arial"/>
          <w:sz w:val="13"/>
          <w:szCs w:val="13"/>
          <w:b w:val="1"/>
          <w:bCs w:val="1"/>
          <w:color w:val="B2B3B6"/>
        </w:rPr>
        <w:t>Compensation</w:t>
      </w:r>
      <w:r>
        <w:rPr>
          <w:sz w:val="20"/>
          <w:szCs w:val="20"/>
          <w:color w:val="auto"/>
        </w:rPr>
        <w:tab/>
      </w:r>
      <w:r>
        <w:rPr>
          <w:rFonts w:ascii="Arial" w:cs="Arial" w:eastAsia="Arial" w:hAnsi="Arial"/>
          <w:sz w:val="13"/>
          <w:szCs w:val="13"/>
          <w:b w:val="1"/>
          <w:bCs w:val="1"/>
          <w:color w:val="B2B3B6"/>
        </w:rPr>
        <w:t>Three</w:t>
      </w:r>
      <w:r>
        <w:rPr>
          <w:sz w:val="20"/>
          <w:szCs w:val="20"/>
          <w:color w:val="auto"/>
        </w:rPr>
        <w:tab/>
      </w:r>
      <w:r>
        <w:rPr>
          <w:rFonts w:ascii="Arial" w:cs="Arial" w:eastAsia="Arial" w:hAnsi="Arial"/>
          <w:sz w:val="13"/>
          <w:szCs w:val="13"/>
          <w:b w:val="1"/>
          <w:bCs w:val="1"/>
          <w:color w:val="6AAA37"/>
        </w:rPr>
        <w:t>Four</w:t>
      </w:r>
      <w:r>
        <w:rPr>
          <w:sz w:val="20"/>
          <w:szCs w:val="20"/>
          <w:color w:val="auto"/>
        </w:rPr>
        <w:tab/>
      </w:r>
      <w:r>
        <w:rPr>
          <w:rFonts w:ascii="Arial" w:cs="Arial" w:eastAsia="Arial" w:hAnsi="Arial"/>
          <w:sz w:val="13"/>
          <w:szCs w:val="13"/>
          <w:b w:val="1"/>
          <w:bCs w:val="1"/>
          <w:color w:val="B2B3B6"/>
        </w:rPr>
        <w:t>Five</w:t>
      </w:r>
      <w:r>
        <w:rPr>
          <w:sz w:val="20"/>
          <w:szCs w:val="20"/>
          <w:color w:val="auto"/>
        </w:rPr>
        <w:tab/>
      </w:r>
      <w:r>
        <w:rPr>
          <w:rFonts w:ascii="Arial" w:cs="Arial" w:eastAsia="Arial" w:hAnsi="Arial"/>
          <w:sz w:val="13"/>
          <w:szCs w:val="13"/>
          <w:b w:val="1"/>
          <w:bCs w:val="1"/>
          <w:color w:val="B2B3B6"/>
        </w:rPr>
        <w:t>Proposals</w:t>
      </w:r>
      <w:r>
        <w:rPr>
          <w:sz w:val="20"/>
          <w:szCs w:val="20"/>
          <w:color w:val="auto"/>
        </w:rPr>
        <w:tab/>
      </w:r>
      <w:r>
        <w:rPr>
          <w:rFonts w:ascii="Arial" w:cs="Arial" w:eastAsia="Arial" w:hAnsi="Arial"/>
          <w:sz w:val="12"/>
          <w:szCs w:val="12"/>
          <w:b w:val="1"/>
          <w:bCs w:val="1"/>
          <w:color w:val="B2B3B6"/>
        </w:rPr>
        <w:t>Matters</w:t>
      </w:r>
    </w:p>
    <w:p>
      <w:pPr>
        <w:spacing w:after="0" w:line="301"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b w:val="1"/>
          <w:bCs w:val="1"/>
          <w:i w:val="1"/>
          <w:iCs w:val="1"/>
          <w:color w:val="auto"/>
        </w:rPr>
        <w:t xml:space="preserve">Terms for Non-U.S. Employees. </w:t>
      </w:r>
      <w:r>
        <w:rPr>
          <w:rFonts w:ascii="Arial" w:cs="Arial" w:eastAsia="Arial" w:hAnsi="Arial"/>
          <w:sz w:val="16"/>
          <w:szCs w:val="16"/>
          <w:color w:val="auto"/>
        </w:rPr>
        <w:t>To provide us with greater flexibility in structuring our equity compensation programs for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non-U.S. employees, the Internal Committee may amend the terms of the SOPP Plan for non-U.S. participants and, where appropriate, may establish certain sub-plans.</w:t>
      </w:r>
    </w:p>
    <w:p>
      <w:pPr>
        <w:spacing w:after="0" w:line="104"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b w:val="1"/>
          <w:bCs w:val="1"/>
          <w:i w:val="1"/>
          <w:iCs w:val="1"/>
          <w:color w:val="auto"/>
        </w:rPr>
        <w:t xml:space="preserve">Termination or Amendment. </w:t>
      </w:r>
      <w:r>
        <w:rPr>
          <w:rFonts w:ascii="Arial" w:cs="Arial" w:eastAsia="Arial" w:hAnsi="Arial"/>
          <w:sz w:val="16"/>
          <w:szCs w:val="16"/>
          <w:color w:val="auto"/>
        </w:rPr>
        <w:t>The Board and the Committee may at any time terminate, modify or suspend the SOPP Plan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without notice, provided that, no participant’s existing rights in respect of a current Offering Period or Bonus Offering Period may be adversely affected by such action. Without stockholder consent and without regard to whether any participant rights may be considered to have been “adversely affected”: (i) the Committee is entitled to change the Offering Periods or Bonus Offering Periods, alter the frequency and/or number of changes in the amount withheld during an Offering Period or Bonus Offering Period; and (ii) the Internal Committee is entitled to permit payroll withholding in excess of the amount designated by a participant under certain circumstances, in each case, provided that such changes are reasonably communicated to participants. Unless earlier terminated by the Board or the Committee, the SOPP Plan has a term of 10 years.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w:t>
      </w:r>
    </w:p>
    <w:p>
      <w:pPr>
        <w:spacing w:after="0" w:line="81"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The following provides only a general description of the applicable U.S. federal income tax laws to awards under the SOPP Plan. This discussion is intended for the information of our stockholders considering how to vote at the Annual Meeting and not as tax guidance to participants in the SOPP Plan. This summary does not address in any detail the effects of taxes imposed under state, local or foreign tax laws.</w:t>
      </w:r>
    </w:p>
    <w:p>
      <w:pPr>
        <w:spacing w:after="0" w:line="108" w:lineRule="exact"/>
        <w:rPr>
          <w:sz w:val="20"/>
          <w:szCs w:val="20"/>
          <w:color w:val="auto"/>
        </w:rPr>
      </w:pPr>
    </w:p>
    <w:p>
      <w:pPr>
        <w:jc w:val="both"/>
        <w:ind w:right="140"/>
        <w:spacing w:after="0" w:line="300" w:lineRule="auto"/>
        <w:rPr>
          <w:sz w:val="20"/>
          <w:szCs w:val="20"/>
          <w:color w:val="auto"/>
        </w:rPr>
      </w:pPr>
      <w:r>
        <w:rPr>
          <w:rFonts w:ascii="Arial" w:cs="Arial" w:eastAsia="Arial" w:hAnsi="Arial"/>
          <w:sz w:val="16"/>
          <w:szCs w:val="16"/>
          <w:b w:val="1"/>
          <w:bCs w:val="1"/>
          <w:i w:val="1"/>
          <w:iCs w:val="1"/>
          <w:color w:val="auto"/>
        </w:rPr>
        <w:t xml:space="preserve">Purchase of Stock. </w:t>
      </w:r>
      <w:r>
        <w:rPr>
          <w:rFonts w:ascii="Arial" w:cs="Arial" w:eastAsia="Arial" w:hAnsi="Arial"/>
          <w:sz w:val="16"/>
          <w:szCs w:val="16"/>
          <w:color w:val="auto"/>
        </w:rPr>
        <w:t>The purchase of common stock pursuant to the SOPP Plan is not a taxable event to the participant.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participant’s basis in the common stock purchased is equal to the participant’s purchase price on the date it is acquired. The Company is not entitled to an income tax deduction in connection with a participant's purchase of common stock pursuant to the SOPP Plan.</w:t>
      </w:r>
    </w:p>
    <w:p>
      <w:pPr>
        <w:spacing w:after="0" w:line="106" w:lineRule="exact"/>
        <w:rPr>
          <w:sz w:val="20"/>
          <w:szCs w:val="20"/>
          <w:color w:val="auto"/>
        </w:rPr>
      </w:pPr>
    </w:p>
    <w:p>
      <w:pPr>
        <w:spacing w:after="0" w:line="288" w:lineRule="auto"/>
        <w:rPr>
          <w:sz w:val="20"/>
          <w:szCs w:val="20"/>
          <w:color w:val="auto"/>
        </w:rPr>
      </w:pPr>
      <w:r>
        <w:rPr>
          <w:rFonts w:ascii="Arial" w:cs="Arial" w:eastAsia="Arial" w:hAnsi="Arial"/>
          <w:sz w:val="16"/>
          <w:szCs w:val="16"/>
          <w:b w:val="1"/>
          <w:bCs w:val="1"/>
          <w:i w:val="1"/>
          <w:iCs w:val="1"/>
          <w:color w:val="auto"/>
        </w:rPr>
        <w:t xml:space="preserve">Restricted Stock Awards and Restricted Stock Units. </w:t>
      </w:r>
      <w:r>
        <w:rPr>
          <w:rFonts w:ascii="Arial" w:cs="Arial" w:eastAsia="Arial" w:hAnsi="Arial"/>
          <w:sz w:val="16"/>
          <w:szCs w:val="16"/>
          <w:color w:val="auto"/>
        </w:rPr>
        <w:t>If a restriction on transferability and substantial risk of forfeiture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applies to shares of common stock actually distributed to a participant under an award (such as a grant of restricted stock), the participant generally must recognize ordinary income equal to the fair market value of the transferred amounts at the earliest time either the transferability restriction or risk of forfeiture lapses. In the usual case, we can claim a tax deduction (subject to the limit under Section 162(m) of the Code) in an amount equal to the ordinary income recognized by the participant, except as discussed below. A participant may choose to make a special filing to elect to be taxed at the time of grant of restricted stock rather than upon the lapse of restrictions on transferability or risk of forfeiture, but if the participant subsequently forfeits such shares of common stock or property he or she would not be entitled to any tax deduction, including as a capital loss, for the value of shares of common stock on which he or she previously paid tax.</w:t>
      </w:r>
    </w:p>
    <w:p>
      <w:pPr>
        <w:spacing w:after="0" w:line="119" w:lineRule="exact"/>
        <w:rPr>
          <w:sz w:val="20"/>
          <w:szCs w:val="20"/>
          <w:color w:val="auto"/>
        </w:rPr>
      </w:pPr>
    </w:p>
    <w:p>
      <w:pPr>
        <w:ind w:right="540"/>
        <w:spacing w:after="0" w:line="321" w:lineRule="auto"/>
        <w:rPr>
          <w:sz w:val="20"/>
          <w:szCs w:val="20"/>
          <w:color w:val="auto"/>
        </w:rPr>
      </w:pPr>
      <w:r>
        <w:rPr>
          <w:rFonts w:ascii="Arial" w:cs="Arial" w:eastAsia="Arial" w:hAnsi="Arial"/>
          <w:sz w:val="16"/>
          <w:szCs w:val="16"/>
          <w:color w:val="auto"/>
        </w:rPr>
        <w:t>If no substantial risk of forfeiture applies to property distributed to a participant, the participant generally must recognize ordinary income equal to the fair market value of shares of common stock actually received.</w:t>
      </w:r>
    </w:p>
    <w:p>
      <w:pPr>
        <w:spacing w:after="0" w:line="88" w:lineRule="exact"/>
        <w:rPr>
          <w:sz w:val="20"/>
          <w:szCs w:val="20"/>
          <w:color w:val="auto"/>
        </w:rPr>
      </w:pPr>
    </w:p>
    <w:p>
      <w:pPr>
        <w:spacing w:after="0" w:line="310" w:lineRule="auto"/>
        <w:rPr>
          <w:sz w:val="20"/>
          <w:szCs w:val="20"/>
          <w:color w:val="auto"/>
        </w:rPr>
      </w:pPr>
      <w:r>
        <w:rPr>
          <w:rFonts w:ascii="Arial" w:cs="Arial" w:eastAsia="Arial" w:hAnsi="Arial"/>
          <w:sz w:val="16"/>
          <w:szCs w:val="16"/>
          <w:color w:val="auto"/>
        </w:rPr>
        <w:t>With respect to restricted stock units, the participant generally must recognize ordinary income for U.S. income tax purposes when the award is paid in an amount equal to the amount payable or, if the award is settled in shares of common stock, the fair market value on the date of distribution, and we would normally be entitled to a corresponding deduction.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Plan Benefits</w:t>
      </w:r>
    </w:p>
    <w:p>
      <w:pPr>
        <w:sectPr>
          <w:pgSz w:w="11900" w:h="16838" w:orient="portrait"/>
          <w:cols w:equalWidth="0" w:num="1">
            <w:col w:w="9080"/>
          </w:cols>
          <w:pgMar w:left="1400" w:top="152" w:right="1419" w:bottom="1440" w:gutter="0" w:footer="0" w:header="0"/>
        </w:sectPr>
      </w:pPr>
    </w:p>
    <w:p>
      <w:pPr>
        <w:spacing w:after="0" w:line="81" w:lineRule="exact"/>
        <w:rPr>
          <w:sz w:val="20"/>
          <w:szCs w:val="20"/>
          <w:color w:val="auto"/>
        </w:rPr>
      </w:pPr>
    </w:p>
    <w:p>
      <w:pPr>
        <w:jc w:val="both"/>
        <w:ind w:right="160"/>
        <w:spacing w:after="0" w:line="310" w:lineRule="auto"/>
        <w:rPr>
          <w:sz w:val="20"/>
          <w:szCs w:val="20"/>
          <w:color w:val="auto"/>
        </w:rPr>
      </w:pPr>
      <w:r>
        <w:rPr>
          <w:rFonts w:ascii="Arial" w:cs="Arial" w:eastAsia="Arial" w:hAnsi="Arial"/>
          <w:sz w:val="16"/>
          <w:szCs w:val="16"/>
          <w:color w:val="auto"/>
        </w:rPr>
        <w:t>Because benefits under the SOPP Plan will depend on employees’ elections to participate and to purchase shares under the SOPP Plan at various future dates, it is not possible to determine the benefits that will be received by executive officers and other employees. Non-employee directors are not eligible to participate in the SOPP Plan.</w:t>
      </w:r>
    </w:p>
    <w:p>
      <w:pPr>
        <w:sectPr>
          <w:pgSz w:w="11900" w:h="16838" w:orient="portrait"/>
          <w:cols w:equalWidth="0" w:num="1">
            <w:col w:w="9080"/>
          </w:cols>
          <w:pgMar w:left="1400" w:top="152" w:right="1419" w:bottom="1440" w:gutter="0" w:footer="0" w:header="0"/>
          <w:type w:val="continuous"/>
        </w:sectPr>
      </w:pPr>
    </w:p>
    <w:bookmarkStart w:id="79" w:name="page80"/>
    <w:bookmarkEnd w:id="79"/>
    <w:p>
      <w:pPr>
        <w:ind w:left="60"/>
        <w:spacing w:after="0"/>
        <w:tabs>
          <w:tab w:leader="none" w:pos="4440" w:val="left"/>
          <w:tab w:leader="none" w:pos="776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6877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10375" cy="687705"/>
                    </a:xfrm>
                    <a:prstGeom prst="rect">
                      <a:avLst/>
                    </a:prstGeom>
                    <a:noFill/>
                  </pic:spPr>
                </pic:pic>
              </a:graphicData>
            </a:graphic>
          </wp:anchor>
        </w:drawing>
        <w:t>Huron Consulting Group Inc.</w:t>
      </w:r>
      <w:r>
        <w:rPr>
          <w:sz w:val="20"/>
          <w:szCs w:val="20"/>
          <w:color w:val="auto"/>
        </w:rPr>
        <w:tab/>
      </w:r>
      <w:r>
        <w:rPr>
          <w:rFonts w:ascii="Arial" w:cs="Arial" w:eastAsia="Arial" w:hAnsi="Arial"/>
          <w:sz w:val="13"/>
          <w:szCs w:val="13"/>
          <w:b w:val="1"/>
          <w:bCs w:val="1"/>
          <w:color w:val="00558C"/>
        </w:rPr>
        <w:t>80</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420370</wp:posOffset>
            </wp:positionV>
            <wp:extent cx="6810375" cy="886777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540" w:val="left"/>
          <w:tab w:leader="none" w:pos="7360" w:val="left"/>
          <w:tab w:leader="none" w:pos="8400" w:val="left"/>
        </w:tabs>
        <w:rPr>
          <w:sz w:val="20"/>
          <w:szCs w:val="20"/>
          <w:color w:val="auto"/>
        </w:rPr>
      </w:pPr>
      <w:r>
        <w:rPr>
          <w:rFonts w:ascii="Arial" w:cs="Arial" w:eastAsia="Arial" w:hAnsi="Arial"/>
          <w:sz w:val="13"/>
          <w:szCs w:val="13"/>
          <w:b w:val="1"/>
          <w:bCs w:val="1"/>
          <w:color w:val="B2B3B6"/>
        </w:rPr>
        <w:t>General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Corporate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Executive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6AAA37"/>
        </w:rPr>
        <w:t>Proposal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Stockholder</w:t>
      </w:r>
      <w:r>
        <w:rPr>
          <w:sz w:val="20"/>
          <w:szCs w:val="20"/>
          <w:color w:val="auto"/>
        </w:rPr>
        <w:tab/>
      </w:r>
      <w:r>
        <w:rPr>
          <w:rFonts w:ascii="Arial" w:cs="Arial" w:eastAsia="Arial" w:hAnsi="Arial"/>
          <w:sz w:val="12"/>
          <w:szCs w:val="12"/>
          <w:b w:val="1"/>
          <w:bCs w:val="1"/>
          <w:color w:val="B2B3B6"/>
        </w:rPr>
        <w:t>Other</w:t>
      </w:r>
    </w:p>
    <w:p>
      <w:pPr>
        <w:spacing w:after="0" w:line="11"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540" w:val="left"/>
          <w:tab w:leader="none" w:pos="7360" w:val="left"/>
          <w:tab w:leader="none" w:pos="8400" w:val="left"/>
        </w:tabs>
        <w:rPr>
          <w:sz w:val="20"/>
          <w:szCs w:val="20"/>
          <w:color w:val="auto"/>
        </w:rPr>
      </w:pPr>
      <w:r>
        <w:rPr>
          <w:rFonts w:ascii="Arial" w:cs="Arial" w:eastAsia="Arial" w:hAnsi="Arial"/>
          <w:sz w:val="13"/>
          <w:szCs w:val="13"/>
          <w:b w:val="1"/>
          <w:bCs w:val="1"/>
          <w:color w:val="B2B3B6"/>
        </w:rPr>
        <w:t>Information</w:t>
      </w:r>
      <w:r>
        <w:rPr>
          <w:sz w:val="20"/>
          <w:szCs w:val="20"/>
          <w:color w:val="auto"/>
        </w:rPr>
        <w:tab/>
      </w:r>
      <w:r>
        <w:rPr>
          <w:rFonts w:ascii="Arial" w:cs="Arial" w:eastAsia="Arial" w:hAnsi="Arial"/>
          <w:sz w:val="13"/>
          <w:szCs w:val="13"/>
          <w:b w:val="1"/>
          <w:bCs w:val="1"/>
          <w:color w:val="B2B3B6"/>
        </w:rPr>
        <w:t>One</w:t>
      </w:r>
      <w:r>
        <w:rPr>
          <w:sz w:val="20"/>
          <w:szCs w:val="20"/>
          <w:color w:val="auto"/>
        </w:rPr>
        <w:tab/>
      </w:r>
      <w:r>
        <w:rPr>
          <w:rFonts w:ascii="Arial" w:cs="Arial" w:eastAsia="Arial" w:hAnsi="Arial"/>
          <w:sz w:val="13"/>
          <w:szCs w:val="13"/>
          <w:b w:val="1"/>
          <w:bCs w:val="1"/>
          <w:color w:val="B2B3B6"/>
        </w:rPr>
        <w:t>Governance</w:t>
      </w:r>
      <w:r>
        <w:rPr>
          <w:sz w:val="20"/>
          <w:szCs w:val="20"/>
          <w:color w:val="auto"/>
        </w:rPr>
        <w:tab/>
      </w:r>
      <w:r>
        <w:rPr>
          <w:rFonts w:ascii="Arial" w:cs="Arial" w:eastAsia="Arial" w:hAnsi="Arial"/>
          <w:sz w:val="13"/>
          <w:szCs w:val="13"/>
          <w:b w:val="1"/>
          <w:bCs w:val="1"/>
          <w:color w:val="B2B3B6"/>
        </w:rPr>
        <w:t>Two</w:t>
      </w:r>
      <w:r>
        <w:rPr>
          <w:sz w:val="20"/>
          <w:szCs w:val="20"/>
          <w:color w:val="auto"/>
        </w:rPr>
        <w:tab/>
      </w:r>
      <w:r>
        <w:rPr>
          <w:rFonts w:ascii="Arial" w:cs="Arial" w:eastAsia="Arial" w:hAnsi="Arial"/>
          <w:sz w:val="13"/>
          <w:szCs w:val="13"/>
          <w:b w:val="1"/>
          <w:bCs w:val="1"/>
          <w:color w:val="B2B3B6"/>
        </w:rPr>
        <w:t>Compensation</w:t>
      </w:r>
      <w:r>
        <w:rPr>
          <w:sz w:val="20"/>
          <w:szCs w:val="20"/>
          <w:color w:val="auto"/>
        </w:rPr>
        <w:tab/>
      </w:r>
      <w:r>
        <w:rPr>
          <w:rFonts w:ascii="Arial" w:cs="Arial" w:eastAsia="Arial" w:hAnsi="Arial"/>
          <w:sz w:val="13"/>
          <w:szCs w:val="13"/>
          <w:b w:val="1"/>
          <w:bCs w:val="1"/>
          <w:color w:val="B2B3B6"/>
        </w:rPr>
        <w:t>Three</w:t>
      </w:r>
      <w:r>
        <w:rPr>
          <w:sz w:val="20"/>
          <w:szCs w:val="20"/>
          <w:color w:val="auto"/>
        </w:rPr>
        <w:tab/>
      </w:r>
      <w:r>
        <w:rPr>
          <w:rFonts w:ascii="Arial" w:cs="Arial" w:eastAsia="Arial" w:hAnsi="Arial"/>
          <w:sz w:val="13"/>
          <w:szCs w:val="13"/>
          <w:b w:val="1"/>
          <w:bCs w:val="1"/>
          <w:color w:val="6AAA37"/>
        </w:rPr>
        <w:t>Four</w:t>
      </w:r>
      <w:r>
        <w:rPr>
          <w:sz w:val="20"/>
          <w:szCs w:val="20"/>
          <w:color w:val="auto"/>
        </w:rPr>
        <w:tab/>
      </w:r>
      <w:r>
        <w:rPr>
          <w:rFonts w:ascii="Arial" w:cs="Arial" w:eastAsia="Arial" w:hAnsi="Arial"/>
          <w:sz w:val="13"/>
          <w:szCs w:val="13"/>
          <w:b w:val="1"/>
          <w:bCs w:val="1"/>
          <w:color w:val="B2B3B6"/>
        </w:rPr>
        <w:t>Five</w:t>
      </w:r>
      <w:r>
        <w:rPr>
          <w:sz w:val="20"/>
          <w:szCs w:val="20"/>
          <w:color w:val="auto"/>
        </w:rPr>
        <w:tab/>
      </w:r>
      <w:r>
        <w:rPr>
          <w:rFonts w:ascii="Arial" w:cs="Arial" w:eastAsia="Arial" w:hAnsi="Arial"/>
          <w:sz w:val="13"/>
          <w:szCs w:val="13"/>
          <w:b w:val="1"/>
          <w:bCs w:val="1"/>
          <w:color w:val="B2B3B6"/>
        </w:rPr>
        <w:t>Proposals</w:t>
      </w:r>
      <w:r>
        <w:rPr>
          <w:sz w:val="20"/>
          <w:szCs w:val="20"/>
          <w:color w:val="auto"/>
        </w:rPr>
        <w:tab/>
      </w:r>
      <w:r>
        <w:rPr>
          <w:rFonts w:ascii="Arial" w:cs="Arial" w:eastAsia="Arial" w:hAnsi="Arial"/>
          <w:sz w:val="12"/>
          <w:szCs w:val="12"/>
          <w:b w:val="1"/>
          <w:bCs w:val="1"/>
          <w:color w:val="B2B3B6"/>
        </w:rPr>
        <w:t>Matters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Existing Plan Benefits</w:t>
      </w:r>
    </w:p>
    <w:p>
      <w:pPr>
        <w:spacing w:after="0" w:line="68" w:lineRule="exact"/>
        <w:rPr>
          <w:sz w:val="20"/>
          <w:szCs w:val="20"/>
          <w:color w:val="auto"/>
        </w:rPr>
      </w:pPr>
    </w:p>
    <w:p>
      <w:pPr>
        <w:ind w:right="20"/>
        <w:spacing w:after="0" w:line="321" w:lineRule="auto"/>
        <w:rPr>
          <w:sz w:val="20"/>
          <w:szCs w:val="20"/>
          <w:color w:val="auto"/>
        </w:rPr>
      </w:pPr>
      <w:r>
        <w:rPr>
          <w:rFonts w:ascii="Arial" w:cs="Arial" w:eastAsia="Arial" w:hAnsi="Arial"/>
          <w:sz w:val="16"/>
          <w:szCs w:val="16"/>
          <w:color w:val="auto"/>
        </w:rPr>
        <w:t>The aggregate number of shares of common stock subject to purchased shares and matched shares for certain persons under the SOPP Plan since its inception until March 10, 2025 is summarized in the table below.</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301"/>
        </w:trPr>
        <w:tc>
          <w:tcPr>
            <w:tcW w:w="5480" w:type="dxa"/>
            <w:vAlign w:val="bottom"/>
            <w:shd w:val="clear" w:color="auto" w:fill="00558C"/>
          </w:tcPr>
          <w:p>
            <w:pPr>
              <w:spacing w:after="0"/>
              <w:rPr>
                <w:sz w:val="24"/>
                <w:szCs w:val="24"/>
                <w:color w:val="auto"/>
              </w:rPr>
            </w:pPr>
          </w:p>
        </w:tc>
        <w:tc>
          <w:tcPr>
            <w:tcW w:w="1800" w:type="dxa"/>
            <w:vAlign w:val="bottom"/>
            <w:shd w:val="clear" w:color="auto" w:fill="00558C"/>
          </w:tcPr>
          <w:p>
            <w:pPr>
              <w:jc w:val="right"/>
              <w:ind w:right="132"/>
              <w:spacing w:after="0"/>
              <w:rPr>
                <w:sz w:val="20"/>
                <w:szCs w:val="20"/>
                <w:color w:val="auto"/>
              </w:rPr>
            </w:pPr>
            <w:r>
              <w:rPr>
                <w:rFonts w:ascii="Arial" w:cs="Arial" w:eastAsia="Arial" w:hAnsi="Arial"/>
                <w:sz w:val="14"/>
                <w:szCs w:val="14"/>
                <w:b w:val="1"/>
                <w:bCs w:val="1"/>
                <w:color w:val="FFFFFF"/>
              </w:rPr>
              <w:t>Number of</w:t>
            </w:r>
          </w:p>
        </w:tc>
        <w:tc>
          <w:tcPr>
            <w:tcW w:w="1800" w:type="dxa"/>
            <w:vAlign w:val="bottom"/>
            <w:shd w:val="clear" w:color="auto" w:fill="00558C"/>
          </w:tcPr>
          <w:p>
            <w:pPr>
              <w:jc w:val="right"/>
              <w:ind w:right="272"/>
              <w:spacing w:after="0"/>
              <w:rPr>
                <w:sz w:val="20"/>
                <w:szCs w:val="20"/>
                <w:color w:val="auto"/>
              </w:rPr>
            </w:pPr>
            <w:r>
              <w:rPr>
                <w:rFonts w:ascii="Arial" w:cs="Arial" w:eastAsia="Arial" w:hAnsi="Arial"/>
                <w:sz w:val="14"/>
                <w:szCs w:val="14"/>
                <w:b w:val="1"/>
                <w:bCs w:val="1"/>
                <w:color w:val="FFFFFF"/>
              </w:rPr>
              <w:t>Number of Matched</w:t>
            </w:r>
          </w:p>
        </w:tc>
        <w:tc>
          <w:tcPr>
            <w:tcW w:w="0" w:type="dxa"/>
            <w:vAlign w:val="bottom"/>
          </w:tcPr>
          <w:p>
            <w:pPr>
              <w:spacing w:after="0"/>
              <w:rPr>
                <w:sz w:val="1"/>
                <w:szCs w:val="1"/>
                <w:color w:val="auto"/>
              </w:rPr>
            </w:pPr>
          </w:p>
        </w:tc>
      </w:tr>
      <w:tr>
        <w:trPr>
          <w:trHeight w:val="196"/>
        </w:trPr>
        <w:tc>
          <w:tcPr>
            <w:tcW w:w="5480" w:type="dxa"/>
            <w:vAlign w:val="bottom"/>
            <w:shd w:val="clear" w:color="auto" w:fill="00558C"/>
          </w:tcPr>
          <w:p>
            <w:pPr>
              <w:ind w:left="140"/>
              <w:spacing w:after="0"/>
              <w:rPr>
                <w:sz w:val="20"/>
                <w:szCs w:val="20"/>
                <w:color w:val="auto"/>
              </w:rPr>
            </w:pPr>
            <w:r>
              <w:rPr>
                <w:rFonts w:ascii="Arial" w:cs="Arial" w:eastAsia="Arial" w:hAnsi="Arial"/>
                <w:sz w:val="14"/>
                <w:szCs w:val="14"/>
                <w:b w:val="1"/>
                <w:bCs w:val="1"/>
                <w:color w:val="FFFFFF"/>
              </w:rPr>
              <w:t>Name of Individual or Group</w:t>
            </w:r>
          </w:p>
        </w:tc>
        <w:tc>
          <w:tcPr>
            <w:tcW w:w="1800" w:type="dxa"/>
            <w:vAlign w:val="bottom"/>
            <w:shd w:val="clear" w:color="auto" w:fill="00558C"/>
          </w:tcPr>
          <w:p>
            <w:pPr>
              <w:jc w:val="right"/>
              <w:ind w:right="172"/>
              <w:spacing w:after="0"/>
              <w:rPr>
                <w:sz w:val="20"/>
                <w:szCs w:val="20"/>
                <w:color w:val="auto"/>
              </w:rPr>
            </w:pPr>
            <w:r>
              <w:rPr>
                <w:rFonts w:ascii="Arial" w:cs="Arial" w:eastAsia="Arial" w:hAnsi="Arial"/>
                <w:sz w:val="14"/>
                <w:szCs w:val="14"/>
                <w:b w:val="1"/>
                <w:bCs w:val="1"/>
                <w:color w:val="FFFFFF"/>
              </w:rPr>
              <w:t>Purchased Shares (#)</w:t>
            </w:r>
          </w:p>
        </w:tc>
        <w:tc>
          <w:tcPr>
            <w:tcW w:w="1800" w:type="dxa"/>
            <w:vAlign w:val="bottom"/>
            <w:shd w:val="clear" w:color="auto" w:fill="00558C"/>
          </w:tcPr>
          <w:p>
            <w:pPr>
              <w:jc w:val="right"/>
              <w:ind w:right="152"/>
              <w:spacing w:after="0"/>
              <w:rPr>
                <w:sz w:val="20"/>
                <w:szCs w:val="20"/>
                <w:color w:val="auto"/>
              </w:rPr>
            </w:pPr>
            <w:r>
              <w:rPr>
                <w:rFonts w:ascii="Arial" w:cs="Arial" w:eastAsia="Arial" w:hAnsi="Arial"/>
                <w:sz w:val="14"/>
                <w:szCs w:val="14"/>
                <w:b w:val="1"/>
                <w:bCs w:val="1"/>
                <w:color w:val="FFFFFF"/>
              </w:rPr>
              <w:t>Shares (#)</w:t>
            </w:r>
          </w:p>
        </w:tc>
        <w:tc>
          <w:tcPr>
            <w:tcW w:w="0" w:type="dxa"/>
            <w:vAlign w:val="bottom"/>
          </w:tcPr>
          <w:p>
            <w:pPr>
              <w:spacing w:after="0"/>
              <w:rPr>
                <w:sz w:val="1"/>
                <w:szCs w:val="1"/>
                <w:color w:val="auto"/>
              </w:rPr>
            </w:pPr>
          </w:p>
        </w:tc>
      </w:tr>
      <w:tr>
        <w:trPr>
          <w:trHeight w:val="97"/>
        </w:trPr>
        <w:tc>
          <w:tcPr>
            <w:tcW w:w="5480" w:type="dxa"/>
            <w:vAlign w:val="bottom"/>
            <w:shd w:val="clear" w:color="auto" w:fill="00558C"/>
          </w:tcPr>
          <w:p>
            <w:pPr>
              <w:spacing w:after="0"/>
              <w:rPr>
                <w:sz w:val="8"/>
                <w:szCs w:val="8"/>
                <w:color w:val="auto"/>
              </w:rPr>
            </w:pPr>
          </w:p>
        </w:tc>
        <w:tc>
          <w:tcPr>
            <w:tcW w:w="1800" w:type="dxa"/>
            <w:vAlign w:val="bottom"/>
            <w:shd w:val="clear" w:color="auto" w:fill="00558C"/>
          </w:tcPr>
          <w:p>
            <w:pPr>
              <w:spacing w:after="0"/>
              <w:rPr>
                <w:sz w:val="8"/>
                <w:szCs w:val="8"/>
                <w:color w:val="auto"/>
              </w:rPr>
            </w:pPr>
          </w:p>
        </w:tc>
        <w:tc>
          <w:tcPr>
            <w:tcW w:w="1800" w:type="dxa"/>
            <w:vAlign w:val="bottom"/>
            <w:shd w:val="clear" w:color="auto" w:fill="00558C"/>
          </w:tcPr>
          <w:p>
            <w:pPr>
              <w:spacing w:after="0"/>
              <w:rPr>
                <w:sz w:val="8"/>
                <w:szCs w:val="8"/>
                <w:color w:val="auto"/>
              </w:rPr>
            </w:pPr>
          </w:p>
        </w:tc>
        <w:tc>
          <w:tcPr>
            <w:tcW w:w="0" w:type="dxa"/>
            <w:vAlign w:val="bottom"/>
          </w:tcPr>
          <w:p>
            <w:pPr>
              <w:spacing w:after="0"/>
              <w:rPr>
                <w:sz w:val="1"/>
                <w:szCs w:val="1"/>
                <w:color w:val="auto"/>
              </w:rPr>
            </w:pPr>
          </w:p>
        </w:tc>
      </w:tr>
      <w:tr>
        <w:trPr>
          <w:trHeight w:val="335"/>
        </w:trPr>
        <w:tc>
          <w:tcPr>
            <w:tcW w:w="5480" w:type="dxa"/>
            <w:vAlign w:val="bottom"/>
            <w:shd w:val="clear" w:color="auto" w:fill="F2F3F2"/>
          </w:tcPr>
          <w:p>
            <w:pPr>
              <w:ind w:left="140"/>
              <w:spacing w:after="0"/>
              <w:rPr>
                <w:sz w:val="20"/>
                <w:szCs w:val="20"/>
                <w:color w:val="auto"/>
              </w:rPr>
            </w:pPr>
            <w:r>
              <w:rPr>
                <w:rFonts w:ascii="Arial" w:cs="Arial" w:eastAsia="Arial" w:hAnsi="Arial"/>
                <w:sz w:val="14"/>
                <w:szCs w:val="14"/>
                <w:b w:val="1"/>
                <w:bCs w:val="1"/>
                <w:color w:val="auto"/>
              </w:rPr>
              <w:t>2024 NEOs:</w:t>
            </w:r>
          </w:p>
        </w:tc>
        <w:tc>
          <w:tcPr>
            <w:tcW w:w="1800" w:type="dxa"/>
            <w:vAlign w:val="bottom"/>
            <w:shd w:val="clear" w:color="auto" w:fill="F2F3F2"/>
          </w:tcPr>
          <w:p>
            <w:pPr>
              <w:spacing w:after="0"/>
              <w:rPr>
                <w:sz w:val="24"/>
                <w:szCs w:val="24"/>
                <w:color w:val="auto"/>
              </w:rPr>
            </w:pPr>
          </w:p>
        </w:tc>
        <w:tc>
          <w:tcPr>
            <w:tcW w:w="1800" w:type="dxa"/>
            <w:vAlign w:val="bottom"/>
            <w:shd w:val="clear" w:color="auto" w:fill="F2F3F2"/>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5480" w:type="dxa"/>
            <w:vAlign w:val="bottom"/>
            <w:shd w:val="clear" w:color="auto" w:fill="F2F3F2"/>
          </w:tcPr>
          <w:p>
            <w:pPr>
              <w:spacing w:after="0"/>
              <w:rPr>
                <w:sz w:val="7"/>
                <w:szCs w:val="7"/>
                <w:color w:val="auto"/>
              </w:rPr>
            </w:pPr>
          </w:p>
        </w:tc>
        <w:tc>
          <w:tcPr>
            <w:tcW w:w="1800" w:type="dxa"/>
            <w:vAlign w:val="bottom"/>
            <w:shd w:val="clear" w:color="auto" w:fill="F2F3F2"/>
          </w:tcPr>
          <w:p>
            <w:pPr>
              <w:spacing w:after="0"/>
              <w:rPr>
                <w:sz w:val="7"/>
                <w:szCs w:val="7"/>
                <w:color w:val="auto"/>
              </w:rPr>
            </w:pPr>
          </w:p>
        </w:tc>
        <w:tc>
          <w:tcPr>
            <w:tcW w:w="1800" w:type="dxa"/>
            <w:vAlign w:val="bottom"/>
            <w:shd w:val="clear" w:color="auto" w:fill="F2F3F2"/>
          </w:tcPr>
          <w:p>
            <w:pPr>
              <w:spacing w:after="0"/>
              <w:rPr>
                <w:sz w:val="7"/>
                <w:szCs w:val="7"/>
                <w:color w:val="auto"/>
              </w:rPr>
            </w:pPr>
          </w:p>
        </w:tc>
        <w:tc>
          <w:tcPr>
            <w:tcW w:w="0" w:type="dxa"/>
            <w:vAlign w:val="bottom"/>
          </w:tcPr>
          <w:p>
            <w:pPr>
              <w:spacing w:after="0"/>
              <w:rPr>
                <w:sz w:val="1"/>
                <w:szCs w:val="1"/>
                <w:color w:val="auto"/>
              </w:rPr>
            </w:pPr>
          </w:p>
        </w:tc>
      </w:tr>
      <w:tr>
        <w:trPr>
          <w:trHeight w:val="263"/>
        </w:trPr>
        <w:tc>
          <w:tcPr>
            <w:tcW w:w="5480" w:type="dxa"/>
            <w:vAlign w:val="bottom"/>
          </w:tcPr>
          <w:p>
            <w:pPr>
              <w:ind w:left="320"/>
              <w:spacing w:after="0"/>
              <w:rPr>
                <w:sz w:val="20"/>
                <w:szCs w:val="20"/>
                <w:color w:val="auto"/>
              </w:rPr>
            </w:pPr>
            <w:r>
              <w:rPr>
                <w:rFonts w:ascii="Arial" w:cs="Arial" w:eastAsia="Arial" w:hAnsi="Arial"/>
                <w:sz w:val="14"/>
                <w:szCs w:val="14"/>
                <w:color w:val="auto"/>
              </w:rPr>
              <w:t>C. Mark Hussey</w:t>
            </w:r>
          </w:p>
        </w:tc>
        <w:tc>
          <w:tcPr>
            <w:tcW w:w="1800" w:type="dxa"/>
            <w:vAlign w:val="bottom"/>
            <w:vMerge w:val="restart"/>
          </w:tcPr>
          <w:p>
            <w:pPr>
              <w:jc w:val="right"/>
              <w:ind w:right="52"/>
              <w:spacing w:after="0"/>
              <w:rPr>
                <w:sz w:val="20"/>
                <w:szCs w:val="20"/>
                <w:color w:val="auto"/>
              </w:rPr>
            </w:pPr>
            <w:r>
              <w:rPr>
                <w:rFonts w:ascii="Arial" w:cs="Arial" w:eastAsia="Arial" w:hAnsi="Arial"/>
                <w:sz w:val="13"/>
                <w:szCs w:val="13"/>
                <w:color w:val="auto"/>
              </w:rPr>
              <w:t>—</w:t>
            </w:r>
          </w:p>
        </w:tc>
        <w:tc>
          <w:tcPr>
            <w:tcW w:w="1800" w:type="dxa"/>
            <w:vAlign w:val="bottom"/>
            <w:vMerge w:val="restart"/>
          </w:tcPr>
          <w:p>
            <w:pPr>
              <w:jc w:val="right"/>
              <w:ind w:right="112"/>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0"/>
        </w:trPr>
        <w:tc>
          <w:tcPr>
            <w:tcW w:w="5480" w:type="dxa"/>
            <w:vAlign w:val="bottom"/>
            <w:vMerge w:val="restart"/>
          </w:tcPr>
          <w:p>
            <w:pPr>
              <w:ind w:left="320"/>
              <w:spacing w:after="0"/>
              <w:rPr>
                <w:sz w:val="20"/>
                <w:szCs w:val="20"/>
                <w:color w:val="auto"/>
              </w:rPr>
            </w:pPr>
            <w:r>
              <w:rPr>
                <w:rFonts w:ascii="Arial" w:cs="Arial" w:eastAsia="Arial" w:hAnsi="Arial"/>
                <w:sz w:val="14"/>
                <w:szCs w:val="14"/>
                <w:i w:val="1"/>
                <w:iCs w:val="1"/>
                <w:color w:val="auto"/>
              </w:rPr>
              <w:t>Chief Executive Officer &amp; President</w:t>
            </w:r>
          </w:p>
        </w:tc>
        <w:tc>
          <w:tcPr>
            <w:tcW w:w="1800" w:type="dxa"/>
            <w:vAlign w:val="bottom"/>
            <w:vMerge w:val="continue"/>
          </w:tcPr>
          <w:p>
            <w:pPr>
              <w:spacing w:after="0"/>
              <w:rPr>
                <w:sz w:val="7"/>
                <w:szCs w:val="7"/>
                <w:color w:val="auto"/>
              </w:rPr>
            </w:pPr>
          </w:p>
        </w:tc>
        <w:tc>
          <w:tcPr>
            <w:tcW w:w="1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5480" w:type="dxa"/>
            <w:vAlign w:val="bottom"/>
            <w:vMerge w:val="continue"/>
          </w:tcPr>
          <w:p>
            <w:pPr>
              <w:spacing w:after="0"/>
              <w:rPr>
                <w:sz w:val="8"/>
                <w:szCs w:val="8"/>
                <w:color w:val="auto"/>
              </w:rPr>
            </w:pPr>
          </w:p>
        </w:tc>
        <w:tc>
          <w:tcPr>
            <w:tcW w:w="1800" w:type="dxa"/>
            <w:vAlign w:val="bottom"/>
          </w:tcPr>
          <w:p>
            <w:pPr>
              <w:spacing w:after="0"/>
              <w:rPr>
                <w:sz w:val="8"/>
                <w:szCs w:val="8"/>
                <w:color w:val="auto"/>
              </w:rPr>
            </w:pPr>
          </w:p>
        </w:tc>
        <w:tc>
          <w:tcPr>
            <w:tcW w:w="1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9"/>
        </w:trPr>
        <w:tc>
          <w:tcPr>
            <w:tcW w:w="5480" w:type="dxa"/>
            <w:vAlign w:val="bottom"/>
          </w:tcPr>
          <w:p>
            <w:pPr>
              <w:spacing w:after="0"/>
              <w:rPr>
                <w:sz w:val="4"/>
                <w:szCs w:val="4"/>
                <w:color w:val="auto"/>
              </w:rPr>
            </w:pPr>
          </w:p>
        </w:tc>
        <w:tc>
          <w:tcPr>
            <w:tcW w:w="1800" w:type="dxa"/>
            <w:vAlign w:val="bottom"/>
          </w:tcPr>
          <w:p>
            <w:pPr>
              <w:spacing w:after="0"/>
              <w:rPr>
                <w:sz w:val="4"/>
                <w:szCs w:val="4"/>
                <w:color w:val="auto"/>
              </w:rPr>
            </w:pPr>
          </w:p>
        </w:tc>
        <w:tc>
          <w:tcPr>
            <w:tcW w:w="1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480" w:type="dxa"/>
            <w:vAlign w:val="bottom"/>
            <w:shd w:val="clear" w:color="auto" w:fill="F2F3F2"/>
          </w:tcPr>
          <w:p>
            <w:pPr>
              <w:ind w:left="320"/>
              <w:spacing w:after="0"/>
              <w:rPr>
                <w:sz w:val="20"/>
                <w:szCs w:val="20"/>
                <w:color w:val="auto"/>
              </w:rPr>
            </w:pPr>
            <w:r>
              <w:rPr>
                <w:rFonts w:ascii="Arial" w:cs="Arial" w:eastAsia="Arial" w:hAnsi="Arial"/>
                <w:sz w:val="14"/>
                <w:szCs w:val="14"/>
                <w:color w:val="auto"/>
              </w:rPr>
              <w:t>John D. Kelly</w:t>
            </w:r>
          </w:p>
        </w:tc>
        <w:tc>
          <w:tcPr>
            <w:tcW w:w="1800" w:type="dxa"/>
            <w:vAlign w:val="bottom"/>
            <w:vMerge w:val="restart"/>
            <w:shd w:val="clear" w:color="auto" w:fill="F2F3F2"/>
          </w:tcPr>
          <w:p>
            <w:pPr>
              <w:jc w:val="right"/>
              <w:ind w:right="52"/>
              <w:spacing w:after="0"/>
              <w:rPr>
                <w:sz w:val="20"/>
                <w:szCs w:val="20"/>
                <w:color w:val="auto"/>
              </w:rPr>
            </w:pPr>
            <w:r>
              <w:rPr>
                <w:rFonts w:ascii="Arial" w:cs="Arial" w:eastAsia="Arial" w:hAnsi="Arial"/>
                <w:sz w:val="13"/>
                <w:szCs w:val="13"/>
                <w:color w:val="auto"/>
              </w:rPr>
              <w:t>—</w:t>
            </w:r>
          </w:p>
        </w:tc>
        <w:tc>
          <w:tcPr>
            <w:tcW w:w="1800" w:type="dxa"/>
            <w:vAlign w:val="bottom"/>
            <w:vMerge w:val="restart"/>
            <w:shd w:val="clear" w:color="auto" w:fill="F2F3F2"/>
          </w:tcPr>
          <w:p>
            <w:pPr>
              <w:jc w:val="right"/>
              <w:ind w:right="112"/>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0"/>
        </w:trPr>
        <w:tc>
          <w:tcPr>
            <w:tcW w:w="5480" w:type="dxa"/>
            <w:vAlign w:val="bottom"/>
            <w:vMerge w:val="restart"/>
            <w:shd w:val="clear" w:color="auto" w:fill="F2F3F2"/>
          </w:tcPr>
          <w:p>
            <w:pPr>
              <w:ind w:left="320"/>
              <w:spacing w:after="0"/>
              <w:rPr>
                <w:sz w:val="20"/>
                <w:szCs w:val="20"/>
                <w:color w:val="auto"/>
              </w:rPr>
            </w:pPr>
            <w:r>
              <w:rPr>
                <w:rFonts w:ascii="Arial" w:cs="Arial" w:eastAsia="Arial" w:hAnsi="Arial"/>
                <w:sz w:val="14"/>
                <w:szCs w:val="14"/>
                <w:i w:val="1"/>
                <w:iCs w:val="1"/>
                <w:color w:val="auto"/>
              </w:rPr>
              <w:t>Executive Vice President and Chief Financial Officer</w:t>
            </w:r>
          </w:p>
        </w:tc>
        <w:tc>
          <w:tcPr>
            <w:tcW w:w="1800" w:type="dxa"/>
            <w:vAlign w:val="bottom"/>
            <w:vMerge w:val="continue"/>
            <w:shd w:val="clear" w:color="auto" w:fill="F2F3F2"/>
          </w:tcPr>
          <w:p>
            <w:pPr>
              <w:spacing w:after="0"/>
              <w:rPr>
                <w:sz w:val="7"/>
                <w:szCs w:val="7"/>
                <w:color w:val="auto"/>
              </w:rPr>
            </w:pPr>
          </w:p>
        </w:tc>
        <w:tc>
          <w:tcPr>
            <w:tcW w:w="1800" w:type="dxa"/>
            <w:vAlign w:val="bottom"/>
            <w:vMerge w:val="continue"/>
            <w:shd w:val="clear" w:color="auto" w:fill="F2F3F2"/>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5480" w:type="dxa"/>
            <w:vAlign w:val="bottom"/>
            <w:tcBorders>
              <w:bottom w:val="single" w:sz="8" w:color="F2F3F2"/>
            </w:tcBorders>
            <w:vMerge w:val="continue"/>
            <w:shd w:val="clear" w:color="auto" w:fill="F2F3F2"/>
          </w:tcPr>
          <w:p>
            <w:pPr>
              <w:spacing w:after="0"/>
              <w:rPr>
                <w:sz w:val="11"/>
                <w:szCs w:val="11"/>
                <w:color w:val="auto"/>
              </w:rPr>
            </w:pPr>
          </w:p>
        </w:tc>
        <w:tc>
          <w:tcPr>
            <w:tcW w:w="1800" w:type="dxa"/>
            <w:vAlign w:val="bottom"/>
            <w:tcBorders>
              <w:bottom w:val="single" w:sz="8" w:color="F2F3F2"/>
            </w:tcBorders>
            <w:shd w:val="clear" w:color="auto" w:fill="F2F3F2"/>
          </w:tcPr>
          <w:p>
            <w:pPr>
              <w:spacing w:after="0"/>
              <w:rPr>
                <w:sz w:val="11"/>
                <w:szCs w:val="11"/>
                <w:color w:val="auto"/>
              </w:rPr>
            </w:pPr>
          </w:p>
        </w:tc>
        <w:tc>
          <w:tcPr>
            <w:tcW w:w="1800" w:type="dxa"/>
            <w:vAlign w:val="bottom"/>
            <w:tcBorders>
              <w:bottom w:val="single" w:sz="8" w:color="F2F3F2"/>
            </w:tcBorders>
            <w:shd w:val="clear" w:color="auto" w:fill="F2F3F2"/>
          </w:tcPr>
          <w:p>
            <w:pPr>
              <w:spacing w:after="0"/>
              <w:rPr>
                <w:sz w:val="11"/>
                <w:szCs w:val="11"/>
                <w:color w:val="auto"/>
              </w:rPr>
            </w:pPr>
          </w:p>
        </w:tc>
        <w:tc>
          <w:tcPr>
            <w:tcW w:w="0" w:type="dxa"/>
            <w:vAlign w:val="bottom"/>
          </w:tcPr>
          <w:p>
            <w:pPr>
              <w:spacing w:after="0"/>
              <w:rPr>
                <w:sz w:val="1"/>
                <w:szCs w:val="1"/>
                <w:color w:val="auto"/>
              </w:rPr>
            </w:pPr>
          </w:p>
        </w:tc>
      </w:tr>
      <w:tr>
        <w:trPr>
          <w:trHeight w:val="263"/>
        </w:trPr>
        <w:tc>
          <w:tcPr>
            <w:tcW w:w="5480" w:type="dxa"/>
            <w:vAlign w:val="bottom"/>
          </w:tcPr>
          <w:p>
            <w:pPr>
              <w:ind w:left="320"/>
              <w:spacing w:after="0"/>
              <w:rPr>
                <w:sz w:val="20"/>
                <w:szCs w:val="20"/>
                <w:color w:val="auto"/>
              </w:rPr>
            </w:pPr>
            <w:r>
              <w:rPr>
                <w:rFonts w:ascii="Arial" w:cs="Arial" w:eastAsia="Arial" w:hAnsi="Arial"/>
                <w:sz w:val="14"/>
                <w:szCs w:val="14"/>
                <w:color w:val="auto"/>
              </w:rPr>
              <w:t>J. Ronald Dail</w:t>
            </w:r>
          </w:p>
        </w:tc>
        <w:tc>
          <w:tcPr>
            <w:tcW w:w="1800" w:type="dxa"/>
            <w:vAlign w:val="bottom"/>
            <w:vMerge w:val="restart"/>
          </w:tcPr>
          <w:p>
            <w:pPr>
              <w:jc w:val="right"/>
              <w:ind w:right="52"/>
              <w:spacing w:after="0"/>
              <w:rPr>
                <w:sz w:val="20"/>
                <w:szCs w:val="20"/>
                <w:color w:val="auto"/>
              </w:rPr>
            </w:pPr>
            <w:r>
              <w:rPr>
                <w:rFonts w:ascii="Arial" w:cs="Arial" w:eastAsia="Arial" w:hAnsi="Arial"/>
                <w:sz w:val="13"/>
                <w:szCs w:val="13"/>
                <w:color w:val="auto"/>
              </w:rPr>
              <w:t>—</w:t>
            </w:r>
          </w:p>
        </w:tc>
        <w:tc>
          <w:tcPr>
            <w:tcW w:w="1800" w:type="dxa"/>
            <w:vAlign w:val="bottom"/>
            <w:vMerge w:val="restart"/>
          </w:tcPr>
          <w:p>
            <w:pPr>
              <w:jc w:val="right"/>
              <w:ind w:right="112"/>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0"/>
        </w:trPr>
        <w:tc>
          <w:tcPr>
            <w:tcW w:w="5480" w:type="dxa"/>
            <w:vAlign w:val="bottom"/>
            <w:vMerge w:val="restart"/>
          </w:tcPr>
          <w:p>
            <w:pPr>
              <w:ind w:left="320"/>
              <w:spacing w:after="0"/>
              <w:rPr>
                <w:sz w:val="20"/>
                <w:szCs w:val="20"/>
                <w:color w:val="auto"/>
              </w:rPr>
            </w:pPr>
            <w:r>
              <w:rPr>
                <w:rFonts w:ascii="Arial" w:cs="Arial" w:eastAsia="Arial" w:hAnsi="Arial"/>
                <w:sz w:val="14"/>
                <w:szCs w:val="14"/>
                <w:i w:val="1"/>
                <w:iCs w:val="1"/>
                <w:color w:val="auto"/>
              </w:rPr>
              <w:t>Executive Vice President and Chief Operating Officer</w:t>
            </w:r>
          </w:p>
        </w:tc>
        <w:tc>
          <w:tcPr>
            <w:tcW w:w="1800" w:type="dxa"/>
            <w:vAlign w:val="bottom"/>
            <w:vMerge w:val="continue"/>
          </w:tcPr>
          <w:p>
            <w:pPr>
              <w:spacing w:after="0"/>
              <w:rPr>
                <w:sz w:val="7"/>
                <w:szCs w:val="7"/>
                <w:color w:val="auto"/>
              </w:rPr>
            </w:pPr>
          </w:p>
        </w:tc>
        <w:tc>
          <w:tcPr>
            <w:tcW w:w="1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5480" w:type="dxa"/>
            <w:vAlign w:val="bottom"/>
            <w:vMerge w:val="continue"/>
          </w:tcPr>
          <w:p>
            <w:pPr>
              <w:spacing w:after="0"/>
              <w:rPr>
                <w:sz w:val="8"/>
                <w:szCs w:val="8"/>
                <w:color w:val="auto"/>
              </w:rPr>
            </w:pPr>
          </w:p>
        </w:tc>
        <w:tc>
          <w:tcPr>
            <w:tcW w:w="1800" w:type="dxa"/>
            <w:vAlign w:val="bottom"/>
          </w:tcPr>
          <w:p>
            <w:pPr>
              <w:spacing w:after="0"/>
              <w:rPr>
                <w:sz w:val="8"/>
                <w:szCs w:val="8"/>
                <w:color w:val="auto"/>
              </w:rPr>
            </w:pPr>
          </w:p>
        </w:tc>
        <w:tc>
          <w:tcPr>
            <w:tcW w:w="1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8"/>
        </w:trPr>
        <w:tc>
          <w:tcPr>
            <w:tcW w:w="5480" w:type="dxa"/>
            <w:vAlign w:val="bottom"/>
          </w:tcPr>
          <w:p>
            <w:pPr>
              <w:spacing w:after="0"/>
              <w:rPr>
                <w:sz w:val="4"/>
                <w:szCs w:val="4"/>
                <w:color w:val="auto"/>
              </w:rPr>
            </w:pPr>
          </w:p>
        </w:tc>
        <w:tc>
          <w:tcPr>
            <w:tcW w:w="1800" w:type="dxa"/>
            <w:vAlign w:val="bottom"/>
          </w:tcPr>
          <w:p>
            <w:pPr>
              <w:spacing w:after="0"/>
              <w:rPr>
                <w:sz w:val="4"/>
                <w:szCs w:val="4"/>
                <w:color w:val="auto"/>
              </w:rPr>
            </w:pPr>
          </w:p>
        </w:tc>
        <w:tc>
          <w:tcPr>
            <w:tcW w:w="1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480" w:type="dxa"/>
            <w:vAlign w:val="bottom"/>
            <w:shd w:val="clear" w:color="auto" w:fill="F2F3F2"/>
          </w:tcPr>
          <w:p>
            <w:pPr>
              <w:ind w:left="320"/>
              <w:spacing w:after="0"/>
              <w:rPr>
                <w:sz w:val="20"/>
                <w:szCs w:val="20"/>
                <w:color w:val="auto"/>
              </w:rPr>
            </w:pPr>
            <w:r>
              <w:rPr>
                <w:rFonts w:ascii="Arial" w:cs="Arial" w:eastAsia="Arial" w:hAnsi="Arial"/>
                <w:sz w:val="14"/>
                <w:szCs w:val="14"/>
                <w:color w:val="auto"/>
              </w:rPr>
              <w:t>Ernest W. Torain, Jr.</w:t>
            </w:r>
          </w:p>
        </w:tc>
        <w:tc>
          <w:tcPr>
            <w:tcW w:w="1800" w:type="dxa"/>
            <w:vAlign w:val="bottom"/>
            <w:vMerge w:val="restart"/>
            <w:shd w:val="clear" w:color="auto" w:fill="F2F3F2"/>
          </w:tcPr>
          <w:p>
            <w:pPr>
              <w:jc w:val="right"/>
              <w:ind w:right="52"/>
              <w:spacing w:after="0"/>
              <w:rPr>
                <w:sz w:val="20"/>
                <w:szCs w:val="20"/>
                <w:color w:val="auto"/>
              </w:rPr>
            </w:pPr>
            <w:r>
              <w:rPr>
                <w:rFonts w:ascii="Arial" w:cs="Arial" w:eastAsia="Arial" w:hAnsi="Arial"/>
                <w:sz w:val="13"/>
                <w:szCs w:val="13"/>
                <w:color w:val="auto"/>
              </w:rPr>
              <w:t>—</w:t>
            </w:r>
          </w:p>
        </w:tc>
        <w:tc>
          <w:tcPr>
            <w:tcW w:w="1800" w:type="dxa"/>
            <w:vAlign w:val="bottom"/>
            <w:vMerge w:val="restart"/>
            <w:shd w:val="clear" w:color="auto" w:fill="F2F3F2"/>
          </w:tcPr>
          <w:p>
            <w:pPr>
              <w:jc w:val="right"/>
              <w:ind w:right="112"/>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0"/>
        </w:trPr>
        <w:tc>
          <w:tcPr>
            <w:tcW w:w="5480" w:type="dxa"/>
            <w:vAlign w:val="bottom"/>
            <w:vMerge w:val="restart"/>
            <w:shd w:val="clear" w:color="auto" w:fill="F2F3F2"/>
          </w:tcPr>
          <w:p>
            <w:pPr>
              <w:ind w:left="320"/>
              <w:spacing w:after="0"/>
              <w:rPr>
                <w:sz w:val="20"/>
                <w:szCs w:val="20"/>
                <w:color w:val="auto"/>
              </w:rPr>
            </w:pPr>
            <w:r>
              <w:rPr>
                <w:rFonts w:ascii="Arial" w:cs="Arial" w:eastAsia="Arial" w:hAnsi="Arial"/>
                <w:sz w:val="14"/>
                <w:szCs w:val="14"/>
                <w:i w:val="1"/>
                <w:iCs w:val="1"/>
                <w:color w:val="auto"/>
              </w:rPr>
              <w:t>Former Executive Vice President, General Counsel and Corporate Secretary</w:t>
            </w:r>
          </w:p>
        </w:tc>
        <w:tc>
          <w:tcPr>
            <w:tcW w:w="1800" w:type="dxa"/>
            <w:vAlign w:val="bottom"/>
            <w:vMerge w:val="continue"/>
            <w:shd w:val="clear" w:color="auto" w:fill="F2F3F2"/>
          </w:tcPr>
          <w:p>
            <w:pPr>
              <w:spacing w:after="0"/>
              <w:rPr>
                <w:sz w:val="7"/>
                <w:szCs w:val="7"/>
                <w:color w:val="auto"/>
              </w:rPr>
            </w:pPr>
          </w:p>
        </w:tc>
        <w:tc>
          <w:tcPr>
            <w:tcW w:w="1800" w:type="dxa"/>
            <w:vAlign w:val="bottom"/>
            <w:vMerge w:val="continue"/>
            <w:shd w:val="clear" w:color="auto" w:fill="F2F3F2"/>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5480" w:type="dxa"/>
            <w:vAlign w:val="bottom"/>
            <w:tcBorders>
              <w:bottom w:val="single" w:sz="8" w:color="F2F3F2"/>
            </w:tcBorders>
            <w:vMerge w:val="continue"/>
            <w:shd w:val="clear" w:color="auto" w:fill="F2F3F2"/>
          </w:tcPr>
          <w:p>
            <w:pPr>
              <w:spacing w:after="0"/>
              <w:rPr>
                <w:sz w:val="11"/>
                <w:szCs w:val="11"/>
                <w:color w:val="auto"/>
              </w:rPr>
            </w:pPr>
          </w:p>
        </w:tc>
        <w:tc>
          <w:tcPr>
            <w:tcW w:w="1800" w:type="dxa"/>
            <w:vAlign w:val="bottom"/>
            <w:tcBorders>
              <w:bottom w:val="single" w:sz="8" w:color="F2F3F2"/>
            </w:tcBorders>
            <w:shd w:val="clear" w:color="auto" w:fill="F2F3F2"/>
          </w:tcPr>
          <w:p>
            <w:pPr>
              <w:spacing w:after="0"/>
              <w:rPr>
                <w:sz w:val="11"/>
                <w:szCs w:val="11"/>
                <w:color w:val="auto"/>
              </w:rPr>
            </w:pPr>
          </w:p>
        </w:tc>
        <w:tc>
          <w:tcPr>
            <w:tcW w:w="1800" w:type="dxa"/>
            <w:vAlign w:val="bottom"/>
            <w:tcBorders>
              <w:bottom w:val="single" w:sz="8" w:color="F2F3F2"/>
            </w:tcBorders>
            <w:shd w:val="clear" w:color="auto" w:fill="F2F3F2"/>
          </w:tcPr>
          <w:p>
            <w:pPr>
              <w:spacing w:after="0"/>
              <w:rPr>
                <w:sz w:val="11"/>
                <w:szCs w:val="11"/>
                <w:color w:val="auto"/>
              </w:rPr>
            </w:pPr>
          </w:p>
        </w:tc>
        <w:tc>
          <w:tcPr>
            <w:tcW w:w="0" w:type="dxa"/>
            <w:vAlign w:val="bottom"/>
          </w:tcPr>
          <w:p>
            <w:pPr>
              <w:spacing w:after="0"/>
              <w:rPr>
                <w:sz w:val="1"/>
                <w:szCs w:val="1"/>
                <w:color w:val="auto"/>
              </w:rPr>
            </w:pPr>
          </w:p>
        </w:tc>
      </w:tr>
      <w:tr>
        <w:trPr>
          <w:trHeight w:val="335"/>
        </w:trPr>
        <w:tc>
          <w:tcPr>
            <w:tcW w:w="5480" w:type="dxa"/>
            <w:vAlign w:val="bottom"/>
          </w:tcPr>
          <w:p>
            <w:pPr>
              <w:ind w:left="140"/>
              <w:spacing w:after="0"/>
              <w:rPr>
                <w:sz w:val="20"/>
                <w:szCs w:val="20"/>
                <w:color w:val="auto"/>
              </w:rPr>
            </w:pPr>
            <w:r>
              <w:rPr>
                <w:rFonts w:ascii="Arial" w:cs="Arial" w:eastAsia="Arial" w:hAnsi="Arial"/>
                <w:sz w:val="14"/>
                <w:szCs w:val="14"/>
                <w:b w:val="1"/>
                <w:bCs w:val="1"/>
                <w:color w:val="auto"/>
              </w:rPr>
              <w:t>All current executive officers as a group</w:t>
            </w:r>
          </w:p>
        </w:tc>
        <w:tc>
          <w:tcPr>
            <w:tcW w:w="1800" w:type="dxa"/>
            <w:vAlign w:val="bottom"/>
          </w:tcPr>
          <w:p>
            <w:pPr>
              <w:jc w:val="right"/>
              <w:ind w:right="52"/>
              <w:spacing w:after="0"/>
              <w:rPr>
                <w:sz w:val="20"/>
                <w:szCs w:val="20"/>
                <w:color w:val="auto"/>
              </w:rPr>
            </w:pPr>
            <w:r>
              <w:rPr>
                <w:rFonts w:ascii="Arial" w:cs="Arial" w:eastAsia="Arial" w:hAnsi="Arial"/>
                <w:sz w:val="13"/>
                <w:szCs w:val="13"/>
                <w:b w:val="1"/>
                <w:bCs w:val="1"/>
                <w:color w:val="auto"/>
              </w:rPr>
              <w:t>—</w:t>
            </w:r>
          </w:p>
        </w:tc>
        <w:tc>
          <w:tcPr>
            <w:tcW w:w="1800" w:type="dxa"/>
            <w:vAlign w:val="bottom"/>
          </w:tcPr>
          <w:p>
            <w:pPr>
              <w:jc w:val="right"/>
              <w:ind w:right="112"/>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83"/>
        </w:trPr>
        <w:tc>
          <w:tcPr>
            <w:tcW w:w="548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5"/>
        </w:trPr>
        <w:tc>
          <w:tcPr>
            <w:tcW w:w="5480" w:type="dxa"/>
            <w:vAlign w:val="bottom"/>
            <w:shd w:val="clear" w:color="auto" w:fill="F2F3F2"/>
          </w:tcPr>
          <w:p>
            <w:pPr>
              <w:ind w:left="140"/>
              <w:spacing w:after="0"/>
              <w:rPr>
                <w:sz w:val="20"/>
                <w:szCs w:val="20"/>
                <w:color w:val="auto"/>
              </w:rPr>
            </w:pPr>
            <w:r>
              <w:rPr>
                <w:rFonts w:ascii="Arial" w:cs="Arial" w:eastAsia="Arial" w:hAnsi="Arial"/>
                <w:sz w:val="14"/>
                <w:szCs w:val="14"/>
                <w:b w:val="1"/>
                <w:bCs w:val="1"/>
                <w:color w:val="auto"/>
              </w:rPr>
              <w:t>All current non-employee directors as a group</w:t>
            </w:r>
          </w:p>
        </w:tc>
        <w:tc>
          <w:tcPr>
            <w:tcW w:w="1800" w:type="dxa"/>
            <w:vAlign w:val="bottom"/>
            <w:shd w:val="clear" w:color="auto" w:fill="F2F3F2"/>
          </w:tcPr>
          <w:p>
            <w:pPr>
              <w:jc w:val="right"/>
              <w:ind w:right="52"/>
              <w:spacing w:after="0"/>
              <w:rPr>
                <w:sz w:val="20"/>
                <w:szCs w:val="20"/>
                <w:color w:val="auto"/>
              </w:rPr>
            </w:pPr>
            <w:r>
              <w:rPr>
                <w:rFonts w:ascii="Arial" w:cs="Arial" w:eastAsia="Arial" w:hAnsi="Arial"/>
                <w:sz w:val="13"/>
                <w:szCs w:val="13"/>
                <w:b w:val="1"/>
                <w:bCs w:val="1"/>
                <w:color w:val="auto"/>
              </w:rPr>
              <w:t>—</w:t>
            </w:r>
          </w:p>
        </w:tc>
        <w:tc>
          <w:tcPr>
            <w:tcW w:w="1800" w:type="dxa"/>
            <w:vAlign w:val="bottom"/>
            <w:shd w:val="clear" w:color="auto" w:fill="F2F3F2"/>
          </w:tcPr>
          <w:p>
            <w:pPr>
              <w:jc w:val="right"/>
              <w:ind w:right="112"/>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83"/>
        </w:trPr>
        <w:tc>
          <w:tcPr>
            <w:tcW w:w="5480" w:type="dxa"/>
            <w:vAlign w:val="bottom"/>
            <w:shd w:val="clear" w:color="auto" w:fill="F2F3F2"/>
          </w:tcPr>
          <w:p>
            <w:pPr>
              <w:spacing w:after="0"/>
              <w:rPr>
                <w:sz w:val="7"/>
                <w:szCs w:val="7"/>
                <w:color w:val="auto"/>
              </w:rPr>
            </w:pPr>
          </w:p>
        </w:tc>
        <w:tc>
          <w:tcPr>
            <w:tcW w:w="1800" w:type="dxa"/>
            <w:vAlign w:val="bottom"/>
            <w:shd w:val="clear" w:color="auto" w:fill="F2F3F2"/>
          </w:tcPr>
          <w:p>
            <w:pPr>
              <w:spacing w:after="0"/>
              <w:rPr>
                <w:sz w:val="7"/>
                <w:szCs w:val="7"/>
                <w:color w:val="auto"/>
              </w:rPr>
            </w:pPr>
          </w:p>
        </w:tc>
        <w:tc>
          <w:tcPr>
            <w:tcW w:w="1800" w:type="dxa"/>
            <w:vAlign w:val="bottom"/>
            <w:shd w:val="clear" w:color="auto" w:fill="F2F3F2"/>
          </w:tcPr>
          <w:p>
            <w:pPr>
              <w:spacing w:after="0"/>
              <w:rPr>
                <w:sz w:val="7"/>
                <w:szCs w:val="7"/>
                <w:color w:val="auto"/>
              </w:rPr>
            </w:pPr>
          </w:p>
        </w:tc>
        <w:tc>
          <w:tcPr>
            <w:tcW w:w="0" w:type="dxa"/>
            <w:vAlign w:val="bottom"/>
          </w:tcPr>
          <w:p>
            <w:pPr>
              <w:spacing w:after="0"/>
              <w:rPr>
                <w:sz w:val="1"/>
                <w:szCs w:val="1"/>
                <w:color w:val="auto"/>
              </w:rPr>
            </w:pPr>
          </w:p>
        </w:tc>
      </w:tr>
      <w:tr>
        <w:trPr>
          <w:trHeight w:val="336"/>
        </w:trPr>
        <w:tc>
          <w:tcPr>
            <w:tcW w:w="5480" w:type="dxa"/>
            <w:vAlign w:val="bottom"/>
          </w:tcPr>
          <w:p>
            <w:pPr>
              <w:ind w:left="140"/>
              <w:spacing w:after="0"/>
              <w:rPr>
                <w:sz w:val="20"/>
                <w:szCs w:val="20"/>
                <w:color w:val="auto"/>
              </w:rPr>
            </w:pPr>
            <w:r>
              <w:rPr>
                <w:rFonts w:ascii="Arial" w:cs="Arial" w:eastAsia="Arial" w:hAnsi="Arial"/>
                <w:sz w:val="14"/>
                <w:szCs w:val="14"/>
                <w:b w:val="1"/>
                <w:bCs w:val="1"/>
                <w:color w:val="auto"/>
              </w:rPr>
              <w:t>Each nominee for election as a director</w:t>
            </w:r>
          </w:p>
        </w:tc>
        <w:tc>
          <w:tcPr>
            <w:tcW w:w="1800" w:type="dxa"/>
            <w:vAlign w:val="bottom"/>
          </w:tcPr>
          <w:p>
            <w:pPr>
              <w:jc w:val="right"/>
              <w:ind w:right="52"/>
              <w:spacing w:after="0"/>
              <w:rPr>
                <w:sz w:val="20"/>
                <w:szCs w:val="20"/>
                <w:color w:val="auto"/>
              </w:rPr>
            </w:pPr>
            <w:r>
              <w:rPr>
                <w:rFonts w:ascii="Arial" w:cs="Arial" w:eastAsia="Arial" w:hAnsi="Arial"/>
                <w:sz w:val="13"/>
                <w:szCs w:val="13"/>
                <w:b w:val="1"/>
                <w:bCs w:val="1"/>
                <w:color w:val="auto"/>
              </w:rPr>
              <w:t>—</w:t>
            </w:r>
          </w:p>
        </w:tc>
        <w:tc>
          <w:tcPr>
            <w:tcW w:w="1800" w:type="dxa"/>
            <w:vAlign w:val="bottom"/>
          </w:tcPr>
          <w:p>
            <w:pPr>
              <w:jc w:val="right"/>
              <w:ind w:right="112"/>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83"/>
        </w:trPr>
        <w:tc>
          <w:tcPr>
            <w:tcW w:w="548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5"/>
        </w:trPr>
        <w:tc>
          <w:tcPr>
            <w:tcW w:w="5480" w:type="dxa"/>
            <w:vAlign w:val="bottom"/>
            <w:shd w:val="clear" w:color="auto" w:fill="F2F3F2"/>
          </w:tcPr>
          <w:p>
            <w:pPr>
              <w:ind w:left="140"/>
              <w:spacing w:after="0"/>
              <w:rPr>
                <w:sz w:val="20"/>
                <w:szCs w:val="20"/>
                <w:color w:val="auto"/>
              </w:rPr>
            </w:pPr>
            <w:r>
              <w:rPr>
                <w:rFonts w:ascii="Arial" w:cs="Arial" w:eastAsia="Arial" w:hAnsi="Arial"/>
                <w:sz w:val="14"/>
                <w:szCs w:val="14"/>
                <w:b w:val="1"/>
                <w:bCs w:val="1"/>
                <w:color w:val="auto"/>
              </w:rPr>
              <w:t>Associate of any such directors, executive officers or nominees</w:t>
            </w:r>
          </w:p>
        </w:tc>
        <w:tc>
          <w:tcPr>
            <w:tcW w:w="1800" w:type="dxa"/>
            <w:vAlign w:val="bottom"/>
            <w:shd w:val="clear" w:color="auto" w:fill="F2F3F2"/>
          </w:tcPr>
          <w:p>
            <w:pPr>
              <w:jc w:val="right"/>
              <w:ind w:right="52"/>
              <w:spacing w:after="0"/>
              <w:rPr>
                <w:sz w:val="20"/>
                <w:szCs w:val="20"/>
                <w:color w:val="auto"/>
              </w:rPr>
            </w:pPr>
            <w:r>
              <w:rPr>
                <w:rFonts w:ascii="Arial" w:cs="Arial" w:eastAsia="Arial" w:hAnsi="Arial"/>
                <w:sz w:val="13"/>
                <w:szCs w:val="13"/>
                <w:b w:val="1"/>
                <w:bCs w:val="1"/>
                <w:color w:val="auto"/>
              </w:rPr>
              <w:t>—</w:t>
            </w:r>
          </w:p>
        </w:tc>
        <w:tc>
          <w:tcPr>
            <w:tcW w:w="1800" w:type="dxa"/>
            <w:vAlign w:val="bottom"/>
            <w:shd w:val="clear" w:color="auto" w:fill="F2F3F2"/>
          </w:tcPr>
          <w:p>
            <w:pPr>
              <w:jc w:val="right"/>
              <w:ind w:right="112"/>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83"/>
        </w:trPr>
        <w:tc>
          <w:tcPr>
            <w:tcW w:w="5480" w:type="dxa"/>
            <w:vAlign w:val="bottom"/>
            <w:shd w:val="clear" w:color="auto" w:fill="F2F3F2"/>
          </w:tcPr>
          <w:p>
            <w:pPr>
              <w:spacing w:after="0"/>
              <w:rPr>
                <w:sz w:val="7"/>
                <w:szCs w:val="7"/>
                <w:color w:val="auto"/>
              </w:rPr>
            </w:pPr>
          </w:p>
        </w:tc>
        <w:tc>
          <w:tcPr>
            <w:tcW w:w="1800" w:type="dxa"/>
            <w:vAlign w:val="bottom"/>
            <w:shd w:val="clear" w:color="auto" w:fill="F2F3F2"/>
          </w:tcPr>
          <w:p>
            <w:pPr>
              <w:spacing w:after="0"/>
              <w:rPr>
                <w:sz w:val="7"/>
                <w:szCs w:val="7"/>
                <w:color w:val="auto"/>
              </w:rPr>
            </w:pPr>
          </w:p>
        </w:tc>
        <w:tc>
          <w:tcPr>
            <w:tcW w:w="1800" w:type="dxa"/>
            <w:vAlign w:val="bottom"/>
            <w:shd w:val="clear" w:color="auto" w:fill="F2F3F2"/>
          </w:tcPr>
          <w:p>
            <w:pPr>
              <w:spacing w:after="0"/>
              <w:rPr>
                <w:sz w:val="7"/>
                <w:szCs w:val="7"/>
                <w:color w:val="auto"/>
              </w:rPr>
            </w:pPr>
          </w:p>
        </w:tc>
        <w:tc>
          <w:tcPr>
            <w:tcW w:w="0" w:type="dxa"/>
            <w:vAlign w:val="bottom"/>
          </w:tcPr>
          <w:p>
            <w:pPr>
              <w:spacing w:after="0"/>
              <w:rPr>
                <w:sz w:val="1"/>
                <w:szCs w:val="1"/>
                <w:color w:val="auto"/>
              </w:rPr>
            </w:pPr>
          </w:p>
        </w:tc>
      </w:tr>
      <w:tr>
        <w:trPr>
          <w:trHeight w:val="335"/>
        </w:trPr>
        <w:tc>
          <w:tcPr>
            <w:tcW w:w="5480" w:type="dxa"/>
            <w:vAlign w:val="bottom"/>
          </w:tcPr>
          <w:p>
            <w:pPr>
              <w:ind w:left="140"/>
              <w:spacing w:after="0"/>
              <w:rPr>
                <w:sz w:val="20"/>
                <w:szCs w:val="20"/>
                <w:color w:val="auto"/>
              </w:rPr>
            </w:pPr>
            <w:r>
              <w:rPr>
                <w:rFonts w:ascii="Arial" w:cs="Arial" w:eastAsia="Arial" w:hAnsi="Arial"/>
                <w:sz w:val="14"/>
                <w:szCs w:val="14"/>
                <w:b w:val="1"/>
                <w:bCs w:val="1"/>
                <w:color w:val="auto"/>
              </w:rPr>
              <w:t>Other persons who received or is to receive 5% of such options or rights</w:t>
            </w:r>
          </w:p>
        </w:tc>
        <w:tc>
          <w:tcPr>
            <w:tcW w:w="1800" w:type="dxa"/>
            <w:vAlign w:val="bottom"/>
          </w:tcPr>
          <w:p>
            <w:pPr>
              <w:jc w:val="right"/>
              <w:ind w:right="52"/>
              <w:spacing w:after="0"/>
              <w:rPr>
                <w:sz w:val="20"/>
                <w:szCs w:val="20"/>
                <w:color w:val="auto"/>
              </w:rPr>
            </w:pPr>
            <w:r>
              <w:rPr>
                <w:rFonts w:ascii="Arial" w:cs="Arial" w:eastAsia="Arial" w:hAnsi="Arial"/>
                <w:sz w:val="13"/>
                <w:szCs w:val="13"/>
                <w:b w:val="1"/>
                <w:bCs w:val="1"/>
                <w:color w:val="auto"/>
              </w:rPr>
              <w:t>—</w:t>
            </w:r>
          </w:p>
        </w:tc>
        <w:tc>
          <w:tcPr>
            <w:tcW w:w="1800" w:type="dxa"/>
            <w:vAlign w:val="bottom"/>
          </w:tcPr>
          <w:p>
            <w:pPr>
              <w:jc w:val="right"/>
              <w:ind w:right="112"/>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83"/>
        </w:trPr>
        <w:tc>
          <w:tcPr>
            <w:tcW w:w="548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6"/>
        </w:trPr>
        <w:tc>
          <w:tcPr>
            <w:tcW w:w="5480" w:type="dxa"/>
            <w:vAlign w:val="bottom"/>
            <w:shd w:val="clear" w:color="auto" w:fill="F2F3F2"/>
          </w:tcPr>
          <w:p>
            <w:pPr>
              <w:ind w:left="140"/>
              <w:spacing w:after="0"/>
              <w:rPr>
                <w:sz w:val="20"/>
                <w:szCs w:val="20"/>
                <w:color w:val="auto"/>
              </w:rPr>
            </w:pPr>
            <w:r>
              <w:rPr>
                <w:rFonts w:ascii="Arial" w:cs="Arial" w:eastAsia="Arial" w:hAnsi="Arial"/>
                <w:sz w:val="14"/>
                <w:szCs w:val="14"/>
                <w:b w:val="1"/>
                <w:bCs w:val="1"/>
                <w:color w:val="auto"/>
              </w:rPr>
              <w:t>All employees as a group (excluding executive officers)</w:t>
            </w:r>
          </w:p>
        </w:tc>
        <w:tc>
          <w:tcPr>
            <w:tcW w:w="1800" w:type="dxa"/>
            <w:vAlign w:val="bottom"/>
            <w:shd w:val="clear" w:color="auto" w:fill="F2F3F2"/>
          </w:tcPr>
          <w:p>
            <w:pPr>
              <w:jc w:val="right"/>
              <w:ind w:right="52"/>
              <w:spacing w:after="0"/>
              <w:rPr>
                <w:sz w:val="20"/>
                <w:szCs w:val="20"/>
                <w:color w:val="auto"/>
              </w:rPr>
            </w:pPr>
            <w:r>
              <w:rPr>
                <w:rFonts w:ascii="Arial" w:cs="Arial" w:eastAsia="Arial" w:hAnsi="Arial"/>
                <w:sz w:val="13"/>
                <w:szCs w:val="13"/>
                <w:b w:val="1"/>
                <w:bCs w:val="1"/>
                <w:color w:val="auto"/>
              </w:rPr>
              <w:t>587,472</w:t>
            </w:r>
          </w:p>
        </w:tc>
        <w:tc>
          <w:tcPr>
            <w:tcW w:w="1800" w:type="dxa"/>
            <w:vAlign w:val="bottom"/>
            <w:shd w:val="clear" w:color="auto" w:fill="F2F3F2"/>
          </w:tcPr>
          <w:p>
            <w:pPr>
              <w:jc w:val="right"/>
              <w:ind w:right="92"/>
              <w:spacing w:after="0"/>
              <w:rPr>
                <w:sz w:val="20"/>
                <w:szCs w:val="20"/>
                <w:color w:val="auto"/>
              </w:rPr>
            </w:pPr>
            <w:r>
              <w:rPr>
                <w:rFonts w:ascii="Arial" w:cs="Arial" w:eastAsia="Arial" w:hAnsi="Arial"/>
                <w:sz w:val="13"/>
                <w:szCs w:val="13"/>
                <w:b w:val="1"/>
                <w:bCs w:val="1"/>
                <w:color w:val="auto"/>
              </w:rPr>
              <w:t>157,253</w:t>
            </w:r>
          </w:p>
        </w:tc>
        <w:tc>
          <w:tcPr>
            <w:tcW w:w="0" w:type="dxa"/>
            <w:vAlign w:val="bottom"/>
          </w:tcPr>
          <w:p>
            <w:pPr>
              <w:spacing w:after="0"/>
              <w:rPr>
                <w:sz w:val="1"/>
                <w:szCs w:val="1"/>
                <w:color w:val="auto"/>
              </w:rPr>
            </w:pPr>
          </w:p>
        </w:tc>
      </w:tr>
      <w:tr>
        <w:trPr>
          <w:trHeight w:val="83"/>
        </w:trPr>
        <w:tc>
          <w:tcPr>
            <w:tcW w:w="5480" w:type="dxa"/>
            <w:vAlign w:val="bottom"/>
            <w:tcBorders>
              <w:bottom w:val="single" w:sz="8" w:color="B2B3B6"/>
            </w:tcBorders>
            <w:shd w:val="clear" w:color="auto" w:fill="F2F3F2"/>
          </w:tcPr>
          <w:p>
            <w:pPr>
              <w:spacing w:after="0"/>
              <w:rPr>
                <w:sz w:val="7"/>
                <w:szCs w:val="7"/>
                <w:color w:val="auto"/>
              </w:rPr>
            </w:pPr>
          </w:p>
        </w:tc>
        <w:tc>
          <w:tcPr>
            <w:tcW w:w="1800" w:type="dxa"/>
            <w:vAlign w:val="bottom"/>
            <w:tcBorders>
              <w:bottom w:val="single" w:sz="8" w:color="B2B3B6"/>
            </w:tcBorders>
            <w:shd w:val="clear" w:color="auto" w:fill="F2F3F2"/>
          </w:tcPr>
          <w:p>
            <w:pPr>
              <w:spacing w:after="0"/>
              <w:rPr>
                <w:sz w:val="7"/>
                <w:szCs w:val="7"/>
                <w:color w:val="auto"/>
              </w:rPr>
            </w:pPr>
          </w:p>
        </w:tc>
        <w:tc>
          <w:tcPr>
            <w:tcW w:w="1800" w:type="dxa"/>
            <w:vAlign w:val="bottom"/>
            <w:tcBorders>
              <w:bottom w:val="single" w:sz="8" w:color="B2B3B6"/>
            </w:tcBorders>
            <w:shd w:val="clear" w:color="auto" w:fill="F2F3F2"/>
          </w:tcPr>
          <w:p>
            <w:pPr>
              <w:spacing w:after="0"/>
              <w:rPr>
                <w:sz w:val="7"/>
                <w:szCs w:val="7"/>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with the SEC</w:t>
      </w:r>
    </w:p>
    <w:p>
      <w:pPr>
        <w:spacing w:after="0" w:line="68" w:lineRule="exact"/>
        <w:rPr>
          <w:sz w:val="20"/>
          <w:szCs w:val="20"/>
          <w:color w:val="auto"/>
        </w:rPr>
      </w:pPr>
    </w:p>
    <w:p>
      <w:pPr>
        <w:ind w:right="560"/>
        <w:spacing w:after="0" w:line="339" w:lineRule="auto"/>
        <w:rPr>
          <w:sz w:val="20"/>
          <w:szCs w:val="20"/>
          <w:color w:val="auto"/>
        </w:rPr>
      </w:pPr>
      <w:r>
        <w:rPr>
          <w:rFonts w:ascii="Arial" w:cs="Arial" w:eastAsia="Arial" w:hAnsi="Arial"/>
          <w:sz w:val="16"/>
          <w:szCs w:val="16"/>
          <w:color w:val="auto"/>
        </w:rPr>
        <w:t>We intend to file with the U.S. Securities and Exchange Commission a registration statement on Form S-8 covering the 150,000 additional shares reserved for issuance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60"/>
        <w:spacing w:after="0"/>
        <w:tabs>
          <w:tab w:leader="none" w:pos="446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13"/>
          <w:szCs w:val="13"/>
          <w:b w:val="1"/>
          <w:bCs w:val="1"/>
          <w:color w:val="00558C"/>
        </w:rPr>
        <w:t>81</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420370</wp:posOffset>
            </wp:positionV>
            <wp:extent cx="6810375" cy="7962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10375" cy="796290"/>
                    </a:xfrm>
                    <a:prstGeom prst="rect">
                      <a:avLst/>
                    </a:prstGeom>
                    <a:noFill/>
                  </pic:spPr>
                </pic:pic>
              </a:graphicData>
            </a:graphic>
          </wp:anchor>
        </w:drawing>
      </w:r>
    </w:p>
    <w:p>
      <w:pPr>
        <w:sectPr>
          <w:pgSz w:w="11900" w:h="16838" w:orient="portrait"/>
          <w:cols w:equalWidth="0" w:num="1">
            <w:col w:w="9080"/>
          </w:cols>
          <w:pgMar w:left="1400" w:top="540" w:right="1419" w:bottom="11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540" w:val="left"/>
          <w:tab w:leader="none" w:pos="7360" w:val="left"/>
          <w:tab w:leader="none" w:pos="8400" w:val="left"/>
        </w:tabs>
        <w:rPr>
          <w:sz w:val="20"/>
          <w:szCs w:val="20"/>
          <w:color w:val="auto"/>
        </w:rPr>
      </w:pPr>
      <w:r>
        <w:rPr>
          <w:rFonts w:ascii="Arial" w:cs="Arial" w:eastAsia="Arial" w:hAnsi="Arial"/>
          <w:sz w:val="13"/>
          <w:szCs w:val="13"/>
          <w:b w:val="1"/>
          <w:bCs w:val="1"/>
          <w:color w:val="B2B3B6"/>
        </w:rPr>
        <w:t>General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Corporate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Executive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6AAA37"/>
        </w:rPr>
        <w:t>Proposal</w:t>
      </w:r>
      <w:r>
        <w:rPr>
          <w:sz w:val="20"/>
          <w:szCs w:val="20"/>
          <w:color w:val="auto"/>
        </w:rPr>
        <w:tab/>
      </w:r>
      <w:r>
        <w:rPr>
          <w:rFonts w:ascii="Arial" w:cs="Arial" w:eastAsia="Arial" w:hAnsi="Arial"/>
          <w:sz w:val="13"/>
          <w:szCs w:val="13"/>
          <w:b w:val="1"/>
          <w:bCs w:val="1"/>
          <w:color w:val="B2B3B6"/>
        </w:rPr>
        <w:t>Stockholder</w:t>
      </w:r>
      <w:r>
        <w:rPr>
          <w:sz w:val="20"/>
          <w:szCs w:val="20"/>
          <w:color w:val="auto"/>
        </w:rPr>
        <w:tab/>
      </w:r>
      <w:r>
        <w:rPr>
          <w:rFonts w:ascii="Arial" w:cs="Arial" w:eastAsia="Arial" w:hAnsi="Arial"/>
          <w:sz w:val="12"/>
          <w:szCs w:val="12"/>
          <w:b w:val="1"/>
          <w:bCs w:val="1"/>
          <w:color w:val="B2B3B6"/>
        </w:rPr>
        <w:t>Other</w:t>
      </w:r>
    </w:p>
    <w:p>
      <w:pPr>
        <w:spacing w:after="0" w:line="11"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540" w:val="left"/>
          <w:tab w:leader="none" w:pos="7360" w:val="left"/>
          <w:tab w:leader="none" w:pos="8400" w:val="left"/>
        </w:tabs>
        <w:rPr>
          <w:sz w:val="20"/>
          <w:szCs w:val="20"/>
          <w:color w:val="auto"/>
        </w:rPr>
      </w:pPr>
      <w:r>
        <w:rPr>
          <w:rFonts w:ascii="Arial" w:cs="Arial" w:eastAsia="Arial" w:hAnsi="Arial"/>
          <w:sz w:val="13"/>
          <w:szCs w:val="13"/>
          <w:b w:val="1"/>
          <w:bCs w:val="1"/>
          <w:color w:val="B2B3B6"/>
        </w:rPr>
        <w:t>Information</w:t>
      </w:r>
      <w:r>
        <w:rPr>
          <w:sz w:val="20"/>
          <w:szCs w:val="20"/>
          <w:color w:val="auto"/>
        </w:rPr>
        <w:tab/>
      </w:r>
      <w:r>
        <w:rPr>
          <w:rFonts w:ascii="Arial" w:cs="Arial" w:eastAsia="Arial" w:hAnsi="Arial"/>
          <w:sz w:val="13"/>
          <w:szCs w:val="13"/>
          <w:b w:val="1"/>
          <w:bCs w:val="1"/>
          <w:color w:val="B2B3B6"/>
        </w:rPr>
        <w:t>One</w:t>
      </w:r>
      <w:r>
        <w:rPr>
          <w:sz w:val="20"/>
          <w:szCs w:val="20"/>
          <w:color w:val="auto"/>
        </w:rPr>
        <w:tab/>
      </w:r>
      <w:r>
        <w:rPr>
          <w:rFonts w:ascii="Arial" w:cs="Arial" w:eastAsia="Arial" w:hAnsi="Arial"/>
          <w:sz w:val="13"/>
          <w:szCs w:val="13"/>
          <w:b w:val="1"/>
          <w:bCs w:val="1"/>
          <w:color w:val="B2B3B6"/>
        </w:rPr>
        <w:t>Governance</w:t>
      </w:r>
      <w:r>
        <w:rPr>
          <w:sz w:val="20"/>
          <w:szCs w:val="20"/>
          <w:color w:val="auto"/>
        </w:rPr>
        <w:tab/>
      </w:r>
      <w:r>
        <w:rPr>
          <w:rFonts w:ascii="Arial" w:cs="Arial" w:eastAsia="Arial" w:hAnsi="Arial"/>
          <w:sz w:val="13"/>
          <w:szCs w:val="13"/>
          <w:b w:val="1"/>
          <w:bCs w:val="1"/>
          <w:color w:val="B2B3B6"/>
        </w:rPr>
        <w:t>Two</w:t>
      </w:r>
      <w:r>
        <w:rPr>
          <w:sz w:val="20"/>
          <w:szCs w:val="20"/>
          <w:color w:val="auto"/>
        </w:rPr>
        <w:tab/>
      </w:r>
      <w:r>
        <w:rPr>
          <w:rFonts w:ascii="Arial" w:cs="Arial" w:eastAsia="Arial" w:hAnsi="Arial"/>
          <w:sz w:val="13"/>
          <w:szCs w:val="13"/>
          <w:b w:val="1"/>
          <w:bCs w:val="1"/>
          <w:color w:val="B2B3B6"/>
        </w:rPr>
        <w:t>Compensation</w:t>
      </w:r>
      <w:r>
        <w:rPr>
          <w:sz w:val="20"/>
          <w:szCs w:val="20"/>
          <w:color w:val="auto"/>
        </w:rPr>
        <w:tab/>
      </w:r>
      <w:r>
        <w:rPr>
          <w:rFonts w:ascii="Arial" w:cs="Arial" w:eastAsia="Arial" w:hAnsi="Arial"/>
          <w:sz w:val="13"/>
          <w:szCs w:val="13"/>
          <w:b w:val="1"/>
          <w:bCs w:val="1"/>
          <w:color w:val="B2B3B6"/>
        </w:rPr>
        <w:t>Three</w:t>
      </w:r>
      <w:r>
        <w:rPr>
          <w:sz w:val="20"/>
          <w:szCs w:val="20"/>
          <w:color w:val="auto"/>
        </w:rPr>
        <w:tab/>
      </w:r>
      <w:r>
        <w:rPr>
          <w:rFonts w:ascii="Arial" w:cs="Arial" w:eastAsia="Arial" w:hAnsi="Arial"/>
          <w:sz w:val="13"/>
          <w:szCs w:val="13"/>
          <w:b w:val="1"/>
          <w:bCs w:val="1"/>
          <w:color w:val="B2B3B6"/>
        </w:rPr>
        <w:t>Four</w:t>
      </w:r>
      <w:r>
        <w:rPr>
          <w:sz w:val="20"/>
          <w:szCs w:val="20"/>
          <w:color w:val="auto"/>
        </w:rPr>
        <w:tab/>
      </w:r>
      <w:r>
        <w:rPr>
          <w:rFonts w:ascii="Arial" w:cs="Arial" w:eastAsia="Arial" w:hAnsi="Arial"/>
          <w:sz w:val="13"/>
          <w:szCs w:val="13"/>
          <w:b w:val="1"/>
          <w:bCs w:val="1"/>
          <w:color w:val="6AAA37"/>
        </w:rPr>
        <w:t>Five</w:t>
      </w:r>
      <w:r>
        <w:rPr>
          <w:sz w:val="20"/>
          <w:szCs w:val="20"/>
          <w:color w:val="auto"/>
        </w:rPr>
        <w:tab/>
      </w:r>
      <w:r>
        <w:rPr>
          <w:rFonts w:ascii="Arial" w:cs="Arial" w:eastAsia="Arial" w:hAnsi="Arial"/>
          <w:sz w:val="13"/>
          <w:szCs w:val="13"/>
          <w:b w:val="1"/>
          <w:bCs w:val="1"/>
          <w:color w:val="B2B3B6"/>
        </w:rPr>
        <w:t>Proposals</w:t>
      </w:r>
      <w:r>
        <w:rPr>
          <w:sz w:val="20"/>
          <w:szCs w:val="20"/>
          <w:color w:val="auto"/>
        </w:rPr>
        <w:tab/>
      </w:r>
      <w:r>
        <w:rPr>
          <w:rFonts w:ascii="Arial" w:cs="Arial" w:eastAsia="Arial" w:hAnsi="Arial"/>
          <w:sz w:val="12"/>
          <w:szCs w:val="12"/>
          <w:b w:val="1"/>
          <w:bCs w:val="1"/>
          <w:color w:val="B2B3B6"/>
        </w:rPr>
        <w:t>Matters</w:t>
      </w:r>
    </w:p>
    <w:p>
      <w:pPr>
        <w:sectPr>
          <w:pgSz w:w="11900" w:h="16838" w:orient="portrait"/>
          <w:cols w:equalWidth="0" w:num="1">
            <w:col w:w="9080"/>
          </w:cols>
          <w:pgMar w:left="1400" w:top="540" w:right="1419" w:bottom="114" w:gutter="0" w:footer="0" w:header="0"/>
          <w:type w:val="continuous"/>
        </w:sectPr>
      </w:pPr>
    </w:p>
    <w:bookmarkStart w:id="80" w:name="page81"/>
    <w:bookmarkEnd w:id="80"/>
    <w:p>
      <w:pPr>
        <w:spacing w:after="0"/>
        <w:rPr>
          <w:sz w:val="20"/>
          <w:szCs w:val="20"/>
          <w:color w:val="auto"/>
        </w:rPr>
      </w:pPr>
      <w:r>
        <w:rPr>
          <w:rFonts w:ascii="Arial" w:cs="Arial" w:eastAsia="Arial" w:hAnsi="Arial"/>
          <w:sz w:val="54"/>
          <w:szCs w:val="54"/>
          <w:color w:val="00558C"/>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80600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10375" cy="8060055"/>
                    </a:xfrm>
                    <a:prstGeom prst="rect">
                      <a:avLst/>
                    </a:prstGeom>
                    <a:noFill/>
                  </pic:spPr>
                </pic:pic>
              </a:graphicData>
            </a:graphic>
          </wp:anchor>
        </w:drawing>
        <w:t>Proposal Five</w:t>
      </w:r>
    </w:p>
    <w:p>
      <w:pPr>
        <w:spacing w:after="0" w:line="171" w:lineRule="exact"/>
        <w:rPr>
          <w:sz w:val="20"/>
          <w:szCs w:val="20"/>
          <w:color w:val="auto"/>
        </w:rPr>
      </w:pPr>
    </w:p>
    <w:p>
      <w:pPr>
        <w:ind w:right="1559"/>
        <w:spacing w:after="0" w:line="288" w:lineRule="auto"/>
        <w:rPr>
          <w:sz w:val="20"/>
          <w:szCs w:val="20"/>
          <w:color w:val="auto"/>
        </w:rPr>
      </w:pPr>
      <w:r>
        <w:rPr>
          <w:rFonts w:ascii="Arial" w:cs="Arial" w:eastAsia="Arial" w:hAnsi="Arial"/>
          <w:sz w:val="29"/>
          <w:szCs w:val="29"/>
          <w:b w:val="1"/>
          <w:bCs w:val="1"/>
          <w:color w:val="B2B3B6"/>
        </w:rPr>
        <w:t>Ratification of Appointment of Independent Registered Public Accounting Firm</w:t>
      </w:r>
    </w:p>
    <w:p>
      <w:pPr>
        <w:sectPr>
          <w:pgSz w:w="11900" w:h="16838" w:orient="portrait"/>
          <w:cols w:equalWidth="0" w:num="1">
            <w:col w:w="9059"/>
          </w:cols>
          <w:pgMar w:left="1400" w:top="1257" w:right="1440" w:bottom="0" w:gutter="0" w:footer="0" w:header="0"/>
        </w:sectPr>
      </w:pPr>
    </w:p>
    <w:p>
      <w:pPr>
        <w:spacing w:after="0" w:line="232"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color w:val="auto"/>
        </w:rPr>
        <w:t>PricewaterhouseCoopers LLP (“PwC”), which has been the independent registered public accounting firm for the Company since its inception, has been appointed by the Audit Committee as the independent registered public accounting firm for the Company and its subsidiaries for the fiscal year ending December 31, 2025. This appointment is being presented to the stockholders for ratification.</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Approval Required</w:t>
      </w:r>
    </w:p>
    <w:p>
      <w:pPr>
        <w:spacing w:after="0" w:line="113" w:lineRule="exact"/>
        <w:rPr>
          <w:sz w:val="20"/>
          <w:szCs w:val="20"/>
          <w:color w:val="auto"/>
        </w:rPr>
      </w:pPr>
    </w:p>
    <w:p>
      <w:pPr>
        <w:ind w:right="340"/>
        <w:spacing w:after="0" w:line="289" w:lineRule="auto"/>
        <w:rPr>
          <w:sz w:val="20"/>
          <w:szCs w:val="20"/>
          <w:color w:val="auto"/>
        </w:rPr>
      </w:pPr>
      <w:r>
        <w:rPr>
          <w:rFonts w:ascii="Arial" w:cs="Arial" w:eastAsia="Arial" w:hAnsi="Arial"/>
          <w:sz w:val="16"/>
          <w:szCs w:val="16"/>
          <w:color w:val="auto"/>
        </w:rPr>
        <w:t>The ratification of the appointment of PwC as the independent registered public accounting firm requires the affirmative vote of the holders of a majority of the total shares of common stock present in person or represented by proxy and entitled to vote on the proposal, provided that a quorum is represented at the Annual Meeting. Abstentions will have the same effect as a vote against ratification. This proposal is considered a routine matter, so a bank, broker or nominee has the discretion to vote uninstructed shares held in “street name” on behalf of beneficial owners on this proposal. Proxies submitted pursuant to this solicitation will be voted “FOR” the ratification of PwC as the Company’s independent registered public accounting firm for the fiscal year ending December 31, 2025, unless specified otherwise.</w:t>
      </w:r>
    </w:p>
    <w:p>
      <w:pPr>
        <w:spacing w:after="0" w:line="114" w:lineRule="exact"/>
        <w:rPr>
          <w:sz w:val="20"/>
          <w:szCs w:val="20"/>
          <w:color w:val="auto"/>
        </w:rPr>
      </w:pPr>
    </w:p>
    <w:p>
      <w:pPr>
        <w:ind w:right="360"/>
        <w:spacing w:after="0" w:line="301" w:lineRule="auto"/>
        <w:rPr>
          <w:sz w:val="20"/>
          <w:szCs w:val="20"/>
          <w:color w:val="auto"/>
        </w:rPr>
      </w:pPr>
      <w:r>
        <w:rPr>
          <w:rFonts w:ascii="Arial" w:cs="Arial" w:eastAsia="Arial" w:hAnsi="Arial"/>
          <w:sz w:val="16"/>
          <w:szCs w:val="16"/>
          <w:color w:val="auto"/>
        </w:rPr>
        <w:t>Representatives of PwC are expected to be present at the Annual Meeting and will be provided an opportunity to make a statement and to respond to appropriate inquiries from stockholders.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2" w:lineRule="exact"/>
        <w:rPr>
          <w:sz w:val="20"/>
          <w:szCs w:val="20"/>
          <w:color w:val="auto"/>
        </w:rPr>
      </w:pPr>
    </w:p>
    <w:p>
      <w:pPr>
        <w:ind w:right="499"/>
        <w:spacing w:after="0" w:line="364" w:lineRule="auto"/>
        <w:rPr>
          <w:sz w:val="20"/>
          <w:szCs w:val="20"/>
          <w:color w:val="auto"/>
        </w:rPr>
      </w:pPr>
      <w:r>
        <w:rPr>
          <w:rFonts w:ascii="Arial" w:cs="Arial" w:eastAsia="Arial" w:hAnsi="Arial"/>
          <w:sz w:val="21"/>
          <w:szCs w:val="21"/>
          <w:b w:val="1"/>
          <w:bCs w:val="1"/>
          <w:color w:val="FFFFFF"/>
        </w:rPr>
        <w:t>Recommendation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279"/>
        <w:spacing w:after="0" w:line="254" w:lineRule="auto"/>
        <w:rPr>
          <w:sz w:val="20"/>
          <w:szCs w:val="20"/>
          <w:color w:val="auto"/>
        </w:rPr>
      </w:pPr>
      <w:r>
        <w:rPr>
          <w:rFonts w:ascii="Arial" w:cs="Arial" w:eastAsia="Arial" w:hAnsi="Arial"/>
          <w:sz w:val="18"/>
          <w:szCs w:val="18"/>
          <w:color w:val="FFFFFF"/>
        </w:rPr>
        <w:t>The Board recommends that stockholders vote FOR the ratification of the appointment of PricewaterhouseCoopers LLP as the company’s independent registered public accounting firm for the fiscal year ending December 31, 2025.</w:t>
      </w:r>
    </w:p>
    <w:p>
      <w:pPr>
        <w:spacing w:after="0" w:line="1014" w:lineRule="exact"/>
        <w:rPr>
          <w:sz w:val="20"/>
          <w:szCs w:val="20"/>
          <w:color w:val="auto"/>
        </w:rPr>
      </w:pPr>
    </w:p>
    <w:p>
      <w:pPr>
        <w:sectPr>
          <w:pgSz w:w="11900" w:h="16838" w:orient="portrait"/>
          <w:cols w:equalWidth="0" w:num="2">
            <w:col w:w="6020" w:space="720"/>
            <w:col w:w="2319"/>
          </w:cols>
          <w:pgMar w:left="1400" w:top="1257"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0"/>
        <w:spacing w:after="0"/>
        <w:tabs>
          <w:tab w:leader="none" w:pos="444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13"/>
          <w:szCs w:val="13"/>
          <w:b w:val="1"/>
          <w:bCs w:val="1"/>
          <w:color w:val="00558C"/>
        </w:rPr>
        <w:t>82</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420370</wp:posOffset>
            </wp:positionV>
            <wp:extent cx="6810375" cy="237363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10375" cy="2373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540" w:val="left"/>
          <w:tab w:leader="none" w:pos="7360" w:val="left"/>
          <w:tab w:leader="none" w:pos="8400" w:val="left"/>
        </w:tabs>
        <w:rPr>
          <w:sz w:val="20"/>
          <w:szCs w:val="20"/>
          <w:color w:val="auto"/>
        </w:rPr>
      </w:pPr>
      <w:r>
        <w:rPr>
          <w:rFonts w:ascii="Arial" w:cs="Arial" w:eastAsia="Arial" w:hAnsi="Arial"/>
          <w:sz w:val="13"/>
          <w:szCs w:val="13"/>
          <w:b w:val="1"/>
          <w:bCs w:val="1"/>
          <w:color w:val="B2B3B6"/>
        </w:rPr>
        <w:t>General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Corporate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Executive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6AAA37"/>
        </w:rPr>
        <w:t>Proposal</w:t>
      </w:r>
      <w:r>
        <w:rPr>
          <w:sz w:val="20"/>
          <w:szCs w:val="20"/>
          <w:color w:val="auto"/>
        </w:rPr>
        <w:tab/>
      </w:r>
      <w:r>
        <w:rPr>
          <w:rFonts w:ascii="Arial" w:cs="Arial" w:eastAsia="Arial" w:hAnsi="Arial"/>
          <w:sz w:val="13"/>
          <w:szCs w:val="13"/>
          <w:b w:val="1"/>
          <w:bCs w:val="1"/>
          <w:color w:val="B2B3B6"/>
        </w:rPr>
        <w:t>Stockholder</w:t>
      </w:r>
      <w:r>
        <w:rPr>
          <w:sz w:val="20"/>
          <w:szCs w:val="20"/>
          <w:color w:val="auto"/>
        </w:rPr>
        <w:tab/>
      </w:r>
      <w:r>
        <w:rPr>
          <w:rFonts w:ascii="Arial" w:cs="Arial" w:eastAsia="Arial" w:hAnsi="Arial"/>
          <w:sz w:val="12"/>
          <w:szCs w:val="12"/>
          <w:b w:val="1"/>
          <w:bCs w:val="1"/>
          <w:color w:val="B2B3B6"/>
        </w:rPr>
        <w:t>Other</w:t>
      </w:r>
    </w:p>
    <w:p>
      <w:pPr>
        <w:spacing w:after="0" w:line="11"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540" w:val="left"/>
          <w:tab w:leader="none" w:pos="7360" w:val="left"/>
          <w:tab w:leader="none" w:pos="8400" w:val="left"/>
        </w:tabs>
        <w:rPr>
          <w:sz w:val="20"/>
          <w:szCs w:val="20"/>
          <w:color w:val="auto"/>
        </w:rPr>
      </w:pPr>
      <w:r>
        <w:rPr>
          <w:rFonts w:ascii="Arial" w:cs="Arial" w:eastAsia="Arial" w:hAnsi="Arial"/>
          <w:sz w:val="13"/>
          <w:szCs w:val="13"/>
          <w:b w:val="1"/>
          <w:bCs w:val="1"/>
          <w:color w:val="B2B3B6"/>
        </w:rPr>
        <w:t>Information</w:t>
      </w:r>
      <w:r>
        <w:rPr>
          <w:sz w:val="20"/>
          <w:szCs w:val="20"/>
          <w:color w:val="auto"/>
        </w:rPr>
        <w:tab/>
      </w:r>
      <w:r>
        <w:rPr>
          <w:rFonts w:ascii="Arial" w:cs="Arial" w:eastAsia="Arial" w:hAnsi="Arial"/>
          <w:sz w:val="13"/>
          <w:szCs w:val="13"/>
          <w:b w:val="1"/>
          <w:bCs w:val="1"/>
          <w:color w:val="B2B3B6"/>
        </w:rPr>
        <w:t>One</w:t>
      </w:r>
      <w:r>
        <w:rPr>
          <w:sz w:val="20"/>
          <w:szCs w:val="20"/>
          <w:color w:val="auto"/>
        </w:rPr>
        <w:tab/>
      </w:r>
      <w:r>
        <w:rPr>
          <w:rFonts w:ascii="Arial" w:cs="Arial" w:eastAsia="Arial" w:hAnsi="Arial"/>
          <w:sz w:val="13"/>
          <w:szCs w:val="13"/>
          <w:b w:val="1"/>
          <w:bCs w:val="1"/>
          <w:color w:val="B2B3B6"/>
        </w:rPr>
        <w:t>Governance</w:t>
      </w:r>
      <w:r>
        <w:rPr>
          <w:sz w:val="20"/>
          <w:szCs w:val="20"/>
          <w:color w:val="auto"/>
        </w:rPr>
        <w:tab/>
      </w:r>
      <w:r>
        <w:rPr>
          <w:rFonts w:ascii="Arial" w:cs="Arial" w:eastAsia="Arial" w:hAnsi="Arial"/>
          <w:sz w:val="13"/>
          <w:szCs w:val="13"/>
          <w:b w:val="1"/>
          <w:bCs w:val="1"/>
          <w:color w:val="B2B3B6"/>
        </w:rPr>
        <w:t>Two</w:t>
      </w:r>
      <w:r>
        <w:rPr>
          <w:sz w:val="20"/>
          <w:szCs w:val="20"/>
          <w:color w:val="auto"/>
        </w:rPr>
        <w:tab/>
      </w:r>
      <w:r>
        <w:rPr>
          <w:rFonts w:ascii="Arial" w:cs="Arial" w:eastAsia="Arial" w:hAnsi="Arial"/>
          <w:sz w:val="13"/>
          <w:szCs w:val="13"/>
          <w:b w:val="1"/>
          <w:bCs w:val="1"/>
          <w:color w:val="B2B3B6"/>
        </w:rPr>
        <w:t>Compensation</w:t>
      </w:r>
      <w:r>
        <w:rPr>
          <w:sz w:val="20"/>
          <w:szCs w:val="20"/>
          <w:color w:val="auto"/>
        </w:rPr>
        <w:tab/>
      </w:r>
      <w:r>
        <w:rPr>
          <w:rFonts w:ascii="Arial" w:cs="Arial" w:eastAsia="Arial" w:hAnsi="Arial"/>
          <w:sz w:val="13"/>
          <w:szCs w:val="13"/>
          <w:b w:val="1"/>
          <w:bCs w:val="1"/>
          <w:color w:val="B2B3B6"/>
        </w:rPr>
        <w:t>Three</w:t>
      </w:r>
      <w:r>
        <w:rPr>
          <w:sz w:val="20"/>
          <w:szCs w:val="20"/>
          <w:color w:val="auto"/>
        </w:rPr>
        <w:tab/>
      </w:r>
      <w:r>
        <w:rPr>
          <w:rFonts w:ascii="Arial" w:cs="Arial" w:eastAsia="Arial" w:hAnsi="Arial"/>
          <w:sz w:val="13"/>
          <w:szCs w:val="13"/>
          <w:b w:val="1"/>
          <w:bCs w:val="1"/>
          <w:color w:val="B2B3B6"/>
        </w:rPr>
        <w:t>Four</w:t>
      </w:r>
      <w:r>
        <w:rPr>
          <w:sz w:val="20"/>
          <w:szCs w:val="20"/>
          <w:color w:val="auto"/>
        </w:rPr>
        <w:tab/>
      </w:r>
      <w:r>
        <w:rPr>
          <w:rFonts w:ascii="Arial" w:cs="Arial" w:eastAsia="Arial" w:hAnsi="Arial"/>
          <w:sz w:val="13"/>
          <w:szCs w:val="13"/>
          <w:b w:val="1"/>
          <w:bCs w:val="1"/>
          <w:color w:val="6AAA37"/>
        </w:rPr>
        <w:t>Five</w:t>
      </w:r>
      <w:r>
        <w:rPr>
          <w:sz w:val="20"/>
          <w:szCs w:val="20"/>
          <w:color w:val="auto"/>
        </w:rPr>
        <w:tab/>
      </w:r>
      <w:r>
        <w:rPr>
          <w:rFonts w:ascii="Arial" w:cs="Arial" w:eastAsia="Arial" w:hAnsi="Arial"/>
          <w:sz w:val="13"/>
          <w:szCs w:val="13"/>
          <w:b w:val="1"/>
          <w:bCs w:val="1"/>
          <w:color w:val="B2B3B6"/>
        </w:rPr>
        <w:t>Proposals</w:t>
      </w:r>
      <w:r>
        <w:rPr>
          <w:sz w:val="20"/>
          <w:szCs w:val="20"/>
          <w:color w:val="auto"/>
        </w:rPr>
        <w:tab/>
      </w:r>
      <w:r>
        <w:rPr>
          <w:rFonts w:ascii="Arial" w:cs="Arial" w:eastAsia="Arial" w:hAnsi="Arial"/>
          <w:sz w:val="12"/>
          <w:szCs w:val="12"/>
          <w:b w:val="1"/>
          <w:bCs w:val="1"/>
          <w:color w:val="B2B3B6"/>
        </w:rPr>
        <w:t>Matters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and Non-Audit Fees</w:t>
      </w:r>
    </w:p>
    <w:p>
      <w:pPr>
        <w:spacing w:after="0" w:line="68" w:lineRule="exact"/>
        <w:rPr>
          <w:sz w:val="20"/>
          <w:szCs w:val="20"/>
          <w:color w:val="auto"/>
        </w:rPr>
      </w:pPr>
    </w:p>
    <w:p>
      <w:pPr>
        <w:ind w:right="19"/>
        <w:spacing w:after="0" w:line="310" w:lineRule="auto"/>
        <w:rPr>
          <w:sz w:val="20"/>
          <w:szCs w:val="20"/>
          <w:color w:val="auto"/>
        </w:rPr>
      </w:pPr>
      <w:r>
        <w:rPr>
          <w:rFonts w:ascii="Arial" w:cs="Arial" w:eastAsia="Arial" w:hAnsi="Arial"/>
          <w:sz w:val="16"/>
          <w:szCs w:val="16"/>
          <w:color w:val="auto"/>
        </w:rPr>
        <w:t>The following table presents fees for professional audit services rendered by PwC for the audit of the Company’s annual financial statements for the years ended December 31, 2024 and December 31, 2023, and fees for other services rendered by PwC during those periods:</w:t>
      </w:r>
    </w:p>
    <w:p>
      <w:pPr>
        <w:spacing w:after="0" w:line="318" w:lineRule="exact"/>
        <w:rPr>
          <w:sz w:val="20"/>
          <w:szCs w:val="20"/>
          <w:color w:val="auto"/>
        </w:rPr>
      </w:pPr>
    </w:p>
    <w:p>
      <w:pPr>
        <w:ind w:left="6300"/>
        <w:spacing w:after="0"/>
        <w:tabs>
          <w:tab w:leader="none" w:pos="8040" w:val="left"/>
        </w:tabs>
        <w:rPr>
          <w:sz w:val="20"/>
          <w:szCs w:val="20"/>
          <w:color w:val="auto"/>
        </w:rPr>
      </w:pPr>
      <w:r>
        <w:rPr>
          <w:rFonts w:ascii="Arial" w:cs="Arial" w:eastAsia="Arial" w:hAnsi="Arial"/>
          <w:sz w:val="14"/>
          <w:szCs w:val="14"/>
          <w:b w:val="1"/>
          <w:bCs w:val="1"/>
          <w:color w:val="FFFFFF"/>
        </w:rPr>
        <w:t>2024</w:t>
      </w:r>
      <w:r>
        <w:rPr>
          <w:sz w:val="20"/>
          <w:szCs w:val="20"/>
          <w:color w:val="auto"/>
        </w:rPr>
        <w:tab/>
      </w:r>
      <w:r>
        <w:rPr>
          <w:rFonts w:ascii="Arial" w:cs="Arial" w:eastAsia="Arial" w:hAnsi="Arial"/>
          <w:sz w:val="14"/>
          <w:szCs w:val="14"/>
          <w:b w:val="1"/>
          <w:bCs w:val="1"/>
          <w:color w:val="FFFFFF"/>
        </w:rPr>
        <w:t>2023</w:t>
      </w:r>
    </w:p>
    <w:p>
      <w:pPr>
        <w:spacing w:after="0" w:line="244" w:lineRule="exact"/>
        <w:rPr>
          <w:sz w:val="20"/>
          <w:szCs w:val="20"/>
          <w:color w:val="auto"/>
        </w:rPr>
      </w:pPr>
    </w:p>
    <w:p>
      <w:pPr>
        <w:ind w:left="6820"/>
        <w:spacing w:after="0"/>
        <w:rPr>
          <w:sz w:val="20"/>
          <w:szCs w:val="20"/>
          <w:color w:val="auto"/>
        </w:rPr>
      </w:pPr>
      <w:r>
        <w:rPr>
          <w:rFonts w:ascii="Arial" w:cs="Arial" w:eastAsia="Arial" w:hAnsi="Arial"/>
          <w:sz w:val="14"/>
          <w:szCs w:val="14"/>
          <w:b w:val="1"/>
          <w:bCs w:val="1"/>
          <w:color w:val="FFFFFF"/>
        </w:rPr>
        <w:t>(in thousands)</w:t>
      </w:r>
    </w:p>
    <w:p>
      <w:pPr>
        <w:spacing w:after="0" w:line="231" w:lineRule="exact"/>
        <w:rPr>
          <w:sz w:val="20"/>
          <w:szCs w:val="20"/>
          <w:color w:val="auto"/>
        </w:rPr>
      </w:pPr>
    </w:p>
    <w:tbl>
      <w:tblPr>
        <w:tblLayout w:type="fixed"/>
        <w:tblInd w:w="140" w:type="dxa"/>
        <w:tblCellMar>
          <w:top w:w="0" w:type="dxa"/>
          <w:left w:w="0" w:type="dxa"/>
          <w:bottom w:w="0" w:type="dxa"/>
          <w:right w:w="0" w:type="dxa"/>
        </w:tblCellMar>
      </w:tblPr>
      <w:tr>
        <w:trPr>
          <w:trHeight w:val="196"/>
        </w:trPr>
        <w:tc>
          <w:tcPr>
            <w:tcW w:w="3660" w:type="dxa"/>
            <w:vAlign w:val="bottom"/>
          </w:tcPr>
          <w:p>
            <w:pPr>
              <w:spacing w:after="0"/>
              <w:rPr>
                <w:sz w:val="20"/>
                <w:szCs w:val="20"/>
                <w:color w:val="auto"/>
              </w:rPr>
            </w:pPr>
            <w:r>
              <w:rPr>
                <w:rFonts w:ascii="Arial" w:cs="Arial" w:eastAsia="Arial" w:hAnsi="Arial"/>
                <w:sz w:val="14"/>
                <w:szCs w:val="14"/>
                <w:b w:val="1"/>
                <w:bCs w:val="1"/>
                <w:color w:val="auto"/>
              </w:rPr>
              <w:t>Audit Fees</w:t>
            </w:r>
          </w:p>
        </w:tc>
        <w:tc>
          <w:tcPr>
            <w:tcW w:w="4000" w:type="dxa"/>
            <w:vAlign w:val="bottom"/>
          </w:tcPr>
          <w:p>
            <w:pPr>
              <w:jc w:val="right"/>
              <w:ind w:right="568"/>
              <w:spacing w:after="0"/>
              <w:rPr>
                <w:sz w:val="20"/>
                <w:szCs w:val="20"/>
                <w:color w:val="auto"/>
              </w:rPr>
            </w:pPr>
            <w:r>
              <w:rPr>
                <w:rFonts w:ascii="Arial" w:cs="Arial" w:eastAsia="Arial" w:hAnsi="Arial"/>
                <w:sz w:val="14"/>
                <w:szCs w:val="14"/>
                <w:color w:val="auto"/>
              </w:rPr>
              <w:t>$1,922</w:t>
            </w:r>
          </w:p>
        </w:tc>
        <w:tc>
          <w:tcPr>
            <w:tcW w:w="1100" w:type="dxa"/>
            <w:vAlign w:val="bottom"/>
          </w:tcPr>
          <w:p>
            <w:pPr>
              <w:jc w:val="right"/>
              <w:spacing w:after="0"/>
              <w:rPr>
                <w:sz w:val="20"/>
                <w:szCs w:val="20"/>
                <w:color w:val="auto"/>
              </w:rPr>
            </w:pPr>
            <w:r>
              <w:rPr>
                <w:rFonts w:ascii="Arial" w:cs="Arial" w:eastAsia="Arial" w:hAnsi="Arial"/>
                <w:sz w:val="14"/>
                <w:szCs w:val="14"/>
                <w:color w:val="auto"/>
              </w:rPr>
              <w:t>$1,695</w:t>
            </w:r>
          </w:p>
        </w:tc>
      </w:tr>
    </w:tbl>
    <w:p>
      <w:pPr>
        <w:sectPr>
          <w:pgSz w:w="11900" w:h="16838" w:orient="portrait"/>
          <w:cols w:equalWidth="0" w:num="1">
            <w:col w:w="9059"/>
          </w:cols>
          <w:pgMar w:left="1400" w:top="1257" w:right="1440" w:bottom="0" w:gutter="0" w:footer="0" w:header="0"/>
          <w:type w:val="continuous"/>
        </w:sectPr>
      </w:pPr>
    </w:p>
    <w:bookmarkStart w:id="81" w:name="page82"/>
    <w:bookmarkEnd w:id="8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64827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10375" cy="64827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3"/>
        </w:trPr>
        <w:tc>
          <w:tcPr>
            <w:tcW w:w="5760" w:type="dxa"/>
            <w:vAlign w:val="bottom"/>
            <w:shd w:val="clear" w:color="auto" w:fill="00558C"/>
          </w:tcPr>
          <w:p>
            <w:pPr>
              <w:ind w:left="140"/>
              <w:spacing w:after="0"/>
              <w:rPr>
                <w:sz w:val="20"/>
                <w:szCs w:val="20"/>
                <w:color w:val="auto"/>
              </w:rPr>
            </w:pPr>
            <w:r>
              <w:rPr>
                <w:rFonts w:ascii="Arial" w:cs="Arial" w:eastAsia="Arial" w:hAnsi="Arial"/>
                <w:sz w:val="14"/>
                <w:szCs w:val="14"/>
                <w:b w:val="1"/>
                <w:bCs w:val="1"/>
                <w:color w:val="auto"/>
              </w:rPr>
              <w:t>Audit-Related Fees</w:t>
            </w:r>
          </w:p>
        </w:tc>
        <w:tc>
          <w:tcPr>
            <w:tcW w:w="2040" w:type="dxa"/>
            <w:vAlign w:val="bottom"/>
            <w:shd w:val="clear" w:color="auto" w:fill="00558C"/>
          </w:tcPr>
          <w:p>
            <w:pPr>
              <w:jc w:val="right"/>
              <w:ind w:right="568"/>
              <w:spacing w:after="0"/>
              <w:rPr>
                <w:sz w:val="20"/>
                <w:szCs w:val="20"/>
                <w:color w:val="auto"/>
              </w:rPr>
            </w:pPr>
            <w:r>
              <w:rPr>
                <w:rFonts w:ascii="Arial" w:cs="Arial" w:eastAsia="Arial" w:hAnsi="Arial"/>
                <w:sz w:val="14"/>
                <w:szCs w:val="14"/>
                <w:color w:val="auto"/>
              </w:rPr>
              <w:t>—</w:t>
            </w:r>
          </w:p>
        </w:tc>
        <w:tc>
          <w:tcPr>
            <w:tcW w:w="1280" w:type="dxa"/>
            <w:vAlign w:val="bottom"/>
            <w:shd w:val="clear" w:color="auto" w:fill="00558C"/>
          </w:tcPr>
          <w:p>
            <w:pPr>
              <w:jc w:val="right"/>
              <w:ind w:right="108"/>
              <w:spacing w:after="0"/>
              <w:rPr>
                <w:sz w:val="20"/>
                <w:szCs w:val="20"/>
                <w:color w:val="auto"/>
              </w:rPr>
            </w:pPr>
            <w:r>
              <w:rPr>
                <w:rFonts w:ascii="Arial" w:cs="Arial" w:eastAsia="Arial" w:hAnsi="Arial"/>
                <w:sz w:val="14"/>
                <w:szCs w:val="14"/>
                <w:color w:val="auto"/>
              </w:rPr>
              <w:t>$10</w:t>
            </w:r>
          </w:p>
        </w:tc>
      </w:tr>
      <w:tr>
        <w:trPr>
          <w:trHeight w:val="171"/>
        </w:trPr>
        <w:tc>
          <w:tcPr>
            <w:tcW w:w="5760" w:type="dxa"/>
            <w:vAlign w:val="bottom"/>
            <w:shd w:val="clear" w:color="auto" w:fill="00558C"/>
          </w:tcPr>
          <w:p>
            <w:pPr>
              <w:ind w:left="140"/>
              <w:spacing w:after="0"/>
              <w:rPr>
                <w:sz w:val="20"/>
                <w:szCs w:val="20"/>
                <w:color w:val="auto"/>
              </w:rPr>
            </w:pPr>
            <w:r>
              <w:rPr>
                <w:rFonts w:ascii="Arial" w:cs="Arial" w:eastAsia="Arial" w:hAnsi="Arial"/>
                <w:sz w:val="14"/>
                <w:szCs w:val="14"/>
                <w:b w:val="1"/>
                <w:bCs w:val="1"/>
                <w:color w:val="auto"/>
              </w:rPr>
              <w:t>Tax Fees</w:t>
            </w:r>
          </w:p>
        </w:tc>
        <w:tc>
          <w:tcPr>
            <w:tcW w:w="2040" w:type="dxa"/>
            <w:vAlign w:val="bottom"/>
            <w:shd w:val="clear" w:color="auto" w:fill="00558C"/>
          </w:tcPr>
          <w:p>
            <w:pPr>
              <w:jc w:val="right"/>
              <w:ind w:right="568"/>
              <w:spacing w:after="0"/>
              <w:rPr>
                <w:sz w:val="20"/>
                <w:szCs w:val="20"/>
                <w:color w:val="auto"/>
              </w:rPr>
            </w:pPr>
            <w:r>
              <w:rPr>
                <w:rFonts w:ascii="Arial" w:cs="Arial" w:eastAsia="Arial" w:hAnsi="Arial"/>
                <w:sz w:val="14"/>
                <w:szCs w:val="14"/>
                <w:color w:val="auto"/>
              </w:rPr>
              <w:t>$344</w:t>
            </w:r>
          </w:p>
        </w:tc>
        <w:tc>
          <w:tcPr>
            <w:tcW w:w="1280" w:type="dxa"/>
            <w:vAlign w:val="bottom"/>
            <w:shd w:val="clear" w:color="auto" w:fill="00558C"/>
          </w:tcPr>
          <w:p>
            <w:pPr>
              <w:jc w:val="right"/>
              <w:ind w:right="108"/>
              <w:spacing w:after="0"/>
              <w:rPr>
                <w:sz w:val="20"/>
                <w:szCs w:val="20"/>
                <w:color w:val="auto"/>
              </w:rPr>
            </w:pPr>
            <w:r>
              <w:rPr>
                <w:rFonts w:ascii="Arial" w:cs="Arial" w:eastAsia="Arial" w:hAnsi="Arial"/>
                <w:sz w:val="14"/>
                <w:szCs w:val="14"/>
                <w:color w:val="auto"/>
              </w:rPr>
              <w:t>$274</w:t>
            </w:r>
          </w:p>
        </w:tc>
      </w:tr>
      <w:tr>
        <w:trPr>
          <w:trHeight w:val="389"/>
        </w:trPr>
        <w:tc>
          <w:tcPr>
            <w:tcW w:w="5760" w:type="dxa"/>
            <w:vAlign w:val="bottom"/>
            <w:shd w:val="clear" w:color="auto" w:fill="00558C"/>
          </w:tcPr>
          <w:p>
            <w:pPr>
              <w:ind w:left="140"/>
              <w:spacing w:after="0"/>
              <w:rPr>
                <w:sz w:val="20"/>
                <w:szCs w:val="20"/>
                <w:color w:val="auto"/>
              </w:rPr>
            </w:pPr>
            <w:r>
              <w:rPr>
                <w:rFonts w:ascii="Arial" w:cs="Arial" w:eastAsia="Arial" w:hAnsi="Arial"/>
                <w:sz w:val="14"/>
                <w:szCs w:val="14"/>
                <w:b w:val="1"/>
                <w:bCs w:val="1"/>
                <w:color w:val="auto"/>
              </w:rPr>
              <w:t>All Other Fees</w:t>
            </w:r>
          </w:p>
        </w:tc>
        <w:tc>
          <w:tcPr>
            <w:tcW w:w="2040" w:type="dxa"/>
            <w:vAlign w:val="bottom"/>
            <w:shd w:val="clear" w:color="auto" w:fill="00558C"/>
          </w:tcPr>
          <w:p>
            <w:pPr>
              <w:jc w:val="right"/>
              <w:ind w:right="568"/>
              <w:spacing w:after="0"/>
              <w:rPr>
                <w:sz w:val="20"/>
                <w:szCs w:val="20"/>
                <w:color w:val="auto"/>
              </w:rPr>
            </w:pPr>
            <w:r>
              <w:rPr>
                <w:rFonts w:ascii="Arial" w:cs="Arial" w:eastAsia="Arial" w:hAnsi="Arial"/>
                <w:sz w:val="14"/>
                <w:szCs w:val="14"/>
                <w:color w:val="auto"/>
              </w:rPr>
              <w:t>$3</w:t>
            </w:r>
          </w:p>
        </w:tc>
        <w:tc>
          <w:tcPr>
            <w:tcW w:w="1280" w:type="dxa"/>
            <w:vAlign w:val="bottom"/>
            <w:shd w:val="clear" w:color="auto" w:fill="00558C"/>
          </w:tcPr>
          <w:p>
            <w:pPr>
              <w:jc w:val="right"/>
              <w:ind w:right="128"/>
              <w:spacing w:after="0"/>
              <w:rPr>
                <w:sz w:val="20"/>
                <w:szCs w:val="20"/>
                <w:color w:val="auto"/>
              </w:rPr>
            </w:pPr>
            <w:r>
              <w:rPr>
                <w:rFonts w:ascii="Arial" w:cs="Arial" w:eastAsia="Arial" w:hAnsi="Arial"/>
                <w:sz w:val="14"/>
                <w:szCs w:val="14"/>
                <w:color w:val="auto"/>
              </w:rPr>
              <w:t>$11</w:t>
            </w:r>
          </w:p>
        </w:tc>
      </w:tr>
      <w:tr>
        <w:trPr>
          <w:trHeight w:val="110"/>
        </w:trPr>
        <w:tc>
          <w:tcPr>
            <w:tcW w:w="5760" w:type="dxa"/>
            <w:vAlign w:val="bottom"/>
            <w:shd w:val="clear" w:color="auto" w:fill="00558C"/>
          </w:tcPr>
          <w:p>
            <w:pPr>
              <w:spacing w:after="0"/>
              <w:rPr>
                <w:sz w:val="9"/>
                <w:szCs w:val="9"/>
                <w:color w:val="auto"/>
              </w:rPr>
            </w:pPr>
          </w:p>
        </w:tc>
        <w:tc>
          <w:tcPr>
            <w:tcW w:w="2040" w:type="dxa"/>
            <w:vAlign w:val="bottom"/>
            <w:shd w:val="clear" w:color="auto" w:fill="00558C"/>
          </w:tcPr>
          <w:p>
            <w:pPr>
              <w:spacing w:after="0"/>
              <w:rPr>
                <w:sz w:val="9"/>
                <w:szCs w:val="9"/>
                <w:color w:val="auto"/>
              </w:rPr>
            </w:pPr>
          </w:p>
        </w:tc>
        <w:tc>
          <w:tcPr>
            <w:tcW w:w="1280" w:type="dxa"/>
            <w:vAlign w:val="bottom"/>
            <w:shd w:val="clear" w:color="auto" w:fill="00558C"/>
          </w:tcPr>
          <w:p>
            <w:pPr>
              <w:spacing w:after="0"/>
              <w:rPr>
                <w:sz w:val="9"/>
                <w:szCs w:val="9"/>
                <w:color w:val="auto"/>
              </w:rPr>
            </w:pPr>
          </w:p>
        </w:tc>
      </w:tr>
      <w:tr>
        <w:trPr>
          <w:trHeight w:val="254"/>
        </w:trPr>
        <w:tc>
          <w:tcPr>
            <w:tcW w:w="5760" w:type="dxa"/>
            <w:vAlign w:val="bottom"/>
            <w:shd w:val="clear" w:color="auto" w:fill="F2F3F2"/>
          </w:tcPr>
          <w:p>
            <w:pPr>
              <w:ind w:left="140"/>
              <w:spacing w:after="0"/>
              <w:rPr>
                <w:sz w:val="20"/>
                <w:szCs w:val="20"/>
                <w:color w:val="auto"/>
              </w:rPr>
            </w:pPr>
            <w:r>
              <w:rPr>
                <w:rFonts w:ascii="Arial" w:cs="Arial" w:eastAsia="Arial" w:hAnsi="Arial"/>
                <w:sz w:val="14"/>
                <w:szCs w:val="14"/>
                <w:b w:val="1"/>
                <w:bCs w:val="1"/>
                <w:color w:val="auto"/>
              </w:rPr>
              <w:t>Total</w:t>
            </w:r>
          </w:p>
        </w:tc>
        <w:tc>
          <w:tcPr>
            <w:tcW w:w="2040" w:type="dxa"/>
            <w:vAlign w:val="bottom"/>
            <w:shd w:val="clear" w:color="auto" w:fill="F2F3F2"/>
          </w:tcPr>
          <w:p>
            <w:pPr>
              <w:jc w:val="right"/>
              <w:ind w:right="568"/>
              <w:spacing w:after="0"/>
              <w:rPr>
                <w:sz w:val="20"/>
                <w:szCs w:val="20"/>
                <w:color w:val="auto"/>
              </w:rPr>
            </w:pPr>
            <w:r>
              <w:rPr>
                <w:rFonts w:ascii="Arial" w:cs="Arial" w:eastAsia="Arial" w:hAnsi="Arial"/>
                <w:sz w:val="14"/>
                <w:szCs w:val="14"/>
                <w:b w:val="1"/>
                <w:bCs w:val="1"/>
                <w:color w:val="auto"/>
              </w:rPr>
              <w:t>$2,269</w:t>
            </w:r>
          </w:p>
        </w:tc>
        <w:tc>
          <w:tcPr>
            <w:tcW w:w="1280" w:type="dxa"/>
            <w:vAlign w:val="bottom"/>
            <w:shd w:val="clear" w:color="auto" w:fill="F2F3F2"/>
          </w:tcPr>
          <w:p>
            <w:pPr>
              <w:jc w:val="right"/>
              <w:ind w:right="108"/>
              <w:spacing w:after="0"/>
              <w:rPr>
                <w:sz w:val="20"/>
                <w:szCs w:val="20"/>
                <w:color w:val="auto"/>
              </w:rPr>
            </w:pPr>
            <w:r>
              <w:rPr>
                <w:rFonts w:ascii="Arial" w:cs="Arial" w:eastAsia="Arial" w:hAnsi="Arial"/>
                <w:sz w:val="14"/>
                <w:szCs w:val="14"/>
                <w:b w:val="1"/>
                <w:bCs w:val="1"/>
                <w:color w:val="auto"/>
              </w:rPr>
              <w:t>$1,990</w:t>
            </w:r>
          </w:p>
        </w:tc>
      </w:tr>
      <w:tr>
        <w:trPr>
          <w:trHeight w:val="110"/>
        </w:trPr>
        <w:tc>
          <w:tcPr>
            <w:tcW w:w="5760" w:type="dxa"/>
            <w:vAlign w:val="bottom"/>
            <w:shd w:val="clear" w:color="auto" w:fill="F2F3F2"/>
          </w:tcPr>
          <w:p>
            <w:pPr>
              <w:spacing w:after="0"/>
              <w:rPr>
                <w:sz w:val="9"/>
                <w:szCs w:val="9"/>
                <w:color w:val="auto"/>
              </w:rPr>
            </w:pPr>
          </w:p>
        </w:tc>
        <w:tc>
          <w:tcPr>
            <w:tcW w:w="2040" w:type="dxa"/>
            <w:vAlign w:val="bottom"/>
            <w:shd w:val="clear" w:color="auto" w:fill="F2F3F2"/>
          </w:tcPr>
          <w:p>
            <w:pPr>
              <w:spacing w:after="0"/>
              <w:rPr>
                <w:sz w:val="9"/>
                <w:szCs w:val="9"/>
                <w:color w:val="auto"/>
              </w:rPr>
            </w:pPr>
          </w:p>
        </w:tc>
        <w:tc>
          <w:tcPr>
            <w:tcW w:w="1280" w:type="dxa"/>
            <w:vAlign w:val="bottom"/>
            <w:shd w:val="clear" w:color="auto" w:fill="F2F3F2"/>
          </w:tcPr>
          <w:p>
            <w:pPr>
              <w:spacing w:after="0"/>
              <w:rPr>
                <w:sz w:val="9"/>
                <w:szCs w:val="9"/>
                <w:color w:val="auto"/>
              </w:rPr>
            </w:pPr>
          </w:p>
        </w:tc>
      </w:tr>
    </w:tbl>
    <w:p>
      <w:pPr>
        <w:spacing w:after="0" w:line="202" w:lineRule="exact"/>
        <w:rPr>
          <w:sz w:val="20"/>
          <w:szCs w:val="20"/>
          <w:color w:val="auto"/>
        </w:rPr>
      </w:pPr>
    </w:p>
    <w:p>
      <w:pPr>
        <w:jc w:val="both"/>
        <w:ind w:right="420"/>
        <w:spacing w:after="0" w:line="310" w:lineRule="auto"/>
        <w:rPr>
          <w:sz w:val="20"/>
          <w:szCs w:val="20"/>
          <w:color w:val="auto"/>
        </w:rPr>
      </w:pPr>
      <w:r>
        <w:rPr>
          <w:rFonts w:ascii="Arial" w:cs="Arial" w:eastAsia="Arial" w:hAnsi="Arial"/>
          <w:sz w:val="16"/>
          <w:szCs w:val="16"/>
          <w:i w:val="1"/>
          <w:iCs w:val="1"/>
          <w:color w:val="auto"/>
        </w:rPr>
        <w:t>Audit Fees</w:t>
      </w:r>
      <w:r>
        <w:rPr>
          <w:rFonts w:ascii="Arial" w:cs="Arial" w:eastAsia="Arial" w:hAnsi="Arial"/>
          <w:sz w:val="16"/>
          <w:szCs w:val="16"/>
          <w:color w:val="auto"/>
        </w:rPr>
        <w:t>—all services, including tax services, necessary to perform an audit of the consolidated financial statements of</w:t>
      </w:r>
      <w:r>
        <w:rPr>
          <w:rFonts w:ascii="Arial" w:cs="Arial" w:eastAsia="Arial" w:hAnsi="Arial"/>
          <w:sz w:val="16"/>
          <w:szCs w:val="16"/>
          <w:i w:val="1"/>
          <w:iCs w:val="1"/>
          <w:color w:val="auto"/>
        </w:rPr>
        <w:t xml:space="preserve"> </w:t>
      </w:r>
      <w:r>
        <w:rPr>
          <w:rFonts w:ascii="Arial" w:cs="Arial" w:eastAsia="Arial" w:hAnsi="Arial"/>
          <w:sz w:val="16"/>
          <w:szCs w:val="16"/>
          <w:color w:val="auto"/>
        </w:rPr>
        <w:t>Huron; services in connection with statutory and regulatory filings or engagements, comfort letters, statutory audits, attest services and consents; and assistance with and review of documents filed with the SEC.</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Audit-Related Fees</w:t>
      </w:r>
      <w:r>
        <w:rPr>
          <w:rFonts w:ascii="Arial" w:cs="Arial" w:eastAsia="Arial" w:hAnsi="Arial"/>
          <w:sz w:val="16"/>
          <w:szCs w:val="16"/>
          <w:color w:val="auto"/>
        </w:rPr>
        <w:t>—attest services that are not required by statute or regulations.</w:t>
      </w:r>
    </w:p>
    <w:p>
      <w:pPr>
        <w:spacing w:after="0" w:line="181" w:lineRule="exact"/>
        <w:rPr>
          <w:sz w:val="20"/>
          <w:szCs w:val="20"/>
          <w:color w:val="auto"/>
        </w:rPr>
      </w:pPr>
    </w:p>
    <w:p>
      <w:pPr>
        <w:ind w:right="80"/>
        <w:spacing w:after="0" w:line="310" w:lineRule="auto"/>
        <w:rPr>
          <w:sz w:val="20"/>
          <w:szCs w:val="20"/>
          <w:color w:val="auto"/>
        </w:rPr>
      </w:pPr>
      <w:r>
        <w:rPr>
          <w:rFonts w:ascii="Arial" w:cs="Arial" w:eastAsia="Arial" w:hAnsi="Arial"/>
          <w:sz w:val="16"/>
          <w:szCs w:val="16"/>
          <w:i w:val="1"/>
          <w:iCs w:val="1"/>
          <w:color w:val="auto"/>
        </w:rPr>
        <w:t>Tax Fees</w:t>
      </w:r>
      <w:r>
        <w:rPr>
          <w:rFonts w:ascii="Arial" w:cs="Arial" w:eastAsia="Arial" w:hAnsi="Arial"/>
          <w:sz w:val="16"/>
          <w:szCs w:val="16"/>
          <w:color w:val="auto"/>
        </w:rPr>
        <w:t>—tax compliance (review of original and amended tax returns, claims for refund and tax payment-planning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tax planning; and other tax advice (assistance with tax audits and appeals, tax advice related to structural matters, and requests for rulings or technical advice from taxing authorities).</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All Other Fees</w:t>
      </w:r>
      <w:r>
        <w:rPr>
          <w:rFonts w:ascii="Arial" w:cs="Arial" w:eastAsia="Arial" w:hAnsi="Arial"/>
          <w:sz w:val="16"/>
          <w:szCs w:val="16"/>
          <w:color w:val="auto"/>
        </w:rPr>
        <w:t>—any other service that is not audit, audit-related or a tax service.</w:t>
      </w:r>
    </w:p>
    <w:p>
      <w:pPr>
        <w:spacing w:after="0" w:line="167" w:lineRule="exact"/>
        <w:rPr>
          <w:sz w:val="20"/>
          <w:szCs w:val="20"/>
          <w:color w:val="auto"/>
        </w:rPr>
      </w:pPr>
    </w:p>
    <w:p>
      <w:pPr>
        <w:spacing w:after="0" w:line="339" w:lineRule="auto"/>
        <w:rPr>
          <w:sz w:val="20"/>
          <w:szCs w:val="20"/>
          <w:color w:val="auto"/>
        </w:rPr>
      </w:pPr>
      <w:r>
        <w:rPr>
          <w:rFonts w:ascii="Arial" w:cs="Arial" w:eastAsia="Arial" w:hAnsi="Arial"/>
          <w:sz w:val="16"/>
          <w:szCs w:val="16"/>
          <w:color w:val="auto"/>
        </w:rPr>
        <w:t>The Audit Committee considers whether the provision of these services is compatible with maintaining the independence of the independent registered public accounting firm and has determined such services for fiscal 2024 and 2023 were compatible.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60"/>
        <w:spacing w:after="0"/>
        <w:tabs>
          <w:tab w:leader="none" w:pos="444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13"/>
          <w:szCs w:val="13"/>
          <w:b w:val="1"/>
          <w:bCs w:val="1"/>
          <w:color w:val="00558C"/>
        </w:rPr>
        <w:t>83</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420370</wp:posOffset>
            </wp:positionV>
            <wp:extent cx="6810375" cy="395097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10375" cy="3950970"/>
                    </a:xfrm>
                    <a:prstGeom prst="rect">
                      <a:avLst/>
                    </a:prstGeom>
                    <a:noFill/>
                  </pic:spPr>
                </pic:pic>
              </a:graphicData>
            </a:graphic>
          </wp:anchor>
        </w:drawing>
      </w:r>
    </w:p>
    <w:p>
      <w:pPr>
        <w:sectPr>
          <w:pgSz w:w="11900" w:h="16838" w:orient="portrait"/>
          <w:cols w:equalWidth="0" w:num="1">
            <w:col w:w="9100"/>
          </w:cols>
          <w:pgMar w:left="1400" w:top="140" w:right="1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0"/>
        <w:spacing w:after="0" w:line="274" w:lineRule="auto"/>
        <w:rPr>
          <w:sz w:val="20"/>
          <w:szCs w:val="20"/>
          <w:color w:val="auto"/>
        </w:rPr>
      </w:pPr>
      <w:r>
        <w:rPr>
          <w:rFonts w:ascii="Arial" w:cs="Arial" w:eastAsia="Arial" w:hAnsi="Arial"/>
          <w:sz w:val="13"/>
          <w:szCs w:val="13"/>
          <w:b w:val="1"/>
          <w:bCs w:val="1"/>
          <w:color w:val="B2B3B6"/>
        </w:rPr>
        <w:t>General Proposal Information 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line="274" w:lineRule="auto"/>
        <w:rPr>
          <w:sz w:val="20"/>
          <w:szCs w:val="20"/>
          <w:color w:val="auto"/>
        </w:rPr>
      </w:pPr>
      <w:r>
        <w:rPr>
          <w:rFonts w:ascii="Arial" w:cs="Arial" w:eastAsia="Arial" w:hAnsi="Arial"/>
          <w:sz w:val="13"/>
          <w:szCs w:val="13"/>
          <w:b w:val="1"/>
          <w:bCs w:val="1"/>
          <w:color w:val="B2B3B6"/>
        </w:rPr>
        <w:t>Corporate Proposal Executive Governance Two 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220"/>
        <w:spacing w:after="0" w:line="274" w:lineRule="auto"/>
        <w:rPr>
          <w:sz w:val="20"/>
          <w:szCs w:val="20"/>
          <w:color w:val="auto"/>
        </w:rPr>
      </w:pPr>
      <w:r>
        <w:rPr>
          <w:rFonts w:ascii="Arial" w:cs="Arial" w:eastAsia="Arial" w:hAnsi="Arial"/>
          <w:sz w:val="13"/>
          <w:szCs w:val="13"/>
          <w:b w:val="1"/>
          <w:bCs w:val="1"/>
          <w:color w:val="B2B3B6"/>
        </w:rPr>
        <w:t xml:space="preserve">Proposal Proposal </w:t>
      </w:r>
      <w:r>
        <w:rPr>
          <w:rFonts w:ascii="Arial" w:cs="Arial" w:eastAsia="Arial" w:hAnsi="Arial"/>
          <w:sz w:val="13"/>
          <w:szCs w:val="13"/>
          <w:b w:val="1"/>
          <w:bCs w:val="1"/>
          <w:color w:val="6AAA37"/>
        </w:rPr>
        <w:t>Proposal</w:t>
      </w:r>
      <w:r>
        <w:rPr>
          <w:rFonts w:ascii="Arial" w:cs="Arial" w:eastAsia="Arial" w:hAnsi="Arial"/>
          <w:sz w:val="13"/>
          <w:szCs w:val="13"/>
          <w:b w:val="1"/>
          <w:bCs w:val="1"/>
          <w:color w:val="B2B3B6"/>
        </w:rPr>
        <w:t xml:space="preserve"> Stockholder Other Three Four </w:t>
      </w:r>
      <w:r>
        <w:rPr>
          <w:rFonts w:ascii="Arial" w:cs="Arial" w:eastAsia="Arial" w:hAnsi="Arial"/>
          <w:sz w:val="13"/>
          <w:szCs w:val="13"/>
          <w:b w:val="1"/>
          <w:bCs w:val="1"/>
          <w:color w:val="6AAA37"/>
        </w:rPr>
        <w:t>Five</w:t>
      </w:r>
      <w:r>
        <w:rPr>
          <w:rFonts w:ascii="Arial" w:cs="Arial" w:eastAsia="Arial" w:hAnsi="Arial"/>
          <w:sz w:val="13"/>
          <w:szCs w:val="13"/>
          <w:b w:val="1"/>
          <w:bCs w:val="1"/>
          <w:color w:val="B2B3B6"/>
        </w:rPr>
        <w:t xml:space="preserve"> Proposals Matters</w:t>
      </w:r>
    </w:p>
    <w:p>
      <w:pPr>
        <w:spacing w:after="0" w:line="200" w:lineRule="exact"/>
        <w:rPr>
          <w:sz w:val="20"/>
          <w:szCs w:val="20"/>
          <w:color w:val="auto"/>
        </w:rPr>
      </w:pPr>
    </w:p>
    <w:p>
      <w:pPr>
        <w:sectPr>
          <w:pgSz w:w="11900" w:h="16838" w:orient="portrait"/>
          <w:cols w:equalWidth="0" w:num="3">
            <w:col w:w="1600" w:space="300"/>
            <w:col w:w="2700" w:space="320"/>
            <w:col w:w="4180"/>
          </w:cols>
          <w:pgMar w:left="1400" w:top="140" w:right="1399" w:bottom="0" w:gutter="0" w:footer="0" w:header="0"/>
          <w:type w:val="continuous"/>
        </w:sectPr>
      </w:pPr>
    </w:p>
    <w:p>
      <w:pPr>
        <w:spacing w:after="0" w:line="173" w:lineRule="exact"/>
        <w:rPr>
          <w:sz w:val="20"/>
          <w:szCs w:val="20"/>
          <w:color w:val="auto"/>
        </w:rPr>
      </w:pPr>
    </w:p>
    <w:p>
      <w:pPr>
        <w:ind w:right="1560"/>
        <w:spacing w:after="0" w:line="284" w:lineRule="auto"/>
        <w:rPr>
          <w:sz w:val="20"/>
          <w:szCs w:val="20"/>
          <w:color w:val="auto"/>
        </w:rPr>
      </w:pPr>
      <w:r>
        <w:rPr>
          <w:rFonts w:ascii="Arial" w:cs="Arial" w:eastAsia="Arial" w:hAnsi="Arial"/>
          <w:sz w:val="18"/>
          <w:szCs w:val="18"/>
          <w:b w:val="1"/>
          <w:bCs w:val="1"/>
          <w:color w:val="auto"/>
        </w:rPr>
        <w:t>Policy on Audit Committee Preapproval of Audit and Non-Audit Services of Independent Registered Public Accounting Firm</w:t>
      </w:r>
    </w:p>
    <w:p>
      <w:pPr>
        <w:spacing w:after="0" w:line="1" w:lineRule="exact"/>
        <w:rPr>
          <w:sz w:val="20"/>
          <w:szCs w:val="20"/>
          <w:color w:val="auto"/>
        </w:rPr>
      </w:pPr>
    </w:p>
    <w:p>
      <w:pPr>
        <w:ind w:right="280"/>
        <w:spacing w:after="0" w:line="310" w:lineRule="auto"/>
        <w:rPr>
          <w:sz w:val="20"/>
          <w:szCs w:val="20"/>
          <w:color w:val="auto"/>
        </w:rPr>
      </w:pPr>
      <w:r>
        <w:rPr>
          <w:rFonts w:ascii="Arial" w:cs="Arial" w:eastAsia="Arial" w:hAnsi="Arial"/>
          <w:sz w:val="16"/>
          <w:szCs w:val="16"/>
          <w:color w:val="auto"/>
        </w:rPr>
        <w:t>The Audit Committee is responsible for appointing, setting compensation and overseeing the work of the independent registered public accounting firm. The Audit Committee has established a policy regarding preapproval of all audit and non-audit services provided by the independent registered public accounting firm.</w:t>
      </w:r>
    </w:p>
    <w:p>
      <w:pPr>
        <w:spacing w:after="0" w:line="97"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The Audit Committee, on a periodic basis, determines certain services that have the general preapproval of the Audit Committee. The Audit Committee must separately preapprove any services not receiving such general preapproval. Requests for such approval must be submitted by both the independent registered public accounting firm and the CFO and must include a joint statement as to whether, in their view, the request is consistent with the SEC’s rules on auditor independence. As appropriate, the Audit Committee then preapproves the services and the related estimated fees. The Audit Committee will establish preapproved fee levels for all services to be provided by the independent registered public accounting firm. On a periodic basis, the CFO and the independent registered public accounting firm report to the Audit Committee regarding the actual spending for such projects and services compared to the approved amounts.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Audit Committee</w:t>
      </w:r>
    </w:p>
    <w:p>
      <w:pPr>
        <w:spacing w:after="0" w:line="68" w:lineRule="exact"/>
        <w:rPr>
          <w:sz w:val="20"/>
          <w:szCs w:val="20"/>
          <w:color w:val="auto"/>
        </w:rPr>
      </w:pPr>
    </w:p>
    <w:p>
      <w:pPr>
        <w:ind w:right="60"/>
        <w:spacing w:after="0" w:line="310" w:lineRule="auto"/>
        <w:rPr>
          <w:sz w:val="20"/>
          <w:szCs w:val="20"/>
          <w:color w:val="auto"/>
        </w:rPr>
      </w:pPr>
      <w:r>
        <w:rPr>
          <w:rFonts w:ascii="Arial" w:cs="Arial" w:eastAsia="Arial" w:hAnsi="Arial"/>
          <w:sz w:val="16"/>
          <w:szCs w:val="16"/>
          <w:color w:val="auto"/>
        </w:rPr>
        <w:t>The primary purpose of the Audit Committee is to assist the Board in its general oversight of the Company’s financial reporting process. The Audit Committee conducted its oversight activities for Huron Consulting Group Inc. and subsidiaries in accordance with the duties and responsibilities outlined in the Audit Committee charter.</w:t>
      </w:r>
    </w:p>
    <w:p>
      <w:pPr>
        <w:spacing w:after="0" w:line="97"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Huron’s management is responsible for the preparation, consistency, integrity and fair presentation of its consolidated financial statements, accounting and financial reporting principles, internal control over financial reporting, and disclosure controls and procedures designed to ensure compliance with accounting standards, applicable laws and regulations. Huron’s independent</w:t>
      </w:r>
    </w:p>
    <w:p>
      <w:pPr>
        <w:sectPr>
          <w:pgSz w:w="11900" w:h="16838" w:orient="portrait"/>
          <w:cols w:equalWidth="0" w:num="1">
            <w:col w:w="9100"/>
          </w:cols>
          <w:pgMar w:left="1400" w:top="140" w:right="1399" w:bottom="0" w:gutter="0" w:footer="0" w:header="0"/>
          <w:type w:val="continuous"/>
        </w:sectPr>
      </w:pPr>
    </w:p>
    <w:bookmarkStart w:id="82" w:name="page83"/>
    <w:bookmarkEnd w:id="82"/>
    <w:p>
      <w:pPr>
        <w:ind w:right="19"/>
        <w:spacing w:after="0" w:line="193" w:lineRule="auto"/>
        <w:rPr>
          <w:sz w:val="20"/>
          <w:szCs w:val="20"/>
          <w:color w:val="auto"/>
        </w:rPr>
      </w:pPr>
      <w:r>
        <w:rPr>
          <w:rFonts w:ascii="Arial" w:cs="Arial" w:eastAsia="Arial" w:hAnsi="Arial"/>
          <w:sz w:val="16"/>
          <w:szCs w:val="16"/>
          <w:color w:val="auto"/>
        </w:rPr>
        <w:t>registered public accounting firm, PwC, is responsible for performing an independent audit of Huron’s financial statements and the effectiveness of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-169545</wp:posOffset>
            </wp:positionV>
            <wp:extent cx="6810375" cy="490537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10375" cy="4905375"/>
                    </a:xfrm>
                    <a:prstGeom prst="rect">
                      <a:avLst/>
                    </a:prstGeom>
                    <a:noFill/>
                  </pic:spPr>
                </pic:pic>
              </a:graphicData>
            </a:graphic>
          </wp:anchor>
        </w:drawing>
      </w:r>
    </w:p>
    <w:p>
      <w:pPr>
        <w:spacing w:after="0" w:line="116" w:lineRule="exact"/>
        <w:rPr>
          <w:sz w:val="20"/>
          <w:szCs w:val="20"/>
          <w:color w:val="auto"/>
        </w:rPr>
      </w:pPr>
    </w:p>
    <w:p>
      <w:pPr>
        <w:ind w:right="119"/>
        <w:spacing w:after="0" w:line="300" w:lineRule="auto"/>
        <w:rPr>
          <w:sz w:val="20"/>
          <w:szCs w:val="20"/>
          <w:color w:val="auto"/>
        </w:rPr>
      </w:pPr>
      <w:r>
        <w:rPr>
          <w:rFonts w:ascii="Arial" w:cs="Arial" w:eastAsia="Arial" w:hAnsi="Arial"/>
          <w:sz w:val="16"/>
          <w:szCs w:val="16"/>
          <w:color w:val="auto"/>
        </w:rPr>
        <w:t>The Audit Committee, with the assistance and support of Huron's management and its finance and accounting team, has fulfilled its objectives, duties and responsibilities as stipulated in the Audit Committee charter and has provided adequate and appropriate independent oversight and monitoring of Huron’s systems of internal control for the fiscal year ended December 31, 2024.</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These activities included, but were not limited to, the following for the fiscal year ended December 31, 2024:</w:t>
      </w:r>
    </w:p>
    <w:p>
      <w:pPr>
        <w:spacing w:after="0" w:line="181" w:lineRule="exact"/>
        <w:rPr>
          <w:sz w:val="20"/>
          <w:szCs w:val="20"/>
          <w:color w:val="auto"/>
        </w:rPr>
      </w:pPr>
    </w:p>
    <w:p>
      <w:pPr>
        <w:ind w:left="180" w:right="299" w:hanging="172"/>
        <w:spacing w:after="0" w:line="321" w:lineRule="auto"/>
        <w:tabs>
          <w:tab w:leader="none" w:pos="180" w:val="left"/>
        </w:tabs>
        <w:numPr>
          <w:ilvl w:val="0"/>
          <w:numId w:val="113"/>
        </w:numPr>
        <w:rPr>
          <w:rFonts w:ascii="Arial" w:cs="Arial" w:eastAsia="Arial" w:hAnsi="Arial"/>
          <w:sz w:val="16"/>
          <w:szCs w:val="16"/>
          <w:b w:val="1"/>
          <w:bCs w:val="1"/>
          <w:color w:val="6AAA37"/>
        </w:rPr>
      </w:pPr>
      <w:r>
        <w:rPr>
          <w:rFonts w:ascii="Arial" w:cs="Arial" w:eastAsia="Arial" w:hAnsi="Arial"/>
          <w:sz w:val="16"/>
          <w:szCs w:val="16"/>
          <w:color w:val="auto"/>
        </w:rPr>
        <w:t>Discussed with Huron’s internal auditors their continuing work in support of examination of internal controls and financial compliance controls.</w:t>
      </w:r>
    </w:p>
    <w:p>
      <w:pPr>
        <w:spacing w:after="0" w:line="34" w:lineRule="exact"/>
        <w:rPr>
          <w:rFonts w:ascii="Arial" w:cs="Arial" w:eastAsia="Arial" w:hAnsi="Arial"/>
          <w:sz w:val="16"/>
          <w:szCs w:val="16"/>
          <w:b w:val="1"/>
          <w:bCs w:val="1"/>
          <w:color w:val="6AAA37"/>
        </w:rPr>
      </w:pPr>
    </w:p>
    <w:p>
      <w:pPr>
        <w:ind w:left="180" w:right="19" w:hanging="172"/>
        <w:spacing w:after="0" w:line="321" w:lineRule="auto"/>
        <w:tabs>
          <w:tab w:leader="none" w:pos="180" w:val="left"/>
        </w:tabs>
        <w:numPr>
          <w:ilvl w:val="0"/>
          <w:numId w:val="113"/>
        </w:numPr>
        <w:rPr>
          <w:rFonts w:ascii="Arial" w:cs="Arial" w:eastAsia="Arial" w:hAnsi="Arial"/>
          <w:sz w:val="16"/>
          <w:szCs w:val="16"/>
          <w:b w:val="1"/>
          <w:bCs w:val="1"/>
          <w:color w:val="6AAA37"/>
        </w:rPr>
      </w:pPr>
      <w:r>
        <w:rPr>
          <w:rFonts w:ascii="Arial" w:cs="Arial" w:eastAsia="Arial" w:hAnsi="Arial"/>
          <w:sz w:val="16"/>
          <w:szCs w:val="16"/>
          <w:color w:val="auto"/>
        </w:rPr>
        <w:t>Reviewed and discussed with management and PwC the audited financial statements and the quarterly financial statements for the year ended December 31, 2024. Management has the primary responsibility for such financial statements.</w:t>
      </w:r>
    </w:p>
    <w:p>
      <w:pPr>
        <w:spacing w:after="0" w:line="34" w:lineRule="exact"/>
        <w:rPr>
          <w:rFonts w:ascii="Arial" w:cs="Arial" w:eastAsia="Arial" w:hAnsi="Arial"/>
          <w:sz w:val="16"/>
          <w:szCs w:val="16"/>
          <w:b w:val="1"/>
          <w:bCs w:val="1"/>
          <w:color w:val="6AAA37"/>
        </w:rPr>
      </w:pPr>
    </w:p>
    <w:p>
      <w:pPr>
        <w:ind w:left="180" w:right="339" w:hanging="172"/>
        <w:spacing w:after="0" w:line="321" w:lineRule="auto"/>
        <w:tabs>
          <w:tab w:leader="none" w:pos="180" w:val="left"/>
        </w:tabs>
        <w:numPr>
          <w:ilvl w:val="0"/>
          <w:numId w:val="113"/>
        </w:numPr>
        <w:rPr>
          <w:rFonts w:ascii="Arial" w:cs="Arial" w:eastAsia="Arial" w:hAnsi="Arial"/>
          <w:sz w:val="16"/>
          <w:szCs w:val="16"/>
          <w:b w:val="1"/>
          <w:bCs w:val="1"/>
          <w:color w:val="6AAA37"/>
        </w:rPr>
      </w:pPr>
      <w:r>
        <w:rPr>
          <w:rFonts w:ascii="Arial" w:cs="Arial" w:eastAsia="Arial" w:hAnsi="Arial"/>
          <w:sz w:val="16"/>
          <w:szCs w:val="16"/>
          <w:color w:val="auto"/>
        </w:rPr>
        <w:t>Discussed with PwC the matters requiring discussion under applicable requirements of the Public Company Accounting Oversight Board and the Securities and Exchange Commission.</w:t>
      </w:r>
    </w:p>
    <w:p>
      <w:pPr>
        <w:spacing w:after="0" w:line="88" w:lineRule="exact"/>
        <w:rPr>
          <w:rFonts w:ascii="Arial" w:cs="Arial" w:eastAsia="Arial" w:hAnsi="Arial"/>
          <w:sz w:val="16"/>
          <w:szCs w:val="16"/>
          <w:b w:val="1"/>
          <w:bCs w:val="1"/>
          <w:color w:val="6AAA37"/>
        </w:rPr>
      </w:pPr>
    </w:p>
    <w:p>
      <w:pPr>
        <w:ind w:left="180" w:right="459" w:hanging="172"/>
        <w:spacing w:after="0" w:line="301" w:lineRule="auto"/>
        <w:tabs>
          <w:tab w:leader="none" w:pos="180" w:val="left"/>
        </w:tabs>
        <w:numPr>
          <w:ilvl w:val="0"/>
          <w:numId w:val="113"/>
        </w:numPr>
        <w:rPr>
          <w:rFonts w:ascii="Arial" w:cs="Arial" w:eastAsia="Arial" w:hAnsi="Arial"/>
          <w:sz w:val="16"/>
          <w:szCs w:val="16"/>
          <w:b w:val="1"/>
          <w:bCs w:val="1"/>
          <w:color w:val="6AAA37"/>
        </w:rPr>
      </w:pPr>
      <w:r>
        <w:rPr>
          <w:rFonts w:ascii="Arial" w:cs="Arial" w:eastAsia="Arial" w:hAnsi="Arial"/>
          <w:sz w:val="16"/>
          <w:szCs w:val="16"/>
          <w:color w:val="auto"/>
        </w:rPr>
        <w:t>Received the written disclosures and the letter from PwC in accordance with the applicable requirements of the Public Company Accounting Oversight Board regarding PwC’s communications with the Audit Committee concerning independence.</w:t>
      </w:r>
    </w:p>
    <w:p>
      <w:pPr>
        <w:spacing w:after="0" w:line="104" w:lineRule="exact"/>
        <w:rPr>
          <w:sz w:val="20"/>
          <w:szCs w:val="20"/>
          <w:color w:val="auto"/>
        </w:rPr>
      </w:pPr>
    </w:p>
    <w:p>
      <w:pPr>
        <w:ind w:right="179"/>
        <w:spacing w:after="0" w:line="310" w:lineRule="auto"/>
        <w:rPr>
          <w:sz w:val="20"/>
          <w:szCs w:val="20"/>
          <w:color w:val="auto"/>
        </w:rPr>
      </w:pPr>
      <w:r>
        <w:rPr>
          <w:rFonts w:ascii="Arial" w:cs="Arial" w:eastAsia="Arial" w:hAnsi="Arial"/>
          <w:sz w:val="16"/>
          <w:szCs w:val="16"/>
          <w:color w:val="auto"/>
        </w:rPr>
        <w:t>In reliance on the Audit Committee’s review and discussions of the matters referred to above, the Audit Committee recommended to the Board that the audited financial statements be included in Huron’s Annual Report on Form 10-K for the fiscal year ended December 31, 2024 for filing with the Securities and Exchange Commission.</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Peter K. Markell, Chairman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H. Eugene Lockhart</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John McCartney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00558C"/>
        </w:rPr>
        <w:t>Hugh E. Sawyer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60"/>
        <w:spacing w:after="0"/>
        <w:tabs>
          <w:tab w:leader="none" w:pos="444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13"/>
          <w:szCs w:val="13"/>
          <w:b w:val="1"/>
          <w:bCs w:val="1"/>
          <w:color w:val="00558C"/>
        </w:rPr>
        <w:t>84</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420370</wp:posOffset>
            </wp:positionV>
            <wp:extent cx="6810375" cy="55283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10375" cy="5528310"/>
                    </a:xfrm>
                    <a:prstGeom prst="rect">
                      <a:avLst/>
                    </a:prstGeom>
                    <a:noFill/>
                  </pic:spPr>
                </pic:pic>
              </a:graphicData>
            </a:graphic>
          </wp:anchor>
        </w:drawing>
      </w:r>
    </w:p>
    <w:p>
      <w:pPr>
        <w:sectPr>
          <w:pgSz w:w="11900" w:h="16838" w:orient="portrait"/>
          <w:cols w:equalWidth="0" w:num="1">
            <w:col w:w="9059"/>
          </w:cols>
          <w:pgMar w:left="1400" w:top="11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0"/>
        <w:spacing w:after="0" w:line="274" w:lineRule="auto"/>
        <w:rPr>
          <w:sz w:val="20"/>
          <w:szCs w:val="20"/>
          <w:color w:val="auto"/>
        </w:rPr>
      </w:pPr>
      <w:r>
        <w:rPr>
          <w:rFonts w:ascii="Arial" w:cs="Arial" w:eastAsia="Arial" w:hAnsi="Arial"/>
          <w:sz w:val="13"/>
          <w:szCs w:val="13"/>
          <w:b w:val="1"/>
          <w:bCs w:val="1"/>
          <w:color w:val="B2B3B6"/>
        </w:rPr>
        <w:t>General Proposal Information 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179"/>
        <w:spacing w:after="0" w:line="274" w:lineRule="auto"/>
        <w:rPr>
          <w:sz w:val="20"/>
          <w:szCs w:val="20"/>
          <w:color w:val="auto"/>
        </w:rPr>
      </w:pPr>
      <w:r>
        <w:rPr>
          <w:rFonts w:ascii="Arial" w:cs="Arial" w:eastAsia="Arial" w:hAnsi="Arial"/>
          <w:sz w:val="13"/>
          <w:szCs w:val="13"/>
          <w:b w:val="1"/>
          <w:bCs w:val="1"/>
          <w:color w:val="B2B3B6"/>
        </w:rPr>
        <w:t xml:space="preserve">Corporate Proposal Executive Proposal Proposal Proposal </w:t>
      </w:r>
      <w:r>
        <w:rPr>
          <w:rFonts w:ascii="Arial" w:cs="Arial" w:eastAsia="Arial" w:hAnsi="Arial"/>
          <w:sz w:val="13"/>
          <w:szCs w:val="13"/>
          <w:b w:val="1"/>
          <w:bCs w:val="1"/>
          <w:color w:val="6AAA37"/>
        </w:rPr>
        <w:t>Stockholder</w:t>
      </w:r>
      <w:r>
        <w:rPr>
          <w:rFonts w:ascii="Arial" w:cs="Arial" w:eastAsia="Arial" w:hAnsi="Arial"/>
          <w:sz w:val="13"/>
          <w:szCs w:val="13"/>
          <w:b w:val="1"/>
          <w:bCs w:val="1"/>
          <w:color w:val="B2B3B6"/>
        </w:rPr>
        <w:t xml:space="preserve"> Other Governance Two Compensation Three Four Five </w:t>
      </w:r>
      <w:r>
        <w:rPr>
          <w:rFonts w:ascii="Arial" w:cs="Arial" w:eastAsia="Arial" w:hAnsi="Arial"/>
          <w:sz w:val="13"/>
          <w:szCs w:val="13"/>
          <w:b w:val="1"/>
          <w:bCs w:val="1"/>
          <w:color w:val="6AAA37"/>
        </w:rPr>
        <w:t>Proposals</w:t>
      </w:r>
      <w:r>
        <w:rPr>
          <w:rFonts w:ascii="Arial" w:cs="Arial" w:eastAsia="Arial" w:hAnsi="Arial"/>
          <w:sz w:val="13"/>
          <w:szCs w:val="13"/>
          <w:b w:val="1"/>
          <w:bCs w:val="1"/>
          <w:color w:val="B2B3B6"/>
        </w:rPr>
        <w:t xml:space="preserve"> Matters</w:t>
      </w:r>
    </w:p>
    <w:p>
      <w:pPr>
        <w:spacing w:after="0" w:line="200" w:lineRule="exact"/>
        <w:rPr>
          <w:sz w:val="20"/>
          <w:szCs w:val="20"/>
          <w:color w:val="auto"/>
        </w:rPr>
      </w:pPr>
    </w:p>
    <w:p>
      <w:pPr>
        <w:sectPr>
          <w:pgSz w:w="11900" w:h="16838" w:orient="portrait"/>
          <w:cols w:equalWidth="0" w:num="2">
            <w:col w:w="1600" w:space="300"/>
            <w:col w:w="7159"/>
          </w:cols>
          <w:pgMar w:left="1400" w:top="11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3639"/>
        <w:spacing w:after="0" w:line="245" w:lineRule="auto"/>
        <w:rPr>
          <w:sz w:val="20"/>
          <w:szCs w:val="20"/>
          <w:color w:val="auto"/>
        </w:rPr>
      </w:pPr>
      <w:r>
        <w:rPr>
          <w:rFonts w:ascii="Arial" w:cs="Arial" w:eastAsia="Arial" w:hAnsi="Arial"/>
          <w:sz w:val="54"/>
          <w:szCs w:val="54"/>
          <w:color w:val="00558C"/>
        </w:rPr>
        <w:t>Submission of Stockholder Proposals</w:t>
      </w:r>
    </w:p>
    <w:p>
      <w:pPr>
        <w:spacing w:after="0" w:line="233" w:lineRule="exact"/>
        <w:rPr>
          <w:sz w:val="20"/>
          <w:szCs w:val="20"/>
          <w:color w:val="auto"/>
        </w:rPr>
      </w:pPr>
    </w:p>
    <w:p>
      <w:pPr>
        <w:ind w:right="39"/>
        <w:spacing w:after="0" w:line="288" w:lineRule="auto"/>
        <w:rPr>
          <w:sz w:val="20"/>
          <w:szCs w:val="20"/>
          <w:color w:val="auto"/>
        </w:rPr>
      </w:pPr>
      <w:r>
        <w:rPr>
          <w:rFonts w:ascii="Arial" w:cs="Arial" w:eastAsia="Arial" w:hAnsi="Arial"/>
          <w:sz w:val="16"/>
          <w:szCs w:val="16"/>
          <w:color w:val="auto"/>
        </w:rPr>
        <w:t>In order to be included in the Company’s proxy statement relating to its next annual meeting, stockholder proposals submitted pursuant to Rule 14a-8 under the 1934 Act must be received no later than November 28, 2025 by the Corporate Secretary at the Company’s principal executive offices. Pursuant to the Company’s bylaws, stockholders who intend to present an item for business at the next annual meeting (other than a proposal submitted for inclusion in the Company’s proxy materials), including stockholders who intend to solicit proxies in support of director nominees other than the Company's nominees pursuant to Rule 14a-19 under the 1934 Act, must provide notice to the Corporate Secretary no earlier than January 9, 2026 and no later than February 8, 2026. Notice of stockholder proposals must contain the information required by the Company’s bylaws. The inclusion of any such proposal in the Company’s proxy materials shall be subject to the requirements of the proxy rules adopted under the 1934 Act.</w:t>
      </w:r>
    </w:p>
    <w:p>
      <w:pPr>
        <w:sectPr>
          <w:pgSz w:w="11900" w:h="16838" w:orient="portrait"/>
          <w:cols w:equalWidth="0" w:num="1">
            <w:col w:w="9059"/>
          </w:cols>
          <w:pgMar w:left="1400" w:top="111" w:right="1440" w:bottom="1440" w:gutter="0" w:footer="0" w:header="0"/>
          <w:type w:val="continuous"/>
        </w:sectPr>
      </w:pPr>
    </w:p>
    <w:bookmarkStart w:id="83" w:name="page84"/>
    <w:bookmarkEnd w:id="8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33280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10375" cy="3328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0"/>
        <w:spacing w:after="0"/>
        <w:tabs>
          <w:tab w:leader="none" w:pos="444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13"/>
          <w:szCs w:val="13"/>
          <w:b w:val="1"/>
          <w:bCs w:val="1"/>
          <w:color w:val="00558C"/>
        </w:rPr>
        <w:t>85</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420370</wp:posOffset>
            </wp:positionV>
            <wp:extent cx="6810375" cy="71056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10375" cy="7105650"/>
                    </a:xfrm>
                    <a:prstGeom prst="rect">
                      <a:avLst/>
                    </a:prstGeom>
                    <a:noFill/>
                  </pic:spPr>
                </pic:pic>
              </a:graphicData>
            </a:graphic>
          </wp:anchor>
        </w:drawing>
      </w:r>
    </w:p>
    <w:p>
      <w:pPr>
        <w:sectPr>
          <w:pgSz w:w="11900" w:h="16838" w:orient="portrait"/>
          <w:cols w:equalWidth="0" w:num="1">
            <w:col w:w="9080"/>
          </w:cols>
          <w:pgMar w:left="1400" w:top="1440"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0"/>
        <w:spacing w:after="0" w:line="274" w:lineRule="auto"/>
        <w:rPr>
          <w:sz w:val="20"/>
          <w:szCs w:val="20"/>
          <w:color w:val="auto"/>
        </w:rPr>
      </w:pPr>
      <w:r>
        <w:rPr>
          <w:rFonts w:ascii="Arial" w:cs="Arial" w:eastAsia="Arial" w:hAnsi="Arial"/>
          <w:sz w:val="13"/>
          <w:szCs w:val="13"/>
          <w:b w:val="1"/>
          <w:bCs w:val="1"/>
          <w:color w:val="B2B3B6"/>
        </w:rPr>
        <w:t>General Proposal Information 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line="274" w:lineRule="auto"/>
        <w:rPr>
          <w:sz w:val="20"/>
          <w:szCs w:val="20"/>
          <w:color w:val="auto"/>
        </w:rPr>
      </w:pPr>
      <w:r>
        <w:rPr>
          <w:rFonts w:ascii="Arial" w:cs="Arial" w:eastAsia="Arial" w:hAnsi="Arial"/>
          <w:sz w:val="13"/>
          <w:szCs w:val="13"/>
          <w:b w:val="1"/>
          <w:bCs w:val="1"/>
          <w:color w:val="B2B3B6"/>
        </w:rPr>
        <w:t>Corporate Proposal Executive Governance Two 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200"/>
        <w:spacing w:after="0" w:line="274" w:lineRule="auto"/>
        <w:rPr>
          <w:sz w:val="20"/>
          <w:szCs w:val="20"/>
          <w:color w:val="auto"/>
        </w:rPr>
      </w:pPr>
      <w:r>
        <w:rPr>
          <w:rFonts w:ascii="Arial" w:cs="Arial" w:eastAsia="Arial" w:hAnsi="Arial"/>
          <w:sz w:val="13"/>
          <w:szCs w:val="13"/>
          <w:b w:val="1"/>
          <w:bCs w:val="1"/>
          <w:color w:val="B2B3B6"/>
        </w:rPr>
        <w:t xml:space="preserve">Proposal Proposal Proposal Stockholder </w:t>
      </w:r>
      <w:r>
        <w:rPr>
          <w:rFonts w:ascii="Arial" w:cs="Arial" w:eastAsia="Arial" w:hAnsi="Arial"/>
          <w:sz w:val="13"/>
          <w:szCs w:val="13"/>
          <w:b w:val="1"/>
          <w:bCs w:val="1"/>
          <w:color w:val="6AAA37"/>
        </w:rPr>
        <w:t>Other</w:t>
      </w:r>
      <w:r>
        <w:rPr>
          <w:rFonts w:ascii="Arial" w:cs="Arial" w:eastAsia="Arial" w:hAnsi="Arial"/>
          <w:sz w:val="13"/>
          <w:szCs w:val="13"/>
          <w:b w:val="1"/>
          <w:bCs w:val="1"/>
          <w:color w:val="B2B3B6"/>
        </w:rPr>
        <w:t xml:space="preserve"> Three Four Five Proposals </w:t>
      </w:r>
      <w:r>
        <w:rPr>
          <w:rFonts w:ascii="Arial" w:cs="Arial" w:eastAsia="Arial" w:hAnsi="Arial"/>
          <w:sz w:val="13"/>
          <w:szCs w:val="13"/>
          <w:b w:val="1"/>
          <w:bCs w:val="1"/>
          <w:color w:val="6AAA37"/>
        </w:rPr>
        <w:t>Matters</w:t>
      </w:r>
    </w:p>
    <w:p>
      <w:pPr>
        <w:spacing w:after="0" w:line="200" w:lineRule="exact"/>
        <w:rPr>
          <w:sz w:val="20"/>
          <w:szCs w:val="20"/>
          <w:color w:val="auto"/>
        </w:rPr>
      </w:pPr>
    </w:p>
    <w:p>
      <w:pPr>
        <w:sectPr>
          <w:pgSz w:w="11900" w:h="16838" w:orient="portrait"/>
          <w:cols w:equalWidth="0" w:num="3">
            <w:col w:w="1600" w:space="300"/>
            <w:col w:w="2700" w:space="320"/>
            <w:col w:w="4160"/>
          </w:cols>
          <w:pgMar w:left="1400" w:top="1440" w:right="1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54"/>
          <w:szCs w:val="54"/>
          <w:color w:val="00558C"/>
        </w:rPr>
        <w:t>Other Matters</w:t>
      </w:r>
    </w:p>
    <w:p>
      <w:pPr>
        <w:spacing w:after="0" w:line="340"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Management does not now intend to bring before the Annual Meeting any matters other than those disclosed in the Notice of Annual Meeting of Stockholders, and it does not know of any business that persons, other than management, intend to present at the Annual Meeting. Should any other matters requiring a vote of the stockholders arise, the persons named in the accompanying proxy intend to vote on those matters in accordance with their best judgment.</w:t>
      </w:r>
    </w:p>
    <w:p>
      <w:pPr>
        <w:spacing w:after="0" w:line="10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will bear the cost of soliciting proxies. In addition, to the extent necessary, proxies may be solicited by directors, officers and employees of the Company in person, by telephone or through other forms of communication, but such persons will not receive any additional compensation for such solicitation. The Company will reimburse brokerage firms, banks and other custodians, nominees and fiduciaries for reasonable expenses incurred by them in sending proxy materials to the beneficial owners of the Company’s shares. The Company will supply banks, brokers, dealers and other custodian nominees and fiduciaries with proxy materials to enable them to send a copy of such materials by mail to each beneficial owner of shares of the common stock that they hold of record and will, upon request, reimburse them for their reasonable expenses in so doing.</w:t>
      </w:r>
    </w:p>
    <w:p>
      <w:pPr>
        <w:spacing w:after="0" w:line="200" w:lineRule="exact"/>
        <w:rPr>
          <w:sz w:val="20"/>
          <w:szCs w:val="20"/>
          <w:color w:val="auto"/>
        </w:rPr>
      </w:pPr>
    </w:p>
    <w:p>
      <w:pPr>
        <w:spacing w:after="0" w:line="290"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5480"/>
        <w:spacing w:after="0"/>
        <w:rPr>
          <w:sz w:val="20"/>
          <w:szCs w:val="20"/>
          <w:color w:val="auto"/>
        </w:rPr>
      </w:pPr>
      <w:r>
        <w:rPr>
          <w:rFonts w:ascii="Arial" w:cs="Arial" w:eastAsia="Arial" w:hAnsi="Arial"/>
          <w:sz w:val="16"/>
          <w:szCs w:val="16"/>
          <w:b w:val="1"/>
          <w:bCs w:val="1"/>
          <w:color w:val="00558C"/>
        </w:rPr>
        <w:t>Hope Katz</w:t>
      </w:r>
    </w:p>
    <w:p>
      <w:pPr>
        <w:spacing w:after="0" w:line="102" w:lineRule="exact"/>
        <w:rPr>
          <w:sz w:val="20"/>
          <w:szCs w:val="20"/>
          <w:color w:val="auto"/>
        </w:rPr>
      </w:pPr>
    </w:p>
    <w:p>
      <w:pPr>
        <w:ind w:left="5480"/>
        <w:spacing w:after="0"/>
        <w:rPr>
          <w:sz w:val="20"/>
          <w:szCs w:val="20"/>
          <w:color w:val="auto"/>
        </w:rPr>
      </w:pPr>
      <w:r>
        <w:rPr>
          <w:rFonts w:ascii="Arial" w:cs="Arial" w:eastAsia="Arial" w:hAnsi="Arial"/>
          <w:sz w:val="16"/>
          <w:szCs w:val="16"/>
          <w:i w:val="1"/>
          <w:iCs w:val="1"/>
          <w:color w:val="auto"/>
        </w:rPr>
        <w:t>Executive Vice President, General Counsel and</w:t>
      </w:r>
    </w:p>
    <w:p>
      <w:pPr>
        <w:spacing w:after="0" w:line="32" w:lineRule="exact"/>
        <w:rPr>
          <w:sz w:val="20"/>
          <w:szCs w:val="20"/>
          <w:color w:val="auto"/>
        </w:rPr>
      </w:pPr>
    </w:p>
    <w:p>
      <w:pPr>
        <w:ind w:left="5480"/>
        <w:spacing w:after="0"/>
        <w:rPr>
          <w:sz w:val="20"/>
          <w:szCs w:val="20"/>
          <w:color w:val="auto"/>
        </w:rPr>
      </w:pPr>
      <w:r>
        <w:rPr>
          <w:rFonts w:ascii="Arial" w:cs="Arial" w:eastAsia="Arial" w:hAnsi="Arial"/>
          <w:sz w:val="16"/>
          <w:szCs w:val="16"/>
          <w:i w:val="1"/>
          <w:iCs w:val="1"/>
          <w:color w:val="auto"/>
        </w:rPr>
        <w:t>Corporate Secretary</w:t>
      </w:r>
    </w:p>
    <w:p>
      <w:pPr>
        <w:spacing w:after="0" w:line="15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Chicago, Illinois</w:t>
      </w:r>
    </w:p>
    <w:p>
      <w:pPr>
        <w:spacing w:after="0" w:line="7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March 28, 2025</w:t>
      </w:r>
    </w:p>
    <w:p>
      <w:pPr>
        <w:sectPr>
          <w:pgSz w:w="11900" w:h="16838" w:orient="portrait"/>
          <w:cols w:equalWidth="0" w:num="1">
            <w:col w:w="9080"/>
          </w:cols>
          <w:pgMar w:left="1400" w:top="1440" w:right="1419" w:bottom="1440" w:gutter="0" w:footer="0" w:header="0"/>
          <w:type w:val="continuous"/>
        </w:sectPr>
      </w:pPr>
    </w:p>
    <w:bookmarkStart w:id="84" w:name="page85"/>
    <w:bookmarkEnd w:id="8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175069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10375" cy="175069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ind w:left="60"/>
        <w:spacing w:after="0"/>
        <w:tabs>
          <w:tab w:leader="none" w:pos="444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13"/>
          <w:szCs w:val="13"/>
          <w:b w:val="1"/>
          <w:bCs w:val="1"/>
          <w:color w:val="00558C"/>
        </w:rPr>
        <w:t>86</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420370</wp:posOffset>
            </wp:positionV>
            <wp:extent cx="6810375" cy="86829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10375" cy="8682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540" w:val="left"/>
          <w:tab w:leader="none" w:pos="7360" w:val="left"/>
          <w:tab w:leader="none" w:pos="8400" w:val="left"/>
        </w:tabs>
        <w:rPr>
          <w:sz w:val="20"/>
          <w:szCs w:val="20"/>
          <w:color w:val="auto"/>
        </w:rPr>
      </w:pPr>
      <w:r>
        <w:rPr>
          <w:rFonts w:ascii="Arial" w:cs="Arial" w:eastAsia="Arial" w:hAnsi="Arial"/>
          <w:sz w:val="13"/>
          <w:szCs w:val="13"/>
          <w:b w:val="1"/>
          <w:bCs w:val="1"/>
          <w:color w:val="B2B3B6"/>
        </w:rPr>
        <w:t>General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Corporate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Executive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Stockholder</w:t>
      </w:r>
      <w:r>
        <w:rPr>
          <w:sz w:val="20"/>
          <w:szCs w:val="20"/>
          <w:color w:val="auto"/>
        </w:rPr>
        <w:tab/>
      </w:r>
      <w:r>
        <w:rPr>
          <w:rFonts w:ascii="Arial" w:cs="Arial" w:eastAsia="Arial" w:hAnsi="Arial"/>
          <w:sz w:val="12"/>
          <w:szCs w:val="12"/>
          <w:b w:val="1"/>
          <w:bCs w:val="1"/>
          <w:color w:val="6AAA37"/>
        </w:rPr>
        <w:t>Other</w:t>
      </w:r>
    </w:p>
    <w:p>
      <w:pPr>
        <w:spacing w:after="0" w:line="11"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540" w:val="left"/>
          <w:tab w:leader="none" w:pos="7360" w:val="left"/>
          <w:tab w:leader="none" w:pos="8400" w:val="left"/>
        </w:tabs>
        <w:rPr>
          <w:sz w:val="20"/>
          <w:szCs w:val="20"/>
          <w:color w:val="auto"/>
        </w:rPr>
      </w:pPr>
      <w:r>
        <w:rPr>
          <w:rFonts w:ascii="Arial" w:cs="Arial" w:eastAsia="Arial" w:hAnsi="Arial"/>
          <w:sz w:val="13"/>
          <w:szCs w:val="13"/>
          <w:b w:val="1"/>
          <w:bCs w:val="1"/>
          <w:color w:val="B2B3B6"/>
        </w:rPr>
        <w:t>Information</w:t>
      </w:r>
      <w:r>
        <w:rPr>
          <w:sz w:val="20"/>
          <w:szCs w:val="20"/>
          <w:color w:val="auto"/>
        </w:rPr>
        <w:tab/>
      </w:r>
      <w:r>
        <w:rPr>
          <w:rFonts w:ascii="Arial" w:cs="Arial" w:eastAsia="Arial" w:hAnsi="Arial"/>
          <w:sz w:val="13"/>
          <w:szCs w:val="13"/>
          <w:b w:val="1"/>
          <w:bCs w:val="1"/>
          <w:color w:val="B2B3B6"/>
        </w:rPr>
        <w:t>One</w:t>
      </w:r>
      <w:r>
        <w:rPr>
          <w:sz w:val="20"/>
          <w:szCs w:val="20"/>
          <w:color w:val="auto"/>
        </w:rPr>
        <w:tab/>
      </w:r>
      <w:r>
        <w:rPr>
          <w:rFonts w:ascii="Arial" w:cs="Arial" w:eastAsia="Arial" w:hAnsi="Arial"/>
          <w:sz w:val="13"/>
          <w:szCs w:val="13"/>
          <w:b w:val="1"/>
          <w:bCs w:val="1"/>
          <w:color w:val="B2B3B6"/>
        </w:rPr>
        <w:t>Governance</w:t>
      </w:r>
      <w:r>
        <w:rPr>
          <w:sz w:val="20"/>
          <w:szCs w:val="20"/>
          <w:color w:val="auto"/>
        </w:rPr>
        <w:tab/>
      </w:r>
      <w:r>
        <w:rPr>
          <w:rFonts w:ascii="Arial" w:cs="Arial" w:eastAsia="Arial" w:hAnsi="Arial"/>
          <w:sz w:val="13"/>
          <w:szCs w:val="13"/>
          <w:b w:val="1"/>
          <w:bCs w:val="1"/>
          <w:color w:val="B2B3B6"/>
        </w:rPr>
        <w:t>Two</w:t>
      </w:r>
      <w:r>
        <w:rPr>
          <w:sz w:val="20"/>
          <w:szCs w:val="20"/>
          <w:color w:val="auto"/>
        </w:rPr>
        <w:tab/>
      </w:r>
      <w:r>
        <w:rPr>
          <w:rFonts w:ascii="Arial" w:cs="Arial" w:eastAsia="Arial" w:hAnsi="Arial"/>
          <w:sz w:val="13"/>
          <w:szCs w:val="13"/>
          <w:b w:val="1"/>
          <w:bCs w:val="1"/>
          <w:color w:val="B2B3B6"/>
        </w:rPr>
        <w:t>Compensation</w:t>
      </w:r>
      <w:r>
        <w:rPr>
          <w:sz w:val="20"/>
          <w:szCs w:val="20"/>
          <w:color w:val="auto"/>
        </w:rPr>
        <w:tab/>
      </w:r>
      <w:r>
        <w:rPr>
          <w:rFonts w:ascii="Arial" w:cs="Arial" w:eastAsia="Arial" w:hAnsi="Arial"/>
          <w:sz w:val="13"/>
          <w:szCs w:val="13"/>
          <w:b w:val="1"/>
          <w:bCs w:val="1"/>
          <w:color w:val="B2B3B6"/>
        </w:rPr>
        <w:t>Three</w:t>
      </w:r>
      <w:r>
        <w:rPr>
          <w:sz w:val="20"/>
          <w:szCs w:val="20"/>
          <w:color w:val="auto"/>
        </w:rPr>
        <w:tab/>
      </w:r>
      <w:r>
        <w:rPr>
          <w:rFonts w:ascii="Arial" w:cs="Arial" w:eastAsia="Arial" w:hAnsi="Arial"/>
          <w:sz w:val="13"/>
          <w:szCs w:val="13"/>
          <w:b w:val="1"/>
          <w:bCs w:val="1"/>
          <w:color w:val="B2B3B6"/>
        </w:rPr>
        <w:t>Four</w:t>
      </w:r>
      <w:r>
        <w:rPr>
          <w:sz w:val="20"/>
          <w:szCs w:val="20"/>
          <w:color w:val="auto"/>
        </w:rPr>
        <w:tab/>
      </w:r>
      <w:r>
        <w:rPr>
          <w:rFonts w:ascii="Arial" w:cs="Arial" w:eastAsia="Arial" w:hAnsi="Arial"/>
          <w:sz w:val="13"/>
          <w:szCs w:val="13"/>
          <w:b w:val="1"/>
          <w:bCs w:val="1"/>
          <w:color w:val="B2B3B6"/>
        </w:rPr>
        <w:t>Five</w:t>
      </w:r>
      <w:r>
        <w:rPr>
          <w:sz w:val="20"/>
          <w:szCs w:val="20"/>
          <w:color w:val="auto"/>
        </w:rPr>
        <w:tab/>
      </w:r>
      <w:r>
        <w:rPr>
          <w:rFonts w:ascii="Arial" w:cs="Arial" w:eastAsia="Arial" w:hAnsi="Arial"/>
          <w:sz w:val="13"/>
          <w:szCs w:val="13"/>
          <w:b w:val="1"/>
          <w:bCs w:val="1"/>
          <w:color w:val="B2B3B6"/>
        </w:rPr>
        <w:t>Proposals</w:t>
      </w:r>
      <w:r>
        <w:rPr>
          <w:sz w:val="20"/>
          <w:szCs w:val="20"/>
          <w:color w:val="auto"/>
        </w:rPr>
        <w:tab/>
      </w:r>
      <w:r>
        <w:rPr>
          <w:rFonts w:ascii="Arial" w:cs="Arial" w:eastAsia="Arial" w:hAnsi="Arial"/>
          <w:sz w:val="12"/>
          <w:szCs w:val="12"/>
          <w:b w:val="1"/>
          <w:bCs w:val="1"/>
          <w:color w:val="6AAA37"/>
        </w:rPr>
        <w:t>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54"/>
          <w:szCs w:val="54"/>
          <w:color w:val="00558C"/>
        </w:rPr>
        <w:t>Appendix A</w:t>
      </w:r>
    </w:p>
    <w:p>
      <w:pPr>
        <w:spacing w:after="0" w:line="171" w:lineRule="exact"/>
        <w:rPr>
          <w:sz w:val="20"/>
          <w:szCs w:val="20"/>
          <w:color w:val="auto"/>
        </w:rPr>
      </w:pPr>
    </w:p>
    <w:p>
      <w:pPr>
        <w:ind w:right="680"/>
        <w:spacing w:after="0" w:line="307" w:lineRule="auto"/>
        <w:rPr>
          <w:sz w:val="20"/>
          <w:szCs w:val="20"/>
          <w:color w:val="auto"/>
        </w:rPr>
      </w:pPr>
      <w:r>
        <w:rPr>
          <w:rFonts w:ascii="Arial" w:cs="Arial" w:eastAsia="Arial" w:hAnsi="Arial"/>
          <w:sz w:val="28"/>
          <w:szCs w:val="28"/>
          <w:b w:val="1"/>
          <w:bCs w:val="1"/>
          <w:color w:val="B2B3B6"/>
        </w:rPr>
        <w:t>AMENDMENT TO THE HURON CONSULTING GROUP INC. AMENDED AND RESTATED 2012 OMNIBUS INCENTIVE PLAN</w:t>
      </w:r>
    </w:p>
    <w:p>
      <w:pPr>
        <w:spacing w:after="0" w:line="209"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b w:val="1"/>
          <w:bCs w:val="1"/>
          <w:color w:val="auto"/>
        </w:rPr>
        <w:t xml:space="preserve">THIS AMENDMENT </w:t>
      </w:r>
      <w:r>
        <w:rPr>
          <w:rFonts w:ascii="Arial" w:cs="Arial" w:eastAsia="Arial" w:hAnsi="Arial"/>
          <w:sz w:val="16"/>
          <w:szCs w:val="16"/>
          <w:color w:val="auto"/>
        </w:rPr>
        <w:t>(this “Amendment”) to the Huron Consulting Group Inc. Amended and Restated 2012 Omnibus Incentive</w:t>
      </w:r>
      <w:r>
        <w:rPr>
          <w:rFonts w:ascii="Arial" w:cs="Arial" w:eastAsia="Arial" w:hAnsi="Arial"/>
          <w:sz w:val="16"/>
          <w:szCs w:val="16"/>
          <w:b w:val="1"/>
          <w:bCs w:val="1"/>
          <w:color w:val="auto"/>
        </w:rPr>
        <w:t xml:space="preserve"> </w:t>
      </w:r>
      <w:r>
        <w:rPr>
          <w:rFonts w:ascii="Arial" w:cs="Arial" w:eastAsia="Arial" w:hAnsi="Arial"/>
          <w:sz w:val="16"/>
          <w:szCs w:val="16"/>
          <w:color w:val="auto"/>
        </w:rPr>
        <w:t>Plan, as amended from time to time, (the “Plan”) is adopted by the Board of Directors (the “Board”) of Huron Consulting Group Inc., a Delaware corporation (the “Company”), on March 19, 2025, effective as of the date of the Company’s Annual Meeting of Stockholders that occurs in 2025, provided that it is approved by the Company’s stockholders on that date (the “Amendment Date”). Any capitalized terms used and not defined herein shall have the meanings set forth in the Plan.</w:t>
      </w:r>
    </w:p>
    <w:p>
      <w:pPr>
        <w:spacing w:after="0" w:line="107"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pursuant to Section 16 of the Plan, the Board may at any time revise or amend the Plan, provided that no</w:t>
      </w:r>
      <w:r>
        <w:rPr>
          <w:rFonts w:ascii="Arial" w:cs="Arial" w:eastAsia="Arial" w:hAnsi="Arial"/>
          <w:sz w:val="16"/>
          <w:szCs w:val="16"/>
          <w:b w:val="1"/>
          <w:bCs w:val="1"/>
          <w:color w:val="auto"/>
        </w:rPr>
        <w:t xml:space="preserve"> </w:t>
      </w:r>
      <w:r>
        <w:rPr>
          <w:rFonts w:ascii="Arial" w:cs="Arial" w:eastAsia="Arial" w:hAnsi="Arial"/>
          <w:sz w:val="16"/>
          <w:szCs w:val="16"/>
          <w:color w:val="auto"/>
        </w:rPr>
        <w:t>amendment to the Plan will be made without the approval of the Company’s stockholders if such amendment would increase the aggregate number of shares of Common Stock that may be issued under the Plan; and</w:t>
      </w:r>
    </w:p>
    <w:p>
      <w:pPr>
        <w:spacing w:after="0" w:line="104" w:lineRule="exact"/>
        <w:rPr>
          <w:sz w:val="20"/>
          <w:szCs w:val="20"/>
          <w:color w:val="auto"/>
        </w:rPr>
      </w:pPr>
    </w:p>
    <w:p>
      <w:pPr>
        <w:ind w:right="860"/>
        <w:spacing w:after="0" w:line="321"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Board has determined to amend the Plan in the manner set forth below, subject to approval by the</w:t>
      </w:r>
      <w:r>
        <w:rPr>
          <w:rFonts w:ascii="Arial" w:cs="Arial" w:eastAsia="Arial" w:hAnsi="Arial"/>
          <w:sz w:val="16"/>
          <w:szCs w:val="16"/>
          <w:b w:val="1"/>
          <w:bCs w:val="1"/>
          <w:color w:val="auto"/>
        </w:rPr>
        <w:t xml:space="preserve"> </w:t>
      </w:r>
      <w:r>
        <w:rPr>
          <w:rFonts w:ascii="Arial" w:cs="Arial" w:eastAsia="Arial" w:hAnsi="Arial"/>
          <w:sz w:val="16"/>
          <w:szCs w:val="16"/>
          <w:color w:val="auto"/>
        </w:rPr>
        <w:t>stockholders.</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the Plan is hereby amended as follows, subject to approval by the stockholders:</w:t>
      </w:r>
    </w:p>
    <w:p>
      <w:pPr>
        <w:spacing w:after="0" w:line="181" w:lineRule="exact"/>
        <w:rPr>
          <w:sz w:val="20"/>
          <w:szCs w:val="20"/>
          <w:color w:val="auto"/>
        </w:rPr>
      </w:pPr>
    </w:p>
    <w:p>
      <w:pPr>
        <w:ind w:left="660" w:hanging="328"/>
        <w:spacing w:after="0"/>
        <w:tabs>
          <w:tab w:leader="none" w:pos="66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first sentence of Section 4(b) of the Plan is hereby amended and restated in its entirety as follows:</w:t>
      </w:r>
    </w:p>
    <w:p>
      <w:pPr>
        <w:spacing w:after="0" w:line="180" w:lineRule="exact"/>
        <w:rPr>
          <w:rFonts w:ascii="Arial" w:cs="Arial" w:eastAsia="Arial" w:hAnsi="Arial"/>
          <w:sz w:val="16"/>
          <w:szCs w:val="16"/>
          <w:color w:val="auto"/>
        </w:rPr>
      </w:pPr>
    </w:p>
    <w:p>
      <w:pPr>
        <w:ind w:left="660" w:right="80"/>
        <w:spacing w:after="0" w:line="289" w:lineRule="auto"/>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Shares Available for Awards</w:t>
      </w:r>
      <w:r>
        <w:rPr>
          <w:rFonts w:ascii="Arial" w:cs="Arial" w:eastAsia="Arial" w:hAnsi="Arial"/>
          <w:sz w:val="16"/>
          <w:szCs w:val="16"/>
          <w:color w:val="FF0090"/>
        </w:rPr>
        <w:t>.</w:t>
      </w:r>
      <w:r>
        <w:rPr>
          <w:rFonts w:ascii="Arial" w:cs="Arial" w:eastAsia="Arial" w:hAnsi="Arial"/>
          <w:sz w:val="16"/>
          <w:szCs w:val="16"/>
          <w:color w:val="auto"/>
        </w:rPr>
        <w:t xml:space="preserve"> Subject to the terms and conditions of the Plan, the number of shares of Common Stock reserved for issuance under the Plan shall be 6,256,204 shares (comprised of: (i) the 1,398,204 shares of Common Stock authorized under the Plan as originally adopted, (ii) an additional 850,000 shares of Common Stock authorized in the amendment and restatement of the Plan effective May 2, 2014, (iii) an additional 804,000 shares of Common Stock authorized in the amendment and restatement of the Plan effective May 1, 2017, (iv) an additional 600,000 shares of Common Stock authorized in the amendment of the Plan effective May 3, 2019, (v) an additional 270,000 shares of Common Stock authorized in the amendment of the Plan effective May 8, 2020, (vi) an additional 634,000 shares of Common Stock authorized in the amendment of the Plan effective May 7, 2021, (vii) an additional 800,000 shares of Common Stock authorized in the amendment of the Plan effective May 15, 2023 and (viii) an additional 900,000 shares of Common Stock authorized in the amendment of the Plan effective May 9, 2025, subject to adjustment as provided herein.)”</w:t>
      </w:r>
    </w:p>
    <w:p>
      <w:pPr>
        <w:spacing w:after="0" w:line="114" w:lineRule="exact"/>
        <w:rPr>
          <w:rFonts w:ascii="Arial" w:cs="Arial" w:eastAsia="Arial" w:hAnsi="Arial"/>
          <w:sz w:val="16"/>
          <w:szCs w:val="16"/>
          <w:color w:val="auto"/>
        </w:rPr>
      </w:pPr>
    </w:p>
    <w:p>
      <w:pPr>
        <w:ind w:left="660" w:hanging="328"/>
        <w:spacing w:after="0"/>
        <w:tabs>
          <w:tab w:leader="none" w:pos="66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This Amendment shall be and, as of the Amendment Date, is hereby incorporated in and forms a part of the Plan.</w:t>
      </w:r>
    </w:p>
    <w:p>
      <w:pPr>
        <w:spacing w:after="0" w:line="180" w:lineRule="exact"/>
        <w:rPr>
          <w:rFonts w:ascii="Arial" w:cs="Arial" w:eastAsia="Arial" w:hAnsi="Arial"/>
          <w:sz w:val="16"/>
          <w:szCs w:val="16"/>
          <w:color w:val="auto"/>
        </w:rPr>
      </w:pPr>
    </w:p>
    <w:p>
      <w:pPr>
        <w:ind w:left="660" w:hanging="328"/>
        <w:spacing w:after="0" w:line="321" w:lineRule="auto"/>
        <w:tabs>
          <w:tab w:leader="none" w:pos="66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This Amendment and all determinations made and actions taken pursuant hereto shall be governed by the laws of the State of Delaware without reference to its principles of conflicts of law.</w:t>
      </w:r>
    </w:p>
    <w:p>
      <w:pPr>
        <w:spacing w:after="0" w:line="88" w:lineRule="exact"/>
        <w:rPr>
          <w:rFonts w:ascii="Arial" w:cs="Arial" w:eastAsia="Arial" w:hAnsi="Arial"/>
          <w:sz w:val="16"/>
          <w:szCs w:val="16"/>
          <w:color w:val="auto"/>
        </w:rPr>
      </w:pPr>
    </w:p>
    <w:p>
      <w:pPr>
        <w:ind w:left="660" w:hanging="328"/>
        <w:spacing w:after="0"/>
        <w:tabs>
          <w:tab w:leader="none" w:pos="66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Except as amended above, the Plan shall remain in full force and effect.</w:t>
      </w:r>
    </w:p>
    <w:p>
      <w:pPr>
        <w:spacing w:after="0" w:line="228" w:lineRule="exact"/>
        <w:rPr>
          <w:sz w:val="20"/>
          <w:szCs w:val="20"/>
          <w:color w:val="auto"/>
        </w:rPr>
      </w:pPr>
    </w:p>
    <w:p>
      <w:pPr>
        <w:ind w:right="600"/>
        <w:spacing w:after="0" w:line="270" w:lineRule="auto"/>
        <w:rPr>
          <w:sz w:val="20"/>
          <w:szCs w:val="20"/>
          <w:color w:val="auto"/>
        </w:rPr>
      </w:pPr>
      <w:r>
        <w:rPr>
          <w:rFonts w:ascii="Arial" w:cs="Arial" w:eastAsia="Arial" w:hAnsi="Arial"/>
          <w:sz w:val="29"/>
          <w:szCs w:val="29"/>
          <w:b w:val="1"/>
          <w:bCs w:val="1"/>
          <w:color w:val="B2B3B6"/>
        </w:rPr>
        <w:t>HURON CONSULTING GROUP INC. 2012 OMNIBUS INCENTIVE PLAN (AS AMENDED AND RESTATED EFFECTIVE DECEMBER 8, 2023)</w:t>
      </w:r>
    </w:p>
    <w:p>
      <w:pPr>
        <w:sectPr>
          <w:pgSz w:w="11900" w:h="16838" w:orient="portrait"/>
          <w:cols w:equalWidth="0" w:num="1">
            <w:col w:w="9080"/>
          </w:cols>
          <w:pgMar w:left="1400" w:top="1440" w:right="14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60"/>
        <w:spacing w:after="0"/>
        <w:tabs>
          <w:tab w:leader="none" w:pos="442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13"/>
          <w:szCs w:val="13"/>
          <w:b w:val="1"/>
          <w:bCs w:val="1"/>
          <w:color w:val="00558C"/>
        </w:rPr>
        <w:t>A-1</w:t>
      </w:r>
      <w:r>
        <w:rPr>
          <w:sz w:val="20"/>
          <w:szCs w:val="20"/>
          <w:color w:val="auto"/>
        </w:rPr>
        <w:tab/>
      </w:r>
      <w:r>
        <w:rPr>
          <w:rFonts w:ascii="Arial" w:cs="Arial" w:eastAsia="Arial" w:hAnsi="Arial"/>
          <w:sz w:val="12"/>
          <w:szCs w:val="12"/>
          <w:color w:val="auto"/>
        </w:rPr>
        <w:t>2025 Proxy Statement</w:t>
      </w:r>
    </w:p>
    <w:p>
      <w:pPr>
        <w:sectPr>
          <w:pgSz w:w="11900" w:h="16838" w:orient="portrait"/>
          <w:cols w:equalWidth="0" w:num="1">
            <w:col w:w="9080"/>
          </w:cols>
          <w:pgMar w:left="1400" w:top="1440" w:right="1419" w:bottom="0" w:gutter="0" w:footer="0" w:header="0"/>
          <w:type w:val="continuous"/>
        </w:sectPr>
      </w:pPr>
    </w:p>
    <w:bookmarkStart w:id="85" w:name="page86"/>
    <w:bookmarkEnd w:id="85"/>
    <w:p>
      <w:pPr>
        <w:spacing w:after="0" w:line="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91230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10375" cy="9123045"/>
                    </a:xfrm>
                    <a:prstGeom prst="rect">
                      <a:avLst/>
                    </a:prstGeom>
                    <a:noFill/>
                  </pic:spPr>
                </pic:pic>
              </a:graphicData>
            </a:graphic>
          </wp:anchor>
        </w:drawing>
      </w:r>
    </w:p>
    <w:p>
      <w:pPr>
        <w:ind w:left="52" w:right="200"/>
        <w:spacing w:after="0" w:line="274" w:lineRule="auto"/>
        <w:rPr>
          <w:sz w:val="20"/>
          <w:szCs w:val="20"/>
          <w:color w:val="auto"/>
        </w:rPr>
      </w:pPr>
      <w:r>
        <w:rPr>
          <w:rFonts w:ascii="Arial" w:cs="Arial" w:eastAsia="Arial" w:hAnsi="Arial"/>
          <w:sz w:val="13"/>
          <w:szCs w:val="13"/>
          <w:b w:val="1"/>
          <w:bCs w:val="1"/>
          <w:color w:val="B2B3B6"/>
        </w:rPr>
        <w:t xml:space="preserve">General Proposal Corporate Proposal Executive Proposal Proposal Proposal Stockholder </w:t>
      </w:r>
      <w:r>
        <w:rPr>
          <w:rFonts w:ascii="Arial" w:cs="Arial" w:eastAsia="Arial" w:hAnsi="Arial"/>
          <w:sz w:val="13"/>
          <w:szCs w:val="13"/>
          <w:b w:val="1"/>
          <w:bCs w:val="1"/>
          <w:color w:val="6AAA37"/>
        </w:rPr>
        <w:t>Other</w:t>
      </w:r>
      <w:r>
        <w:rPr>
          <w:rFonts w:ascii="Arial" w:cs="Arial" w:eastAsia="Arial" w:hAnsi="Arial"/>
          <w:sz w:val="13"/>
          <w:szCs w:val="13"/>
          <w:b w:val="1"/>
          <w:bCs w:val="1"/>
          <w:color w:val="B2B3B6"/>
        </w:rPr>
        <w:t xml:space="preserve"> Information One Governance Two Compensation Three Four Five Proposals </w:t>
      </w:r>
      <w:r>
        <w:rPr>
          <w:rFonts w:ascii="Arial" w:cs="Arial" w:eastAsia="Arial" w:hAnsi="Arial"/>
          <w:sz w:val="13"/>
          <w:szCs w:val="13"/>
          <w:b w:val="1"/>
          <w:bCs w:val="1"/>
          <w:color w:val="6AAA37"/>
        </w:rPr>
        <w:t>Matters</w:t>
      </w:r>
    </w:p>
    <w:p>
      <w:pPr>
        <w:spacing w:after="0" w:line="351" w:lineRule="exact"/>
        <w:rPr>
          <w:sz w:val="20"/>
          <w:szCs w:val="20"/>
          <w:color w:val="auto"/>
        </w:rPr>
      </w:pPr>
    </w:p>
    <w:p>
      <w:pPr>
        <w:ind w:left="332" w:hanging="332"/>
        <w:spacing w:after="0" w:line="288" w:lineRule="auto"/>
        <w:tabs>
          <w:tab w:leader="none" w:pos="332" w:val="left"/>
        </w:tabs>
        <w:numPr>
          <w:ilvl w:val="0"/>
          <w:numId w:val="11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History and Purpose. </w:t>
      </w:r>
      <w:r>
        <w:rPr>
          <w:rFonts w:ascii="Arial" w:cs="Arial" w:eastAsia="Arial" w:hAnsi="Arial"/>
          <w:sz w:val="16"/>
          <w:szCs w:val="16"/>
          <w:color w:val="auto"/>
        </w:rPr>
        <w:t>Huron Consulting Group Inc., a Delaware corporation (“Huron”), previously established the Huron</w:t>
      </w:r>
      <w:r>
        <w:rPr>
          <w:rFonts w:ascii="Arial" w:cs="Arial" w:eastAsia="Arial" w:hAnsi="Arial"/>
          <w:sz w:val="16"/>
          <w:szCs w:val="16"/>
          <w:b w:val="1"/>
          <w:bCs w:val="1"/>
          <w:color w:val="auto"/>
        </w:rPr>
        <w:t xml:space="preserve"> </w:t>
      </w:r>
      <w:r>
        <w:rPr>
          <w:rFonts w:ascii="Arial" w:cs="Arial" w:eastAsia="Arial" w:hAnsi="Arial"/>
          <w:sz w:val="16"/>
          <w:szCs w:val="16"/>
          <w:color w:val="auto"/>
        </w:rPr>
        <w:t>Consulting Group Inc. 2012 Omnibus Incentive Plan, as amended from time to time (the “Plan”) to attract and retain employees, non-employee directors and independent contractors providing services to Huron and/or the Affiliates (defined below), to motivate Participants (defined below) to achieve long-term goals of Huron and the Affiliates, to provide incentive compensation opportunities that are competitive with those of other corporations, and to further align Participants’ interests with those of Huron’s stockholders, and thereby to promote the long-term financial interest of Huron and the Affiliates, including growth in value of Huron’s equity and enhancement of long-term stockholder value. The Plan has been previously amended, and the following provisions constitute an amendment, restatement, and continuation of the Plan effective December 8, 2023.</w:t>
      </w:r>
    </w:p>
    <w:p>
      <w:pPr>
        <w:spacing w:after="0" w:line="118" w:lineRule="exact"/>
        <w:rPr>
          <w:rFonts w:ascii="Arial" w:cs="Arial" w:eastAsia="Arial" w:hAnsi="Arial"/>
          <w:sz w:val="16"/>
          <w:szCs w:val="16"/>
          <w:b w:val="1"/>
          <w:bCs w:val="1"/>
          <w:color w:val="auto"/>
        </w:rPr>
      </w:pPr>
    </w:p>
    <w:p>
      <w:pPr>
        <w:ind w:left="332" w:hanging="332"/>
        <w:spacing w:after="0"/>
        <w:tabs>
          <w:tab w:leader="none" w:pos="332" w:val="left"/>
        </w:tabs>
        <w:numPr>
          <w:ilvl w:val="0"/>
          <w:numId w:val="115"/>
        </w:numPr>
        <w:rPr>
          <w:rFonts w:ascii="Arial" w:cs="Arial" w:eastAsia="Arial" w:hAnsi="Arial"/>
          <w:sz w:val="16"/>
          <w:szCs w:val="16"/>
          <w:color w:val="auto"/>
        </w:rPr>
      </w:pPr>
      <w:r>
        <w:rPr>
          <w:rFonts w:ascii="Arial" w:cs="Arial" w:eastAsia="Arial" w:hAnsi="Arial"/>
          <w:sz w:val="16"/>
          <w:szCs w:val="16"/>
          <w:b w:val="1"/>
          <w:bCs w:val="1"/>
          <w:color w:val="auto"/>
        </w:rPr>
        <w:t xml:space="preserve">Definitions. </w:t>
      </w:r>
      <w:r>
        <w:rPr>
          <w:rFonts w:ascii="Arial" w:cs="Arial" w:eastAsia="Arial" w:hAnsi="Arial"/>
          <w:sz w:val="16"/>
          <w:szCs w:val="16"/>
          <w:color w:val="auto"/>
        </w:rPr>
        <w:t>As used in the Plan, the following definitions apply to the terms indicated below:</w:t>
      </w:r>
    </w:p>
    <w:p>
      <w:pPr>
        <w:spacing w:after="0" w:line="180" w:lineRule="exact"/>
        <w:rPr>
          <w:rFonts w:ascii="Arial" w:cs="Arial" w:eastAsia="Arial" w:hAnsi="Arial"/>
          <w:sz w:val="16"/>
          <w:szCs w:val="16"/>
          <w:color w:val="auto"/>
        </w:rPr>
      </w:pPr>
    </w:p>
    <w:p>
      <w:pPr>
        <w:ind w:left="652" w:hanging="328"/>
        <w:spacing w:after="0"/>
        <w:tabs>
          <w:tab w:leader="none" w:pos="652" w:val="left"/>
        </w:tabs>
        <w:numPr>
          <w:ilvl w:val="1"/>
          <w:numId w:val="115"/>
        </w:numPr>
        <w:rPr>
          <w:rFonts w:ascii="Arial" w:cs="Arial" w:eastAsia="Arial" w:hAnsi="Arial"/>
          <w:sz w:val="16"/>
          <w:szCs w:val="16"/>
          <w:color w:val="auto"/>
        </w:rPr>
      </w:pPr>
      <w:r>
        <w:rPr>
          <w:rFonts w:ascii="Arial" w:cs="Arial" w:eastAsia="Arial" w:hAnsi="Arial"/>
          <w:sz w:val="16"/>
          <w:szCs w:val="16"/>
          <w:b w:val="1"/>
          <w:bCs w:val="1"/>
          <w:color w:val="auto"/>
        </w:rPr>
        <w:t xml:space="preserve">“Administrative Actions” </w:t>
      </w:r>
      <w:r>
        <w:rPr>
          <w:rFonts w:ascii="Arial" w:cs="Arial" w:eastAsia="Arial" w:hAnsi="Arial"/>
          <w:sz w:val="16"/>
          <w:szCs w:val="16"/>
          <w:color w:val="auto"/>
        </w:rPr>
        <w:t>shall have the meaning set forth in Section 5(d).</w:t>
      </w:r>
    </w:p>
    <w:p>
      <w:pPr>
        <w:spacing w:after="0" w:line="180" w:lineRule="exact"/>
        <w:rPr>
          <w:rFonts w:ascii="Arial" w:cs="Arial" w:eastAsia="Arial" w:hAnsi="Arial"/>
          <w:sz w:val="16"/>
          <w:szCs w:val="16"/>
          <w:color w:val="auto"/>
        </w:rPr>
      </w:pPr>
    </w:p>
    <w:p>
      <w:pPr>
        <w:ind w:left="652" w:right="160" w:hanging="328"/>
        <w:spacing w:after="0" w:line="295" w:lineRule="auto"/>
        <w:tabs>
          <w:tab w:leader="none" w:pos="652" w:val="left"/>
        </w:tabs>
        <w:numPr>
          <w:ilvl w:val="1"/>
          <w:numId w:val="115"/>
        </w:numPr>
        <w:rPr>
          <w:rFonts w:ascii="Arial" w:cs="Arial" w:eastAsia="Arial" w:hAnsi="Arial"/>
          <w:sz w:val="16"/>
          <w:szCs w:val="16"/>
          <w:color w:val="auto"/>
        </w:rPr>
      </w:pPr>
      <w:r>
        <w:rPr>
          <w:rFonts w:ascii="Arial" w:cs="Arial" w:eastAsia="Arial" w:hAnsi="Arial"/>
          <w:sz w:val="16"/>
          <w:szCs w:val="16"/>
          <w:b w:val="1"/>
          <w:bCs w:val="1"/>
          <w:color w:val="auto"/>
        </w:rPr>
        <w:t xml:space="preserve">“Affiliate” </w:t>
      </w:r>
      <w:r>
        <w:rPr>
          <w:rFonts w:ascii="Arial" w:cs="Arial" w:eastAsia="Arial" w:hAnsi="Arial"/>
          <w:sz w:val="16"/>
          <w:szCs w:val="16"/>
          <w:color w:val="auto"/>
        </w:rPr>
        <w:t>means any corporation, partnership, joint venture or other entity during any period in which (i) Huron,</w:t>
      </w:r>
      <w:r>
        <w:rPr>
          <w:rFonts w:ascii="Arial" w:cs="Arial" w:eastAsia="Arial" w:hAnsi="Arial"/>
          <w:sz w:val="16"/>
          <w:szCs w:val="16"/>
          <w:b w:val="1"/>
          <w:bCs w:val="1"/>
          <w:color w:val="auto"/>
        </w:rPr>
        <w:t xml:space="preserve"> </w:t>
      </w:r>
      <w:r>
        <w:rPr>
          <w:rFonts w:ascii="Arial" w:cs="Arial" w:eastAsia="Arial" w:hAnsi="Arial"/>
          <w:sz w:val="16"/>
          <w:szCs w:val="16"/>
          <w:color w:val="auto"/>
        </w:rPr>
        <w:t>directly or indirectly, owns at least 50% of the combined voting power of all classes of stock of such entity or at least 50% of the ownership interests in such entity or (ii) such entity, directly or indirectly, owns at least 50% of the combined voting power of all classes of stock of Huron.</w:t>
      </w:r>
    </w:p>
    <w:p>
      <w:pPr>
        <w:spacing w:after="0" w:line="107" w:lineRule="exact"/>
        <w:rPr>
          <w:rFonts w:ascii="Arial" w:cs="Arial" w:eastAsia="Arial" w:hAnsi="Arial"/>
          <w:sz w:val="16"/>
          <w:szCs w:val="16"/>
          <w:color w:val="auto"/>
        </w:rPr>
      </w:pPr>
    </w:p>
    <w:p>
      <w:pPr>
        <w:ind w:left="652" w:right="380" w:hanging="328"/>
        <w:spacing w:after="0" w:line="321" w:lineRule="auto"/>
        <w:tabs>
          <w:tab w:leader="none" w:pos="652" w:val="left"/>
        </w:tabs>
        <w:numPr>
          <w:ilvl w:val="1"/>
          <w:numId w:val="115"/>
        </w:numPr>
        <w:rPr>
          <w:rFonts w:ascii="Arial" w:cs="Arial" w:eastAsia="Arial" w:hAnsi="Arial"/>
          <w:sz w:val="16"/>
          <w:szCs w:val="16"/>
          <w:color w:val="auto"/>
        </w:rPr>
      </w:pPr>
      <w:r>
        <w:rPr>
          <w:rFonts w:ascii="Arial" w:cs="Arial" w:eastAsia="Arial" w:hAnsi="Arial"/>
          <w:sz w:val="16"/>
          <w:szCs w:val="16"/>
          <w:b w:val="1"/>
          <w:bCs w:val="1"/>
          <w:color w:val="auto"/>
        </w:rPr>
        <w:t xml:space="preserve">“Agreement” </w:t>
      </w:r>
      <w:r>
        <w:rPr>
          <w:rFonts w:ascii="Arial" w:cs="Arial" w:eastAsia="Arial" w:hAnsi="Arial"/>
          <w:sz w:val="16"/>
          <w:szCs w:val="16"/>
          <w:color w:val="auto"/>
        </w:rPr>
        <w:t>shall mean an agreement between Huron and a Participant evidencing an Award or a notice of an</w:t>
      </w:r>
      <w:r>
        <w:rPr>
          <w:rFonts w:ascii="Arial" w:cs="Arial" w:eastAsia="Arial" w:hAnsi="Arial"/>
          <w:sz w:val="16"/>
          <w:szCs w:val="16"/>
          <w:b w:val="1"/>
          <w:bCs w:val="1"/>
          <w:color w:val="auto"/>
        </w:rPr>
        <w:t xml:space="preserve"> </w:t>
      </w:r>
      <w:r>
        <w:rPr>
          <w:rFonts w:ascii="Arial" w:cs="Arial" w:eastAsia="Arial" w:hAnsi="Arial"/>
          <w:sz w:val="16"/>
          <w:szCs w:val="16"/>
          <w:color w:val="auto"/>
        </w:rPr>
        <w:t>Award, in a form approved by the Committee.</w:t>
      </w:r>
    </w:p>
    <w:p>
      <w:pPr>
        <w:spacing w:after="0" w:line="88" w:lineRule="exact"/>
        <w:rPr>
          <w:rFonts w:ascii="Arial" w:cs="Arial" w:eastAsia="Arial" w:hAnsi="Arial"/>
          <w:sz w:val="16"/>
          <w:szCs w:val="16"/>
          <w:color w:val="auto"/>
        </w:rPr>
      </w:pPr>
    </w:p>
    <w:p>
      <w:pPr>
        <w:ind w:left="652" w:right="180" w:hanging="328"/>
        <w:spacing w:after="0" w:line="310" w:lineRule="auto"/>
        <w:tabs>
          <w:tab w:leader="none" w:pos="652" w:val="left"/>
        </w:tabs>
        <w:numPr>
          <w:ilvl w:val="1"/>
          <w:numId w:val="115"/>
        </w:numPr>
        <w:rPr>
          <w:rFonts w:ascii="Arial" w:cs="Arial" w:eastAsia="Arial" w:hAnsi="Arial"/>
          <w:sz w:val="16"/>
          <w:szCs w:val="16"/>
          <w:color w:val="auto"/>
        </w:rPr>
      </w:pPr>
      <w:r>
        <w:rPr>
          <w:rFonts w:ascii="Arial" w:cs="Arial" w:eastAsia="Arial" w:hAnsi="Arial"/>
          <w:sz w:val="16"/>
          <w:szCs w:val="16"/>
          <w:b w:val="1"/>
          <w:bCs w:val="1"/>
          <w:color w:val="auto"/>
        </w:rPr>
        <w:t xml:space="preserve">“Alternative Agreement” </w:t>
      </w:r>
      <w:r>
        <w:rPr>
          <w:rFonts w:ascii="Arial" w:cs="Arial" w:eastAsia="Arial" w:hAnsi="Arial"/>
          <w:sz w:val="16"/>
          <w:szCs w:val="16"/>
          <w:color w:val="auto"/>
        </w:rPr>
        <w:t>shall mean, with respect to any Participant, an employment agreement, senior</w:t>
      </w:r>
      <w:r>
        <w:rPr>
          <w:rFonts w:ascii="Arial" w:cs="Arial" w:eastAsia="Arial" w:hAnsi="Arial"/>
          <w:sz w:val="16"/>
          <w:szCs w:val="16"/>
          <w:b w:val="1"/>
          <w:bCs w:val="1"/>
          <w:color w:val="auto"/>
        </w:rPr>
        <w:t xml:space="preserve"> </w:t>
      </w:r>
      <w:r>
        <w:rPr>
          <w:rFonts w:ascii="Arial" w:cs="Arial" w:eastAsia="Arial" w:hAnsi="Arial"/>
          <w:sz w:val="16"/>
          <w:szCs w:val="16"/>
          <w:color w:val="auto"/>
        </w:rPr>
        <w:t>management agreement or other written agreement describing the Participant’s terms of employment with Huron or an Affiliate.</w:t>
      </w:r>
    </w:p>
    <w:p>
      <w:pPr>
        <w:spacing w:after="0" w:line="97" w:lineRule="exact"/>
        <w:rPr>
          <w:rFonts w:ascii="Arial" w:cs="Arial" w:eastAsia="Arial" w:hAnsi="Arial"/>
          <w:sz w:val="16"/>
          <w:szCs w:val="16"/>
          <w:color w:val="auto"/>
        </w:rPr>
      </w:pPr>
    </w:p>
    <w:p>
      <w:pPr>
        <w:ind w:left="652" w:hanging="328"/>
        <w:spacing w:after="0"/>
        <w:tabs>
          <w:tab w:leader="none" w:pos="652" w:val="left"/>
        </w:tabs>
        <w:numPr>
          <w:ilvl w:val="1"/>
          <w:numId w:val="115"/>
        </w:numPr>
        <w:rPr>
          <w:rFonts w:ascii="Arial" w:cs="Arial" w:eastAsia="Arial" w:hAnsi="Arial"/>
          <w:sz w:val="16"/>
          <w:szCs w:val="16"/>
          <w:color w:val="auto"/>
        </w:rPr>
      </w:pPr>
      <w:r>
        <w:rPr>
          <w:rFonts w:ascii="Arial" w:cs="Arial" w:eastAsia="Arial" w:hAnsi="Arial"/>
          <w:sz w:val="16"/>
          <w:szCs w:val="16"/>
          <w:b w:val="1"/>
          <w:bCs w:val="1"/>
          <w:color w:val="auto"/>
        </w:rPr>
        <w:t xml:space="preserve">“Award” </w:t>
      </w:r>
      <w:r>
        <w:rPr>
          <w:rFonts w:ascii="Arial" w:cs="Arial" w:eastAsia="Arial" w:hAnsi="Arial"/>
          <w:sz w:val="16"/>
          <w:szCs w:val="16"/>
          <w:color w:val="auto"/>
        </w:rPr>
        <w:t>shall mean any award described in Section 7 or 8 of the Plan.</w:t>
      </w:r>
    </w:p>
    <w:p>
      <w:pPr>
        <w:spacing w:after="0" w:line="167" w:lineRule="exact"/>
        <w:rPr>
          <w:rFonts w:ascii="Arial" w:cs="Arial" w:eastAsia="Arial" w:hAnsi="Arial"/>
          <w:sz w:val="16"/>
          <w:szCs w:val="16"/>
          <w:color w:val="auto"/>
        </w:rPr>
      </w:pPr>
    </w:p>
    <w:p>
      <w:pPr>
        <w:ind w:left="652" w:hanging="328"/>
        <w:spacing w:after="0"/>
        <w:tabs>
          <w:tab w:leader="none" w:pos="652" w:val="left"/>
        </w:tabs>
        <w:numPr>
          <w:ilvl w:val="1"/>
          <w:numId w:val="115"/>
        </w:numPr>
        <w:rPr>
          <w:rFonts w:ascii="Arial" w:cs="Arial" w:eastAsia="Arial" w:hAnsi="Arial"/>
          <w:sz w:val="16"/>
          <w:szCs w:val="16"/>
          <w:color w:val="auto"/>
        </w:rPr>
      </w:pPr>
      <w:r>
        <w:rPr>
          <w:rFonts w:ascii="Arial" w:cs="Arial" w:eastAsia="Arial" w:hAnsi="Arial"/>
          <w:sz w:val="16"/>
          <w:szCs w:val="16"/>
          <w:b w:val="1"/>
          <w:bCs w:val="1"/>
          <w:color w:val="auto"/>
        </w:rPr>
        <w:t xml:space="preserve">“Board of Directors” </w:t>
      </w:r>
      <w:r>
        <w:rPr>
          <w:rFonts w:ascii="Arial" w:cs="Arial" w:eastAsia="Arial" w:hAnsi="Arial"/>
          <w:sz w:val="16"/>
          <w:szCs w:val="16"/>
          <w:color w:val="auto"/>
        </w:rPr>
        <w:t>shall mean the Board of Directors of Huron.</w:t>
      </w:r>
    </w:p>
    <w:p>
      <w:pPr>
        <w:spacing w:after="0" w:line="180" w:lineRule="exact"/>
        <w:rPr>
          <w:rFonts w:ascii="Arial" w:cs="Arial" w:eastAsia="Arial" w:hAnsi="Arial"/>
          <w:sz w:val="16"/>
          <w:szCs w:val="16"/>
          <w:color w:val="auto"/>
        </w:rPr>
      </w:pPr>
    </w:p>
    <w:p>
      <w:pPr>
        <w:ind w:left="652" w:right="60" w:hanging="328"/>
        <w:spacing w:after="0" w:line="291" w:lineRule="auto"/>
        <w:tabs>
          <w:tab w:leader="none" w:pos="652" w:val="left"/>
        </w:tabs>
        <w:numPr>
          <w:ilvl w:val="1"/>
          <w:numId w:val="115"/>
        </w:numPr>
        <w:rPr>
          <w:rFonts w:ascii="Arial" w:cs="Arial" w:eastAsia="Arial" w:hAnsi="Arial"/>
          <w:sz w:val="16"/>
          <w:szCs w:val="16"/>
          <w:color w:val="auto"/>
        </w:rPr>
      </w:pPr>
      <w:r>
        <w:rPr>
          <w:rFonts w:ascii="Arial" w:cs="Arial" w:eastAsia="Arial" w:hAnsi="Arial"/>
          <w:sz w:val="16"/>
          <w:szCs w:val="16"/>
          <w:b w:val="1"/>
          <w:bCs w:val="1"/>
          <w:color w:val="auto"/>
        </w:rPr>
        <w:t xml:space="preserve">“Business Criteria” </w:t>
      </w:r>
      <w:r>
        <w:rPr>
          <w:rFonts w:ascii="Arial" w:cs="Arial" w:eastAsia="Arial" w:hAnsi="Arial"/>
          <w:sz w:val="16"/>
          <w:szCs w:val="16"/>
          <w:color w:val="auto"/>
        </w:rPr>
        <w:t>shall mean (i) return on total stockholder equity; (ii) earnings or book value per share of</w:t>
      </w:r>
      <w:r>
        <w:rPr>
          <w:rFonts w:ascii="Arial" w:cs="Arial" w:eastAsia="Arial" w:hAnsi="Arial"/>
          <w:sz w:val="16"/>
          <w:szCs w:val="16"/>
          <w:b w:val="1"/>
          <w:bCs w:val="1"/>
          <w:color w:val="auto"/>
        </w:rPr>
        <w:t xml:space="preserve"> </w:t>
      </w:r>
      <w:r>
        <w:rPr>
          <w:rFonts w:ascii="Arial" w:cs="Arial" w:eastAsia="Arial" w:hAnsi="Arial"/>
          <w:sz w:val="16"/>
          <w:szCs w:val="16"/>
          <w:color w:val="auto"/>
        </w:rPr>
        <w:t>Common Stock (“EPS”); (iii) adjusted EPS; (iv) net income (before or after taxes); (v) earnings before all or any interest, taxes, depreciation and/or amortization (“EBIT”, “EBITA” or “EBITDA”) measured as a dollar amount or a percentage of revenue; return on assets, capital or investment; (vii) market share; (viii) market capitalization; (ix) cost reduction goals; (x) levels of expense, costs or liabilities; (xi) department, division or business unit level performance; (xii) operating income; sales or revenues; (xiv) stock price appreciation; (xv) total shareholder return (TSR); (xvi) implementation or completion of critical projects or processes; (xvii) adjusted EBITDA; (xviii) days sales outstanding (DSO); (xix) financial coverage ratios; other non-GAAP financial measures, or (xxi) any combination of the foregoing.</w:t>
      </w:r>
    </w:p>
    <w:p>
      <w:pPr>
        <w:spacing w:after="0" w:line="334" w:lineRule="exact"/>
        <w:rPr>
          <w:rFonts w:ascii="Arial" w:cs="Arial" w:eastAsia="Arial" w:hAnsi="Arial"/>
          <w:sz w:val="16"/>
          <w:szCs w:val="16"/>
          <w:color w:val="auto"/>
        </w:rPr>
      </w:pPr>
    </w:p>
    <w:p>
      <w:pPr>
        <w:ind w:left="652" w:right="20"/>
        <w:spacing w:after="0" w:line="289" w:lineRule="auto"/>
        <w:rPr>
          <w:rFonts w:ascii="Arial" w:cs="Arial" w:eastAsia="Arial" w:hAnsi="Arial"/>
          <w:sz w:val="16"/>
          <w:szCs w:val="16"/>
          <w:color w:val="auto"/>
        </w:rPr>
      </w:pPr>
      <w:r>
        <w:rPr>
          <w:rFonts w:ascii="Arial" w:cs="Arial" w:eastAsia="Arial" w:hAnsi="Arial"/>
          <w:sz w:val="16"/>
          <w:szCs w:val="16"/>
          <w:color w:val="auto"/>
        </w:rPr>
        <w:t>Where applicable, Business Criteria may be expressed in terms of attaining a specified level of the particular criteria or the attainment of a percentage increase or decrease in the particular criteria, and may be applied to one or more of Huron, an Affiliate, or a department, division or strategic business unit of Huron and/or one or more Affiliates, or may be applied to the performance of Huron and/or one or more Affiliates relative to a market index, a group of other companies or a combination thereof, all as determined by the Committee. The Business Criteria may be subject to a threshold level of performance below which no payment will be made (or no vesting will occur), levels of performance at which specified payments will be made (or specified vesting will occur), and a maximum level of performance above which no additional payment will be made (or at which full vesting will occur).</w:t>
      </w:r>
    </w:p>
    <w:p>
      <w:pPr>
        <w:spacing w:after="0" w:line="117" w:lineRule="exact"/>
        <w:rPr>
          <w:rFonts w:ascii="Arial" w:cs="Arial" w:eastAsia="Arial" w:hAnsi="Arial"/>
          <w:sz w:val="16"/>
          <w:szCs w:val="16"/>
          <w:color w:val="auto"/>
        </w:rPr>
      </w:pPr>
    </w:p>
    <w:p>
      <w:pPr>
        <w:ind w:left="652" w:right="180"/>
        <w:spacing w:after="0" w:line="289" w:lineRule="auto"/>
        <w:rPr>
          <w:rFonts w:ascii="Arial" w:cs="Arial" w:eastAsia="Arial" w:hAnsi="Arial"/>
          <w:sz w:val="16"/>
          <w:szCs w:val="16"/>
          <w:color w:val="auto"/>
        </w:rPr>
      </w:pPr>
      <w:r>
        <w:rPr>
          <w:rFonts w:ascii="Arial" w:cs="Arial" w:eastAsia="Arial" w:hAnsi="Arial"/>
          <w:sz w:val="16"/>
          <w:szCs w:val="16"/>
          <w:color w:val="auto"/>
        </w:rPr>
        <w:t>Each of the Business Criteria shall be determined, where applicable, in accordance with generally accepted accounting principles and shall be subject to certification by the Committee; provided that the Committee shall have the authority to make equitable adjustments to the Business Criteria applicable to any Award in recognition of (1) special, unusual or non-recurring events affecting Huron or any Affiliate or the financial statements of Huron or any Affiliate; (2) changes in applicable laws or regulations (including tax laws, accounting principles or other laws or provisions affecting reported results); (3) gains, losses or expenses determined to be extraordinary or unusual in nature or infrequent in occurrence or related to the disposal of a segment of a business or related to a change in accounting principles; (4) asset write-downs or impairments; (5) litigation, claim judgments, settlements or</w:t>
      </w:r>
    </w:p>
    <w:p>
      <w:pPr>
        <w:spacing w:after="0" w:line="200" w:lineRule="exact"/>
        <w:rPr>
          <w:sz w:val="20"/>
          <w:szCs w:val="20"/>
          <w:color w:val="auto"/>
        </w:rPr>
      </w:pPr>
    </w:p>
    <w:p>
      <w:pPr>
        <w:spacing w:after="0" w:line="359" w:lineRule="exact"/>
        <w:rPr>
          <w:sz w:val="20"/>
          <w:szCs w:val="20"/>
          <w:color w:val="auto"/>
        </w:rPr>
      </w:pPr>
    </w:p>
    <w:p>
      <w:pPr>
        <w:ind w:left="52"/>
        <w:spacing w:after="0"/>
        <w:tabs>
          <w:tab w:leader="none" w:pos="4412" w:val="left"/>
          <w:tab w:leader="none" w:pos="7752"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13"/>
          <w:szCs w:val="13"/>
          <w:b w:val="1"/>
          <w:bCs w:val="1"/>
          <w:color w:val="00558C"/>
        </w:rPr>
        <w:t>A-2</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wp:posOffset>
            </wp:positionH>
            <wp:positionV relativeFrom="paragraph">
              <wp:posOffset>351790</wp:posOffset>
            </wp:positionV>
            <wp:extent cx="6810375" cy="13106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10375" cy="1310640"/>
                    </a:xfrm>
                    <a:prstGeom prst="rect">
                      <a:avLst/>
                    </a:prstGeom>
                    <a:noFill/>
                  </pic:spPr>
                </pic:pic>
              </a:graphicData>
            </a:graphic>
          </wp:anchor>
        </w:drawing>
      </w:r>
    </w:p>
    <w:p>
      <w:pPr>
        <w:sectPr>
          <w:pgSz w:w="11900" w:h="16856" w:orient="portrait"/>
          <w:cols w:equalWidth="0" w:num="1">
            <w:col w:w="9072"/>
          </w:cols>
          <w:pgMar w:left="1408" w:top="945" w:right="14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52"/>
        <w:spacing w:after="0" w:line="274" w:lineRule="auto"/>
        <w:rPr>
          <w:sz w:val="20"/>
          <w:szCs w:val="20"/>
          <w:color w:val="auto"/>
        </w:rPr>
      </w:pPr>
      <w:r>
        <w:rPr>
          <w:rFonts w:ascii="Arial" w:cs="Arial" w:eastAsia="Arial" w:hAnsi="Arial"/>
          <w:sz w:val="13"/>
          <w:szCs w:val="13"/>
          <w:b w:val="1"/>
          <w:bCs w:val="1"/>
          <w:color w:val="B2B3B6"/>
        </w:rPr>
        <w:t>General Proposal Information 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line="274" w:lineRule="auto"/>
        <w:rPr>
          <w:sz w:val="20"/>
          <w:szCs w:val="20"/>
          <w:color w:val="auto"/>
        </w:rPr>
      </w:pPr>
      <w:r>
        <w:rPr>
          <w:rFonts w:ascii="Arial" w:cs="Arial" w:eastAsia="Arial" w:hAnsi="Arial"/>
          <w:sz w:val="13"/>
          <w:szCs w:val="13"/>
          <w:b w:val="1"/>
          <w:bCs w:val="1"/>
          <w:color w:val="B2B3B6"/>
        </w:rPr>
        <w:t>Corporate Proposal Executive Governance Two 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200"/>
        <w:spacing w:after="0" w:line="274" w:lineRule="auto"/>
        <w:rPr>
          <w:sz w:val="20"/>
          <w:szCs w:val="20"/>
          <w:color w:val="auto"/>
        </w:rPr>
      </w:pPr>
      <w:r>
        <w:rPr>
          <w:rFonts w:ascii="Arial" w:cs="Arial" w:eastAsia="Arial" w:hAnsi="Arial"/>
          <w:sz w:val="13"/>
          <w:szCs w:val="13"/>
          <w:b w:val="1"/>
          <w:bCs w:val="1"/>
          <w:color w:val="B2B3B6"/>
        </w:rPr>
        <w:t xml:space="preserve">Proposal Proposal Proposal Stockholder </w:t>
      </w:r>
      <w:r>
        <w:rPr>
          <w:rFonts w:ascii="Arial" w:cs="Arial" w:eastAsia="Arial" w:hAnsi="Arial"/>
          <w:sz w:val="13"/>
          <w:szCs w:val="13"/>
          <w:b w:val="1"/>
          <w:bCs w:val="1"/>
          <w:color w:val="6AAA37"/>
        </w:rPr>
        <w:t>Other</w:t>
      </w:r>
      <w:r>
        <w:rPr>
          <w:rFonts w:ascii="Arial" w:cs="Arial" w:eastAsia="Arial" w:hAnsi="Arial"/>
          <w:sz w:val="13"/>
          <w:szCs w:val="13"/>
          <w:b w:val="1"/>
          <w:bCs w:val="1"/>
          <w:color w:val="B2B3B6"/>
        </w:rPr>
        <w:t xml:space="preserve"> Three Four Five Proposals </w:t>
      </w:r>
      <w:r>
        <w:rPr>
          <w:rFonts w:ascii="Arial" w:cs="Arial" w:eastAsia="Arial" w:hAnsi="Arial"/>
          <w:sz w:val="13"/>
          <w:szCs w:val="13"/>
          <w:b w:val="1"/>
          <w:bCs w:val="1"/>
          <w:color w:val="6AAA37"/>
        </w:rPr>
        <w:t>Matters</w:t>
      </w:r>
    </w:p>
    <w:p>
      <w:pPr>
        <w:spacing w:after="0" w:line="200" w:lineRule="exact"/>
        <w:rPr>
          <w:sz w:val="20"/>
          <w:szCs w:val="20"/>
          <w:color w:val="auto"/>
        </w:rPr>
      </w:pPr>
    </w:p>
    <w:p>
      <w:pPr>
        <w:sectPr>
          <w:pgSz w:w="11900" w:h="16856" w:orient="portrait"/>
          <w:cols w:equalWidth="0" w:num="3">
            <w:col w:w="1592" w:space="300"/>
            <w:col w:w="2700" w:space="320"/>
            <w:col w:w="4160"/>
          </w:cols>
          <w:pgMar w:left="1408" w:top="945" w:right="1419" w:bottom="0" w:gutter="0" w:footer="0" w:header="0"/>
          <w:type w:val="continuous"/>
        </w:sectPr>
      </w:pPr>
    </w:p>
    <w:p>
      <w:pPr>
        <w:spacing w:after="0" w:line="151" w:lineRule="exact"/>
        <w:rPr>
          <w:sz w:val="20"/>
          <w:szCs w:val="20"/>
          <w:color w:val="auto"/>
        </w:rPr>
      </w:pPr>
    </w:p>
    <w:p>
      <w:pPr>
        <w:ind w:left="652" w:right="220"/>
        <w:spacing w:after="0" w:line="281" w:lineRule="auto"/>
        <w:rPr>
          <w:sz w:val="20"/>
          <w:szCs w:val="20"/>
          <w:color w:val="auto"/>
        </w:rPr>
      </w:pPr>
      <w:r>
        <w:rPr>
          <w:rFonts w:ascii="Arial" w:cs="Arial" w:eastAsia="Arial" w:hAnsi="Arial"/>
          <w:sz w:val="16"/>
          <w:szCs w:val="16"/>
          <w:color w:val="auto"/>
        </w:rPr>
        <w:t>restatement related expenses; (6) accruals for reorganization and restructuring programs; (7) acquisitions or divestitures (including expenses related thereto), (8) foreign exchange gains and losses; (9) non-cash interest; and</w:t>
      </w:r>
    </w:p>
    <w:p>
      <w:pPr>
        <w:spacing w:after="0" w:line="1" w:lineRule="exact"/>
        <w:rPr>
          <w:sz w:val="20"/>
          <w:szCs w:val="20"/>
          <w:color w:val="auto"/>
        </w:rPr>
      </w:pPr>
    </w:p>
    <w:p>
      <w:pPr>
        <w:ind w:left="652" w:right="380" w:hanging="4"/>
        <w:spacing w:after="0" w:line="321" w:lineRule="auto"/>
        <w:tabs>
          <w:tab w:leader="none" w:pos="985" w:val="left"/>
        </w:tabs>
        <w:numPr>
          <w:ilvl w:val="0"/>
          <w:numId w:val="116"/>
        </w:numPr>
        <w:rPr>
          <w:rFonts w:ascii="Arial" w:cs="Arial" w:eastAsia="Arial" w:hAnsi="Arial"/>
          <w:sz w:val="16"/>
          <w:szCs w:val="16"/>
          <w:color w:val="auto"/>
        </w:rPr>
      </w:pPr>
      <w:r>
        <w:rPr>
          <w:rFonts w:ascii="Arial" w:cs="Arial" w:eastAsia="Arial" w:hAnsi="Arial"/>
          <w:sz w:val="16"/>
          <w:szCs w:val="16"/>
          <w:color w:val="auto"/>
        </w:rPr>
        <w:t>an event either not directly related to the operations of Huron or not within the reasonable control of Huron’s management. To the extent that such inclusions or exclusions affect Awards to Covered Employees which are</w:t>
      </w:r>
    </w:p>
    <w:p>
      <w:pPr>
        <w:sectPr>
          <w:pgSz w:w="11900" w:h="16856" w:orient="portrait"/>
          <w:cols w:equalWidth="0" w:num="1">
            <w:col w:w="9072"/>
          </w:cols>
          <w:pgMar w:left="1408" w:top="945" w:right="1419" w:bottom="0" w:gutter="0" w:footer="0" w:header="0"/>
          <w:type w:val="continuous"/>
        </w:sectPr>
      </w:pPr>
    </w:p>
    <w:bookmarkStart w:id="86" w:name="page87"/>
    <w:bookmarkEnd w:id="86"/>
    <w:p>
      <w:pPr>
        <w:ind w:left="620"/>
        <w:spacing w:after="0" w:line="228" w:lineRule="auto"/>
        <w:rPr>
          <w:sz w:val="20"/>
          <w:szCs w:val="20"/>
          <w:color w:val="auto"/>
        </w:rPr>
      </w:pPr>
      <w:r>
        <w:rPr>
          <w:rFonts w:ascii="Arial" w:cs="Arial" w:eastAsia="Arial" w:hAnsi="Arial"/>
          <w:sz w:val="16"/>
          <w:szCs w:val="16"/>
          <w:color w:val="auto"/>
        </w:rPr>
        <w:t>intended to qualify as “performance-based compensation” within the meaning of Section 162(m) of the Code and regulations thereunder, such adjustments shall be prescribed in a form that meets the requirements of Section 162(m)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-203835</wp:posOffset>
            </wp:positionV>
            <wp:extent cx="6810375" cy="75457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10375" cy="7545705"/>
                    </a:xfrm>
                    <a:prstGeom prst="rect">
                      <a:avLst/>
                    </a:prstGeom>
                    <a:noFill/>
                  </pic:spPr>
                </pic:pic>
              </a:graphicData>
            </a:graphic>
          </wp:anchor>
        </w:drawing>
      </w:r>
    </w:p>
    <w:p>
      <w:pPr>
        <w:ind w:left="620" w:right="80"/>
        <w:spacing w:after="0" w:line="296" w:lineRule="auto"/>
        <w:rPr>
          <w:sz w:val="20"/>
          <w:szCs w:val="20"/>
          <w:color w:val="auto"/>
        </w:rPr>
      </w:pPr>
      <w:r>
        <w:rPr>
          <w:rFonts w:ascii="Arial" w:cs="Arial" w:eastAsia="Arial" w:hAnsi="Arial"/>
          <w:sz w:val="16"/>
          <w:szCs w:val="16"/>
          <w:color w:val="auto"/>
        </w:rPr>
        <w:t>of the Code. However, notwithstanding the preceding sentence, unless the Committee determines otherwise prior to the end of the applicable time for establishing Business Criteria for an Award, to the extent any such item affects any Business Criteria applicable to an Award, then such shall be automatically excluded or included in determining the extent to which the Business Criteria has been achieved, whichever will produce the higher Award (subject to any exercise of “negative discretion” by the Committee).</w:t>
      </w:r>
    </w:p>
    <w:p>
      <w:pPr>
        <w:spacing w:after="0" w:line="94" w:lineRule="exact"/>
        <w:rPr>
          <w:sz w:val="20"/>
          <w:szCs w:val="20"/>
          <w:color w:val="auto"/>
        </w:rPr>
      </w:pPr>
    </w:p>
    <w:p>
      <w:pPr>
        <w:ind w:left="620" w:right="80" w:hanging="328"/>
        <w:spacing w:after="0" w:line="296" w:lineRule="auto"/>
        <w:tabs>
          <w:tab w:leader="none" w:pos="620" w:val="left"/>
        </w:tabs>
        <w:numPr>
          <w:ilvl w:val="0"/>
          <w:numId w:val="117"/>
        </w:numPr>
        <w:rPr>
          <w:rFonts w:ascii="Arial" w:cs="Arial" w:eastAsia="Arial" w:hAnsi="Arial"/>
          <w:sz w:val="16"/>
          <w:szCs w:val="16"/>
          <w:color w:val="auto"/>
        </w:rPr>
      </w:pPr>
      <w:r>
        <w:rPr>
          <w:rFonts w:ascii="Arial" w:cs="Arial" w:eastAsia="Arial" w:hAnsi="Arial"/>
          <w:sz w:val="16"/>
          <w:szCs w:val="16"/>
          <w:b w:val="1"/>
          <w:bCs w:val="1"/>
          <w:color w:val="auto"/>
        </w:rPr>
        <w:t xml:space="preserve">“Cash Incentive Award” </w:t>
      </w:r>
      <w:r>
        <w:rPr>
          <w:rFonts w:ascii="Arial" w:cs="Arial" w:eastAsia="Arial" w:hAnsi="Arial"/>
          <w:sz w:val="16"/>
          <w:szCs w:val="16"/>
          <w:color w:val="auto"/>
        </w:rPr>
        <w:t>shall mean the grant of a right to receive a payment of cash (or, in the discretion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 shares of Common Stock having value equivalent to the cash otherwise payable) that is contingent on achievement of performance objectives or other conditions over a specified period established by the Committee. The grant of Cash Incentive Awards may also be subject to such other conditions, restrictions, and contingencies, as determined by the Committee, including provisions relating to deferred payment.</w:t>
      </w:r>
    </w:p>
    <w:p>
      <w:pPr>
        <w:spacing w:after="0" w:line="107" w:lineRule="exact"/>
        <w:rPr>
          <w:rFonts w:ascii="Arial" w:cs="Arial" w:eastAsia="Arial" w:hAnsi="Arial"/>
          <w:sz w:val="16"/>
          <w:szCs w:val="16"/>
          <w:color w:val="auto"/>
        </w:rPr>
      </w:pPr>
    </w:p>
    <w:p>
      <w:pPr>
        <w:ind w:left="620" w:hanging="328"/>
        <w:spacing w:after="0" w:line="289" w:lineRule="auto"/>
        <w:tabs>
          <w:tab w:leader="none" w:pos="620" w:val="left"/>
        </w:tabs>
        <w:numPr>
          <w:ilvl w:val="0"/>
          <w:numId w:val="117"/>
        </w:numPr>
        <w:rPr>
          <w:rFonts w:ascii="Arial" w:cs="Arial" w:eastAsia="Arial" w:hAnsi="Arial"/>
          <w:sz w:val="16"/>
          <w:szCs w:val="16"/>
          <w:color w:val="auto"/>
        </w:rPr>
      </w:pPr>
      <w:r>
        <w:rPr>
          <w:rFonts w:ascii="Arial" w:cs="Arial" w:eastAsia="Arial" w:hAnsi="Arial"/>
          <w:sz w:val="16"/>
          <w:szCs w:val="16"/>
          <w:b w:val="1"/>
          <w:bCs w:val="1"/>
          <w:color w:val="auto"/>
        </w:rPr>
        <w:t xml:space="preserve">“Cause” </w:t>
      </w:r>
      <w:r>
        <w:rPr>
          <w:rFonts w:ascii="Arial" w:cs="Arial" w:eastAsia="Arial" w:hAnsi="Arial"/>
          <w:sz w:val="16"/>
          <w:szCs w:val="16"/>
          <w:color w:val="auto"/>
        </w:rPr>
        <w:t>shall mean, unless otherwise defined in a Participant’s Agreement or an Alternative Agreement, any of the</w:t>
      </w:r>
      <w:r>
        <w:rPr>
          <w:rFonts w:ascii="Arial" w:cs="Arial" w:eastAsia="Arial" w:hAnsi="Arial"/>
          <w:sz w:val="16"/>
          <w:szCs w:val="16"/>
          <w:b w:val="1"/>
          <w:bCs w:val="1"/>
          <w:color w:val="auto"/>
        </w:rPr>
        <w:t xml:space="preserve"> </w:t>
      </w:r>
      <w:r>
        <w:rPr>
          <w:rFonts w:ascii="Arial" w:cs="Arial" w:eastAsia="Arial" w:hAnsi="Arial"/>
          <w:sz w:val="16"/>
          <w:szCs w:val="16"/>
          <w:color w:val="auto"/>
        </w:rPr>
        <w:t>following actions or failures by the Participant, as determined in the reasonable judgment of Huron: (i) engaging in conduct that violates written policies of Huron or any Affiliate; (ii) failure to perform the essential functions of his or her job (except for a failure resulting from a bona fide illness or incapacity); (iii) failure to carry out the reasonable directions of Huron or any Affiliate, issued through Huron’s Chief Executive Officer, the Board of Directors, other appropriate senior employee responsible for the Participant’s business unit or area, the Participant’s supervisor, or the person to whom the Participant reports; (iv) embezzlement, misappropriation of corporate funds, any act of fraud, dishonesty or self-dealing, or the commission of a felony or any significant violation of any statutory or common law duty of loyalty to Huron or any Affiliate; an act or omission that could adversely and materially affect the business or reputation of Huron or any Affiliate or involves moral turpitude; or (vi) a breach of a material provision of this Plan, the Agreement evidencing an Award or an Alternate Agreement.</w:t>
      </w:r>
    </w:p>
    <w:p>
      <w:pPr>
        <w:spacing w:after="0" w:line="114" w:lineRule="exact"/>
        <w:rPr>
          <w:rFonts w:ascii="Arial" w:cs="Arial" w:eastAsia="Arial" w:hAnsi="Arial"/>
          <w:sz w:val="16"/>
          <w:szCs w:val="16"/>
          <w:color w:val="auto"/>
        </w:rPr>
      </w:pPr>
    </w:p>
    <w:p>
      <w:pPr>
        <w:ind w:left="620" w:hanging="328"/>
        <w:spacing w:after="0"/>
        <w:tabs>
          <w:tab w:leader="none" w:pos="620" w:val="left"/>
        </w:tabs>
        <w:numPr>
          <w:ilvl w:val="0"/>
          <w:numId w:val="117"/>
        </w:numPr>
        <w:rPr>
          <w:rFonts w:ascii="Arial" w:cs="Arial" w:eastAsia="Arial" w:hAnsi="Arial"/>
          <w:sz w:val="16"/>
          <w:szCs w:val="16"/>
          <w:color w:val="auto"/>
        </w:rPr>
      </w:pPr>
      <w:r>
        <w:rPr>
          <w:rFonts w:ascii="Arial" w:cs="Arial" w:eastAsia="Arial" w:hAnsi="Arial"/>
          <w:sz w:val="16"/>
          <w:szCs w:val="16"/>
          <w:b w:val="1"/>
          <w:bCs w:val="1"/>
          <w:color w:val="auto"/>
        </w:rPr>
        <w:t xml:space="preserve">“Change of Control” </w:t>
      </w:r>
      <w:r>
        <w:rPr>
          <w:rFonts w:ascii="Arial" w:cs="Arial" w:eastAsia="Arial" w:hAnsi="Arial"/>
          <w:sz w:val="16"/>
          <w:szCs w:val="16"/>
          <w:color w:val="auto"/>
        </w:rPr>
        <w:t>shall mean the first to occur of the following events:</w:t>
      </w:r>
    </w:p>
    <w:p>
      <w:pPr>
        <w:spacing w:after="0" w:line="180" w:lineRule="exact"/>
        <w:rPr>
          <w:rFonts w:ascii="Arial" w:cs="Arial" w:eastAsia="Arial" w:hAnsi="Arial"/>
          <w:sz w:val="16"/>
          <w:szCs w:val="16"/>
          <w:color w:val="auto"/>
        </w:rPr>
      </w:pPr>
    </w:p>
    <w:p>
      <w:pPr>
        <w:ind w:left="1260" w:right="260" w:hanging="464"/>
        <w:spacing w:after="0" w:line="295" w:lineRule="auto"/>
        <w:tabs>
          <w:tab w:leader="none" w:pos="1260" w:val="left"/>
        </w:tabs>
        <w:numPr>
          <w:ilvl w:val="1"/>
          <w:numId w:val="117"/>
        </w:numPr>
        <w:rPr>
          <w:rFonts w:ascii="Arial" w:cs="Arial" w:eastAsia="Arial" w:hAnsi="Arial"/>
          <w:sz w:val="16"/>
          <w:szCs w:val="16"/>
          <w:color w:val="auto"/>
        </w:rPr>
      </w:pPr>
      <w:r>
        <w:rPr>
          <w:rFonts w:ascii="Arial" w:cs="Arial" w:eastAsia="Arial" w:hAnsi="Arial"/>
          <w:sz w:val="16"/>
          <w:szCs w:val="16"/>
          <w:color w:val="auto"/>
        </w:rPr>
        <w:t>any Person becomes the Beneficial Owner, directly or indirectly, of Common Stock or voting securities of Huron (not including in the amounts beneficially owned by such Person any Common Stock or voting securities acquired directly from Huron or the Affiliates) representing 40% or more of the combined voting power of Huron’s then outstanding securities;</w:t>
      </w:r>
    </w:p>
    <w:p>
      <w:pPr>
        <w:spacing w:after="0" w:line="107" w:lineRule="exact"/>
        <w:rPr>
          <w:rFonts w:ascii="Arial" w:cs="Arial" w:eastAsia="Arial" w:hAnsi="Arial"/>
          <w:sz w:val="16"/>
          <w:szCs w:val="16"/>
          <w:color w:val="auto"/>
        </w:rPr>
      </w:pPr>
    </w:p>
    <w:p>
      <w:pPr>
        <w:ind w:left="1260" w:right="60" w:hanging="499"/>
        <w:spacing w:after="0" w:line="290" w:lineRule="auto"/>
        <w:tabs>
          <w:tab w:leader="none" w:pos="1260" w:val="left"/>
        </w:tabs>
        <w:numPr>
          <w:ilvl w:val="1"/>
          <w:numId w:val="117"/>
        </w:numPr>
        <w:rPr>
          <w:rFonts w:ascii="Arial" w:cs="Arial" w:eastAsia="Arial" w:hAnsi="Arial"/>
          <w:sz w:val="16"/>
          <w:szCs w:val="16"/>
          <w:color w:val="auto"/>
        </w:rPr>
      </w:pPr>
      <w:r>
        <w:rPr>
          <w:rFonts w:ascii="Arial" w:cs="Arial" w:eastAsia="Arial" w:hAnsi="Arial"/>
          <w:sz w:val="16"/>
          <w:szCs w:val="16"/>
          <w:color w:val="auto"/>
        </w:rPr>
        <w:t>there is consummated a merger or consolidation of Huron or any direct or indirect subsidiary of Huron with any Person, other than (A) a merger or consolidation which would result in the voting securities of Huron outstanding immediately prior to such merger or consolidation continuing to represent (either by remaining outstanding or by being converted into voting securities of the surviving entity or any parent thereof) at least 50% of the combined voting power of the securities of Huron or such surviving entity or any parent thereof outstanding immediately after such merger or consolidation; (B) a merger or consolidation effected to implement a recapitalization of Huron (or similar transaction) in which no Person other than existing security holders is or becomes the Beneficial Owner, directly or indirectly, of securities of Huron (not including in the amount Beneficially Owned by such Person any Common Stock or voting securities acquired directly from Huron or any Affiliate) representing 50% or more of the combined voting power of Huron’s then outstanding securities; or (C) a merger or consolidation of a subsidiary of Huron that does not represent a sale of all or substantially all of the assets of Huron;</w:t>
      </w:r>
    </w:p>
    <w:p>
      <w:pPr>
        <w:spacing w:after="0" w:line="99" w:lineRule="exact"/>
        <w:rPr>
          <w:rFonts w:ascii="Arial" w:cs="Arial" w:eastAsia="Arial" w:hAnsi="Arial"/>
          <w:sz w:val="16"/>
          <w:szCs w:val="16"/>
          <w:color w:val="auto"/>
        </w:rPr>
      </w:pPr>
    </w:p>
    <w:p>
      <w:pPr>
        <w:ind w:left="1260" w:right="20" w:hanging="535"/>
        <w:spacing w:after="0" w:line="310" w:lineRule="auto"/>
        <w:tabs>
          <w:tab w:leader="none" w:pos="1260" w:val="left"/>
        </w:tabs>
        <w:numPr>
          <w:ilvl w:val="1"/>
          <w:numId w:val="117"/>
        </w:numPr>
        <w:rPr>
          <w:rFonts w:ascii="Arial" w:cs="Arial" w:eastAsia="Arial" w:hAnsi="Arial"/>
          <w:sz w:val="16"/>
          <w:szCs w:val="16"/>
          <w:color w:val="auto"/>
        </w:rPr>
      </w:pPr>
      <w:r>
        <w:rPr>
          <w:rFonts w:ascii="Arial" w:cs="Arial" w:eastAsia="Arial" w:hAnsi="Arial"/>
          <w:sz w:val="16"/>
          <w:szCs w:val="16"/>
          <w:color w:val="auto"/>
        </w:rPr>
        <w:t>the stockholders of Huron approve a plan of complete liquidation or dissolution of Huron (except for a plan of liquidation or dissolution effected to implement a recapitalization of Huron addressed in paragraph (ii) above); or</w:t>
      </w:r>
    </w:p>
    <w:p>
      <w:pPr>
        <w:spacing w:after="0" w:line="97" w:lineRule="exact"/>
        <w:rPr>
          <w:rFonts w:ascii="Arial" w:cs="Arial" w:eastAsia="Arial" w:hAnsi="Arial"/>
          <w:sz w:val="16"/>
          <w:szCs w:val="16"/>
          <w:color w:val="auto"/>
        </w:rPr>
      </w:pPr>
    </w:p>
    <w:p>
      <w:pPr>
        <w:ind w:left="1260" w:right="120" w:hanging="545"/>
        <w:spacing w:after="0" w:line="321" w:lineRule="auto"/>
        <w:tabs>
          <w:tab w:leader="none" w:pos="1260" w:val="left"/>
        </w:tabs>
        <w:numPr>
          <w:ilvl w:val="1"/>
          <w:numId w:val="117"/>
        </w:numPr>
        <w:rPr>
          <w:rFonts w:ascii="Arial" w:cs="Arial" w:eastAsia="Arial" w:hAnsi="Arial"/>
          <w:sz w:val="16"/>
          <w:szCs w:val="16"/>
          <w:color w:val="auto"/>
        </w:rPr>
      </w:pPr>
      <w:r>
        <w:rPr>
          <w:rFonts w:ascii="Arial" w:cs="Arial" w:eastAsia="Arial" w:hAnsi="Arial"/>
          <w:sz w:val="16"/>
          <w:szCs w:val="16"/>
          <w:color w:val="auto"/>
        </w:rPr>
        <w:t>there is consummated an agreement for the sale or disposition of all or substantially all of the assets of Huron to a Person, other than a sale or disposition by Huron of all or substantially all of the assets of Huron</w:t>
      </w:r>
    </w:p>
    <w:p>
      <w:pPr>
        <w:spacing w:after="0" w:line="200" w:lineRule="exact"/>
        <w:rPr>
          <w:sz w:val="20"/>
          <w:szCs w:val="20"/>
          <w:color w:val="auto"/>
        </w:rPr>
      </w:pPr>
    </w:p>
    <w:p>
      <w:pPr>
        <w:spacing w:after="0" w:line="316" w:lineRule="exact"/>
        <w:rPr>
          <w:sz w:val="20"/>
          <w:szCs w:val="20"/>
          <w:color w:val="auto"/>
        </w:rPr>
      </w:pPr>
    </w:p>
    <w:p>
      <w:pPr>
        <w:ind w:left="20"/>
        <w:spacing w:after="0"/>
        <w:tabs>
          <w:tab w:leader="none" w:pos="4380" w:val="left"/>
          <w:tab w:leader="none" w:pos="772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13"/>
          <w:szCs w:val="13"/>
          <w:b w:val="1"/>
          <w:bCs w:val="1"/>
          <w:color w:val="00558C"/>
        </w:rPr>
        <w:t>A-3</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351790</wp:posOffset>
            </wp:positionV>
            <wp:extent cx="6810375" cy="288798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10375" cy="2887980"/>
                    </a:xfrm>
                    <a:prstGeom prst="rect">
                      <a:avLst/>
                    </a:prstGeom>
                    <a:noFill/>
                  </pic:spPr>
                </pic:pic>
              </a:graphicData>
            </a:graphic>
          </wp:anchor>
        </w:drawing>
      </w:r>
    </w:p>
    <w:p>
      <w:pPr>
        <w:sectPr>
          <w:pgSz w:w="11900" w:h="16838" w:orient="portrait"/>
          <w:cols w:equalWidth="0" w:num="1">
            <w:col w:w="9040"/>
          </w:cols>
          <w:pgMar w:left="1440" w:top="111" w:right="14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20"/>
        <w:spacing w:after="0" w:line="274" w:lineRule="auto"/>
        <w:rPr>
          <w:sz w:val="20"/>
          <w:szCs w:val="20"/>
          <w:color w:val="auto"/>
        </w:rPr>
      </w:pPr>
      <w:r>
        <w:rPr>
          <w:rFonts w:ascii="Arial" w:cs="Arial" w:eastAsia="Arial" w:hAnsi="Arial"/>
          <w:sz w:val="13"/>
          <w:szCs w:val="13"/>
          <w:b w:val="1"/>
          <w:bCs w:val="1"/>
          <w:color w:val="B2B3B6"/>
        </w:rPr>
        <w:t>General Proposal Information 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line="274" w:lineRule="auto"/>
        <w:rPr>
          <w:sz w:val="20"/>
          <w:szCs w:val="20"/>
          <w:color w:val="auto"/>
        </w:rPr>
      </w:pPr>
      <w:r>
        <w:rPr>
          <w:rFonts w:ascii="Arial" w:cs="Arial" w:eastAsia="Arial" w:hAnsi="Arial"/>
          <w:sz w:val="13"/>
          <w:szCs w:val="13"/>
          <w:b w:val="1"/>
          <w:bCs w:val="1"/>
          <w:color w:val="B2B3B6"/>
        </w:rPr>
        <w:t>Corporate Proposal Executive Governance Two 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200"/>
        <w:spacing w:after="0" w:line="274" w:lineRule="auto"/>
        <w:rPr>
          <w:sz w:val="20"/>
          <w:szCs w:val="20"/>
          <w:color w:val="auto"/>
        </w:rPr>
      </w:pPr>
      <w:r>
        <w:rPr>
          <w:rFonts w:ascii="Arial" w:cs="Arial" w:eastAsia="Arial" w:hAnsi="Arial"/>
          <w:sz w:val="13"/>
          <w:szCs w:val="13"/>
          <w:b w:val="1"/>
          <w:bCs w:val="1"/>
          <w:color w:val="B2B3B6"/>
        </w:rPr>
        <w:t xml:space="preserve">Proposal Proposal Proposal Stockholder </w:t>
      </w:r>
      <w:r>
        <w:rPr>
          <w:rFonts w:ascii="Arial" w:cs="Arial" w:eastAsia="Arial" w:hAnsi="Arial"/>
          <w:sz w:val="13"/>
          <w:szCs w:val="13"/>
          <w:b w:val="1"/>
          <w:bCs w:val="1"/>
          <w:color w:val="6AAA37"/>
        </w:rPr>
        <w:t>Other</w:t>
      </w:r>
      <w:r>
        <w:rPr>
          <w:rFonts w:ascii="Arial" w:cs="Arial" w:eastAsia="Arial" w:hAnsi="Arial"/>
          <w:sz w:val="13"/>
          <w:szCs w:val="13"/>
          <w:b w:val="1"/>
          <w:bCs w:val="1"/>
          <w:color w:val="B2B3B6"/>
        </w:rPr>
        <w:t xml:space="preserve"> Three Four Five Proposals </w:t>
      </w:r>
      <w:r>
        <w:rPr>
          <w:rFonts w:ascii="Arial" w:cs="Arial" w:eastAsia="Arial" w:hAnsi="Arial"/>
          <w:sz w:val="13"/>
          <w:szCs w:val="13"/>
          <w:b w:val="1"/>
          <w:bCs w:val="1"/>
          <w:color w:val="6AAA37"/>
        </w:rPr>
        <w:t>Matters</w:t>
      </w:r>
    </w:p>
    <w:p>
      <w:pPr>
        <w:spacing w:after="0" w:line="200" w:lineRule="exact"/>
        <w:rPr>
          <w:sz w:val="20"/>
          <w:szCs w:val="20"/>
          <w:color w:val="auto"/>
        </w:rPr>
      </w:pPr>
    </w:p>
    <w:p>
      <w:pPr>
        <w:sectPr>
          <w:pgSz w:w="11900" w:h="16838" w:orient="portrait"/>
          <w:cols w:equalWidth="0" w:num="3">
            <w:col w:w="1560" w:space="300"/>
            <w:col w:w="2700" w:space="320"/>
            <w:col w:w="4160"/>
          </w:cols>
          <w:pgMar w:left="1440" w:top="111" w:right="1419" w:bottom="0" w:gutter="0" w:footer="0" w:header="0"/>
          <w:type w:val="continuous"/>
        </w:sectPr>
      </w:pPr>
    </w:p>
    <w:p>
      <w:pPr>
        <w:spacing w:after="0" w:line="151" w:lineRule="exact"/>
        <w:rPr>
          <w:sz w:val="20"/>
          <w:szCs w:val="20"/>
          <w:color w:val="auto"/>
        </w:rPr>
      </w:pPr>
    </w:p>
    <w:p>
      <w:pPr>
        <w:ind w:left="1260" w:right="540"/>
        <w:spacing w:after="0" w:line="321" w:lineRule="auto"/>
        <w:rPr>
          <w:sz w:val="20"/>
          <w:szCs w:val="20"/>
          <w:color w:val="auto"/>
        </w:rPr>
      </w:pPr>
      <w:r>
        <w:rPr>
          <w:rFonts w:ascii="Arial" w:cs="Arial" w:eastAsia="Arial" w:hAnsi="Arial"/>
          <w:sz w:val="16"/>
          <w:szCs w:val="16"/>
          <w:color w:val="auto"/>
        </w:rPr>
        <w:t>to an entity, at least 50% of the combined voting power of the voting securities of which are owned by stockholders of Huron.</w:t>
      </w:r>
    </w:p>
    <w:p>
      <w:pPr>
        <w:spacing w:after="0" w:line="88" w:lineRule="exact"/>
        <w:rPr>
          <w:sz w:val="20"/>
          <w:szCs w:val="20"/>
          <w:color w:val="auto"/>
        </w:rPr>
      </w:pPr>
    </w:p>
    <w:p>
      <w:pPr>
        <w:ind w:left="620" w:right="120"/>
        <w:spacing w:after="0" w:line="291" w:lineRule="auto"/>
        <w:rPr>
          <w:sz w:val="20"/>
          <w:szCs w:val="20"/>
          <w:color w:val="auto"/>
        </w:rPr>
      </w:pPr>
      <w:r>
        <w:rPr>
          <w:rFonts w:ascii="Arial" w:cs="Arial" w:eastAsia="Arial" w:hAnsi="Arial"/>
          <w:sz w:val="16"/>
          <w:szCs w:val="16"/>
          <w:color w:val="auto"/>
        </w:rPr>
        <w:t>Notwithstanding the foregoing, a “Change of Control” shall not be deemed to have occurred by virtue of the consummation of any transaction or series of integrated transactions immediately following which the record holders of the Common Stock of Huron immediately prior to such transaction or series of transactions continue to have substantially the same proportionate ownership in an entity which owns all or substantially all of the assets of Huron immediately following such transaction or series of transactions.</w:t>
      </w:r>
    </w:p>
    <w:p>
      <w:pPr>
        <w:spacing w:after="0" w:line="113" w:lineRule="exact"/>
        <w:rPr>
          <w:sz w:val="20"/>
          <w:szCs w:val="20"/>
          <w:color w:val="auto"/>
        </w:rPr>
      </w:pPr>
    </w:p>
    <w:p>
      <w:pPr>
        <w:ind w:left="620"/>
        <w:spacing w:after="0"/>
        <w:rPr>
          <w:sz w:val="20"/>
          <w:szCs w:val="20"/>
          <w:color w:val="auto"/>
        </w:rPr>
      </w:pPr>
      <w:r>
        <w:rPr>
          <w:rFonts w:ascii="Arial" w:cs="Arial" w:eastAsia="Arial" w:hAnsi="Arial"/>
          <w:sz w:val="16"/>
          <w:szCs w:val="16"/>
          <w:color w:val="auto"/>
        </w:rPr>
        <w:t>For purposes of this Change of Control definition, (I) “Beneficial Owner” shall have the meaning set forth in Rule</w:t>
      </w:r>
    </w:p>
    <w:p>
      <w:pPr>
        <w:spacing w:after="0" w:line="46" w:lineRule="exact"/>
        <w:rPr>
          <w:sz w:val="20"/>
          <w:szCs w:val="20"/>
          <w:color w:val="auto"/>
        </w:rPr>
      </w:pPr>
    </w:p>
    <w:p>
      <w:pPr>
        <w:ind w:left="620" w:right="100"/>
        <w:spacing w:after="0" w:line="293" w:lineRule="auto"/>
        <w:rPr>
          <w:sz w:val="20"/>
          <w:szCs w:val="20"/>
          <w:color w:val="auto"/>
        </w:rPr>
      </w:pPr>
      <w:r>
        <w:rPr>
          <w:rFonts w:ascii="Arial" w:cs="Arial" w:eastAsia="Arial" w:hAnsi="Arial"/>
          <w:sz w:val="16"/>
          <w:szCs w:val="16"/>
          <w:color w:val="auto"/>
        </w:rPr>
        <w:t>13d-3 under the Exchange Act; (II) “Person” shall have the meaning given in Section 3(a)(9) of the Exchange Act, as modified and used in Sections 13(d) and 14(d) thereof, except that such term shall not include (w) Huron or any of Huron’s direct or indirect subsidiaries; (x) a trustee or other fiduciary holding securities under an employee benefit plan of Huron or any of the Affiliates; (y) an underwriter temporarily holding securities pursuant to an offering of such securities; or (z) a corporation owned, directly or indirectly, by the stockholders of Huron in substantially the same proportions as their ownership of stock of Huron; and (III) “Affiliate” shall have the meaning set forth in Rule 12b-2</w:t>
      </w:r>
    </w:p>
    <w:p>
      <w:pPr>
        <w:sectPr>
          <w:pgSz w:w="11900" w:h="16838" w:orient="portrait"/>
          <w:cols w:equalWidth="0" w:num="1">
            <w:col w:w="9040"/>
          </w:cols>
          <w:pgMar w:left="1440" w:top="111" w:right="1419" w:bottom="0" w:gutter="0" w:footer="0" w:header="0"/>
          <w:type w:val="continuous"/>
        </w:sectPr>
      </w:pPr>
    </w:p>
    <w:bookmarkStart w:id="87" w:name="page88"/>
    <w:bookmarkEnd w:id="87"/>
    <w:p>
      <w:pPr>
        <w:ind w:left="620"/>
        <w:spacing w:after="0"/>
        <w:rPr>
          <w:sz w:val="20"/>
          <w:szCs w:val="20"/>
          <w:color w:val="auto"/>
        </w:rPr>
      </w:pPr>
      <w:r>
        <w:rPr>
          <w:rFonts w:ascii="Arial" w:cs="Arial" w:eastAsia="Arial" w:hAnsi="Arial"/>
          <w:sz w:val="16"/>
          <w:szCs w:val="16"/>
          <w:color w:val="auto"/>
        </w:rPr>
        <w:t>promulgated under Section 12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-98425</wp:posOffset>
            </wp:positionV>
            <wp:extent cx="6810375" cy="596836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10375" cy="5968365"/>
                    </a:xfrm>
                    <a:prstGeom prst="rect">
                      <a:avLst/>
                    </a:prstGeom>
                    <a:noFill/>
                  </pic:spPr>
                </pic:pic>
              </a:graphicData>
            </a:graphic>
          </wp:anchor>
        </w:drawing>
      </w:r>
    </w:p>
    <w:p>
      <w:pPr>
        <w:spacing w:after="0" w:line="66" w:lineRule="exact"/>
        <w:rPr>
          <w:sz w:val="20"/>
          <w:szCs w:val="20"/>
          <w:color w:val="auto"/>
        </w:rPr>
      </w:pPr>
    </w:p>
    <w:p>
      <w:pPr>
        <w:ind w:left="620" w:right="720" w:hanging="328"/>
        <w:spacing w:after="0" w:line="321" w:lineRule="auto"/>
        <w:tabs>
          <w:tab w:leader="none" w:pos="620" w:val="left"/>
        </w:tabs>
        <w:numPr>
          <w:ilvl w:val="0"/>
          <w:numId w:val="118"/>
        </w:numPr>
        <w:rPr>
          <w:rFonts w:ascii="Arial" w:cs="Arial" w:eastAsia="Arial" w:hAnsi="Arial"/>
          <w:sz w:val="16"/>
          <w:szCs w:val="16"/>
          <w:color w:val="auto"/>
        </w:rPr>
      </w:pPr>
      <w:r>
        <w:rPr>
          <w:rFonts w:ascii="Arial" w:cs="Arial" w:eastAsia="Arial" w:hAnsi="Arial"/>
          <w:sz w:val="16"/>
          <w:szCs w:val="16"/>
          <w:b w:val="1"/>
          <w:bCs w:val="1"/>
          <w:color w:val="auto"/>
        </w:rPr>
        <w:t xml:space="preserve">“Code” </w:t>
      </w:r>
      <w:r>
        <w:rPr>
          <w:rFonts w:ascii="Arial" w:cs="Arial" w:eastAsia="Arial" w:hAnsi="Arial"/>
          <w:sz w:val="16"/>
          <w:szCs w:val="16"/>
          <w:color w:val="auto"/>
        </w:rPr>
        <w:t>shall mean the Internal Revenue Code of 1986, as amended from time to time, and any regulations</w:t>
      </w:r>
      <w:r>
        <w:rPr>
          <w:rFonts w:ascii="Arial" w:cs="Arial" w:eastAsia="Arial" w:hAnsi="Arial"/>
          <w:sz w:val="16"/>
          <w:szCs w:val="16"/>
          <w:b w:val="1"/>
          <w:bCs w:val="1"/>
          <w:color w:val="auto"/>
        </w:rPr>
        <w:t xml:space="preserve"> </w:t>
      </w:r>
      <w:r>
        <w:rPr>
          <w:rFonts w:ascii="Arial" w:cs="Arial" w:eastAsia="Arial" w:hAnsi="Arial"/>
          <w:sz w:val="16"/>
          <w:szCs w:val="16"/>
          <w:color w:val="auto"/>
        </w:rPr>
        <w:t>promulgated thereunder.</w:t>
      </w:r>
    </w:p>
    <w:p>
      <w:pPr>
        <w:spacing w:after="0" w:line="88" w:lineRule="exact"/>
        <w:rPr>
          <w:rFonts w:ascii="Arial" w:cs="Arial" w:eastAsia="Arial" w:hAnsi="Arial"/>
          <w:sz w:val="16"/>
          <w:szCs w:val="16"/>
          <w:color w:val="auto"/>
        </w:rPr>
      </w:pPr>
    </w:p>
    <w:p>
      <w:pPr>
        <w:ind w:left="620" w:right="340" w:hanging="328"/>
        <w:spacing w:after="0" w:line="295" w:lineRule="auto"/>
        <w:tabs>
          <w:tab w:leader="none" w:pos="620" w:val="left"/>
        </w:tabs>
        <w:numPr>
          <w:ilvl w:val="0"/>
          <w:numId w:val="118"/>
        </w:numPr>
        <w:rPr>
          <w:rFonts w:ascii="Arial" w:cs="Arial" w:eastAsia="Arial" w:hAnsi="Arial"/>
          <w:sz w:val="16"/>
          <w:szCs w:val="16"/>
          <w:color w:val="auto"/>
        </w:rPr>
      </w:pPr>
      <w:r>
        <w:rPr>
          <w:rFonts w:ascii="Arial" w:cs="Arial" w:eastAsia="Arial" w:hAnsi="Arial"/>
          <w:sz w:val="16"/>
          <w:szCs w:val="16"/>
          <w:b w:val="1"/>
          <w:bCs w:val="1"/>
          <w:color w:val="auto"/>
        </w:rPr>
        <w:t xml:space="preserve">“Committee” </w:t>
      </w:r>
      <w:r>
        <w:rPr>
          <w:rFonts w:ascii="Arial" w:cs="Arial" w:eastAsia="Arial" w:hAnsi="Arial"/>
          <w:sz w:val="16"/>
          <w:szCs w:val="16"/>
          <w:color w:val="auto"/>
        </w:rPr>
        <w:t>shall mean a committee of the Board of Directors consisting of two or more persons each of whom</w:t>
      </w:r>
      <w:r>
        <w:rPr>
          <w:rFonts w:ascii="Arial" w:cs="Arial" w:eastAsia="Arial" w:hAnsi="Arial"/>
          <w:sz w:val="16"/>
          <w:szCs w:val="16"/>
          <w:b w:val="1"/>
          <w:bCs w:val="1"/>
          <w:color w:val="auto"/>
        </w:rPr>
        <w:t xml:space="preserve"> </w:t>
      </w:r>
      <w:r>
        <w:rPr>
          <w:rFonts w:ascii="Arial" w:cs="Arial" w:eastAsia="Arial" w:hAnsi="Arial"/>
          <w:sz w:val="16"/>
          <w:szCs w:val="16"/>
          <w:color w:val="auto"/>
        </w:rPr>
        <w:t>shall qualify as an “outside director” within the meaning of Section 162(m) of the Code, a “nonemployee director” within the meaning of Rule 16b-3 promulgated under the Exchange Act, as amended from time to time, and an “independent director” within the meaning of the NASD Rule 4350(c)(1).</w:t>
      </w:r>
    </w:p>
    <w:p>
      <w:pPr>
        <w:spacing w:after="0" w:line="107" w:lineRule="exact"/>
        <w:rPr>
          <w:rFonts w:ascii="Arial" w:cs="Arial" w:eastAsia="Arial" w:hAnsi="Arial"/>
          <w:sz w:val="16"/>
          <w:szCs w:val="16"/>
          <w:color w:val="auto"/>
        </w:rPr>
      </w:pPr>
    </w:p>
    <w:p>
      <w:pPr>
        <w:ind w:left="620" w:hanging="328"/>
        <w:spacing w:after="0"/>
        <w:tabs>
          <w:tab w:leader="none" w:pos="620" w:val="left"/>
        </w:tabs>
        <w:numPr>
          <w:ilvl w:val="0"/>
          <w:numId w:val="118"/>
        </w:numPr>
        <w:rPr>
          <w:rFonts w:ascii="Arial" w:cs="Arial" w:eastAsia="Arial" w:hAnsi="Arial"/>
          <w:sz w:val="16"/>
          <w:szCs w:val="16"/>
          <w:color w:val="auto"/>
        </w:rPr>
      </w:pPr>
      <w:r>
        <w:rPr>
          <w:rFonts w:ascii="Arial" w:cs="Arial" w:eastAsia="Arial" w:hAnsi="Arial"/>
          <w:sz w:val="16"/>
          <w:szCs w:val="16"/>
          <w:b w:val="1"/>
          <w:bCs w:val="1"/>
          <w:color w:val="auto"/>
        </w:rPr>
        <w:t xml:space="preserve">“Common Stock” </w:t>
      </w:r>
      <w:r>
        <w:rPr>
          <w:rFonts w:ascii="Arial" w:cs="Arial" w:eastAsia="Arial" w:hAnsi="Arial"/>
          <w:sz w:val="16"/>
          <w:szCs w:val="16"/>
          <w:color w:val="auto"/>
        </w:rPr>
        <w:t>shall mean the common stock of Huron, par value $.01 per share.</w:t>
      </w:r>
    </w:p>
    <w:p>
      <w:pPr>
        <w:spacing w:after="0" w:line="180" w:lineRule="exact"/>
        <w:rPr>
          <w:rFonts w:ascii="Arial" w:cs="Arial" w:eastAsia="Arial" w:hAnsi="Arial"/>
          <w:sz w:val="16"/>
          <w:szCs w:val="16"/>
          <w:color w:val="auto"/>
        </w:rPr>
      </w:pPr>
    </w:p>
    <w:p>
      <w:pPr>
        <w:ind w:left="620" w:hanging="328"/>
        <w:spacing w:after="0"/>
        <w:tabs>
          <w:tab w:leader="none" w:pos="620" w:val="left"/>
        </w:tabs>
        <w:numPr>
          <w:ilvl w:val="0"/>
          <w:numId w:val="118"/>
        </w:numPr>
        <w:rPr>
          <w:rFonts w:ascii="Arial" w:cs="Arial" w:eastAsia="Arial" w:hAnsi="Arial"/>
          <w:sz w:val="16"/>
          <w:szCs w:val="16"/>
          <w:color w:val="auto"/>
        </w:rPr>
      </w:pPr>
      <w:r>
        <w:rPr>
          <w:rFonts w:ascii="Arial" w:cs="Arial" w:eastAsia="Arial" w:hAnsi="Arial"/>
          <w:sz w:val="16"/>
          <w:szCs w:val="16"/>
          <w:b w:val="1"/>
          <w:bCs w:val="1"/>
          <w:color w:val="auto"/>
        </w:rPr>
        <w:t xml:space="preserve">“Covered Employee” </w:t>
      </w:r>
      <w:r>
        <w:rPr>
          <w:rFonts w:ascii="Arial" w:cs="Arial" w:eastAsia="Arial" w:hAnsi="Arial"/>
          <w:sz w:val="16"/>
          <w:szCs w:val="16"/>
          <w:color w:val="auto"/>
        </w:rPr>
        <w:t>shall have the meaning set forth in Section 162(m) of the Code.</w:t>
      </w:r>
    </w:p>
    <w:p>
      <w:pPr>
        <w:spacing w:after="0" w:line="180" w:lineRule="exact"/>
        <w:rPr>
          <w:rFonts w:ascii="Arial" w:cs="Arial" w:eastAsia="Arial" w:hAnsi="Arial"/>
          <w:sz w:val="16"/>
          <w:szCs w:val="16"/>
          <w:color w:val="auto"/>
        </w:rPr>
      </w:pPr>
    </w:p>
    <w:p>
      <w:pPr>
        <w:ind w:left="620" w:hanging="328"/>
        <w:spacing w:after="0"/>
        <w:tabs>
          <w:tab w:leader="none" w:pos="620" w:val="left"/>
        </w:tabs>
        <w:numPr>
          <w:ilvl w:val="0"/>
          <w:numId w:val="118"/>
        </w:numPr>
        <w:rPr>
          <w:rFonts w:ascii="Arial" w:cs="Arial" w:eastAsia="Arial" w:hAnsi="Arial"/>
          <w:sz w:val="16"/>
          <w:szCs w:val="16"/>
          <w:color w:val="auto"/>
        </w:rPr>
      </w:pPr>
      <w:r>
        <w:rPr>
          <w:rFonts w:ascii="Arial" w:cs="Arial" w:eastAsia="Arial" w:hAnsi="Arial"/>
          <w:sz w:val="16"/>
          <w:szCs w:val="16"/>
          <w:b w:val="1"/>
          <w:bCs w:val="1"/>
          <w:color w:val="auto"/>
        </w:rPr>
        <w:t xml:space="preserve">“Disabled” </w:t>
      </w:r>
      <w:r>
        <w:rPr>
          <w:rFonts w:ascii="Arial" w:cs="Arial" w:eastAsia="Arial" w:hAnsi="Arial"/>
          <w:sz w:val="16"/>
          <w:szCs w:val="16"/>
          <w:color w:val="auto"/>
        </w:rPr>
        <w:t>shall mean permanently and totally disabled within the meaning of Section 22(e)(3) of the Code.</w:t>
      </w:r>
    </w:p>
    <w:p>
      <w:pPr>
        <w:spacing w:after="0" w:line="180" w:lineRule="exact"/>
        <w:rPr>
          <w:rFonts w:ascii="Arial" w:cs="Arial" w:eastAsia="Arial" w:hAnsi="Arial"/>
          <w:sz w:val="16"/>
          <w:szCs w:val="16"/>
          <w:color w:val="auto"/>
        </w:rPr>
      </w:pPr>
    </w:p>
    <w:p>
      <w:pPr>
        <w:ind w:left="620" w:hanging="328"/>
        <w:spacing w:after="0"/>
        <w:tabs>
          <w:tab w:leader="none" w:pos="620" w:val="left"/>
        </w:tabs>
        <w:numPr>
          <w:ilvl w:val="0"/>
          <w:numId w:val="118"/>
        </w:numPr>
        <w:rPr>
          <w:rFonts w:ascii="Arial" w:cs="Arial" w:eastAsia="Arial" w:hAnsi="Arial"/>
          <w:sz w:val="16"/>
          <w:szCs w:val="16"/>
          <w:color w:val="auto"/>
        </w:rPr>
      </w:pPr>
      <w:r>
        <w:rPr>
          <w:rFonts w:ascii="Arial" w:cs="Arial" w:eastAsia="Arial" w:hAnsi="Arial"/>
          <w:sz w:val="16"/>
          <w:szCs w:val="16"/>
          <w:b w:val="1"/>
          <w:bCs w:val="1"/>
          <w:color w:val="auto"/>
        </w:rPr>
        <w:t xml:space="preserve">“Effective Date” </w:t>
      </w:r>
      <w:r>
        <w:rPr>
          <w:rFonts w:ascii="Arial" w:cs="Arial" w:eastAsia="Arial" w:hAnsi="Arial"/>
          <w:sz w:val="16"/>
          <w:szCs w:val="16"/>
          <w:color w:val="auto"/>
        </w:rPr>
        <w:t>shall have the meaning set forth in Section 3.</w:t>
      </w:r>
    </w:p>
    <w:p>
      <w:pPr>
        <w:spacing w:after="0" w:line="180" w:lineRule="exact"/>
        <w:rPr>
          <w:rFonts w:ascii="Arial" w:cs="Arial" w:eastAsia="Arial" w:hAnsi="Arial"/>
          <w:sz w:val="16"/>
          <w:szCs w:val="16"/>
          <w:color w:val="auto"/>
        </w:rPr>
      </w:pPr>
    </w:p>
    <w:p>
      <w:pPr>
        <w:jc w:val="both"/>
        <w:ind w:left="620" w:right="100" w:hanging="328"/>
        <w:spacing w:after="0" w:line="301" w:lineRule="auto"/>
        <w:tabs>
          <w:tab w:leader="none" w:pos="620" w:val="left"/>
        </w:tabs>
        <w:numPr>
          <w:ilvl w:val="0"/>
          <w:numId w:val="118"/>
        </w:numPr>
        <w:rPr>
          <w:rFonts w:ascii="Arial" w:cs="Arial" w:eastAsia="Arial" w:hAnsi="Arial"/>
          <w:sz w:val="16"/>
          <w:szCs w:val="16"/>
          <w:color w:val="auto"/>
        </w:rPr>
      </w:pPr>
      <w:r>
        <w:rPr>
          <w:rFonts w:ascii="Arial" w:cs="Arial" w:eastAsia="Arial" w:hAnsi="Arial"/>
          <w:sz w:val="16"/>
          <w:szCs w:val="16"/>
          <w:b w:val="1"/>
          <w:bCs w:val="1"/>
          <w:color w:val="auto"/>
        </w:rPr>
        <w:t xml:space="preserve">“Eligible Individuals” </w:t>
      </w:r>
      <w:r>
        <w:rPr>
          <w:rFonts w:ascii="Arial" w:cs="Arial" w:eastAsia="Arial" w:hAnsi="Arial"/>
          <w:sz w:val="16"/>
          <w:szCs w:val="16"/>
          <w:color w:val="auto"/>
        </w:rPr>
        <w:t>shall mean employees of Huron or any of the Affiliates (including officers, whether or not they</w:t>
      </w:r>
      <w:r>
        <w:rPr>
          <w:rFonts w:ascii="Arial" w:cs="Arial" w:eastAsia="Arial" w:hAnsi="Arial"/>
          <w:sz w:val="16"/>
          <w:szCs w:val="16"/>
          <w:b w:val="1"/>
          <w:bCs w:val="1"/>
          <w:color w:val="auto"/>
        </w:rPr>
        <w:t xml:space="preserve"> </w:t>
      </w:r>
      <w:r>
        <w:rPr>
          <w:rFonts w:ascii="Arial" w:cs="Arial" w:eastAsia="Arial" w:hAnsi="Arial"/>
          <w:sz w:val="16"/>
          <w:szCs w:val="16"/>
          <w:color w:val="auto"/>
        </w:rPr>
        <w:t>are directors of Huron or any Affiliate), independent contractors providing services to Huron or any Affiliate and non-employee directors of Huron or any Affiliate.</w:t>
      </w:r>
    </w:p>
    <w:p>
      <w:pPr>
        <w:spacing w:after="0" w:line="104" w:lineRule="exact"/>
        <w:rPr>
          <w:rFonts w:ascii="Arial" w:cs="Arial" w:eastAsia="Arial" w:hAnsi="Arial"/>
          <w:sz w:val="16"/>
          <w:szCs w:val="16"/>
          <w:color w:val="auto"/>
        </w:rPr>
      </w:pPr>
    </w:p>
    <w:p>
      <w:pPr>
        <w:ind w:left="620" w:hanging="328"/>
        <w:spacing w:after="0"/>
        <w:tabs>
          <w:tab w:leader="none" w:pos="620" w:val="left"/>
        </w:tabs>
        <w:numPr>
          <w:ilvl w:val="0"/>
          <w:numId w:val="118"/>
        </w:numPr>
        <w:rPr>
          <w:rFonts w:ascii="Arial" w:cs="Arial" w:eastAsia="Arial" w:hAnsi="Arial"/>
          <w:sz w:val="16"/>
          <w:szCs w:val="16"/>
          <w:color w:val="auto"/>
        </w:rPr>
      </w:pPr>
      <w:r>
        <w:rPr>
          <w:rFonts w:ascii="Arial" w:cs="Arial" w:eastAsia="Arial" w:hAnsi="Arial"/>
          <w:sz w:val="16"/>
          <w:szCs w:val="16"/>
          <w:b w:val="1"/>
          <w:bCs w:val="1"/>
          <w:color w:val="auto"/>
        </w:rPr>
        <w:t xml:space="preserve">“Exchange Act” </w:t>
      </w:r>
      <w:r>
        <w:rPr>
          <w:rFonts w:ascii="Arial" w:cs="Arial" w:eastAsia="Arial" w:hAnsi="Arial"/>
          <w:sz w:val="16"/>
          <w:szCs w:val="16"/>
          <w:color w:val="auto"/>
        </w:rPr>
        <w:t>shall mean the Securities Exchange Act of 1934, as amended from time to time.</w:t>
      </w:r>
    </w:p>
    <w:p>
      <w:pPr>
        <w:spacing w:after="0" w:line="180" w:lineRule="exact"/>
        <w:rPr>
          <w:rFonts w:ascii="Arial" w:cs="Arial" w:eastAsia="Arial" w:hAnsi="Arial"/>
          <w:sz w:val="16"/>
          <w:szCs w:val="16"/>
          <w:color w:val="auto"/>
        </w:rPr>
      </w:pPr>
    </w:p>
    <w:p>
      <w:pPr>
        <w:ind w:left="620" w:hanging="328"/>
        <w:spacing w:after="0"/>
        <w:tabs>
          <w:tab w:leader="none" w:pos="620" w:val="left"/>
        </w:tabs>
        <w:numPr>
          <w:ilvl w:val="0"/>
          <w:numId w:val="118"/>
        </w:numPr>
        <w:rPr>
          <w:rFonts w:ascii="Arial" w:cs="Arial" w:eastAsia="Arial" w:hAnsi="Arial"/>
          <w:sz w:val="16"/>
          <w:szCs w:val="16"/>
          <w:color w:val="auto"/>
        </w:rPr>
      </w:pPr>
      <w:r>
        <w:rPr>
          <w:rFonts w:ascii="Arial" w:cs="Arial" w:eastAsia="Arial" w:hAnsi="Arial"/>
          <w:sz w:val="16"/>
          <w:szCs w:val="16"/>
          <w:b w:val="1"/>
          <w:bCs w:val="1"/>
          <w:color w:val="auto"/>
        </w:rPr>
        <w:t xml:space="preserve">“Exercise Price” </w:t>
      </w:r>
      <w:r>
        <w:rPr>
          <w:rFonts w:ascii="Arial" w:cs="Arial" w:eastAsia="Arial" w:hAnsi="Arial"/>
          <w:sz w:val="16"/>
          <w:szCs w:val="16"/>
          <w:color w:val="auto"/>
        </w:rPr>
        <w:t>shall have the meaning set forth in Section 7(c).</w:t>
      </w:r>
    </w:p>
    <w:p>
      <w:pPr>
        <w:spacing w:after="0" w:line="180" w:lineRule="exact"/>
        <w:rPr>
          <w:rFonts w:ascii="Arial" w:cs="Arial" w:eastAsia="Arial" w:hAnsi="Arial"/>
          <w:sz w:val="16"/>
          <w:szCs w:val="16"/>
          <w:color w:val="auto"/>
        </w:rPr>
      </w:pPr>
    </w:p>
    <w:p>
      <w:pPr>
        <w:ind w:left="620" w:right="320" w:hanging="328"/>
        <w:spacing w:after="0" w:line="321" w:lineRule="auto"/>
        <w:tabs>
          <w:tab w:leader="none" w:pos="620" w:val="left"/>
        </w:tabs>
        <w:numPr>
          <w:ilvl w:val="0"/>
          <w:numId w:val="118"/>
        </w:numPr>
        <w:rPr>
          <w:rFonts w:ascii="Arial" w:cs="Arial" w:eastAsia="Arial" w:hAnsi="Arial"/>
          <w:sz w:val="16"/>
          <w:szCs w:val="16"/>
          <w:color w:val="auto"/>
        </w:rPr>
      </w:pPr>
      <w:r>
        <w:rPr>
          <w:rFonts w:ascii="Arial" w:cs="Arial" w:eastAsia="Arial" w:hAnsi="Arial"/>
          <w:sz w:val="16"/>
          <w:szCs w:val="16"/>
          <w:b w:val="1"/>
          <w:bCs w:val="1"/>
          <w:color w:val="auto"/>
        </w:rPr>
        <w:t xml:space="preserve">“Fair Market Value” </w:t>
      </w:r>
      <w:r>
        <w:rPr>
          <w:rFonts w:ascii="Arial" w:cs="Arial" w:eastAsia="Arial" w:hAnsi="Arial"/>
          <w:sz w:val="16"/>
          <w:szCs w:val="16"/>
          <w:color w:val="auto"/>
        </w:rPr>
        <w:t>of a share of Common Stock as of any date shall mean the value determined in accordance</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following rules:</w:t>
      </w:r>
    </w:p>
    <w:p>
      <w:pPr>
        <w:spacing w:after="0" w:line="88" w:lineRule="exact"/>
        <w:rPr>
          <w:rFonts w:ascii="Arial" w:cs="Arial" w:eastAsia="Arial" w:hAnsi="Arial"/>
          <w:sz w:val="16"/>
          <w:szCs w:val="16"/>
          <w:color w:val="auto"/>
        </w:rPr>
      </w:pPr>
    </w:p>
    <w:p>
      <w:pPr>
        <w:ind w:left="1260" w:right="60" w:hanging="320"/>
        <w:spacing w:after="0" w:line="295" w:lineRule="auto"/>
        <w:tabs>
          <w:tab w:leader="none" w:pos="1260" w:val="left"/>
        </w:tabs>
        <w:numPr>
          <w:ilvl w:val="1"/>
          <w:numId w:val="118"/>
        </w:numPr>
        <w:rPr>
          <w:rFonts w:ascii="Arial" w:cs="Arial" w:eastAsia="Arial" w:hAnsi="Arial"/>
          <w:sz w:val="16"/>
          <w:szCs w:val="16"/>
          <w:color w:val="auto"/>
        </w:rPr>
      </w:pPr>
      <w:r>
        <w:rPr>
          <w:rFonts w:ascii="Arial" w:cs="Arial" w:eastAsia="Arial" w:hAnsi="Arial"/>
          <w:sz w:val="16"/>
          <w:szCs w:val="16"/>
          <w:color w:val="auto"/>
        </w:rPr>
        <w:t>If the Common Stock is at the time listed or admitted to trading on any stock exchange, then the Fair Market Value shall be the closing price per share of Common Stock on such date on the principal exchange on which the Common Stock is then listed or admitted to trading or, if no such sale is reported on such date, on the last preceding date on which a sale was so reported.</w:t>
      </w:r>
    </w:p>
    <w:p>
      <w:pPr>
        <w:spacing w:after="0" w:line="107" w:lineRule="exact"/>
        <w:rPr>
          <w:rFonts w:ascii="Arial" w:cs="Arial" w:eastAsia="Arial" w:hAnsi="Arial"/>
          <w:sz w:val="16"/>
          <w:szCs w:val="16"/>
          <w:color w:val="auto"/>
        </w:rPr>
      </w:pPr>
    </w:p>
    <w:p>
      <w:pPr>
        <w:ind w:left="1260" w:right="40" w:hanging="320"/>
        <w:spacing w:after="0" w:line="296" w:lineRule="auto"/>
        <w:tabs>
          <w:tab w:leader="none" w:pos="1260" w:val="left"/>
        </w:tabs>
        <w:numPr>
          <w:ilvl w:val="1"/>
          <w:numId w:val="118"/>
        </w:numPr>
        <w:rPr>
          <w:rFonts w:ascii="Arial" w:cs="Arial" w:eastAsia="Arial" w:hAnsi="Arial"/>
          <w:sz w:val="16"/>
          <w:szCs w:val="16"/>
          <w:color w:val="auto"/>
        </w:rPr>
      </w:pPr>
      <w:r>
        <w:rPr>
          <w:rFonts w:ascii="Arial" w:cs="Arial" w:eastAsia="Arial" w:hAnsi="Arial"/>
          <w:sz w:val="16"/>
          <w:szCs w:val="16"/>
          <w:color w:val="auto"/>
        </w:rPr>
        <w:t>If the Common Stock is not at the time listed or admitted to trading on a stock exchange but bid and asked prices for the Common Stock are regularly reported, then the Fair Market Value shall be the arithmetic mean between the closing or last bid and asked prices for the Common Stock on such date or, if no bid and asked prices for Common Stock are reported on such date, on the most recent day immediately prior thereto on which bid and asked prices were so reported.</w:t>
      </w:r>
    </w:p>
    <w:p>
      <w:pPr>
        <w:spacing w:after="0" w:line="107" w:lineRule="exact"/>
        <w:rPr>
          <w:rFonts w:ascii="Arial" w:cs="Arial" w:eastAsia="Arial" w:hAnsi="Arial"/>
          <w:sz w:val="16"/>
          <w:szCs w:val="16"/>
          <w:color w:val="auto"/>
        </w:rPr>
      </w:pPr>
    </w:p>
    <w:p>
      <w:pPr>
        <w:ind w:left="1260" w:hanging="320"/>
        <w:spacing w:after="0" w:line="321" w:lineRule="auto"/>
        <w:tabs>
          <w:tab w:leader="none" w:pos="1260" w:val="left"/>
        </w:tabs>
        <w:numPr>
          <w:ilvl w:val="1"/>
          <w:numId w:val="118"/>
        </w:numPr>
        <w:rPr>
          <w:rFonts w:ascii="Arial" w:cs="Arial" w:eastAsia="Arial" w:hAnsi="Arial"/>
          <w:sz w:val="16"/>
          <w:szCs w:val="16"/>
          <w:color w:val="auto"/>
        </w:rPr>
      </w:pPr>
      <w:r>
        <w:rPr>
          <w:rFonts w:ascii="Arial" w:cs="Arial" w:eastAsia="Arial" w:hAnsi="Arial"/>
          <w:sz w:val="16"/>
          <w:szCs w:val="16"/>
          <w:color w:val="auto"/>
        </w:rPr>
        <w:t>If the Common Stock is not listed or admitted to trading on any stock exchange and if prices are not regularly reported for the Common Stock as described in paragraph (ii), the Fair Market Value shall be as determined</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0"/>
        <w:spacing w:after="0"/>
        <w:tabs>
          <w:tab w:leader="none" w:pos="4360" w:val="left"/>
          <w:tab w:leader="none" w:pos="772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13"/>
          <w:szCs w:val="13"/>
          <w:b w:val="1"/>
          <w:bCs w:val="1"/>
          <w:color w:val="00558C"/>
        </w:rPr>
        <w:t>A-4</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351790</wp:posOffset>
            </wp:positionV>
            <wp:extent cx="6810375" cy="44653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10375" cy="4465320"/>
                    </a:xfrm>
                    <a:prstGeom prst="rect">
                      <a:avLst/>
                    </a:prstGeom>
                    <a:noFill/>
                  </pic:spPr>
                </pic:pic>
              </a:graphicData>
            </a:graphic>
          </wp:anchor>
        </w:drawing>
      </w:r>
    </w:p>
    <w:p>
      <w:pPr>
        <w:sectPr>
          <w:pgSz w:w="11900" w:h="16838" w:orient="portrait"/>
          <w:cols w:equalWidth="0" w:num="1">
            <w:col w:w="9040"/>
          </w:cols>
          <w:pgMar w:left="1440" w:top="111" w:right="14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20"/>
        <w:spacing w:after="0" w:line="317" w:lineRule="auto"/>
        <w:rPr>
          <w:sz w:val="20"/>
          <w:szCs w:val="20"/>
          <w:color w:val="auto"/>
        </w:rPr>
      </w:pPr>
      <w:r>
        <w:rPr>
          <w:rFonts w:ascii="Arial" w:cs="Arial" w:eastAsia="Arial" w:hAnsi="Arial"/>
          <w:sz w:val="12"/>
          <w:szCs w:val="12"/>
          <w:b w:val="1"/>
          <w:bCs w:val="1"/>
          <w:color w:val="B2B3B6"/>
        </w:rPr>
        <w:t>General Information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2"/>
          <w:szCs w:val="12"/>
          <w:b w:val="1"/>
          <w:bCs w:val="1"/>
          <w:color w:val="B2B3B6"/>
        </w:rPr>
        <w:t>Proposal</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b w:val="1"/>
          <w:bCs w:val="1"/>
          <w:color w:val="B2B3B6"/>
        </w:rPr>
        <w:t>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line="274" w:lineRule="auto"/>
        <w:rPr>
          <w:sz w:val="20"/>
          <w:szCs w:val="20"/>
          <w:color w:val="auto"/>
        </w:rPr>
      </w:pPr>
      <w:r>
        <w:rPr>
          <w:rFonts w:ascii="Arial" w:cs="Arial" w:eastAsia="Arial" w:hAnsi="Arial"/>
          <w:sz w:val="13"/>
          <w:szCs w:val="13"/>
          <w:b w:val="1"/>
          <w:bCs w:val="1"/>
          <w:color w:val="B2B3B6"/>
        </w:rPr>
        <w:t>Corporate Proposal Executive Governance Two 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200"/>
        <w:spacing w:after="0" w:line="274" w:lineRule="auto"/>
        <w:rPr>
          <w:sz w:val="20"/>
          <w:szCs w:val="20"/>
          <w:color w:val="auto"/>
        </w:rPr>
      </w:pPr>
      <w:r>
        <w:rPr>
          <w:rFonts w:ascii="Arial" w:cs="Arial" w:eastAsia="Arial" w:hAnsi="Arial"/>
          <w:sz w:val="13"/>
          <w:szCs w:val="13"/>
          <w:b w:val="1"/>
          <w:bCs w:val="1"/>
          <w:color w:val="B2B3B6"/>
        </w:rPr>
        <w:t xml:space="preserve">Proposal Proposal Proposal Stockholder </w:t>
      </w:r>
      <w:r>
        <w:rPr>
          <w:rFonts w:ascii="Arial" w:cs="Arial" w:eastAsia="Arial" w:hAnsi="Arial"/>
          <w:sz w:val="13"/>
          <w:szCs w:val="13"/>
          <w:b w:val="1"/>
          <w:bCs w:val="1"/>
          <w:color w:val="6AAA37"/>
        </w:rPr>
        <w:t>Other</w:t>
      </w:r>
      <w:r>
        <w:rPr>
          <w:rFonts w:ascii="Arial" w:cs="Arial" w:eastAsia="Arial" w:hAnsi="Arial"/>
          <w:sz w:val="13"/>
          <w:szCs w:val="13"/>
          <w:b w:val="1"/>
          <w:bCs w:val="1"/>
          <w:color w:val="B2B3B6"/>
        </w:rPr>
        <w:t xml:space="preserve"> Three Four Five Proposals </w:t>
      </w:r>
      <w:r>
        <w:rPr>
          <w:rFonts w:ascii="Arial" w:cs="Arial" w:eastAsia="Arial" w:hAnsi="Arial"/>
          <w:sz w:val="13"/>
          <w:szCs w:val="13"/>
          <w:b w:val="1"/>
          <w:bCs w:val="1"/>
          <w:color w:val="6AAA37"/>
        </w:rPr>
        <w:t>Matters</w:t>
      </w:r>
    </w:p>
    <w:p>
      <w:pPr>
        <w:spacing w:after="0" w:line="223" w:lineRule="exact"/>
        <w:rPr>
          <w:sz w:val="20"/>
          <w:szCs w:val="20"/>
          <w:color w:val="auto"/>
        </w:rPr>
      </w:pPr>
    </w:p>
    <w:p>
      <w:pPr>
        <w:sectPr>
          <w:pgSz w:w="11900" w:h="16838" w:orient="portrait"/>
          <w:cols w:equalWidth="0" w:num="4">
            <w:col w:w="700" w:space="320"/>
            <w:col w:w="540" w:space="300"/>
            <w:col w:w="2700" w:space="320"/>
            <w:col w:w="4160"/>
          </w:cols>
          <w:pgMar w:left="1440" w:top="111" w:right="1419" w:bottom="0" w:gutter="0" w:footer="0" w:header="0"/>
          <w:type w:val="continuous"/>
        </w:sectPr>
      </w:pPr>
    </w:p>
    <w:p>
      <w:pPr>
        <w:spacing w:after="0" w:line="128" w:lineRule="exact"/>
        <w:rPr>
          <w:sz w:val="20"/>
          <w:szCs w:val="20"/>
          <w:color w:val="auto"/>
        </w:rPr>
      </w:pPr>
    </w:p>
    <w:p>
      <w:pPr>
        <w:ind w:left="1260" w:right="400"/>
        <w:spacing w:after="0" w:line="321" w:lineRule="auto"/>
        <w:rPr>
          <w:sz w:val="20"/>
          <w:szCs w:val="20"/>
          <w:color w:val="auto"/>
        </w:rPr>
      </w:pPr>
      <w:r>
        <w:rPr>
          <w:rFonts w:ascii="Arial" w:cs="Arial" w:eastAsia="Arial" w:hAnsi="Arial"/>
          <w:sz w:val="16"/>
          <w:szCs w:val="16"/>
          <w:color w:val="auto"/>
        </w:rPr>
        <w:t>by the Committee in good faith in its sole discretion or under procedures established by the Committee, whose determination shall be conclusive and binding.</w:t>
      </w:r>
    </w:p>
    <w:p>
      <w:pPr>
        <w:spacing w:after="0" w:line="88" w:lineRule="exact"/>
        <w:rPr>
          <w:sz w:val="20"/>
          <w:szCs w:val="20"/>
          <w:color w:val="auto"/>
        </w:rPr>
      </w:pPr>
    </w:p>
    <w:p>
      <w:pPr>
        <w:jc w:val="both"/>
        <w:ind w:left="1260" w:right="180" w:hanging="320"/>
        <w:spacing w:after="0" w:line="301" w:lineRule="auto"/>
        <w:tabs>
          <w:tab w:leader="none" w:pos="1260" w:val="left"/>
        </w:tabs>
        <w:numPr>
          <w:ilvl w:val="1"/>
          <w:numId w:val="119"/>
        </w:numPr>
        <w:rPr>
          <w:rFonts w:ascii="Arial" w:cs="Arial" w:eastAsia="Arial" w:hAnsi="Arial"/>
          <w:sz w:val="16"/>
          <w:szCs w:val="16"/>
          <w:color w:val="auto"/>
        </w:rPr>
      </w:pPr>
      <w:r>
        <w:rPr>
          <w:rFonts w:ascii="Arial" w:cs="Arial" w:eastAsia="Arial" w:hAnsi="Arial"/>
          <w:sz w:val="16"/>
          <w:szCs w:val="16"/>
          <w:color w:val="auto"/>
        </w:rPr>
        <w:t>For purposes of determining the Fair Market Value of shares of Common Stock that are sold pursuant to a broker- assisted cashless exercise program, Fair Market Value shall be the price at which such shares are sold.</w:t>
      </w:r>
    </w:p>
    <w:p>
      <w:pPr>
        <w:spacing w:after="0" w:line="104" w:lineRule="exact"/>
        <w:rPr>
          <w:rFonts w:ascii="Arial" w:cs="Arial" w:eastAsia="Arial" w:hAnsi="Arial"/>
          <w:sz w:val="16"/>
          <w:szCs w:val="16"/>
          <w:color w:val="auto"/>
        </w:rPr>
      </w:pPr>
    </w:p>
    <w:p>
      <w:pPr>
        <w:ind w:left="620" w:right="80" w:hanging="328"/>
        <w:spacing w:after="0" w:line="301" w:lineRule="auto"/>
        <w:tabs>
          <w:tab w:leader="none" w:pos="620" w:val="left"/>
        </w:tabs>
        <w:numPr>
          <w:ilvl w:val="0"/>
          <w:numId w:val="120"/>
        </w:numPr>
        <w:rPr>
          <w:rFonts w:ascii="Arial" w:cs="Arial" w:eastAsia="Arial" w:hAnsi="Arial"/>
          <w:sz w:val="16"/>
          <w:szCs w:val="16"/>
          <w:color w:val="auto"/>
        </w:rPr>
      </w:pPr>
      <w:r>
        <w:rPr>
          <w:rFonts w:ascii="Arial" w:cs="Arial" w:eastAsia="Arial" w:hAnsi="Arial"/>
          <w:sz w:val="16"/>
          <w:szCs w:val="16"/>
          <w:b w:val="1"/>
          <w:bCs w:val="1"/>
          <w:color w:val="auto"/>
        </w:rPr>
        <w:t xml:space="preserve">“Full Value Award” </w:t>
      </w:r>
      <w:r>
        <w:rPr>
          <w:rFonts w:ascii="Arial" w:cs="Arial" w:eastAsia="Arial" w:hAnsi="Arial"/>
          <w:sz w:val="16"/>
          <w:szCs w:val="16"/>
          <w:color w:val="auto"/>
        </w:rPr>
        <w:t>shall mean an Award that is granted pursuant to Section 8 hereof and that is the grant of one or</w:t>
      </w:r>
      <w:r>
        <w:rPr>
          <w:rFonts w:ascii="Arial" w:cs="Arial" w:eastAsia="Arial" w:hAnsi="Arial"/>
          <w:sz w:val="16"/>
          <w:szCs w:val="16"/>
          <w:b w:val="1"/>
          <w:bCs w:val="1"/>
          <w:color w:val="auto"/>
        </w:rPr>
        <w:t xml:space="preserve"> </w:t>
      </w:r>
      <w:r>
        <w:rPr>
          <w:rFonts w:ascii="Arial" w:cs="Arial" w:eastAsia="Arial" w:hAnsi="Arial"/>
          <w:sz w:val="16"/>
          <w:szCs w:val="16"/>
          <w:color w:val="auto"/>
        </w:rPr>
        <w:t>more shares of Common Stock or a right to receive one or more shares of Common Stock in the future, which grant may be subject to one or more of the following, as determined by the Committee:</w:t>
      </w:r>
    </w:p>
    <w:p>
      <w:pPr>
        <w:spacing w:after="0" w:line="104" w:lineRule="exact"/>
        <w:rPr>
          <w:rFonts w:ascii="Arial" w:cs="Arial" w:eastAsia="Arial" w:hAnsi="Arial"/>
          <w:sz w:val="16"/>
          <w:szCs w:val="16"/>
          <w:color w:val="auto"/>
        </w:rPr>
      </w:pPr>
    </w:p>
    <w:p>
      <w:pPr>
        <w:ind w:left="1260" w:right="360" w:hanging="320"/>
        <w:spacing w:after="0" w:line="321" w:lineRule="auto"/>
        <w:tabs>
          <w:tab w:leader="none" w:pos="1260" w:val="left"/>
        </w:tabs>
        <w:numPr>
          <w:ilvl w:val="1"/>
          <w:numId w:val="120"/>
        </w:numPr>
        <w:rPr>
          <w:rFonts w:ascii="Arial" w:cs="Arial" w:eastAsia="Arial" w:hAnsi="Arial"/>
          <w:sz w:val="16"/>
          <w:szCs w:val="16"/>
          <w:color w:val="auto"/>
        </w:rPr>
      </w:pPr>
      <w:r>
        <w:rPr>
          <w:rFonts w:ascii="Arial" w:cs="Arial" w:eastAsia="Arial" w:hAnsi="Arial"/>
          <w:sz w:val="16"/>
          <w:szCs w:val="16"/>
          <w:color w:val="auto"/>
        </w:rPr>
        <w:t>The grant may be in consideration of a Participant’s previously performed services or surrender of other compensation that may be due.</w:t>
      </w:r>
    </w:p>
    <w:p>
      <w:pPr>
        <w:spacing w:after="0" w:line="88" w:lineRule="exact"/>
        <w:rPr>
          <w:rFonts w:ascii="Arial" w:cs="Arial" w:eastAsia="Arial" w:hAnsi="Arial"/>
          <w:sz w:val="16"/>
          <w:szCs w:val="16"/>
          <w:color w:val="auto"/>
        </w:rPr>
      </w:pPr>
    </w:p>
    <w:p>
      <w:pPr>
        <w:ind w:left="1260" w:right="440" w:hanging="320"/>
        <w:spacing w:after="0" w:line="321" w:lineRule="auto"/>
        <w:tabs>
          <w:tab w:leader="none" w:pos="1260" w:val="left"/>
        </w:tabs>
        <w:numPr>
          <w:ilvl w:val="1"/>
          <w:numId w:val="120"/>
        </w:numPr>
        <w:rPr>
          <w:rFonts w:ascii="Arial" w:cs="Arial" w:eastAsia="Arial" w:hAnsi="Arial"/>
          <w:sz w:val="16"/>
          <w:szCs w:val="16"/>
          <w:color w:val="auto"/>
        </w:rPr>
      </w:pPr>
      <w:r>
        <w:rPr>
          <w:rFonts w:ascii="Arial" w:cs="Arial" w:eastAsia="Arial" w:hAnsi="Arial"/>
          <w:sz w:val="16"/>
          <w:szCs w:val="16"/>
          <w:color w:val="auto"/>
        </w:rPr>
        <w:t>The grant may be contingent on the achievement of performance or other objectives during a specified period.</w:t>
      </w:r>
    </w:p>
    <w:p>
      <w:pPr>
        <w:spacing w:after="0" w:line="88" w:lineRule="exact"/>
        <w:rPr>
          <w:rFonts w:ascii="Arial" w:cs="Arial" w:eastAsia="Arial" w:hAnsi="Arial"/>
          <w:sz w:val="16"/>
          <w:szCs w:val="16"/>
          <w:color w:val="auto"/>
        </w:rPr>
      </w:pPr>
    </w:p>
    <w:p>
      <w:pPr>
        <w:ind w:left="1260" w:right="200" w:hanging="320"/>
        <w:spacing w:after="0" w:line="310" w:lineRule="auto"/>
        <w:tabs>
          <w:tab w:leader="none" w:pos="1260" w:val="left"/>
        </w:tabs>
        <w:numPr>
          <w:ilvl w:val="1"/>
          <w:numId w:val="120"/>
        </w:numPr>
        <w:rPr>
          <w:rFonts w:ascii="Arial" w:cs="Arial" w:eastAsia="Arial" w:hAnsi="Arial"/>
          <w:sz w:val="16"/>
          <w:szCs w:val="16"/>
          <w:color w:val="auto"/>
        </w:rPr>
      </w:pPr>
      <w:r>
        <w:rPr>
          <w:rFonts w:ascii="Arial" w:cs="Arial" w:eastAsia="Arial" w:hAnsi="Arial"/>
          <w:sz w:val="16"/>
          <w:szCs w:val="16"/>
          <w:color w:val="auto"/>
        </w:rPr>
        <w:t>The grant may be subject to a risk of forfeiture or other restrictions that will lapse upon the achievement of one or more goals relating to completion of service by the Participant or achievement of performance or other objectives.</w:t>
      </w:r>
    </w:p>
    <w:p>
      <w:pPr>
        <w:spacing w:after="0" w:line="97" w:lineRule="exact"/>
        <w:rPr>
          <w:sz w:val="20"/>
          <w:szCs w:val="20"/>
          <w:color w:val="auto"/>
        </w:rPr>
      </w:pPr>
    </w:p>
    <w:p>
      <w:pPr>
        <w:ind w:left="620" w:right="240"/>
        <w:spacing w:after="0" w:line="293" w:lineRule="auto"/>
        <w:rPr>
          <w:sz w:val="20"/>
          <w:szCs w:val="20"/>
          <w:color w:val="auto"/>
        </w:rPr>
      </w:pPr>
      <w:r>
        <w:rPr>
          <w:rFonts w:ascii="Arial" w:cs="Arial" w:eastAsia="Arial" w:hAnsi="Arial"/>
          <w:sz w:val="16"/>
          <w:szCs w:val="16"/>
          <w:color w:val="auto"/>
        </w:rPr>
        <w:t>The grant of Full Value Awards may also be subject to such other conditions, restrictions, and contingencies, as determined by the Committee, including provisions relating to dividend or dividend equivalent rights, deferred payment or settlement and purchase in the open market (including with a Participant’s own funds); provided, however, that dividends may be accrued but shall not be paid unless and until the Participant has vested in the underlying Award. Full Value Awards may include, but are not limited to, restricted stock, stock units, performance stock units, and bonus stock.</w:t>
      </w:r>
    </w:p>
    <w:p>
      <w:pPr>
        <w:spacing w:after="0" w:line="97" w:lineRule="exact"/>
        <w:rPr>
          <w:sz w:val="20"/>
          <w:szCs w:val="20"/>
          <w:color w:val="auto"/>
        </w:rPr>
      </w:pPr>
    </w:p>
    <w:p>
      <w:pPr>
        <w:ind w:left="300"/>
        <w:spacing w:after="0"/>
        <w:tabs>
          <w:tab w:leader="none" w:pos="600" w:val="left"/>
        </w:tabs>
        <w:rPr>
          <w:sz w:val="20"/>
          <w:szCs w:val="20"/>
          <w:color w:val="auto"/>
        </w:rPr>
      </w:pPr>
      <w:r>
        <w:rPr>
          <w:rFonts w:ascii="Arial" w:cs="Arial" w:eastAsia="Arial" w:hAnsi="Arial"/>
          <w:sz w:val="16"/>
          <w:szCs w:val="16"/>
          <w:color w:val="auto"/>
        </w:rPr>
        <w:t>(v)</w:t>
      </w:r>
      <w:r>
        <w:rPr>
          <w:sz w:val="20"/>
          <w:szCs w:val="20"/>
          <w:color w:val="auto"/>
        </w:rPr>
        <w:tab/>
      </w:r>
      <w:r>
        <w:rPr>
          <w:rFonts w:ascii="Arial" w:cs="Arial" w:eastAsia="Arial" w:hAnsi="Arial"/>
          <w:sz w:val="16"/>
          <w:szCs w:val="16"/>
          <w:b w:val="1"/>
          <w:bCs w:val="1"/>
          <w:color w:val="auto"/>
        </w:rPr>
        <w:t xml:space="preserve">“Huron” </w:t>
      </w:r>
      <w:r>
        <w:rPr>
          <w:rFonts w:ascii="Arial" w:cs="Arial" w:eastAsia="Arial" w:hAnsi="Arial"/>
          <w:sz w:val="16"/>
          <w:szCs w:val="16"/>
          <w:color w:val="auto"/>
        </w:rPr>
        <w:t>shall have the meaning set forth in Section 1.</w:t>
      </w:r>
    </w:p>
    <w:p>
      <w:pPr>
        <w:sectPr>
          <w:pgSz w:w="11900" w:h="16838" w:orient="portrait"/>
          <w:cols w:equalWidth="0" w:num="1">
            <w:col w:w="9040"/>
          </w:cols>
          <w:pgMar w:left="1440" w:top="111" w:right="1419" w:bottom="0" w:gutter="0" w:footer="0" w:header="0"/>
          <w:type w:val="continuous"/>
        </w:sectPr>
      </w:pPr>
    </w:p>
    <w:bookmarkStart w:id="88" w:name="page89"/>
    <w:bookmarkEnd w:id="88"/>
    <w:p>
      <w:pPr>
        <w:ind w:left="652" w:right="260" w:hanging="328"/>
        <w:spacing w:after="0" w:line="310" w:lineRule="auto"/>
        <w:tabs>
          <w:tab w:leader="none" w:pos="652" w:val="left"/>
        </w:tabs>
        <w:numPr>
          <w:ilvl w:val="0"/>
          <w:numId w:val="121"/>
        </w:numPr>
        <w:rPr>
          <w:rFonts w:ascii="Arial" w:cs="Arial" w:eastAsia="Arial" w:hAnsi="Arial"/>
          <w:sz w:val="16"/>
          <w:szCs w:val="16"/>
          <w:color w:val="auto"/>
        </w:rPr>
      </w:pPr>
      <w:r>
        <w:rPr>
          <w:rFonts w:ascii="Arial" w:cs="Arial" w:eastAsia="Arial" w:hAnsi="Arial"/>
          <w:sz w:val="16"/>
          <w:szCs w:val="16"/>
          <w:b w:val="1"/>
          <w:bCs w:val="1"/>
          <w:color w:val="auto"/>
        </w:rPr>
        <w:t xml:space="preserve">“Incentive Stock Option” </w:t>
      </w:r>
      <w:r>
        <w:rPr>
          <w:rFonts w:ascii="Arial" w:cs="Arial" w:eastAsia="Arial" w:hAnsi="Arial"/>
          <w:sz w:val="16"/>
          <w:szCs w:val="16"/>
          <w:color w:val="auto"/>
        </w:rPr>
        <w:t>shall mean an Option that qualifies as an “incentive stock option” within the meaning of</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422 of the Code, or any successor provision, and which is designated by the Committee as an Incentive Stock Option.</w:t>
      </w:r>
    </w:p>
    <w:p>
      <w:pPr>
        <w:spacing w:after="0" w:line="97" w:lineRule="exact"/>
        <w:rPr>
          <w:rFonts w:ascii="Arial" w:cs="Arial" w:eastAsia="Arial" w:hAnsi="Arial"/>
          <w:sz w:val="16"/>
          <w:szCs w:val="16"/>
          <w:color w:val="auto"/>
        </w:rPr>
      </w:pPr>
    </w:p>
    <w:p>
      <w:pPr>
        <w:ind w:left="652" w:hanging="328"/>
        <w:spacing w:after="0"/>
        <w:tabs>
          <w:tab w:leader="none" w:pos="652" w:val="left"/>
        </w:tabs>
        <w:numPr>
          <w:ilvl w:val="0"/>
          <w:numId w:val="121"/>
        </w:numPr>
        <w:rPr>
          <w:rFonts w:ascii="Arial" w:cs="Arial" w:eastAsia="Arial" w:hAnsi="Arial"/>
          <w:sz w:val="16"/>
          <w:szCs w:val="16"/>
          <w:color w:val="auto"/>
        </w:rPr>
      </w:pPr>
      <w:r>
        <w:rPr>
          <w:rFonts w:ascii="Arial" w:cs="Arial" w:eastAsia="Arial" w:hAnsi="Arial"/>
          <w:sz w:val="16"/>
          <w:szCs w:val="16"/>
          <w:b w:val="1"/>
          <w:bCs w:val="1"/>
          <w:color w:val="auto"/>
        </w:rPr>
        <w:t xml:space="preserve">“Nonqualified Stock Option” </w:t>
      </w:r>
      <w:r>
        <w:rPr>
          <w:rFonts w:ascii="Arial" w:cs="Arial" w:eastAsia="Arial" w:hAnsi="Arial"/>
          <w:sz w:val="16"/>
          <w:szCs w:val="16"/>
          <w:color w:val="auto"/>
        </w:rPr>
        <w:t>shall mean an Option other than an Incentive Stock Option.</w:t>
      </w:r>
    </w:p>
    <w:p>
      <w:pPr>
        <w:spacing w:after="0" w:line="167" w:lineRule="exact"/>
        <w:rPr>
          <w:rFonts w:ascii="Arial" w:cs="Arial" w:eastAsia="Arial" w:hAnsi="Arial"/>
          <w:sz w:val="16"/>
          <w:szCs w:val="16"/>
          <w:color w:val="auto"/>
        </w:rPr>
      </w:pPr>
    </w:p>
    <w:p>
      <w:pPr>
        <w:ind w:left="652" w:right="320" w:hanging="328"/>
        <w:spacing w:after="0" w:line="339" w:lineRule="auto"/>
        <w:tabs>
          <w:tab w:leader="none" w:pos="652" w:val="left"/>
        </w:tabs>
        <w:numPr>
          <w:ilvl w:val="0"/>
          <w:numId w:val="121"/>
        </w:numPr>
        <w:rPr>
          <w:rFonts w:ascii="Arial" w:cs="Arial" w:eastAsia="Arial" w:hAnsi="Arial"/>
          <w:sz w:val="16"/>
          <w:szCs w:val="16"/>
          <w:color w:val="auto"/>
        </w:rPr>
      </w:pPr>
      <w:r>
        <w:rPr>
          <w:rFonts w:ascii="Arial" w:cs="Arial" w:eastAsia="Arial" w:hAnsi="Arial"/>
          <w:sz w:val="16"/>
          <w:szCs w:val="16"/>
          <w:b w:val="1"/>
          <w:bCs w:val="1"/>
          <w:color w:val="auto"/>
        </w:rPr>
        <w:t xml:space="preserve">“Option” </w:t>
      </w:r>
      <w:r>
        <w:rPr>
          <w:rFonts w:ascii="Arial" w:cs="Arial" w:eastAsia="Arial" w:hAnsi="Arial"/>
          <w:sz w:val="16"/>
          <w:szCs w:val="16"/>
          <w:color w:val="auto"/>
        </w:rPr>
        <w:t>shall mean an Award that is granted pursuant to Section 7 hereof that entitles a Participant to purchase</w:t>
      </w:r>
      <w:r>
        <w:rPr>
          <w:rFonts w:ascii="Arial" w:cs="Arial" w:eastAsia="Arial" w:hAnsi="Arial"/>
          <w:sz w:val="16"/>
          <w:szCs w:val="16"/>
          <w:b w:val="1"/>
          <w:bCs w:val="1"/>
          <w:color w:val="auto"/>
        </w:rPr>
        <w:t xml:space="preserve"> </w:t>
      </w:r>
      <w:r>
        <w:rPr>
          <w:rFonts w:ascii="Arial" w:cs="Arial" w:eastAsia="Arial" w:hAnsi="Arial"/>
          <w:sz w:val="16"/>
          <w:szCs w:val="16"/>
          <w:color w:val="auto"/>
        </w:rPr>
        <w:t>shares of Common Stock at the applicable Exercise Price established by the Committee.</w:t>
      </w:r>
    </w:p>
    <w:p>
      <w:pPr>
        <w:spacing w:after="0" w:line="74" w:lineRule="exact"/>
        <w:rPr>
          <w:rFonts w:ascii="Arial" w:cs="Arial" w:eastAsia="Arial" w:hAnsi="Arial"/>
          <w:sz w:val="16"/>
          <w:szCs w:val="16"/>
          <w:color w:val="auto"/>
        </w:rPr>
      </w:pPr>
    </w:p>
    <w:p>
      <w:pPr>
        <w:ind w:left="652" w:hanging="328"/>
        <w:spacing w:after="0"/>
        <w:tabs>
          <w:tab w:leader="none" w:pos="652" w:val="left"/>
        </w:tabs>
        <w:numPr>
          <w:ilvl w:val="0"/>
          <w:numId w:val="121"/>
        </w:numPr>
        <w:rPr>
          <w:rFonts w:ascii="Arial" w:cs="Arial" w:eastAsia="Arial" w:hAnsi="Arial"/>
          <w:sz w:val="16"/>
          <w:szCs w:val="16"/>
          <w:color w:val="auto"/>
        </w:rPr>
      </w:pPr>
      <w:r>
        <w:rPr>
          <w:rFonts w:ascii="Arial" w:cs="Arial" w:eastAsia="Arial" w:hAnsi="Arial"/>
          <w:sz w:val="16"/>
          <w:szCs w:val="16"/>
          <w:b w:val="1"/>
          <w:bCs w:val="1"/>
          <w:color w:val="auto"/>
        </w:rPr>
        <w:t xml:space="preserve">“Participant” </w:t>
      </w:r>
      <w:r>
        <w:rPr>
          <w:rFonts w:ascii="Arial" w:cs="Arial" w:eastAsia="Arial" w:hAnsi="Arial"/>
          <w:sz w:val="16"/>
          <w:szCs w:val="16"/>
          <w:color w:val="auto"/>
        </w:rPr>
        <w:t>shall mean an Eligible Individual to whom an Award is granted pursuant to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wp:posOffset>
            </wp:positionH>
            <wp:positionV relativeFrom="paragraph">
              <wp:posOffset>-1229995</wp:posOffset>
            </wp:positionV>
            <wp:extent cx="6810375" cy="439102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10375" cy="4391025"/>
                    </a:xfrm>
                    <a:prstGeom prst="rect">
                      <a:avLst/>
                    </a:prstGeom>
                    <a:noFill/>
                  </pic:spPr>
                </pic:pic>
              </a:graphicData>
            </a:graphic>
          </wp:anchor>
        </w:drawing>
      </w:r>
    </w:p>
    <w:p>
      <w:pPr>
        <w:spacing w:after="0" w:line="147" w:lineRule="exact"/>
        <w:rPr>
          <w:sz w:val="20"/>
          <w:szCs w:val="20"/>
          <w:color w:val="auto"/>
        </w:rPr>
      </w:pPr>
    </w:p>
    <w:p>
      <w:pPr>
        <w:ind w:left="652" w:hanging="328"/>
        <w:spacing w:after="0"/>
        <w:tabs>
          <w:tab w:leader="none" w:pos="652" w:val="left"/>
        </w:tabs>
        <w:numPr>
          <w:ilvl w:val="0"/>
          <w:numId w:val="122"/>
        </w:numPr>
        <w:rPr>
          <w:rFonts w:ascii="Arial" w:cs="Arial" w:eastAsia="Arial" w:hAnsi="Arial"/>
          <w:sz w:val="16"/>
          <w:szCs w:val="16"/>
          <w:color w:val="auto"/>
        </w:rPr>
      </w:pPr>
      <w:r>
        <w:rPr>
          <w:rFonts w:ascii="Arial" w:cs="Arial" w:eastAsia="Arial" w:hAnsi="Arial"/>
          <w:sz w:val="16"/>
          <w:szCs w:val="16"/>
          <w:b w:val="1"/>
          <w:bCs w:val="1"/>
          <w:color w:val="auto"/>
        </w:rPr>
        <w:t xml:space="preserve">“Performance-Based Compensation” </w:t>
      </w:r>
      <w:r>
        <w:rPr>
          <w:rFonts w:ascii="Arial" w:cs="Arial" w:eastAsia="Arial" w:hAnsi="Arial"/>
          <w:sz w:val="16"/>
          <w:szCs w:val="16"/>
          <w:color w:val="auto"/>
        </w:rPr>
        <w:t>shall have the meaning set forth in Section 9.</w:t>
      </w:r>
    </w:p>
    <w:p>
      <w:pPr>
        <w:spacing w:after="0" w:line="180" w:lineRule="exact"/>
        <w:rPr>
          <w:rFonts w:ascii="Arial" w:cs="Arial" w:eastAsia="Arial" w:hAnsi="Arial"/>
          <w:sz w:val="16"/>
          <w:szCs w:val="16"/>
          <w:color w:val="auto"/>
        </w:rPr>
      </w:pPr>
    </w:p>
    <w:p>
      <w:pPr>
        <w:ind w:left="652" w:hanging="328"/>
        <w:spacing w:after="0"/>
        <w:tabs>
          <w:tab w:leader="none" w:pos="652" w:val="left"/>
        </w:tabs>
        <w:numPr>
          <w:ilvl w:val="0"/>
          <w:numId w:val="122"/>
        </w:numPr>
        <w:rPr>
          <w:rFonts w:ascii="Arial" w:cs="Arial" w:eastAsia="Arial" w:hAnsi="Arial"/>
          <w:sz w:val="16"/>
          <w:szCs w:val="16"/>
          <w:color w:val="auto"/>
        </w:rPr>
      </w:pPr>
      <w:r>
        <w:rPr>
          <w:rFonts w:ascii="Arial" w:cs="Arial" w:eastAsia="Arial" w:hAnsi="Arial"/>
          <w:sz w:val="16"/>
          <w:szCs w:val="16"/>
          <w:b w:val="1"/>
          <w:bCs w:val="1"/>
          <w:color w:val="auto"/>
        </w:rPr>
        <w:t xml:space="preserve">“Plan” </w:t>
      </w:r>
      <w:r>
        <w:rPr>
          <w:rFonts w:ascii="Arial" w:cs="Arial" w:eastAsia="Arial" w:hAnsi="Arial"/>
          <w:sz w:val="16"/>
          <w:szCs w:val="16"/>
          <w:color w:val="auto"/>
        </w:rPr>
        <w:t>shall have the meaning set forth in Section 1.</w:t>
      </w:r>
    </w:p>
    <w:p>
      <w:pPr>
        <w:spacing w:after="0" w:line="180" w:lineRule="exact"/>
        <w:rPr>
          <w:rFonts w:ascii="Arial" w:cs="Arial" w:eastAsia="Arial" w:hAnsi="Arial"/>
          <w:sz w:val="16"/>
          <w:szCs w:val="16"/>
          <w:color w:val="auto"/>
        </w:rPr>
      </w:pPr>
    </w:p>
    <w:p>
      <w:pPr>
        <w:ind w:left="652" w:hanging="328"/>
        <w:spacing w:after="0" w:line="293" w:lineRule="auto"/>
        <w:tabs>
          <w:tab w:leader="none" w:pos="652" w:val="left"/>
        </w:tabs>
        <w:numPr>
          <w:ilvl w:val="0"/>
          <w:numId w:val="122"/>
        </w:numPr>
        <w:rPr>
          <w:rFonts w:ascii="Arial" w:cs="Arial" w:eastAsia="Arial" w:hAnsi="Arial"/>
          <w:sz w:val="16"/>
          <w:szCs w:val="16"/>
          <w:color w:val="auto"/>
        </w:rPr>
      </w:pPr>
      <w:r>
        <w:rPr>
          <w:rFonts w:ascii="Arial" w:cs="Arial" w:eastAsia="Arial" w:hAnsi="Arial"/>
          <w:sz w:val="16"/>
          <w:szCs w:val="16"/>
          <w:b w:val="1"/>
          <w:bCs w:val="1"/>
          <w:color w:val="auto"/>
        </w:rPr>
        <w:t xml:space="preserve">“Retirement” </w:t>
      </w:r>
      <w:r>
        <w:rPr>
          <w:rFonts w:ascii="Arial" w:cs="Arial" w:eastAsia="Arial" w:hAnsi="Arial"/>
          <w:sz w:val="16"/>
          <w:szCs w:val="16"/>
          <w:color w:val="auto"/>
        </w:rPr>
        <w:t>shall mean the voluntary termination with Huron and the Affiliates of a Participant who is in the position</w:t>
      </w:r>
      <w:r>
        <w:rPr>
          <w:rFonts w:ascii="Arial" w:cs="Arial" w:eastAsia="Arial" w:hAnsi="Arial"/>
          <w:sz w:val="16"/>
          <w:szCs w:val="16"/>
          <w:b w:val="1"/>
          <w:bCs w:val="1"/>
          <w:color w:val="auto"/>
        </w:rPr>
        <w:t xml:space="preserve"> </w:t>
      </w:r>
      <w:r>
        <w:rPr>
          <w:rFonts w:ascii="Arial" w:cs="Arial" w:eastAsia="Arial" w:hAnsi="Arial"/>
          <w:sz w:val="16"/>
          <w:szCs w:val="16"/>
          <w:color w:val="auto"/>
        </w:rPr>
        <w:t>of corporate vice president, managing director, principal or executive officer and (i) such termination occurs on or after the date on which he or she has attained age 62 and completed at least seven years of employment with Huron and (ii) in conjunction with such termination such Participant has executed a non-competition and non-solicitation agreement provided by Huron. A Participant’s termination of employment shall not be considered to be on account of Retirement if the employment is terminated by Huron or any Affiliate for any reason.</w:t>
      </w:r>
    </w:p>
    <w:p>
      <w:pPr>
        <w:spacing w:after="0" w:line="110" w:lineRule="exact"/>
        <w:rPr>
          <w:sz w:val="20"/>
          <w:szCs w:val="20"/>
          <w:color w:val="auto"/>
        </w:rPr>
      </w:pPr>
    </w:p>
    <w:p>
      <w:pPr>
        <w:ind w:left="652" w:right="20" w:hanging="323"/>
        <w:spacing w:after="0" w:line="300" w:lineRule="auto"/>
        <w:rPr>
          <w:sz w:val="20"/>
          <w:szCs w:val="20"/>
          <w:color w:val="auto"/>
        </w:rPr>
      </w:pPr>
      <w:r>
        <w:rPr>
          <w:rFonts w:ascii="Arial" w:cs="Arial" w:eastAsia="Arial" w:hAnsi="Arial"/>
          <w:sz w:val="16"/>
          <w:szCs w:val="16"/>
          <w:color w:val="auto"/>
        </w:rPr>
        <w:t xml:space="preserve">(cd) </w:t>
      </w:r>
      <w:r>
        <w:rPr>
          <w:rFonts w:ascii="Arial" w:cs="Arial" w:eastAsia="Arial" w:hAnsi="Arial"/>
          <w:sz w:val="16"/>
          <w:szCs w:val="16"/>
          <w:b w:val="1"/>
          <w:bCs w:val="1"/>
          <w:color w:val="auto"/>
        </w:rPr>
        <w:t>“Stock Appreciation Right”</w:t>
      </w:r>
      <w:r>
        <w:rPr>
          <w:rFonts w:ascii="Arial" w:cs="Arial" w:eastAsia="Arial" w:hAnsi="Arial"/>
          <w:sz w:val="16"/>
          <w:szCs w:val="16"/>
          <w:color w:val="auto"/>
        </w:rPr>
        <w:t xml:space="preserve"> shall mean an Award is granted pursuant to Section 7 hereof that entitles a Participant to receive, upon exercise of the Award, an amount of cash or shares of Common Stock (as determined in accordance with the terms of the Plan and the Award) having a value equal to the excess of: (i) the value, determined at the time of exercise, of a specified number of shares of Common Stock; over (ii) the applicable Exercise Price.</w:t>
      </w:r>
    </w:p>
    <w:p>
      <w:pPr>
        <w:spacing w:after="0" w:line="93" w:lineRule="exact"/>
        <w:rPr>
          <w:sz w:val="20"/>
          <w:szCs w:val="20"/>
          <w:color w:val="auto"/>
        </w:rPr>
      </w:pPr>
    </w:p>
    <w:p>
      <w:pPr>
        <w:ind w:left="332"/>
        <w:spacing w:after="0"/>
        <w:rPr>
          <w:sz w:val="20"/>
          <w:szCs w:val="20"/>
          <w:color w:val="auto"/>
        </w:rPr>
      </w:pPr>
      <w:r>
        <w:rPr>
          <w:rFonts w:ascii="Arial" w:cs="Arial" w:eastAsia="Arial" w:hAnsi="Arial"/>
          <w:sz w:val="16"/>
          <w:szCs w:val="16"/>
          <w:color w:val="auto"/>
        </w:rPr>
        <w:t xml:space="preserve">(ee) </w:t>
      </w:r>
      <w:r>
        <w:rPr>
          <w:rFonts w:ascii="Arial" w:cs="Arial" w:eastAsia="Arial" w:hAnsi="Arial"/>
          <w:sz w:val="16"/>
          <w:szCs w:val="16"/>
          <w:b w:val="1"/>
          <w:bCs w:val="1"/>
          <w:color w:val="auto"/>
        </w:rPr>
        <w:t>“Subsidiary”</w:t>
      </w:r>
      <w:r>
        <w:rPr>
          <w:rFonts w:ascii="Arial" w:cs="Arial" w:eastAsia="Arial" w:hAnsi="Arial"/>
          <w:sz w:val="16"/>
          <w:szCs w:val="16"/>
          <w:color w:val="auto"/>
        </w:rPr>
        <w:t xml:space="preserve"> shall mean a “subsidiary corporation” of Huron within the meaning of Section 424(f)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2"/>
        <w:spacing w:after="0"/>
        <w:tabs>
          <w:tab w:leader="none" w:pos="4412" w:val="left"/>
          <w:tab w:leader="none" w:pos="7752"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13"/>
          <w:szCs w:val="13"/>
          <w:b w:val="1"/>
          <w:bCs w:val="1"/>
          <w:color w:val="00558C"/>
        </w:rPr>
        <w:t>A-5</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wp:posOffset>
            </wp:positionH>
            <wp:positionV relativeFrom="paragraph">
              <wp:posOffset>351790</wp:posOffset>
            </wp:positionV>
            <wp:extent cx="6810375" cy="604266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10375" cy="6042660"/>
                    </a:xfrm>
                    <a:prstGeom prst="rect">
                      <a:avLst/>
                    </a:prstGeom>
                    <a:noFill/>
                  </pic:spPr>
                </pic:pic>
              </a:graphicData>
            </a:graphic>
          </wp:anchor>
        </w:drawing>
      </w:r>
    </w:p>
    <w:p>
      <w:pPr>
        <w:sectPr>
          <w:pgSz w:w="11900" w:h="16838" w:orient="portrait"/>
          <w:cols w:equalWidth="0" w:num="1">
            <w:col w:w="9072"/>
          </w:cols>
          <w:pgMar w:left="1408" w:top="139" w:right="14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52"/>
        <w:spacing w:after="0" w:line="274" w:lineRule="auto"/>
        <w:rPr>
          <w:sz w:val="20"/>
          <w:szCs w:val="20"/>
          <w:color w:val="auto"/>
        </w:rPr>
      </w:pPr>
      <w:r>
        <w:rPr>
          <w:rFonts w:ascii="Arial" w:cs="Arial" w:eastAsia="Arial" w:hAnsi="Arial"/>
          <w:sz w:val="13"/>
          <w:szCs w:val="13"/>
          <w:b w:val="1"/>
          <w:bCs w:val="1"/>
          <w:color w:val="B2B3B6"/>
        </w:rPr>
        <w:t>General Proposal Information 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line="274" w:lineRule="auto"/>
        <w:rPr>
          <w:sz w:val="20"/>
          <w:szCs w:val="20"/>
          <w:color w:val="auto"/>
        </w:rPr>
      </w:pPr>
      <w:r>
        <w:rPr>
          <w:rFonts w:ascii="Arial" w:cs="Arial" w:eastAsia="Arial" w:hAnsi="Arial"/>
          <w:sz w:val="13"/>
          <w:szCs w:val="13"/>
          <w:b w:val="1"/>
          <w:bCs w:val="1"/>
          <w:color w:val="B2B3B6"/>
        </w:rPr>
        <w:t>Corporate Proposal Executive Governance Two 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200"/>
        <w:spacing w:after="0" w:line="274" w:lineRule="auto"/>
        <w:rPr>
          <w:sz w:val="20"/>
          <w:szCs w:val="20"/>
          <w:color w:val="auto"/>
        </w:rPr>
      </w:pPr>
      <w:r>
        <w:rPr>
          <w:rFonts w:ascii="Arial" w:cs="Arial" w:eastAsia="Arial" w:hAnsi="Arial"/>
          <w:sz w:val="13"/>
          <w:szCs w:val="13"/>
          <w:b w:val="1"/>
          <w:bCs w:val="1"/>
          <w:color w:val="B2B3B6"/>
        </w:rPr>
        <w:t xml:space="preserve">Proposal Proposal Proposal Stockholder </w:t>
      </w:r>
      <w:r>
        <w:rPr>
          <w:rFonts w:ascii="Arial" w:cs="Arial" w:eastAsia="Arial" w:hAnsi="Arial"/>
          <w:sz w:val="13"/>
          <w:szCs w:val="13"/>
          <w:b w:val="1"/>
          <w:bCs w:val="1"/>
          <w:color w:val="6AAA37"/>
        </w:rPr>
        <w:t>Other</w:t>
      </w:r>
      <w:r>
        <w:rPr>
          <w:rFonts w:ascii="Arial" w:cs="Arial" w:eastAsia="Arial" w:hAnsi="Arial"/>
          <w:sz w:val="13"/>
          <w:szCs w:val="13"/>
          <w:b w:val="1"/>
          <w:bCs w:val="1"/>
          <w:color w:val="B2B3B6"/>
        </w:rPr>
        <w:t xml:space="preserve"> Three Four Five Proposals </w:t>
      </w:r>
      <w:r>
        <w:rPr>
          <w:rFonts w:ascii="Arial" w:cs="Arial" w:eastAsia="Arial" w:hAnsi="Arial"/>
          <w:sz w:val="13"/>
          <w:szCs w:val="13"/>
          <w:b w:val="1"/>
          <w:bCs w:val="1"/>
          <w:color w:val="6AAA37"/>
        </w:rPr>
        <w:t>Matters</w:t>
      </w:r>
    </w:p>
    <w:p>
      <w:pPr>
        <w:spacing w:after="0" w:line="200" w:lineRule="exact"/>
        <w:rPr>
          <w:sz w:val="20"/>
          <w:szCs w:val="20"/>
          <w:color w:val="auto"/>
        </w:rPr>
      </w:pPr>
    </w:p>
    <w:p>
      <w:pPr>
        <w:sectPr>
          <w:pgSz w:w="11900" w:h="16838" w:orient="portrait"/>
          <w:cols w:equalWidth="0" w:num="3">
            <w:col w:w="1592" w:space="300"/>
            <w:col w:w="2700" w:space="320"/>
            <w:col w:w="4160"/>
          </w:cols>
          <w:pgMar w:left="1408" w:top="139" w:right="1419" w:bottom="0" w:gutter="0" w:footer="0" w:header="0"/>
          <w:type w:val="continuous"/>
        </w:sectPr>
      </w:pPr>
    </w:p>
    <w:p>
      <w:pPr>
        <w:spacing w:after="0" w:line="151" w:lineRule="exact"/>
        <w:rPr>
          <w:sz w:val="20"/>
          <w:szCs w:val="20"/>
          <w:color w:val="auto"/>
        </w:rPr>
      </w:pPr>
    </w:p>
    <w:p>
      <w:pPr>
        <w:ind w:left="332" w:right="260" w:hanging="332"/>
        <w:spacing w:after="0" w:line="291" w:lineRule="auto"/>
        <w:tabs>
          <w:tab w:leader="none" w:pos="332" w:val="left"/>
        </w:tabs>
        <w:numPr>
          <w:ilvl w:val="0"/>
          <w:numId w:val="123"/>
        </w:numPr>
        <w:rPr>
          <w:rFonts w:ascii="Arial" w:cs="Arial" w:eastAsia="Arial" w:hAnsi="Arial"/>
          <w:sz w:val="16"/>
          <w:szCs w:val="16"/>
          <w:color w:val="auto"/>
        </w:rPr>
      </w:pPr>
      <w:r>
        <w:rPr>
          <w:rFonts w:ascii="Arial" w:cs="Arial" w:eastAsia="Arial" w:hAnsi="Arial"/>
          <w:sz w:val="16"/>
          <w:szCs w:val="16"/>
          <w:b w:val="1"/>
          <w:bCs w:val="1"/>
          <w:color w:val="auto"/>
        </w:rPr>
        <w:t xml:space="preserve">Effective Date and Duration of Plan. </w:t>
      </w:r>
      <w:r>
        <w:rPr>
          <w:rFonts w:ascii="Arial" w:cs="Arial" w:eastAsia="Arial" w:hAnsi="Arial"/>
          <w:sz w:val="16"/>
          <w:szCs w:val="16"/>
          <w:color w:val="auto"/>
        </w:rPr>
        <w:t>The Plan, as amended and restated, will be effective February 13, 2020 (the</w:t>
      </w:r>
      <w:r>
        <w:rPr>
          <w:rFonts w:ascii="Arial" w:cs="Arial" w:eastAsia="Arial" w:hAnsi="Arial"/>
          <w:sz w:val="16"/>
          <w:szCs w:val="16"/>
          <w:b w:val="1"/>
          <w:bCs w:val="1"/>
          <w:color w:val="auto"/>
        </w:rPr>
        <w:t xml:space="preserve"> </w:t>
      </w:r>
      <w:r>
        <w:rPr>
          <w:rFonts w:ascii="Arial" w:cs="Arial" w:eastAsia="Arial" w:hAnsi="Arial"/>
          <w:sz w:val="16"/>
          <w:szCs w:val="16"/>
          <w:color w:val="auto"/>
        </w:rPr>
        <w:t>“Effective Date”), subject to approval by Huron’s stockholders. The Plan shall be unlimited in duration; however, in the event of Plan termination, the Plan shall remain in effect as long as any shares of Common Stock awarded under it are outstanding and not fully vested. No new Awards will be made under the Plan on or after the tenth anniversary of the Effective Date or, if earlier, on or after termination of the Plan.</w:t>
      </w:r>
    </w:p>
    <w:p>
      <w:pPr>
        <w:spacing w:after="0" w:line="113" w:lineRule="exact"/>
        <w:rPr>
          <w:rFonts w:ascii="Arial" w:cs="Arial" w:eastAsia="Arial" w:hAnsi="Arial"/>
          <w:sz w:val="16"/>
          <w:szCs w:val="16"/>
          <w:color w:val="auto"/>
        </w:rPr>
      </w:pPr>
    </w:p>
    <w:p>
      <w:pPr>
        <w:ind w:left="332" w:hanging="332"/>
        <w:spacing w:after="0"/>
        <w:tabs>
          <w:tab w:leader="none" w:pos="332" w:val="left"/>
        </w:tabs>
        <w:numPr>
          <w:ilvl w:val="0"/>
          <w:numId w:val="123"/>
        </w:numPr>
        <w:rPr>
          <w:rFonts w:ascii="Arial" w:cs="Arial" w:eastAsia="Arial" w:hAnsi="Arial"/>
          <w:sz w:val="16"/>
          <w:szCs w:val="16"/>
          <w:color w:val="auto"/>
        </w:rPr>
      </w:pPr>
      <w:r>
        <w:rPr>
          <w:rFonts w:ascii="Arial" w:cs="Arial" w:eastAsia="Arial" w:hAnsi="Arial"/>
          <w:sz w:val="16"/>
          <w:szCs w:val="16"/>
          <w:b w:val="1"/>
          <w:bCs w:val="1"/>
          <w:color w:val="auto"/>
        </w:rPr>
        <w:t>Shares Reserved and Other Limitations.</w:t>
      </w:r>
    </w:p>
    <w:p>
      <w:pPr>
        <w:spacing w:after="0" w:line="180" w:lineRule="exact"/>
        <w:rPr>
          <w:rFonts w:ascii="Arial" w:cs="Arial" w:eastAsia="Arial" w:hAnsi="Arial"/>
          <w:sz w:val="16"/>
          <w:szCs w:val="16"/>
          <w:color w:val="auto"/>
        </w:rPr>
      </w:pPr>
    </w:p>
    <w:p>
      <w:pPr>
        <w:ind w:left="652" w:right="80" w:hanging="328"/>
        <w:spacing w:after="0" w:line="310" w:lineRule="auto"/>
        <w:tabs>
          <w:tab w:leader="none" w:pos="652" w:val="left"/>
        </w:tabs>
        <w:numPr>
          <w:ilvl w:val="1"/>
          <w:numId w:val="123"/>
        </w:numPr>
        <w:rPr>
          <w:rFonts w:ascii="Arial" w:cs="Arial" w:eastAsia="Arial" w:hAnsi="Arial"/>
          <w:sz w:val="16"/>
          <w:szCs w:val="16"/>
          <w:color w:val="auto"/>
        </w:rPr>
      </w:pPr>
      <w:r>
        <w:rPr>
          <w:rFonts w:ascii="Arial" w:cs="Arial" w:eastAsia="Arial" w:hAnsi="Arial"/>
          <w:sz w:val="16"/>
          <w:szCs w:val="16"/>
          <w:b w:val="1"/>
          <w:bCs w:val="1"/>
          <w:color w:val="auto"/>
        </w:rPr>
        <w:t xml:space="preserve">Source of Shares. </w:t>
      </w:r>
      <w:r>
        <w:rPr>
          <w:rFonts w:ascii="Arial" w:cs="Arial" w:eastAsia="Arial" w:hAnsi="Arial"/>
          <w:sz w:val="16"/>
          <w:szCs w:val="16"/>
          <w:color w:val="auto"/>
        </w:rPr>
        <w:t>Shares of Common Stock reserved for issuance under the Plan may be authorized but unissued</w:t>
      </w:r>
      <w:r>
        <w:rPr>
          <w:rFonts w:ascii="Arial" w:cs="Arial" w:eastAsia="Arial" w:hAnsi="Arial"/>
          <w:sz w:val="16"/>
          <w:szCs w:val="16"/>
          <w:b w:val="1"/>
          <w:bCs w:val="1"/>
          <w:color w:val="auto"/>
        </w:rPr>
        <w:t xml:space="preserve"> </w:t>
      </w:r>
      <w:r>
        <w:rPr>
          <w:rFonts w:ascii="Arial" w:cs="Arial" w:eastAsia="Arial" w:hAnsi="Arial"/>
          <w:sz w:val="16"/>
          <w:szCs w:val="16"/>
          <w:color w:val="auto"/>
        </w:rPr>
        <w:t>shares of Common Stock or authorized and issued shares of Common Stock held in Huron’s treasury, including shares purchased in the open market or in private transactions.</w:t>
      </w:r>
    </w:p>
    <w:p>
      <w:pPr>
        <w:spacing w:after="0" w:line="83" w:lineRule="exact"/>
        <w:rPr>
          <w:rFonts w:ascii="Arial" w:cs="Arial" w:eastAsia="Arial" w:hAnsi="Arial"/>
          <w:sz w:val="16"/>
          <w:szCs w:val="16"/>
          <w:color w:val="auto"/>
        </w:rPr>
      </w:pPr>
    </w:p>
    <w:p>
      <w:pPr>
        <w:ind w:left="652" w:hanging="328"/>
        <w:spacing w:after="0" w:line="290" w:lineRule="auto"/>
        <w:tabs>
          <w:tab w:leader="none" w:pos="652" w:val="left"/>
        </w:tabs>
        <w:numPr>
          <w:ilvl w:val="1"/>
          <w:numId w:val="123"/>
        </w:numPr>
        <w:rPr>
          <w:rFonts w:ascii="Arial" w:cs="Arial" w:eastAsia="Arial" w:hAnsi="Arial"/>
          <w:sz w:val="16"/>
          <w:szCs w:val="16"/>
          <w:color w:val="auto"/>
        </w:rPr>
      </w:pPr>
      <w:r>
        <w:rPr>
          <w:rFonts w:ascii="Arial" w:cs="Arial" w:eastAsia="Arial" w:hAnsi="Arial"/>
          <w:sz w:val="16"/>
          <w:szCs w:val="16"/>
          <w:b w:val="1"/>
          <w:bCs w:val="1"/>
          <w:color w:val="auto"/>
        </w:rPr>
        <w:t xml:space="preserve">Shares Available for Awards. </w:t>
      </w:r>
      <w:r>
        <w:rPr>
          <w:rFonts w:ascii="Arial" w:cs="Arial" w:eastAsia="Arial" w:hAnsi="Arial"/>
          <w:sz w:val="16"/>
          <w:szCs w:val="16"/>
          <w:color w:val="auto"/>
        </w:rPr>
        <w:t>Subject to the terms and conditions of the Plan, the number of shares of Common</w:t>
      </w:r>
      <w:r>
        <w:rPr>
          <w:rFonts w:ascii="Arial" w:cs="Arial" w:eastAsia="Arial" w:hAnsi="Arial"/>
          <w:sz w:val="16"/>
          <w:szCs w:val="16"/>
          <w:b w:val="1"/>
          <w:bCs w:val="1"/>
          <w:color w:val="auto"/>
        </w:rPr>
        <w:t xml:space="preserve"> </w:t>
      </w:r>
      <w:r>
        <w:rPr>
          <w:rFonts w:ascii="Arial" w:cs="Arial" w:eastAsia="Arial" w:hAnsi="Arial"/>
          <w:sz w:val="16"/>
          <w:szCs w:val="16"/>
          <w:color w:val="auto"/>
        </w:rPr>
        <w:t>Stock reserved for issuance under the Plan shall be 5,356,204 shares (comprised of: (i) the 1,398,204 shares of Common Stock authorized under the Plan as originally adopted, (ii) an additional 850,000 shares of Common Stock authorized in the amendment and restatement of the Plan effective May 2, 2014, (iii) an additional 804,000 shares of Common Stock authorized in the amendment and restatement of the Plan effective May 1, 2017, (iv) an additional 600,000 shares of Common Stock authorized in the amendment of the Plan effective May 3, 2019), (v) an additional 270,000 shares of Common Stock authorized in the amendment of the Plan effective May 8, 2020, (vi) an additional 634,000 shares of Common Stock authorized in the amendment of the Plan effective May 7, 2021, and (vii) an additional 800,000 shares of Common Stock authorized in the amendment of the Plan effective May 15, 2023, subject to adjustment as provided herein.</w:t>
      </w:r>
    </w:p>
    <w:p>
      <w:pPr>
        <w:spacing w:after="0" w:line="112" w:lineRule="exact"/>
        <w:rPr>
          <w:rFonts w:ascii="Arial" w:cs="Arial" w:eastAsia="Arial" w:hAnsi="Arial"/>
          <w:sz w:val="16"/>
          <w:szCs w:val="16"/>
          <w:color w:val="auto"/>
        </w:rPr>
      </w:pPr>
    </w:p>
    <w:p>
      <w:pPr>
        <w:ind w:left="652" w:right="20"/>
        <w:spacing w:after="0" w:line="288" w:lineRule="auto"/>
        <w:rPr>
          <w:rFonts w:ascii="Arial" w:cs="Arial" w:eastAsia="Arial" w:hAnsi="Arial"/>
          <w:sz w:val="16"/>
          <w:szCs w:val="16"/>
          <w:color w:val="auto"/>
        </w:rPr>
      </w:pPr>
      <w:r>
        <w:rPr>
          <w:rFonts w:ascii="Arial" w:cs="Arial" w:eastAsia="Arial" w:hAnsi="Arial"/>
          <w:sz w:val="16"/>
          <w:szCs w:val="16"/>
          <w:color w:val="auto"/>
        </w:rPr>
        <w:t>Additionally, in the event that a corporation acquired by (or combined with) Huron or any subsidiary has shares available under a pre-existing plan approved by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of Common Stock authorized for grant under the Plan; provided that awards using such available shares shall not be made after the date awards or grants could have been made under the terms of the pre-existing plan, absent the acquisition or combination, and shall only be made to individuals who were not employees or directors of Huron or any subsidiary prior to such acquisition or combination. Notwithstanding the foregoing, such shares shall not increase the number of shares available for Awards of Incentive Stock Options unless such additional share limit is approved by the stockholders in accordance with Section 422 of the Code.</w:t>
      </w:r>
    </w:p>
    <w:p>
      <w:pPr>
        <w:spacing w:after="0" w:line="118" w:lineRule="exact"/>
        <w:rPr>
          <w:rFonts w:ascii="Arial" w:cs="Arial" w:eastAsia="Arial" w:hAnsi="Arial"/>
          <w:sz w:val="16"/>
          <w:szCs w:val="16"/>
          <w:color w:val="auto"/>
        </w:rPr>
      </w:pPr>
    </w:p>
    <w:p>
      <w:pPr>
        <w:ind w:left="652" w:hanging="328"/>
        <w:spacing w:after="0"/>
        <w:tabs>
          <w:tab w:leader="none" w:pos="652" w:val="left"/>
        </w:tabs>
        <w:numPr>
          <w:ilvl w:val="1"/>
          <w:numId w:val="123"/>
        </w:numPr>
        <w:rPr>
          <w:rFonts w:ascii="Arial" w:cs="Arial" w:eastAsia="Arial" w:hAnsi="Arial"/>
          <w:sz w:val="16"/>
          <w:szCs w:val="16"/>
          <w:color w:val="auto"/>
        </w:rPr>
      </w:pPr>
      <w:r>
        <w:rPr>
          <w:rFonts w:ascii="Arial" w:cs="Arial" w:eastAsia="Arial" w:hAnsi="Arial"/>
          <w:sz w:val="16"/>
          <w:szCs w:val="16"/>
          <w:b w:val="1"/>
          <w:bCs w:val="1"/>
          <w:color w:val="auto"/>
        </w:rPr>
        <w:t>Individual Limitations on Awards.</w:t>
      </w:r>
    </w:p>
    <w:p>
      <w:pPr>
        <w:spacing w:after="0" w:line="180" w:lineRule="exact"/>
        <w:rPr>
          <w:rFonts w:ascii="Arial" w:cs="Arial" w:eastAsia="Arial" w:hAnsi="Arial"/>
          <w:sz w:val="16"/>
          <w:szCs w:val="16"/>
          <w:color w:val="auto"/>
        </w:rPr>
      </w:pPr>
    </w:p>
    <w:p>
      <w:pPr>
        <w:ind w:left="1292" w:right="520" w:hanging="464"/>
        <w:spacing w:after="0" w:line="321" w:lineRule="auto"/>
        <w:tabs>
          <w:tab w:leader="none" w:pos="1292" w:val="left"/>
        </w:tabs>
        <w:numPr>
          <w:ilvl w:val="2"/>
          <w:numId w:val="123"/>
        </w:numPr>
        <w:rPr>
          <w:rFonts w:ascii="Arial" w:cs="Arial" w:eastAsia="Arial" w:hAnsi="Arial"/>
          <w:sz w:val="16"/>
          <w:szCs w:val="16"/>
          <w:color w:val="auto"/>
        </w:rPr>
      </w:pPr>
      <w:r>
        <w:rPr>
          <w:rFonts w:ascii="Arial" w:cs="Arial" w:eastAsia="Arial" w:hAnsi="Arial"/>
          <w:sz w:val="16"/>
          <w:szCs w:val="16"/>
          <w:color w:val="auto"/>
        </w:rPr>
        <w:t>The maximum number of shares of Common Stock that may be granted to any Participant during any calendar-year period with respect to Full Value Awards that are intended to be Performance-Based</w:t>
      </w:r>
    </w:p>
    <w:p>
      <w:pPr>
        <w:sectPr>
          <w:pgSz w:w="11900" w:h="16838" w:orient="portrait"/>
          <w:cols w:equalWidth="0" w:num="1">
            <w:col w:w="9072"/>
          </w:cols>
          <w:pgMar w:left="1408" w:top="139" w:right="1419" w:bottom="0" w:gutter="0" w:footer="0" w:header="0"/>
          <w:type w:val="continuous"/>
        </w:sectPr>
      </w:pPr>
    </w:p>
    <w:bookmarkStart w:id="89" w:name="page90"/>
    <w:bookmarkEnd w:id="89"/>
    <w:p>
      <w:pPr>
        <w:spacing w:after="0" w:line="126"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Compensation shall not exceed 500,000 shares in the aggregate (subject to adjustment as provided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-98425</wp:posOffset>
            </wp:positionV>
            <wp:extent cx="6810375" cy="281368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10375" cy="2813685"/>
                    </a:xfrm>
                    <a:prstGeom prst="rect">
                      <a:avLst/>
                    </a:prstGeom>
                    <a:noFill/>
                  </pic:spPr>
                </pic:pic>
              </a:graphicData>
            </a:graphic>
          </wp:anchor>
        </w:drawing>
      </w:r>
    </w:p>
    <w:p>
      <w:pPr>
        <w:spacing w:after="0" w:line="39" w:lineRule="exact"/>
        <w:rPr>
          <w:sz w:val="20"/>
          <w:szCs w:val="20"/>
          <w:color w:val="auto"/>
        </w:rPr>
      </w:pPr>
    </w:p>
    <w:p>
      <w:pPr>
        <w:jc w:val="both"/>
        <w:ind w:left="1580" w:right="20" w:hanging="316"/>
        <w:spacing w:after="0" w:line="310" w:lineRule="auto"/>
        <w:tabs>
          <w:tab w:leader="none" w:pos="1580" w:val="left"/>
        </w:tabs>
        <w:numPr>
          <w:ilvl w:val="1"/>
          <w:numId w:val="124"/>
        </w:numPr>
        <w:rPr>
          <w:rFonts w:ascii="Arial" w:cs="Arial" w:eastAsia="Arial" w:hAnsi="Arial"/>
          <w:sz w:val="16"/>
          <w:szCs w:val="16"/>
          <w:color w:val="auto"/>
        </w:rPr>
      </w:pPr>
      <w:r>
        <w:rPr>
          <w:rFonts w:ascii="Arial" w:cs="Arial" w:eastAsia="Arial" w:hAnsi="Arial"/>
          <w:sz w:val="16"/>
          <w:szCs w:val="16"/>
          <w:color w:val="auto"/>
        </w:rPr>
        <w:t>If Awards are denominated in shares of Common Stock but an equivalent amount of cash is delivered in lieu of shares of Common Stock, the foregoing limit shall be applied based on the methodology used by the Committee to convert the number of shares into cash.</w:t>
      </w:r>
    </w:p>
    <w:p>
      <w:pPr>
        <w:spacing w:after="0" w:line="97" w:lineRule="exact"/>
        <w:rPr>
          <w:rFonts w:ascii="Arial" w:cs="Arial" w:eastAsia="Arial" w:hAnsi="Arial"/>
          <w:sz w:val="16"/>
          <w:szCs w:val="16"/>
          <w:color w:val="auto"/>
        </w:rPr>
      </w:pPr>
    </w:p>
    <w:p>
      <w:pPr>
        <w:ind w:left="1580" w:hanging="316"/>
        <w:spacing w:after="0" w:line="301" w:lineRule="auto"/>
        <w:tabs>
          <w:tab w:leader="none" w:pos="1580" w:val="left"/>
        </w:tabs>
        <w:numPr>
          <w:ilvl w:val="1"/>
          <w:numId w:val="124"/>
        </w:numPr>
        <w:rPr>
          <w:rFonts w:ascii="Arial" w:cs="Arial" w:eastAsia="Arial" w:hAnsi="Arial"/>
          <w:sz w:val="16"/>
          <w:szCs w:val="16"/>
          <w:color w:val="auto"/>
        </w:rPr>
      </w:pPr>
      <w:r>
        <w:rPr>
          <w:rFonts w:ascii="Arial" w:cs="Arial" w:eastAsia="Arial" w:hAnsi="Arial"/>
          <w:sz w:val="16"/>
          <w:szCs w:val="16"/>
          <w:color w:val="auto"/>
        </w:rPr>
        <w:t>If delivery of shares of Common Stock or cash is deferred until after shares of Common Stock have been earned, any adjustment in the amount delivered to reflect actual or deemed investment experience after the date the shares are earned shall be disregarded.</w:t>
      </w:r>
    </w:p>
    <w:p>
      <w:pPr>
        <w:spacing w:after="0" w:line="104" w:lineRule="exact"/>
        <w:rPr>
          <w:rFonts w:ascii="Arial" w:cs="Arial" w:eastAsia="Arial" w:hAnsi="Arial"/>
          <w:sz w:val="16"/>
          <w:szCs w:val="16"/>
          <w:color w:val="auto"/>
        </w:rPr>
      </w:pPr>
    </w:p>
    <w:p>
      <w:pPr>
        <w:ind w:left="1260" w:right="20" w:hanging="499"/>
        <w:spacing w:after="0" w:line="296" w:lineRule="auto"/>
        <w:tabs>
          <w:tab w:leader="none" w:pos="126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For any participant who is an outside director of Huron, the aggregate grant date fair value of Awards granted to such individual during any calendar year, along with any regular cash retainer or meeting fees paid to such participant during such calendar year shall not exceed $1,500,000; provided, however, that if an individual employee becomes an outside director (or vice versa) during a calendar year, the limit in this sentence shall not apply to Awards granted to the individual in the individual’s capacity as an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0"/>
        <w:spacing w:after="0"/>
        <w:tabs>
          <w:tab w:leader="none" w:pos="4380" w:val="left"/>
          <w:tab w:leader="none" w:pos="772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13"/>
          <w:szCs w:val="13"/>
          <w:b w:val="1"/>
          <w:bCs w:val="1"/>
          <w:color w:val="00558C"/>
        </w:rPr>
        <w:t>A-6</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351790</wp:posOffset>
            </wp:positionV>
            <wp:extent cx="6810375" cy="76200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10375" cy="7620000"/>
                    </a:xfrm>
                    <a:prstGeom prst="rect">
                      <a:avLst/>
                    </a:prstGeom>
                    <a:noFill/>
                  </pic:spPr>
                </pic:pic>
              </a:graphicData>
            </a:graphic>
          </wp:anchor>
        </w:drawing>
      </w:r>
    </w:p>
    <w:p>
      <w:pPr>
        <w:sectPr>
          <w:pgSz w:w="11900" w:h="16964" w:orient="portrait"/>
          <w:cols w:equalWidth="0" w:num="1">
            <w:col w:w="9040"/>
          </w:cols>
          <w:pgMar w:left="1440" w:top="111" w:right="14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20"/>
        <w:spacing w:after="0" w:line="274" w:lineRule="auto"/>
        <w:rPr>
          <w:sz w:val="20"/>
          <w:szCs w:val="20"/>
          <w:color w:val="auto"/>
        </w:rPr>
      </w:pPr>
      <w:r>
        <w:rPr>
          <w:rFonts w:ascii="Arial" w:cs="Arial" w:eastAsia="Arial" w:hAnsi="Arial"/>
          <w:sz w:val="13"/>
          <w:szCs w:val="13"/>
          <w:b w:val="1"/>
          <w:bCs w:val="1"/>
          <w:color w:val="B2B3B6"/>
        </w:rPr>
        <w:t>General Proposal Information 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line="274" w:lineRule="auto"/>
        <w:rPr>
          <w:sz w:val="20"/>
          <w:szCs w:val="20"/>
          <w:color w:val="auto"/>
        </w:rPr>
      </w:pPr>
      <w:r>
        <w:rPr>
          <w:rFonts w:ascii="Arial" w:cs="Arial" w:eastAsia="Arial" w:hAnsi="Arial"/>
          <w:sz w:val="13"/>
          <w:szCs w:val="13"/>
          <w:b w:val="1"/>
          <w:bCs w:val="1"/>
          <w:color w:val="B2B3B6"/>
        </w:rPr>
        <w:t>Corporate Proposal Executive Governance Two 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200"/>
        <w:spacing w:after="0" w:line="274" w:lineRule="auto"/>
        <w:rPr>
          <w:sz w:val="20"/>
          <w:szCs w:val="20"/>
          <w:color w:val="auto"/>
        </w:rPr>
      </w:pPr>
      <w:r>
        <w:rPr>
          <w:rFonts w:ascii="Arial" w:cs="Arial" w:eastAsia="Arial" w:hAnsi="Arial"/>
          <w:sz w:val="13"/>
          <w:szCs w:val="13"/>
          <w:b w:val="1"/>
          <w:bCs w:val="1"/>
          <w:color w:val="B2B3B6"/>
        </w:rPr>
        <w:t xml:space="preserve">Proposal Proposal Proposal Stockholder </w:t>
      </w:r>
      <w:r>
        <w:rPr>
          <w:rFonts w:ascii="Arial" w:cs="Arial" w:eastAsia="Arial" w:hAnsi="Arial"/>
          <w:sz w:val="13"/>
          <w:szCs w:val="13"/>
          <w:b w:val="1"/>
          <w:bCs w:val="1"/>
          <w:color w:val="6AAA37"/>
        </w:rPr>
        <w:t>Other</w:t>
      </w:r>
      <w:r>
        <w:rPr>
          <w:rFonts w:ascii="Arial" w:cs="Arial" w:eastAsia="Arial" w:hAnsi="Arial"/>
          <w:sz w:val="13"/>
          <w:szCs w:val="13"/>
          <w:b w:val="1"/>
          <w:bCs w:val="1"/>
          <w:color w:val="B2B3B6"/>
        </w:rPr>
        <w:t xml:space="preserve"> Three Four Five Proposals </w:t>
      </w:r>
      <w:r>
        <w:rPr>
          <w:rFonts w:ascii="Arial" w:cs="Arial" w:eastAsia="Arial" w:hAnsi="Arial"/>
          <w:sz w:val="13"/>
          <w:szCs w:val="13"/>
          <w:b w:val="1"/>
          <w:bCs w:val="1"/>
          <w:color w:val="6AAA37"/>
        </w:rPr>
        <w:t>Matters</w:t>
      </w:r>
    </w:p>
    <w:p>
      <w:pPr>
        <w:spacing w:after="0" w:line="200" w:lineRule="exact"/>
        <w:rPr>
          <w:sz w:val="20"/>
          <w:szCs w:val="20"/>
          <w:color w:val="auto"/>
        </w:rPr>
      </w:pPr>
    </w:p>
    <w:p>
      <w:pPr>
        <w:sectPr>
          <w:pgSz w:w="11900" w:h="16964" w:orient="portrait"/>
          <w:cols w:equalWidth="0" w:num="3">
            <w:col w:w="1560" w:space="300"/>
            <w:col w:w="2700" w:space="320"/>
            <w:col w:w="4160"/>
          </w:cols>
          <w:pgMar w:left="1440" w:top="111" w:right="1419" w:bottom="0" w:gutter="0" w:footer="0" w:header="0"/>
          <w:type w:val="continuous"/>
        </w:sectPr>
      </w:pPr>
    </w:p>
    <w:p>
      <w:pPr>
        <w:spacing w:after="0" w:line="151" w:lineRule="exact"/>
        <w:rPr>
          <w:sz w:val="20"/>
          <w:szCs w:val="20"/>
          <w:color w:val="auto"/>
        </w:rPr>
      </w:pPr>
    </w:p>
    <w:p>
      <w:pPr>
        <w:ind w:left="620" w:right="240" w:hanging="328"/>
        <w:spacing w:after="0" w:line="321" w:lineRule="auto"/>
        <w:tabs>
          <w:tab w:leader="none" w:pos="620" w:val="left"/>
        </w:tabs>
        <w:numPr>
          <w:ilvl w:val="0"/>
          <w:numId w:val="126"/>
        </w:numPr>
        <w:rPr>
          <w:rFonts w:ascii="Arial" w:cs="Arial" w:eastAsia="Arial" w:hAnsi="Arial"/>
          <w:sz w:val="16"/>
          <w:szCs w:val="16"/>
          <w:color w:val="auto"/>
        </w:rPr>
      </w:pPr>
      <w:r>
        <w:rPr>
          <w:rFonts w:ascii="Arial" w:cs="Arial" w:eastAsia="Arial" w:hAnsi="Arial"/>
          <w:sz w:val="16"/>
          <w:szCs w:val="16"/>
          <w:b w:val="1"/>
          <w:bCs w:val="1"/>
          <w:color w:val="auto"/>
        </w:rPr>
        <w:t xml:space="preserve">Limits on Incentive Stock Options. </w:t>
      </w:r>
      <w:r>
        <w:rPr>
          <w:rFonts w:ascii="Arial" w:cs="Arial" w:eastAsia="Arial" w:hAnsi="Arial"/>
          <w:sz w:val="16"/>
          <w:szCs w:val="16"/>
          <w:color w:val="auto"/>
        </w:rPr>
        <w:t>The maximum number of shares of Common Stock to which Incentive Stock</w:t>
      </w:r>
      <w:r>
        <w:rPr>
          <w:rFonts w:ascii="Arial" w:cs="Arial" w:eastAsia="Arial" w:hAnsi="Arial"/>
          <w:sz w:val="16"/>
          <w:szCs w:val="16"/>
          <w:b w:val="1"/>
          <w:bCs w:val="1"/>
          <w:color w:val="auto"/>
        </w:rPr>
        <w:t xml:space="preserve"> </w:t>
      </w:r>
      <w:r>
        <w:rPr>
          <w:rFonts w:ascii="Arial" w:cs="Arial" w:eastAsia="Arial" w:hAnsi="Arial"/>
          <w:sz w:val="16"/>
          <w:szCs w:val="16"/>
          <w:color w:val="auto"/>
        </w:rPr>
        <w:t>Options relate that may be granted under the Plan shall be 325,000 (subject to adjustment as provided herein).</w:t>
      </w:r>
    </w:p>
    <w:p>
      <w:pPr>
        <w:spacing w:after="0" w:line="88" w:lineRule="exact"/>
        <w:rPr>
          <w:rFonts w:ascii="Arial" w:cs="Arial" w:eastAsia="Arial" w:hAnsi="Arial"/>
          <w:sz w:val="16"/>
          <w:szCs w:val="16"/>
          <w:color w:val="auto"/>
        </w:rPr>
      </w:pPr>
    </w:p>
    <w:p>
      <w:pPr>
        <w:ind w:left="620" w:right="20" w:hanging="328"/>
        <w:spacing w:after="0" w:line="295" w:lineRule="auto"/>
        <w:tabs>
          <w:tab w:leader="none" w:pos="620" w:val="left"/>
        </w:tabs>
        <w:numPr>
          <w:ilvl w:val="0"/>
          <w:numId w:val="126"/>
        </w:numPr>
        <w:rPr>
          <w:rFonts w:ascii="Arial" w:cs="Arial" w:eastAsia="Arial" w:hAnsi="Arial"/>
          <w:sz w:val="16"/>
          <w:szCs w:val="16"/>
          <w:color w:val="auto"/>
        </w:rPr>
      </w:pPr>
      <w:r>
        <w:rPr>
          <w:rFonts w:ascii="Arial" w:cs="Arial" w:eastAsia="Arial" w:hAnsi="Arial"/>
          <w:sz w:val="16"/>
          <w:szCs w:val="16"/>
          <w:b w:val="1"/>
          <w:bCs w:val="1"/>
          <w:color w:val="auto"/>
        </w:rPr>
        <w:t xml:space="preserve">Individual Limitations on Cash Incentive Awards. </w:t>
      </w:r>
      <w:r>
        <w:rPr>
          <w:rFonts w:ascii="Arial" w:cs="Arial" w:eastAsia="Arial" w:hAnsi="Arial"/>
          <w:sz w:val="16"/>
          <w:szCs w:val="16"/>
          <w:color w:val="auto"/>
        </w:rPr>
        <w:t>The maximum amount payable to any Participant for any 12-month performance period with respect to a Cash Incentive Award granted under the Plan that is intended to be Performance- Based Compensation shall be $10,000,000 (prorated for performance periods that are greater or lesser than 12 months). For purposes of this Section 4(e):</w:t>
      </w:r>
    </w:p>
    <w:p>
      <w:pPr>
        <w:spacing w:after="0" w:line="107" w:lineRule="exact"/>
        <w:rPr>
          <w:rFonts w:ascii="Arial" w:cs="Arial" w:eastAsia="Arial" w:hAnsi="Arial"/>
          <w:sz w:val="16"/>
          <w:szCs w:val="16"/>
          <w:color w:val="auto"/>
        </w:rPr>
      </w:pPr>
    </w:p>
    <w:p>
      <w:pPr>
        <w:ind w:left="1260" w:right="440" w:hanging="464"/>
        <w:spacing w:after="0" w:line="310" w:lineRule="auto"/>
        <w:tabs>
          <w:tab w:leader="none" w:pos="1260" w:val="left"/>
        </w:tabs>
        <w:numPr>
          <w:ilvl w:val="1"/>
          <w:numId w:val="126"/>
        </w:numPr>
        <w:rPr>
          <w:rFonts w:ascii="Arial" w:cs="Arial" w:eastAsia="Arial" w:hAnsi="Arial"/>
          <w:sz w:val="16"/>
          <w:szCs w:val="16"/>
          <w:color w:val="auto"/>
        </w:rPr>
      </w:pPr>
      <w:r>
        <w:rPr>
          <w:rFonts w:ascii="Arial" w:cs="Arial" w:eastAsia="Arial" w:hAnsi="Arial"/>
          <w:sz w:val="16"/>
          <w:szCs w:val="16"/>
          <w:color w:val="auto"/>
        </w:rPr>
        <w:t>If the Award is denominated in cash but an equivalent amount of Common Stock is delivered in lieu of delivery of cash, the foregoing limit shall be applied to the cash based on the methodology used by the Committee to convert the cash into shares.</w:t>
      </w:r>
    </w:p>
    <w:p>
      <w:pPr>
        <w:spacing w:after="0" w:line="83" w:lineRule="exact"/>
        <w:rPr>
          <w:rFonts w:ascii="Arial" w:cs="Arial" w:eastAsia="Arial" w:hAnsi="Arial"/>
          <w:sz w:val="16"/>
          <w:szCs w:val="16"/>
          <w:color w:val="auto"/>
        </w:rPr>
      </w:pPr>
    </w:p>
    <w:p>
      <w:pPr>
        <w:jc w:val="both"/>
        <w:ind w:left="1260" w:right="100" w:hanging="499"/>
        <w:spacing w:after="0" w:line="310" w:lineRule="auto"/>
        <w:tabs>
          <w:tab w:leader="none" w:pos="1260" w:val="left"/>
        </w:tabs>
        <w:numPr>
          <w:ilvl w:val="1"/>
          <w:numId w:val="126"/>
        </w:numPr>
        <w:rPr>
          <w:rFonts w:ascii="Arial" w:cs="Arial" w:eastAsia="Arial" w:hAnsi="Arial"/>
          <w:sz w:val="16"/>
          <w:szCs w:val="16"/>
          <w:color w:val="auto"/>
        </w:rPr>
      </w:pPr>
      <w:r>
        <w:rPr>
          <w:rFonts w:ascii="Arial" w:cs="Arial" w:eastAsia="Arial" w:hAnsi="Arial"/>
          <w:sz w:val="16"/>
          <w:szCs w:val="16"/>
          <w:color w:val="auto"/>
        </w:rPr>
        <w:t>If delivery of shares of Common Stock or cash is deferred until after cash has been earned, any adjustment in the amount delivered to reflect actual or deemed investment experience after the date the cash is earned shall be disregarded.</w:t>
      </w:r>
    </w:p>
    <w:p>
      <w:pPr>
        <w:spacing w:after="0" w:line="97" w:lineRule="exact"/>
        <w:rPr>
          <w:rFonts w:ascii="Arial" w:cs="Arial" w:eastAsia="Arial" w:hAnsi="Arial"/>
          <w:sz w:val="16"/>
          <w:szCs w:val="16"/>
          <w:color w:val="auto"/>
        </w:rPr>
      </w:pPr>
    </w:p>
    <w:p>
      <w:pPr>
        <w:ind w:left="620" w:hanging="328"/>
        <w:spacing w:after="0" w:line="287" w:lineRule="auto"/>
        <w:tabs>
          <w:tab w:leader="none" w:pos="620" w:val="left"/>
        </w:tabs>
        <w:numPr>
          <w:ilvl w:val="0"/>
          <w:numId w:val="126"/>
        </w:numPr>
        <w:rPr>
          <w:rFonts w:ascii="Arial" w:cs="Arial" w:eastAsia="Arial" w:hAnsi="Arial"/>
          <w:sz w:val="16"/>
          <w:szCs w:val="16"/>
          <w:color w:val="auto"/>
        </w:rPr>
      </w:pPr>
      <w:r>
        <w:rPr>
          <w:rFonts w:ascii="Arial" w:cs="Arial" w:eastAsia="Arial" w:hAnsi="Arial"/>
          <w:sz w:val="16"/>
          <w:szCs w:val="16"/>
          <w:b w:val="1"/>
          <w:bCs w:val="1"/>
          <w:color w:val="auto"/>
        </w:rPr>
        <w:t xml:space="preserve">Adjustments for Change in Capitalization. </w:t>
      </w:r>
      <w:r>
        <w:rPr>
          <w:rFonts w:ascii="Arial" w:cs="Arial" w:eastAsia="Arial" w:hAnsi="Arial"/>
          <w:sz w:val="16"/>
          <w:szCs w:val="16"/>
          <w:color w:val="auto"/>
        </w:rPr>
        <w:t>In the event that any dividend or other distribution is declared (whether</w:t>
      </w:r>
      <w:r>
        <w:rPr>
          <w:rFonts w:ascii="Arial" w:cs="Arial" w:eastAsia="Arial" w:hAnsi="Arial"/>
          <w:sz w:val="16"/>
          <w:szCs w:val="16"/>
          <w:b w:val="1"/>
          <w:bCs w:val="1"/>
          <w:color w:val="auto"/>
        </w:rPr>
        <w:t xml:space="preserve"> </w:t>
      </w:r>
      <w:r>
        <w:rPr>
          <w:rFonts w:ascii="Arial" w:cs="Arial" w:eastAsia="Arial" w:hAnsi="Arial"/>
          <w:sz w:val="16"/>
          <w:szCs w:val="16"/>
          <w:color w:val="auto"/>
        </w:rPr>
        <w:t>in the form of cash, Common Stock, or other property), or there occurs any recapitalization, stock split, reverse stock split, reorganization, merger, consolidation, spin-off, combination, repurchase, share exchange or other similar corporate transaction or event, the Committee shall equitably adjust, in its sole and absolute discretion, (i) the number and kind of shares of stock which may thereafter be issued in connection with Awards; (ii) the number and kind of shares of stock or other property issued or issuable in respect of outstanding Awards; (iii) the exercise price, grant price or purchase price relating to any Award; (iv) the limitations set forth in Sections 4(b), 4(c), 4(d), and 4(e) (provided that, with respect to Incentive Stock Options, such adjustment shall be made in accordance with Section 424 of the Code and any regulations thereunder and provided further that, to the extent applicable, such adjustment shall comply with Section 409A of the Code); and (v) any other adjustments that the Committee determines to be equitable (which may include, without limitation, replacement of Awards with other Awards which the Committee determines have comparable value and which are based on stock of a company resulting from the transaction and (2) cancellation of the Award in return for cash payment of the current value of the Award, determined as though the Award is fully vested at the time of payment, provided that in the case of an Option or Stock Appreciation Right, the amount of such payment may be the excess of value of the shares of Common Stock subject to the Option or Stock Appreciation Right at the time of the transaction over the Exercise Price).</w:t>
      </w:r>
    </w:p>
    <w:p>
      <w:pPr>
        <w:spacing w:after="0" w:line="124" w:lineRule="exact"/>
        <w:rPr>
          <w:rFonts w:ascii="Arial" w:cs="Arial" w:eastAsia="Arial" w:hAnsi="Arial"/>
          <w:sz w:val="16"/>
          <w:szCs w:val="16"/>
          <w:color w:val="auto"/>
        </w:rPr>
      </w:pPr>
    </w:p>
    <w:p>
      <w:pPr>
        <w:ind w:left="620" w:right="160" w:hanging="328"/>
        <w:spacing w:after="0" w:line="321" w:lineRule="auto"/>
        <w:tabs>
          <w:tab w:leader="none" w:pos="620" w:val="left"/>
        </w:tabs>
        <w:numPr>
          <w:ilvl w:val="0"/>
          <w:numId w:val="126"/>
        </w:numPr>
        <w:rPr>
          <w:rFonts w:ascii="Arial" w:cs="Arial" w:eastAsia="Arial" w:hAnsi="Arial"/>
          <w:sz w:val="16"/>
          <w:szCs w:val="16"/>
          <w:color w:val="auto"/>
        </w:rPr>
      </w:pPr>
      <w:r>
        <w:rPr>
          <w:rFonts w:ascii="Arial" w:cs="Arial" w:eastAsia="Arial" w:hAnsi="Arial"/>
          <w:sz w:val="16"/>
          <w:szCs w:val="16"/>
          <w:b w:val="1"/>
          <w:bCs w:val="1"/>
          <w:color w:val="auto"/>
        </w:rPr>
        <w:t xml:space="preserve">Reuse of Shares. </w:t>
      </w:r>
      <w:r>
        <w:rPr>
          <w:rFonts w:ascii="Arial" w:cs="Arial" w:eastAsia="Arial" w:hAnsi="Arial"/>
          <w:sz w:val="16"/>
          <w:szCs w:val="16"/>
          <w:color w:val="auto"/>
        </w:rPr>
        <w:t>Except to the extent that to do so would prevent the grant of Incentive Stock Options hereunder,</w:t>
      </w:r>
      <w:r>
        <w:rPr>
          <w:rFonts w:ascii="Arial" w:cs="Arial" w:eastAsia="Arial" w:hAnsi="Arial"/>
          <w:sz w:val="16"/>
          <w:szCs w:val="16"/>
          <w:b w:val="1"/>
          <w:bCs w:val="1"/>
          <w:color w:val="auto"/>
        </w:rPr>
        <w:t xml:space="preserve"> </w:t>
      </w:r>
      <w:r>
        <w:rPr>
          <w:rFonts w:ascii="Arial" w:cs="Arial" w:eastAsia="Arial" w:hAnsi="Arial"/>
          <w:sz w:val="16"/>
          <w:szCs w:val="16"/>
          <w:color w:val="auto"/>
        </w:rPr>
        <w:t>the following shares of Common Stock shall again become available for Awards:</w:t>
      </w:r>
    </w:p>
    <w:p>
      <w:pPr>
        <w:spacing w:after="0" w:line="88" w:lineRule="exact"/>
        <w:rPr>
          <w:rFonts w:ascii="Arial" w:cs="Arial" w:eastAsia="Arial" w:hAnsi="Arial"/>
          <w:sz w:val="16"/>
          <w:szCs w:val="16"/>
          <w:color w:val="auto"/>
        </w:rPr>
      </w:pPr>
    </w:p>
    <w:p>
      <w:pPr>
        <w:ind w:left="1260" w:right="100" w:hanging="320"/>
        <w:spacing w:after="0" w:line="321" w:lineRule="auto"/>
        <w:tabs>
          <w:tab w:leader="none" w:pos="1260" w:val="left"/>
        </w:tabs>
        <w:numPr>
          <w:ilvl w:val="2"/>
          <w:numId w:val="126"/>
        </w:numPr>
        <w:rPr>
          <w:rFonts w:ascii="Arial" w:cs="Arial" w:eastAsia="Arial" w:hAnsi="Arial"/>
          <w:sz w:val="16"/>
          <w:szCs w:val="16"/>
          <w:color w:val="auto"/>
        </w:rPr>
      </w:pPr>
      <w:r>
        <w:rPr>
          <w:rFonts w:ascii="Arial" w:cs="Arial" w:eastAsia="Arial" w:hAnsi="Arial"/>
          <w:sz w:val="16"/>
          <w:szCs w:val="16"/>
          <w:color w:val="auto"/>
        </w:rPr>
        <w:t>any shares subject to an Award that remain unissued upon the cancellation, surrender, exchange, forfeiture or termination of such Award without having been exercised or settled; and</w:t>
      </w:r>
    </w:p>
    <w:p>
      <w:pPr>
        <w:spacing w:after="0" w:line="88" w:lineRule="exact"/>
        <w:rPr>
          <w:rFonts w:ascii="Arial" w:cs="Arial" w:eastAsia="Arial" w:hAnsi="Arial"/>
          <w:sz w:val="16"/>
          <w:szCs w:val="16"/>
          <w:color w:val="auto"/>
        </w:rPr>
      </w:pPr>
    </w:p>
    <w:p>
      <w:pPr>
        <w:ind w:left="1260" w:right="340" w:hanging="320"/>
        <w:spacing w:after="0" w:line="321" w:lineRule="auto"/>
        <w:tabs>
          <w:tab w:leader="none" w:pos="1260" w:val="left"/>
        </w:tabs>
        <w:numPr>
          <w:ilvl w:val="2"/>
          <w:numId w:val="126"/>
        </w:numPr>
        <w:rPr>
          <w:rFonts w:ascii="Arial" w:cs="Arial" w:eastAsia="Arial" w:hAnsi="Arial"/>
          <w:sz w:val="16"/>
          <w:szCs w:val="16"/>
          <w:color w:val="auto"/>
        </w:rPr>
      </w:pPr>
      <w:r>
        <w:rPr>
          <w:rFonts w:ascii="Arial" w:cs="Arial" w:eastAsia="Arial" w:hAnsi="Arial"/>
          <w:sz w:val="16"/>
          <w:szCs w:val="16"/>
          <w:color w:val="auto"/>
        </w:rPr>
        <w:t>to the extent an Award is paid or settled in cash, the number of shares of Common Stock with respect to which such payment or settlement is made.</w:t>
      </w:r>
    </w:p>
    <w:p>
      <w:pPr>
        <w:spacing w:after="0" w:line="8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The following shares of Common Stock shall not again be made available for grants pursuant to the Plan:</w:t>
      </w:r>
    </w:p>
    <w:p>
      <w:pPr>
        <w:spacing w:after="0" w:line="181" w:lineRule="exact"/>
        <w:rPr>
          <w:sz w:val="20"/>
          <w:szCs w:val="20"/>
          <w:color w:val="auto"/>
        </w:rPr>
      </w:pPr>
    </w:p>
    <w:p>
      <w:pPr>
        <w:ind w:left="1260" w:hanging="320"/>
        <w:spacing w:after="0"/>
        <w:tabs>
          <w:tab w:leader="none" w:pos="126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any shares subject to an Award that are retained as payment of the exercise price of an Option;</w:t>
      </w:r>
    </w:p>
    <w:p>
      <w:pPr>
        <w:spacing w:after="0" w:line="167" w:lineRule="exact"/>
        <w:rPr>
          <w:rFonts w:ascii="Arial" w:cs="Arial" w:eastAsia="Arial" w:hAnsi="Arial"/>
          <w:sz w:val="16"/>
          <w:szCs w:val="16"/>
          <w:color w:val="auto"/>
        </w:rPr>
      </w:pPr>
    </w:p>
    <w:p>
      <w:pPr>
        <w:ind w:left="1260" w:right="60" w:hanging="320"/>
        <w:spacing w:after="0" w:line="310" w:lineRule="auto"/>
        <w:tabs>
          <w:tab w:leader="none" w:pos="126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any shares retained to satisfy: (A) all tax withholding obligations with respect to an Option or Stock Appreciation Right, or (B) tax withholding obligations in excess of the minimum required withholding amount with respect to a Full Value Award; and</w:t>
      </w:r>
    </w:p>
    <w:p>
      <w:pPr>
        <w:spacing w:after="0" w:line="97" w:lineRule="exact"/>
        <w:rPr>
          <w:rFonts w:ascii="Arial" w:cs="Arial" w:eastAsia="Arial" w:hAnsi="Arial"/>
          <w:sz w:val="16"/>
          <w:szCs w:val="16"/>
          <w:color w:val="auto"/>
        </w:rPr>
      </w:pPr>
    </w:p>
    <w:p>
      <w:pPr>
        <w:ind w:left="1260" w:hanging="320"/>
        <w:spacing w:after="0"/>
        <w:tabs>
          <w:tab w:leader="none" w:pos="126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any shares repurchased by Huron using stock option exercise proceeds.</w:t>
      </w:r>
    </w:p>
    <w:p>
      <w:pPr>
        <w:spacing w:after="0" w:line="181" w:lineRule="exact"/>
        <w:rPr>
          <w:sz w:val="20"/>
          <w:szCs w:val="20"/>
          <w:color w:val="auto"/>
        </w:rPr>
      </w:pPr>
    </w:p>
    <w:p>
      <w:pPr>
        <w:ind w:left="780" w:right="380"/>
        <w:spacing w:after="0" w:line="321" w:lineRule="auto"/>
        <w:rPr>
          <w:sz w:val="20"/>
          <w:szCs w:val="20"/>
          <w:color w:val="auto"/>
        </w:rPr>
      </w:pPr>
      <w:r>
        <w:rPr>
          <w:rFonts w:ascii="Arial" w:cs="Arial" w:eastAsia="Arial" w:hAnsi="Arial"/>
          <w:sz w:val="16"/>
          <w:szCs w:val="16"/>
          <w:color w:val="auto"/>
        </w:rPr>
        <w:t>For stock-settled Stock Appreciation Rights, the shares subject to the Award shall be counted against the Plan reserve, regardless of the number of shares issued.</w:t>
      </w:r>
    </w:p>
    <w:p>
      <w:pPr>
        <w:sectPr>
          <w:pgSz w:w="11900" w:h="16964" w:orient="portrait"/>
          <w:cols w:equalWidth="0" w:num="1">
            <w:col w:w="9040"/>
          </w:cols>
          <w:pgMar w:left="1440" w:top="111" w:right="1419" w:bottom="0" w:gutter="0" w:footer="0" w:header="0"/>
          <w:type w:val="continuous"/>
        </w:sectPr>
      </w:pPr>
    </w:p>
    <w:bookmarkStart w:id="90" w:name="page91"/>
    <w:bookmarkEnd w:id="90"/>
    <w:p>
      <w:pPr>
        <w:jc w:val="both"/>
        <w:ind w:left="652" w:right="60" w:hanging="328"/>
        <w:spacing w:after="0" w:line="301" w:lineRule="auto"/>
        <w:tabs>
          <w:tab w:leader="none" w:pos="652" w:val="left"/>
        </w:tabs>
        <w:numPr>
          <w:ilvl w:val="0"/>
          <w:numId w:val="128"/>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12363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10375" cy="1236345"/>
                    </a:xfrm>
                    <a:prstGeom prst="rect">
                      <a:avLst/>
                    </a:prstGeom>
                    <a:noFill/>
                  </pic:spPr>
                </pic:pic>
              </a:graphicData>
            </a:graphic>
          </wp:anchor>
        </w:drawing>
        <w:t xml:space="preserve">Special Vesting Rules for All Awards. </w:t>
      </w:r>
      <w:r>
        <w:rPr>
          <w:rFonts w:ascii="Arial" w:cs="Arial" w:eastAsia="Arial" w:hAnsi="Arial"/>
          <w:sz w:val="16"/>
          <w:szCs w:val="16"/>
          <w:color w:val="auto"/>
        </w:rPr>
        <w:t>Except for Awards (when aggregated with all other Awards under the Plan)</w:t>
      </w:r>
      <w:r>
        <w:rPr>
          <w:rFonts w:ascii="Arial" w:cs="Arial" w:eastAsia="Arial" w:hAnsi="Arial"/>
          <w:sz w:val="16"/>
          <w:szCs w:val="16"/>
          <w:b w:val="1"/>
          <w:bCs w:val="1"/>
          <w:color w:val="auto"/>
        </w:rPr>
        <w:t xml:space="preserve"> </w:t>
      </w:r>
      <w:r>
        <w:rPr>
          <w:rFonts w:ascii="Arial" w:cs="Arial" w:eastAsia="Arial" w:hAnsi="Arial"/>
          <w:sz w:val="16"/>
          <w:szCs w:val="16"/>
          <w:color w:val="auto"/>
        </w:rPr>
        <w:t>which do not exceed 5% of the total number of shares of Common Stock reserved for issuance under the Plan in the aggregate, in no event shall the required period of service for full vesting be less than one year (subject, to the extent</w:t>
      </w:r>
    </w:p>
    <w:p>
      <w:pPr>
        <w:spacing w:after="0" w:line="200" w:lineRule="exact"/>
        <w:rPr>
          <w:sz w:val="20"/>
          <w:szCs w:val="20"/>
          <w:color w:val="auto"/>
        </w:rPr>
      </w:pPr>
    </w:p>
    <w:p>
      <w:pPr>
        <w:spacing w:after="0" w:line="346" w:lineRule="exact"/>
        <w:rPr>
          <w:sz w:val="20"/>
          <w:szCs w:val="20"/>
          <w:color w:val="auto"/>
        </w:rPr>
      </w:pPr>
    </w:p>
    <w:p>
      <w:pPr>
        <w:ind w:left="52"/>
        <w:spacing w:after="0"/>
        <w:tabs>
          <w:tab w:leader="none" w:pos="4412" w:val="left"/>
          <w:tab w:leader="none" w:pos="7752"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13"/>
          <w:szCs w:val="13"/>
          <w:b w:val="1"/>
          <w:bCs w:val="1"/>
          <w:color w:val="00558C"/>
        </w:rPr>
        <w:t>A-7</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wp:posOffset>
            </wp:positionH>
            <wp:positionV relativeFrom="paragraph">
              <wp:posOffset>351790</wp:posOffset>
            </wp:positionV>
            <wp:extent cx="6810375" cy="886777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2"/>
        <w:spacing w:after="0"/>
        <w:tabs>
          <w:tab w:leader="none" w:pos="1032" w:val="left"/>
          <w:tab w:leader="none" w:pos="1872" w:val="left"/>
          <w:tab w:leader="none" w:pos="2872" w:val="left"/>
          <w:tab w:leader="none" w:pos="3692" w:val="left"/>
          <w:tab w:leader="none" w:pos="4892" w:val="left"/>
          <w:tab w:leader="none" w:pos="5712" w:val="left"/>
          <w:tab w:leader="none" w:pos="6532" w:val="left"/>
          <w:tab w:leader="none" w:pos="7352" w:val="left"/>
          <w:tab w:leader="none" w:pos="8392" w:val="left"/>
        </w:tabs>
        <w:rPr>
          <w:sz w:val="20"/>
          <w:szCs w:val="20"/>
          <w:color w:val="auto"/>
        </w:rPr>
      </w:pPr>
      <w:r>
        <w:rPr>
          <w:rFonts w:ascii="Arial" w:cs="Arial" w:eastAsia="Arial" w:hAnsi="Arial"/>
          <w:sz w:val="13"/>
          <w:szCs w:val="13"/>
          <w:b w:val="1"/>
          <w:bCs w:val="1"/>
          <w:color w:val="B2B3B6"/>
        </w:rPr>
        <w:t>General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Corporate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Executive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Stockholder</w:t>
      </w:r>
      <w:r>
        <w:rPr>
          <w:sz w:val="20"/>
          <w:szCs w:val="20"/>
          <w:color w:val="auto"/>
        </w:rPr>
        <w:tab/>
      </w:r>
      <w:r>
        <w:rPr>
          <w:rFonts w:ascii="Arial" w:cs="Arial" w:eastAsia="Arial" w:hAnsi="Arial"/>
          <w:sz w:val="12"/>
          <w:szCs w:val="12"/>
          <w:b w:val="1"/>
          <w:bCs w:val="1"/>
          <w:color w:val="6AAA37"/>
        </w:rPr>
        <w:t>Other</w:t>
      </w:r>
    </w:p>
    <w:p>
      <w:pPr>
        <w:spacing w:after="0" w:line="11" w:lineRule="exact"/>
        <w:rPr>
          <w:sz w:val="20"/>
          <w:szCs w:val="20"/>
          <w:color w:val="auto"/>
        </w:rPr>
      </w:pPr>
    </w:p>
    <w:p>
      <w:pPr>
        <w:ind w:left="52"/>
        <w:spacing w:after="0"/>
        <w:tabs>
          <w:tab w:leader="none" w:pos="1032" w:val="left"/>
          <w:tab w:leader="none" w:pos="1872" w:val="left"/>
          <w:tab w:leader="none" w:pos="2872" w:val="left"/>
          <w:tab w:leader="none" w:pos="3692" w:val="left"/>
          <w:tab w:leader="none" w:pos="4892" w:val="left"/>
          <w:tab w:leader="none" w:pos="5712" w:val="left"/>
          <w:tab w:leader="none" w:pos="6532" w:val="left"/>
          <w:tab w:leader="none" w:pos="7352" w:val="left"/>
          <w:tab w:leader="none" w:pos="8392" w:val="left"/>
        </w:tabs>
        <w:rPr>
          <w:sz w:val="20"/>
          <w:szCs w:val="20"/>
          <w:color w:val="auto"/>
        </w:rPr>
      </w:pPr>
      <w:r>
        <w:rPr>
          <w:rFonts w:ascii="Arial" w:cs="Arial" w:eastAsia="Arial" w:hAnsi="Arial"/>
          <w:sz w:val="13"/>
          <w:szCs w:val="13"/>
          <w:b w:val="1"/>
          <w:bCs w:val="1"/>
          <w:color w:val="B2B3B6"/>
        </w:rPr>
        <w:t>Information</w:t>
      </w:r>
      <w:r>
        <w:rPr>
          <w:sz w:val="20"/>
          <w:szCs w:val="20"/>
          <w:color w:val="auto"/>
        </w:rPr>
        <w:tab/>
      </w:r>
      <w:r>
        <w:rPr>
          <w:rFonts w:ascii="Arial" w:cs="Arial" w:eastAsia="Arial" w:hAnsi="Arial"/>
          <w:sz w:val="13"/>
          <w:szCs w:val="13"/>
          <w:b w:val="1"/>
          <w:bCs w:val="1"/>
          <w:color w:val="B2B3B6"/>
        </w:rPr>
        <w:t>One</w:t>
      </w:r>
      <w:r>
        <w:rPr>
          <w:sz w:val="20"/>
          <w:szCs w:val="20"/>
          <w:color w:val="auto"/>
        </w:rPr>
        <w:tab/>
      </w:r>
      <w:r>
        <w:rPr>
          <w:rFonts w:ascii="Arial" w:cs="Arial" w:eastAsia="Arial" w:hAnsi="Arial"/>
          <w:sz w:val="13"/>
          <w:szCs w:val="13"/>
          <w:b w:val="1"/>
          <w:bCs w:val="1"/>
          <w:color w:val="B2B3B6"/>
        </w:rPr>
        <w:t>Governance</w:t>
      </w:r>
      <w:r>
        <w:rPr>
          <w:sz w:val="20"/>
          <w:szCs w:val="20"/>
          <w:color w:val="auto"/>
        </w:rPr>
        <w:tab/>
      </w:r>
      <w:r>
        <w:rPr>
          <w:rFonts w:ascii="Arial" w:cs="Arial" w:eastAsia="Arial" w:hAnsi="Arial"/>
          <w:sz w:val="13"/>
          <w:szCs w:val="13"/>
          <w:b w:val="1"/>
          <w:bCs w:val="1"/>
          <w:color w:val="B2B3B6"/>
        </w:rPr>
        <w:t>Two</w:t>
      </w:r>
      <w:r>
        <w:rPr>
          <w:sz w:val="20"/>
          <w:szCs w:val="20"/>
          <w:color w:val="auto"/>
        </w:rPr>
        <w:tab/>
      </w:r>
      <w:r>
        <w:rPr>
          <w:rFonts w:ascii="Arial" w:cs="Arial" w:eastAsia="Arial" w:hAnsi="Arial"/>
          <w:sz w:val="13"/>
          <w:szCs w:val="13"/>
          <w:b w:val="1"/>
          <w:bCs w:val="1"/>
          <w:color w:val="B2B3B6"/>
        </w:rPr>
        <w:t>Compensation</w:t>
      </w:r>
      <w:r>
        <w:rPr>
          <w:sz w:val="20"/>
          <w:szCs w:val="20"/>
          <w:color w:val="auto"/>
        </w:rPr>
        <w:tab/>
      </w:r>
      <w:r>
        <w:rPr>
          <w:rFonts w:ascii="Arial" w:cs="Arial" w:eastAsia="Arial" w:hAnsi="Arial"/>
          <w:sz w:val="13"/>
          <w:szCs w:val="13"/>
          <w:b w:val="1"/>
          <w:bCs w:val="1"/>
          <w:color w:val="B2B3B6"/>
        </w:rPr>
        <w:t>Three</w:t>
      </w:r>
      <w:r>
        <w:rPr>
          <w:sz w:val="20"/>
          <w:szCs w:val="20"/>
          <w:color w:val="auto"/>
        </w:rPr>
        <w:tab/>
      </w:r>
      <w:r>
        <w:rPr>
          <w:rFonts w:ascii="Arial" w:cs="Arial" w:eastAsia="Arial" w:hAnsi="Arial"/>
          <w:sz w:val="13"/>
          <w:szCs w:val="13"/>
          <w:b w:val="1"/>
          <w:bCs w:val="1"/>
          <w:color w:val="B2B3B6"/>
        </w:rPr>
        <w:t>Four</w:t>
      </w:r>
      <w:r>
        <w:rPr>
          <w:sz w:val="20"/>
          <w:szCs w:val="20"/>
          <w:color w:val="auto"/>
        </w:rPr>
        <w:tab/>
      </w:r>
      <w:r>
        <w:rPr>
          <w:rFonts w:ascii="Arial" w:cs="Arial" w:eastAsia="Arial" w:hAnsi="Arial"/>
          <w:sz w:val="13"/>
          <w:szCs w:val="13"/>
          <w:b w:val="1"/>
          <w:bCs w:val="1"/>
          <w:color w:val="B2B3B6"/>
        </w:rPr>
        <w:t>Five</w:t>
      </w:r>
      <w:r>
        <w:rPr>
          <w:sz w:val="20"/>
          <w:szCs w:val="20"/>
          <w:color w:val="auto"/>
        </w:rPr>
        <w:tab/>
      </w:r>
      <w:r>
        <w:rPr>
          <w:rFonts w:ascii="Arial" w:cs="Arial" w:eastAsia="Arial" w:hAnsi="Arial"/>
          <w:sz w:val="13"/>
          <w:szCs w:val="13"/>
          <w:b w:val="1"/>
          <w:bCs w:val="1"/>
          <w:color w:val="B2B3B6"/>
        </w:rPr>
        <w:t>Proposals</w:t>
      </w:r>
      <w:r>
        <w:rPr>
          <w:sz w:val="20"/>
          <w:szCs w:val="20"/>
          <w:color w:val="auto"/>
        </w:rPr>
        <w:tab/>
      </w:r>
      <w:r>
        <w:rPr>
          <w:rFonts w:ascii="Arial" w:cs="Arial" w:eastAsia="Arial" w:hAnsi="Arial"/>
          <w:sz w:val="12"/>
          <w:szCs w:val="12"/>
          <w:b w:val="1"/>
          <w:bCs w:val="1"/>
          <w:color w:val="6AAA37"/>
        </w:rPr>
        <w:t>Matters</w:t>
      </w:r>
    </w:p>
    <w:p>
      <w:pPr>
        <w:spacing w:after="0" w:line="382" w:lineRule="exact"/>
        <w:rPr>
          <w:sz w:val="20"/>
          <w:szCs w:val="20"/>
          <w:color w:val="auto"/>
        </w:rPr>
      </w:pPr>
    </w:p>
    <w:p>
      <w:pPr>
        <w:ind w:left="652" w:right="140"/>
        <w:spacing w:after="0" w:line="321" w:lineRule="auto"/>
        <w:rPr>
          <w:sz w:val="20"/>
          <w:szCs w:val="20"/>
          <w:color w:val="auto"/>
        </w:rPr>
      </w:pPr>
      <w:r>
        <w:rPr>
          <w:rFonts w:ascii="Arial" w:cs="Arial" w:eastAsia="Arial" w:hAnsi="Arial"/>
          <w:sz w:val="16"/>
          <w:szCs w:val="16"/>
          <w:color w:val="auto"/>
        </w:rPr>
        <w:t>provided by the Committee, to acceleration of vesting in the event of the Participant’s death, Disability, or Change of Control).</w:t>
      </w:r>
    </w:p>
    <w:p>
      <w:pPr>
        <w:spacing w:after="0" w:line="88" w:lineRule="exact"/>
        <w:rPr>
          <w:sz w:val="20"/>
          <w:szCs w:val="20"/>
          <w:color w:val="auto"/>
        </w:rPr>
      </w:pPr>
    </w:p>
    <w:p>
      <w:pPr>
        <w:ind w:left="652" w:right="780" w:hanging="328"/>
        <w:spacing w:after="0" w:line="321" w:lineRule="auto"/>
        <w:tabs>
          <w:tab w:leader="none" w:pos="652" w:val="left"/>
        </w:tabs>
        <w:numPr>
          <w:ilvl w:val="1"/>
          <w:numId w:val="129"/>
        </w:numPr>
        <w:rPr>
          <w:rFonts w:ascii="Arial" w:cs="Arial" w:eastAsia="Arial" w:hAnsi="Arial"/>
          <w:sz w:val="16"/>
          <w:szCs w:val="16"/>
          <w:color w:val="auto"/>
        </w:rPr>
      </w:pPr>
      <w:r>
        <w:rPr>
          <w:rFonts w:ascii="Arial" w:cs="Arial" w:eastAsia="Arial" w:hAnsi="Arial"/>
          <w:sz w:val="16"/>
          <w:szCs w:val="16"/>
          <w:b w:val="1"/>
          <w:bCs w:val="1"/>
          <w:color w:val="auto"/>
        </w:rPr>
        <w:t xml:space="preserve">Dividends. </w:t>
      </w:r>
      <w:r>
        <w:rPr>
          <w:rFonts w:ascii="Arial" w:cs="Arial" w:eastAsia="Arial" w:hAnsi="Arial"/>
          <w:sz w:val="16"/>
          <w:szCs w:val="16"/>
          <w:color w:val="auto"/>
        </w:rPr>
        <w:t>Dividends may be accrued but shall not be paid with respect to any Award unless and until the</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 has vested in the underlying Award.</w:t>
      </w:r>
    </w:p>
    <w:p>
      <w:pPr>
        <w:spacing w:after="0" w:line="88" w:lineRule="exact"/>
        <w:rPr>
          <w:rFonts w:ascii="Arial" w:cs="Arial" w:eastAsia="Arial" w:hAnsi="Arial"/>
          <w:sz w:val="16"/>
          <w:szCs w:val="16"/>
          <w:color w:val="auto"/>
        </w:rPr>
      </w:pPr>
    </w:p>
    <w:p>
      <w:pPr>
        <w:ind w:left="332" w:hanging="332"/>
        <w:spacing w:after="0"/>
        <w:tabs>
          <w:tab w:leader="none" w:pos="332" w:val="left"/>
        </w:tabs>
        <w:numPr>
          <w:ilvl w:val="0"/>
          <w:numId w:val="130"/>
        </w:numPr>
        <w:rPr>
          <w:rFonts w:ascii="Arial" w:cs="Arial" w:eastAsia="Arial" w:hAnsi="Arial"/>
          <w:sz w:val="16"/>
          <w:szCs w:val="16"/>
          <w:color w:val="auto"/>
        </w:rPr>
      </w:pPr>
      <w:r>
        <w:rPr>
          <w:rFonts w:ascii="Arial" w:cs="Arial" w:eastAsia="Arial" w:hAnsi="Arial"/>
          <w:sz w:val="16"/>
          <w:szCs w:val="16"/>
          <w:b w:val="1"/>
          <w:bCs w:val="1"/>
          <w:color w:val="auto"/>
        </w:rPr>
        <w:t>Administration of the Plan.</w:t>
      </w:r>
    </w:p>
    <w:p>
      <w:pPr>
        <w:spacing w:after="0" w:line="180" w:lineRule="exact"/>
        <w:rPr>
          <w:rFonts w:ascii="Arial" w:cs="Arial" w:eastAsia="Arial" w:hAnsi="Arial"/>
          <w:sz w:val="16"/>
          <w:szCs w:val="16"/>
          <w:color w:val="auto"/>
        </w:rPr>
      </w:pPr>
    </w:p>
    <w:p>
      <w:pPr>
        <w:ind w:left="652" w:hanging="328"/>
        <w:spacing w:after="0" w:line="287" w:lineRule="auto"/>
        <w:tabs>
          <w:tab w:leader="none" w:pos="652" w:val="left"/>
        </w:tabs>
        <w:numPr>
          <w:ilvl w:val="1"/>
          <w:numId w:val="130"/>
        </w:numPr>
        <w:rPr>
          <w:rFonts w:ascii="Arial" w:cs="Arial" w:eastAsia="Arial" w:hAnsi="Arial"/>
          <w:sz w:val="16"/>
          <w:szCs w:val="16"/>
          <w:color w:val="auto"/>
        </w:rPr>
      </w:pPr>
      <w:r>
        <w:rPr>
          <w:rFonts w:ascii="Arial" w:cs="Arial" w:eastAsia="Arial" w:hAnsi="Arial"/>
          <w:sz w:val="16"/>
          <w:szCs w:val="16"/>
          <w:b w:val="1"/>
          <w:bCs w:val="1"/>
          <w:color w:val="auto"/>
        </w:rPr>
        <w:t xml:space="preserve">General. </w:t>
      </w:r>
      <w:r>
        <w:rPr>
          <w:rFonts w:ascii="Arial" w:cs="Arial" w:eastAsia="Arial" w:hAnsi="Arial"/>
          <w:sz w:val="16"/>
          <w:szCs w:val="16"/>
          <w:color w:val="auto"/>
        </w:rPr>
        <w:t>The Plan shall be administered by the Committee. The Committee shall have the authority in its sole</w:t>
      </w:r>
      <w:r>
        <w:rPr>
          <w:rFonts w:ascii="Arial" w:cs="Arial" w:eastAsia="Arial" w:hAnsi="Arial"/>
          <w:sz w:val="16"/>
          <w:szCs w:val="16"/>
          <w:b w:val="1"/>
          <w:bCs w:val="1"/>
          <w:color w:val="auto"/>
        </w:rPr>
        <w:t xml:space="preserve"> </w:t>
      </w:r>
      <w:r>
        <w:rPr>
          <w:rFonts w:ascii="Arial" w:cs="Arial" w:eastAsia="Arial" w:hAnsi="Arial"/>
          <w:sz w:val="16"/>
          <w:szCs w:val="16"/>
          <w:color w:val="auto"/>
        </w:rPr>
        <w:t>discretion, subject to and not inconsistent with the express provisions of the Plan, to administer the Plan and to exercise all the powers and authorities either specifically granted to it under the Plan or necessary or advisable in the administration of the Plan, including, without limitation, the authority to (i) grant Awards; (ii) determine the Eligible Individuals to whom, and the time or times at which, Awards shall be granted; (iii) determine the type and number of Awards to be granted; the number of shares of Common Stock or cash or other property to which an Award may relate and the terms, conditions, restrictions and performance criteria relating to any Award; (iv) determine whether, to what extent, and under what circumstances an Award may be settled, cancelled, forfeited, exchanged, or surrendered; (v) conclusively construe and interpret the Plan and all Awards; (vi) prescribe, amend and rescind rules and regulations relating to the Plan; (vii) determine the terms and provisions of Agreements; and (viii) make all other determinations deemed necessary or advisable for the operation and administration of the Plan. The Committee may, in its sole and absolute discretion, without amendment to the Plan (but subject to the terms and conditions of the Plan), (w) accelerate the date on which any Option or Stock Appreciation Right becomes exercisable; (x) waive or amend the operation of Plan provisions respecting exercise after termination of employment (provided that the term of an Option or Stock Appreciation Right may not be extended beyond ten years from the date of grant); (y) accelerate the vesting date, or waive any condition imposed hereunder, with respect to any Full Value Award; and (z) otherwise adjust any of the terms applicable to any such Award in a manner consistent with the terms of the Plan.</w:t>
      </w:r>
    </w:p>
    <w:p>
      <w:pPr>
        <w:spacing w:after="0" w:line="120" w:lineRule="exact"/>
        <w:rPr>
          <w:rFonts w:ascii="Arial" w:cs="Arial" w:eastAsia="Arial" w:hAnsi="Arial"/>
          <w:sz w:val="16"/>
          <w:szCs w:val="16"/>
          <w:color w:val="auto"/>
        </w:rPr>
      </w:pPr>
    </w:p>
    <w:p>
      <w:pPr>
        <w:ind w:left="652" w:right="160" w:hanging="328"/>
        <w:spacing w:after="0" w:line="321" w:lineRule="auto"/>
        <w:tabs>
          <w:tab w:leader="none" w:pos="652" w:val="left"/>
        </w:tabs>
        <w:numPr>
          <w:ilvl w:val="1"/>
          <w:numId w:val="130"/>
        </w:numPr>
        <w:rPr>
          <w:rFonts w:ascii="Arial" w:cs="Arial" w:eastAsia="Arial" w:hAnsi="Arial"/>
          <w:sz w:val="16"/>
          <w:szCs w:val="16"/>
          <w:color w:val="auto"/>
        </w:rPr>
      </w:pPr>
      <w:r>
        <w:rPr>
          <w:rFonts w:ascii="Arial" w:cs="Arial" w:eastAsia="Arial" w:hAnsi="Arial"/>
          <w:sz w:val="16"/>
          <w:szCs w:val="16"/>
          <w:b w:val="1"/>
          <w:bCs w:val="1"/>
          <w:color w:val="auto"/>
        </w:rPr>
        <w:t xml:space="preserve">Decisions Binding. </w:t>
      </w:r>
      <w:r>
        <w:rPr>
          <w:rFonts w:ascii="Arial" w:cs="Arial" w:eastAsia="Arial" w:hAnsi="Arial"/>
          <w:sz w:val="16"/>
          <w:szCs w:val="16"/>
          <w:color w:val="auto"/>
        </w:rPr>
        <w:t>Any interpretations of the Plan by the Committee and any decisions made by it under the Plan</w:t>
      </w:r>
      <w:r>
        <w:rPr>
          <w:rFonts w:ascii="Arial" w:cs="Arial" w:eastAsia="Arial" w:hAnsi="Arial"/>
          <w:sz w:val="16"/>
          <w:szCs w:val="16"/>
          <w:b w:val="1"/>
          <w:bCs w:val="1"/>
          <w:color w:val="auto"/>
        </w:rPr>
        <w:t xml:space="preserve"> </w:t>
      </w:r>
      <w:r>
        <w:rPr>
          <w:rFonts w:ascii="Arial" w:cs="Arial" w:eastAsia="Arial" w:hAnsi="Arial"/>
          <w:sz w:val="16"/>
          <w:szCs w:val="16"/>
          <w:color w:val="auto"/>
        </w:rPr>
        <w:t>are final and binding on all persons.</w:t>
      </w:r>
    </w:p>
    <w:p>
      <w:pPr>
        <w:spacing w:after="0" w:line="88" w:lineRule="exact"/>
        <w:rPr>
          <w:rFonts w:ascii="Arial" w:cs="Arial" w:eastAsia="Arial" w:hAnsi="Arial"/>
          <w:sz w:val="16"/>
          <w:szCs w:val="16"/>
          <w:color w:val="auto"/>
        </w:rPr>
      </w:pPr>
    </w:p>
    <w:p>
      <w:pPr>
        <w:ind w:left="652" w:right="60" w:hanging="328"/>
        <w:spacing w:after="0" w:line="290" w:lineRule="auto"/>
        <w:tabs>
          <w:tab w:leader="none" w:pos="652" w:val="left"/>
        </w:tabs>
        <w:numPr>
          <w:ilvl w:val="1"/>
          <w:numId w:val="130"/>
        </w:numPr>
        <w:rPr>
          <w:rFonts w:ascii="Arial" w:cs="Arial" w:eastAsia="Arial" w:hAnsi="Arial"/>
          <w:sz w:val="16"/>
          <w:szCs w:val="16"/>
          <w:color w:val="auto"/>
        </w:rPr>
      </w:pPr>
      <w:r>
        <w:rPr>
          <w:rFonts w:ascii="Arial" w:cs="Arial" w:eastAsia="Arial" w:hAnsi="Arial"/>
          <w:sz w:val="16"/>
          <w:szCs w:val="16"/>
          <w:b w:val="1"/>
          <w:bCs w:val="1"/>
          <w:color w:val="auto"/>
        </w:rPr>
        <w:t xml:space="preserve">Delegation. </w:t>
      </w:r>
      <w:r>
        <w:rPr>
          <w:rFonts w:ascii="Arial" w:cs="Arial" w:eastAsia="Arial" w:hAnsi="Arial"/>
          <w:sz w:val="16"/>
          <w:szCs w:val="16"/>
          <w:color w:val="auto"/>
        </w:rPr>
        <w:t>Except to the extent prohibited by the applicable rules of any stock exchange or applicable law, the</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 may allocate all or any portion of its responsibilities and powers to any one or more of its members and may delegate all or any part of its responsibilities and powers to any person or persons selected by it. Any such allocation or delegation may be revoked by the Committee at any time. Without limiting the generality of the foregoing, the Committee may delegate to one or more officers of Huron or any of its Affiliates the authority to act on behalf of the Committee with respect to any matter, right, obligation, or election that is the responsibility of or that is allocated to the Committee herein, and that may be so delegated as a matter of law, except for grants of Awards to persons (i) who are non-employee members of the Board or otherwise are subject to Section 16 of the Exchange Act or (ii) who are, or who are reasonably expected to be, “covered employees” for purposes of Section 162(m) of the Code.</w:t>
      </w:r>
    </w:p>
    <w:p>
      <w:pPr>
        <w:spacing w:after="0" w:line="321" w:lineRule="exact"/>
        <w:rPr>
          <w:rFonts w:ascii="Arial" w:cs="Arial" w:eastAsia="Arial" w:hAnsi="Arial"/>
          <w:sz w:val="16"/>
          <w:szCs w:val="16"/>
          <w:color w:val="auto"/>
        </w:rPr>
      </w:pPr>
    </w:p>
    <w:p>
      <w:pPr>
        <w:ind w:left="652" w:right="60" w:hanging="328"/>
        <w:spacing w:after="0" w:line="291" w:lineRule="auto"/>
        <w:tabs>
          <w:tab w:leader="none" w:pos="652" w:val="left"/>
        </w:tabs>
        <w:numPr>
          <w:ilvl w:val="1"/>
          <w:numId w:val="130"/>
        </w:numPr>
        <w:rPr>
          <w:rFonts w:ascii="Arial" w:cs="Arial" w:eastAsia="Arial" w:hAnsi="Arial"/>
          <w:sz w:val="16"/>
          <w:szCs w:val="16"/>
          <w:color w:val="auto"/>
        </w:rPr>
      </w:pPr>
      <w:r>
        <w:rPr>
          <w:rFonts w:ascii="Arial" w:cs="Arial" w:eastAsia="Arial" w:hAnsi="Arial"/>
          <w:sz w:val="16"/>
          <w:szCs w:val="16"/>
          <w:b w:val="1"/>
          <w:bCs w:val="1"/>
          <w:color w:val="auto"/>
        </w:rPr>
        <w:t xml:space="preserve">Indemnification. </w:t>
      </w:r>
      <w:r>
        <w:rPr>
          <w:rFonts w:ascii="Arial" w:cs="Arial" w:eastAsia="Arial" w:hAnsi="Arial"/>
          <w:sz w:val="16"/>
          <w:szCs w:val="16"/>
          <w:color w:val="auto"/>
        </w:rPr>
        <w:t>No member of the Committee (or an authorized delegate of the Committee), and no officer of</w:t>
      </w:r>
      <w:r>
        <w:rPr>
          <w:rFonts w:ascii="Arial" w:cs="Arial" w:eastAsia="Arial" w:hAnsi="Arial"/>
          <w:sz w:val="16"/>
          <w:szCs w:val="16"/>
          <w:b w:val="1"/>
          <w:bCs w:val="1"/>
          <w:color w:val="auto"/>
        </w:rPr>
        <w:t xml:space="preserve"> </w:t>
      </w:r>
      <w:r>
        <w:rPr>
          <w:rFonts w:ascii="Arial" w:cs="Arial" w:eastAsia="Arial" w:hAnsi="Arial"/>
          <w:sz w:val="16"/>
          <w:szCs w:val="16"/>
          <w:color w:val="auto"/>
        </w:rPr>
        <w:t>Huron or any of the Affiliates, shall be liable for any action taken or omitted to be taken by such individual or by any other member of the Committee or officer of Huron or any Affiliate in connection with the performance of duties under this Plan, except for such individual’s own willful misconduct or as expressly provided by law (the “Administrative Actions”). Further, the Committee (and all delegates of the Committee), in addition to such other rights of indemnification as they may have as members of the Board of Directors or officers of Huron or an Affiliate, any individual serving as a Committee member (and any authorized delegate) shall be indemnified and held harmless by Huron to the fullest extent allowed by law against all costs and expenses reasonably incurred by them in connection with any action, suit or proceeding to which they or any of them may be party by reason of any Administrative Action.</w:t>
      </w:r>
    </w:p>
    <w:p>
      <w:pPr>
        <w:spacing w:after="0" w:line="111" w:lineRule="exact"/>
        <w:rPr>
          <w:rFonts w:ascii="Arial" w:cs="Arial" w:eastAsia="Arial" w:hAnsi="Arial"/>
          <w:sz w:val="16"/>
          <w:szCs w:val="16"/>
          <w:color w:val="auto"/>
        </w:rPr>
      </w:pPr>
    </w:p>
    <w:p>
      <w:pPr>
        <w:ind w:left="332" w:right="60" w:hanging="332"/>
        <w:spacing w:after="0" w:line="293" w:lineRule="auto"/>
        <w:tabs>
          <w:tab w:leader="none" w:pos="332" w:val="left"/>
        </w:tabs>
        <w:numPr>
          <w:ilvl w:val="0"/>
          <w:numId w:val="130"/>
        </w:numPr>
        <w:rPr>
          <w:rFonts w:ascii="Arial" w:cs="Arial" w:eastAsia="Arial" w:hAnsi="Arial"/>
          <w:sz w:val="16"/>
          <w:szCs w:val="16"/>
          <w:color w:val="auto"/>
        </w:rPr>
      </w:pPr>
      <w:r>
        <w:rPr>
          <w:rFonts w:ascii="Arial" w:cs="Arial" w:eastAsia="Arial" w:hAnsi="Arial"/>
          <w:sz w:val="16"/>
          <w:szCs w:val="16"/>
          <w:b w:val="1"/>
          <w:bCs w:val="1"/>
          <w:color w:val="auto"/>
        </w:rPr>
        <w:t xml:space="preserve">Participation. </w:t>
      </w:r>
      <w:r>
        <w:rPr>
          <w:rFonts w:ascii="Arial" w:cs="Arial" w:eastAsia="Arial" w:hAnsi="Arial"/>
          <w:sz w:val="16"/>
          <w:szCs w:val="16"/>
          <w:color w:val="auto"/>
        </w:rPr>
        <w:t>Subject to the terms and conditions of the Plan, the Committee shall determine and designate, from time</w:t>
      </w:r>
      <w:r>
        <w:rPr>
          <w:rFonts w:ascii="Arial" w:cs="Arial" w:eastAsia="Arial" w:hAnsi="Arial"/>
          <w:sz w:val="16"/>
          <w:szCs w:val="16"/>
          <w:b w:val="1"/>
          <w:bCs w:val="1"/>
          <w:color w:val="auto"/>
        </w:rPr>
        <w:t xml:space="preserve"> </w:t>
      </w:r>
      <w:r>
        <w:rPr>
          <w:rFonts w:ascii="Arial" w:cs="Arial" w:eastAsia="Arial" w:hAnsi="Arial"/>
          <w:sz w:val="16"/>
          <w:szCs w:val="16"/>
          <w:color w:val="auto"/>
        </w:rPr>
        <w:t>to time, from among the Eligible Individuals those persons who will be granted one or more Awards under the Plan and, subject to the terms and conditions of the Plan, a Participant may be granted any Award permitted under the provisions of the Plan and more than one Award may be granted to a Participant. Except as otherwise agreed between Huron and the Participant, or except as otherwise provided in the Plan, an Award under the Plan shall not affect any previous Award under the Plan or an award under any other plan maintained by Huron or any of the Affiliates. No Participant or other</w:t>
      </w:r>
    </w:p>
    <w:p>
      <w:pPr>
        <w:sectPr>
          <w:pgSz w:w="11900" w:h="16838" w:orient="portrait"/>
          <w:cols w:equalWidth="0" w:num="1">
            <w:col w:w="9072"/>
          </w:cols>
          <w:pgMar w:left="1408" w:top="274" w:right="1419" w:bottom="518" w:gutter="0" w:footer="0" w:header="0"/>
        </w:sectPr>
      </w:pPr>
    </w:p>
    <w:p>
      <w:pPr>
        <w:spacing w:after="0" w:line="200" w:lineRule="exact"/>
        <w:rPr>
          <w:sz w:val="20"/>
          <w:szCs w:val="20"/>
          <w:color w:val="auto"/>
        </w:rPr>
      </w:pPr>
    </w:p>
    <w:p>
      <w:pPr>
        <w:spacing w:after="0" w:line="338" w:lineRule="exact"/>
        <w:rPr>
          <w:sz w:val="20"/>
          <w:szCs w:val="20"/>
          <w:color w:val="auto"/>
        </w:rPr>
      </w:pPr>
    </w:p>
    <w:p>
      <w:pPr>
        <w:ind w:left="52"/>
        <w:spacing w:after="0"/>
        <w:tabs>
          <w:tab w:leader="none" w:pos="4392" w:val="left"/>
          <w:tab w:leader="none" w:pos="7752"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13"/>
          <w:szCs w:val="13"/>
          <w:b w:val="1"/>
          <w:bCs w:val="1"/>
          <w:color w:val="00558C"/>
        </w:rPr>
        <w:t>A-8</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wp:posOffset>
            </wp:positionH>
            <wp:positionV relativeFrom="paragraph">
              <wp:posOffset>351790</wp:posOffset>
            </wp:positionV>
            <wp:extent cx="6810375" cy="2476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10375" cy="247650"/>
                    </a:xfrm>
                    <a:prstGeom prst="rect">
                      <a:avLst/>
                    </a:prstGeom>
                    <a:noFill/>
                  </pic:spPr>
                </pic:pic>
              </a:graphicData>
            </a:graphic>
          </wp:anchor>
        </w:drawing>
      </w:r>
    </w:p>
    <w:p>
      <w:pPr>
        <w:sectPr>
          <w:pgSz w:w="11900" w:h="16838" w:orient="portrait"/>
          <w:cols w:equalWidth="0" w:num="1">
            <w:col w:w="9072"/>
          </w:cols>
          <w:pgMar w:left="1408" w:top="274" w:right="1419" w:bottom="518" w:gutter="0" w:footer="0" w:header="0"/>
          <w:type w:val="continuous"/>
        </w:sectPr>
      </w:pPr>
    </w:p>
    <w:bookmarkStart w:id="91" w:name="page92"/>
    <w:bookmarkEnd w:id="91"/>
    <w:p>
      <w:pPr>
        <w:spacing w:after="0" w:line="4" w:lineRule="exact"/>
        <w:rPr>
          <w:sz w:val="20"/>
          <w:szCs w:val="20"/>
          <w:color w:val="auto"/>
        </w:rPr>
      </w:pPr>
    </w:p>
    <w:tbl>
      <w:tblPr>
        <w:tblLayout w:type="fixed"/>
        <w:tblInd w:w="52" w:type="dxa"/>
        <w:tblCellMar>
          <w:top w:w="0" w:type="dxa"/>
          <w:left w:w="0" w:type="dxa"/>
          <w:bottom w:w="0" w:type="dxa"/>
          <w:right w:w="0" w:type="dxa"/>
        </w:tblCellMar>
      </w:tblPr>
      <w:tr>
        <w:trPr>
          <w:trHeight w:val="149"/>
        </w:trPr>
        <w:tc>
          <w:tcPr>
            <w:tcW w:w="840" w:type="dxa"/>
            <w:vAlign w:val="bottom"/>
          </w:tcPr>
          <w:p>
            <w:pPr>
              <w:spacing w:after="0"/>
              <w:rPr>
                <w:sz w:val="20"/>
                <w:szCs w:val="20"/>
                <w:color w:val="auto"/>
              </w:rPr>
            </w:pPr>
            <w:r>
              <w:rPr>
                <w:rFonts w:ascii="Arial" w:cs="Arial" w:eastAsia="Arial" w:hAnsi="Arial"/>
                <w:sz w:val="13"/>
                <w:szCs w:val="13"/>
                <w:b w:val="1"/>
                <w:bCs w:val="1"/>
                <w:color w:val="B2B3B6"/>
              </w:rPr>
              <w:t>General</w:t>
            </w:r>
          </w:p>
        </w:tc>
        <w:tc>
          <w:tcPr>
            <w:tcW w:w="840" w:type="dxa"/>
            <w:vAlign w:val="bottom"/>
          </w:tcPr>
          <w:p>
            <w:pPr>
              <w:ind w:left="160"/>
              <w:spacing w:after="0"/>
              <w:rPr>
                <w:sz w:val="20"/>
                <w:szCs w:val="20"/>
                <w:color w:val="auto"/>
              </w:rPr>
            </w:pPr>
            <w:r>
              <w:rPr>
                <w:rFonts w:ascii="Arial" w:cs="Arial" w:eastAsia="Arial" w:hAnsi="Arial"/>
                <w:sz w:val="13"/>
                <w:szCs w:val="13"/>
                <w:b w:val="1"/>
                <w:bCs w:val="1"/>
                <w:color w:val="B2B3B6"/>
              </w:rPr>
              <w:t>Proposal</w:t>
            </w:r>
          </w:p>
        </w:tc>
        <w:tc>
          <w:tcPr>
            <w:tcW w:w="1020" w:type="dxa"/>
            <w:vAlign w:val="bottom"/>
          </w:tcPr>
          <w:p>
            <w:pPr>
              <w:ind w:left="160"/>
              <w:spacing w:after="0"/>
              <w:rPr>
                <w:sz w:val="20"/>
                <w:szCs w:val="20"/>
                <w:color w:val="auto"/>
              </w:rPr>
            </w:pPr>
            <w:r>
              <w:rPr>
                <w:rFonts w:ascii="Arial" w:cs="Arial" w:eastAsia="Arial" w:hAnsi="Arial"/>
                <w:sz w:val="13"/>
                <w:szCs w:val="13"/>
                <w:b w:val="1"/>
                <w:bCs w:val="1"/>
                <w:color w:val="B2B3B6"/>
              </w:rPr>
              <w:t>Corporate</w:t>
            </w:r>
          </w:p>
        </w:tc>
        <w:tc>
          <w:tcPr>
            <w:tcW w:w="820" w:type="dxa"/>
            <w:vAlign w:val="bottom"/>
          </w:tcPr>
          <w:p>
            <w:pPr>
              <w:ind w:left="140"/>
              <w:spacing w:after="0"/>
              <w:rPr>
                <w:sz w:val="20"/>
                <w:szCs w:val="20"/>
                <w:color w:val="auto"/>
              </w:rPr>
            </w:pPr>
            <w:r>
              <w:rPr>
                <w:rFonts w:ascii="Arial" w:cs="Arial" w:eastAsia="Arial" w:hAnsi="Arial"/>
                <w:sz w:val="13"/>
                <w:szCs w:val="13"/>
                <w:b w:val="1"/>
                <w:bCs w:val="1"/>
                <w:color w:val="B2B3B6"/>
              </w:rPr>
              <w:t>Proposal</w:t>
            </w:r>
          </w:p>
        </w:tc>
        <w:tc>
          <w:tcPr>
            <w:tcW w:w="1180" w:type="dxa"/>
            <w:vAlign w:val="bottom"/>
          </w:tcPr>
          <w:p>
            <w:pPr>
              <w:ind w:left="140"/>
              <w:spacing w:after="0"/>
              <w:rPr>
                <w:sz w:val="20"/>
                <w:szCs w:val="20"/>
                <w:color w:val="auto"/>
              </w:rPr>
            </w:pPr>
            <w:r>
              <w:rPr>
                <w:rFonts w:ascii="Arial" w:cs="Arial" w:eastAsia="Arial" w:hAnsi="Arial"/>
                <w:sz w:val="13"/>
                <w:szCs w:val="13"/>
                <w:b w:val="1"/>
                <w:bCs w:val="1"/>
                <w:color w:val="B2B3B6"/>
              </w:rPr>
              <w:t>Executive</w:t>
            </w:r>
          </w:p>
        </w:tc>
        <w:tc>
          <w:tcPr>
            <w:tcW w:w="840" w:type="dxa"/>
            <w:vAlign w:val="bottom"/>
          </w:tcPr>
          <w:p>
            <w:pPr>
              <w:ind w:left="160"/>
              <w:spacing w:after="0"/>
              <w:rPr>
                <w:sz w:val="20"/>
                <w:szCs w:val="20"/>
                <w:color w:val="auto"/>
              </w:rPr>
            </w:pPr>
            <w:r>
              <w:rPr>
                <w:rFonts w:ascii="Arial" w:cs="Arial" w:eastAsia="Arial" w:hAnsi="Arial"/>
                <w:sz w:val="13"/>
                <w:szCs w:val="13"/>
                <w:b w:val="1"/>
                <w:bCs w:val="1"/>
                <w:color w:val="B2B3B6"/>
              </w:rPr>
              <w:t>Proposal</w:t>
            </w:r>
          </w:p>
        </w:tc>
        <w:tc>
          <w:tcPr>
            <w:tcW w:w="820" w:type="dxa"/>
            <w:vAlign w:val="bottom"/>
          </w:tcPr>
          <w:p>
            <w:pPr>
              <w:ind w:left="140"/>
              <w:spacing w:after="0"/>
              <w:rPr>
                <w:sz w:val="20"/>
                <w:szCs w:val="20"/>
                <w:color w:val="auto"/>
              </w:rPr>
            </w:pPr>
            <w:r>
              <w:rPr>
                <w:rFonts w:ascii="Arial" w:cs="Arial" w:eastAsia="Arial" w:hAnsi="Arial"/>
                <w:sz w:val="13"/>
                <w:szCs w:val="13"/>
                <w:b w:val="1"/>
                <w:bCs w:val="1"/>
                <w:color w:val="B2B3B6"/>
              </w:rPr>
              <w:t>Proposal</w:t>
            </w:r>
          </w:p>
        </w:tc>
        <w:tc>
          <w:tcPr>
            <w:tcW w:w="820" w:type="dxa"/>
            <w:vAlign w:val="bottom"/>
          </w:tcPr>
          <w:p>
            <w:pPr>
              <w:ind w:left="140"/>
              <w:spacing w:after="0"/>
              <w:rPr>
                <w:sz w:val="20"/>
                <w:szCs w:val="20"/>
                <w:color w:val="auto"/>
              </w:rPr>
            </w:pPr>
            <w:r>
              <w:rPr>
                <w:rFonts w:ascii="Arial" w:cs="Arial" w:eastAsia="Arial" w:hAnsi="Arial"/>
                <w:sz w:val="13"/>
                <w:szCs w:val="13"/>
                <w:b w:val="1"/>
                <w:bCs w:val="1"/>
                <w:color w:val="B2B3B6"/>
              </w:rPr>
              <w:t>Proposal</w:t>
            </w:r>
          </w:p>
        </w:tc>
        <w:tc>
          <w:tcPr>
            <w:tcW w:w="1140" w:type="dxa"/>
            <w:vAlign w:val="bottom"/>
          </w:tcPr>
          <w:p>
            <w:pPr>
              <w:ind w:left="140"/>
              <w:spacing w:after="0"/>
              <w:rPr>
                <w:sz w:val="20"/>
                <w:szCs w:val="20"/>
                <w:color w:val="auto"/>
              </w:rPr>
            </w:pPr>
            <w:r>
              <w:rPr>
                <w:rFonts w:ascii="Arial" w:cs="Arial" w:eastAsia="Arial" w:hAnsi="Arial"/>
                <w:sz w:val="13"/>
                <w:szCs w:val="13"/>
                <w:b w:val="1"/>
                <w:bCs w:val="1"/>
                <w:color w:val="B2B3B6"/>
              </w:rPr>
              <w:t>Stockholder</w:t>
            </w:r>
          </w:p>
        </w:tc>
        <w:tc>
          <w:tcPr>
            <w:tcW w:w="700" w:type="dxa"/>
            <w:vAlign w:val="bottom"/>
          </w:tcPr>
          <w:p>
            <w:pPr>
              <w:ind w:left="40"/>
              <w:spacing w:after="0"/>
              <w:rPr>
                <w:sz w:val="20"/>
                <w:szCs w:val="20"/>
                <w:color w:val="auto"/>
              </w:rPr>
            </w:pPr>
            <w:r>
              <w:rPr>
                <w:rFonts w:ascii="Arial" w:cs="Arial" w:eastAsia="Arial" w:hAnsi="Arial"/>
                <w:sz w:val="13"/>
                <w:szCs w:val="13"/>
                <w:b w:val="1"/>
                <w:bCs w:val="1"/>
                <w:color w:val="6AAA37"/>
              </w:rPr>
              <w:t>Other</w:t>
            </w:r>
          </w:p>
        </w:tc>
      </w:tr>
      <w:tr>
        <w:trPr>
          <w:trHeight w:val="172"/>
        </w:trPr>
        <w:tc>
          <w:tcPr>
            <w:tcW w:w="840" w:type="dxa"/>
            <w:vAlign w:val="bottom"/>
          </w:tcPr>
          <w:p>
            <w:pPr>
              <w:spacing w:after="0"/>
              <w:rPr>
                <w:sz w:val="20"/>
                <w:szCs w:val="20"/>
                <w:color w:val="auto"/>
              </w:rPr>
            </w:pPr>
            <w:r>
              <w:rPr>
                <w:rFonts w:ascii="Arial" w:cs="Arial" w:eastAsia="Arial" w:hAnsi="Arial"/>
                <w:sz w:val="13"/>
                <w:szCs w:val="13"/>
                <w:b w:val="1"/>
                <w:bCs w:val="1"/>
                <w:color w:val="B2B3B6"/>
              </w:rPr>
              <w:t>Information</w:t>
            </w:r>
          </w:p>
        </w:tc>
        <w:tc>
          <w:tcPr>
            <w:tcW w:w="840" w:type="dxa"/>
            <w:vAlign w:val="bottom"/>
          </w:tcPr>
          <w:p>
            <w:pPr>
              <w:ind w:left="160"/>
              <w:spacing w:after="0"/>
              <w:rPr>
                <w:sz w:val="20"/>
                <w:szCs w:val="20"/>
                <w:color w:val="auto"/>
              </w:rPr>
            </w:pPr>
            <w:r>
              <w:rPr>
                <w:rFonts w:ascii="Arial" w:cs="Arial" w:eastAsia="Arial" w:hAnsi="Arial"/>
                <w:sz w:val="13"/>
                <w:szCs w:val="13"/>
                <w:b w:val="1"/>
                <w:bCs w:val="1"/>
                <w:color w:val="B2B3B6"/>
              </w:rPr>
              <w:t>One</w:t>
            </w:r>
          </w:p>
        </w:tc>
        <w:tc>
          <w:tcPr>
            <w:tcW w:w="1020" w:type="dxa"/>
            <w:vAlign w:val="bottom"/>
          </w:tcPr>
          <w:p>
            <w:pPr>
              <w:ind w:left="160"/>
              <w:spacing w:after="0"/>
              <w:rPr>
                <w:sz w:val="20"/>
                <w:szCs w:val="20"/>
                <w:color w:val="auto"/>
              </w:rPr>
            </w:pPr>
            <w:r>
              <w:rPr>
                <w:rFonts w:ascii="Arial" w:cs="Arial" w:eastAsia="Arial" w:hAnsi="Arial"/>
                <w:sz w:val="13"/>
                <w:szCs w:val="13"/>
                <w:b w:val="1"/>
                <w:bCs w:val="1"/>
                <w:color w:val="B2B3B6"/>
              </w:rPr>
              <w:t>Governance</w:t>
            </w:r>
          </w:p>
        </w:tc>
        <w:tc>
          <w:tcPr>
            <w:tcW w:w="820" w:type="dxa"/>
            <w:vAlign w:val="bottom"/>
          </w:tcPr>
          <w:p>
            <w:pPr>
              <w:ind w:left="140"/>
              <w:spacing w:after="0"/>
              <w:rPr>
                <w:sz w:val="20"/>
                <w:szCs w:val="20"/>
                <w:color w:val="auto"/>
              </w:rPr>
            </w:pPr>
            <w:r>
              <w:rPr>
                <w:rFonts w:ascii="Arial" w:cs="Arial" w:eastAsia="Arial" w:hAnsi="Arial"/>
                <w:sz w:val="13"/>
                <w:szCs w:val="13"/>
                <w:b w:val="1"/>
                <w:bCs w:val="1"/>
                <w:color w:val="B2B3B6"/>
              </w:rPr>
              <w:t>Two</w:t>
            </w:r>
          </w:p>
        </w:tc>
        <w:tc>
          <w:tcPr>
            <w:tcW w:w="1180" w:type="dxa"/>
            <w:vAlign w:val="bottom"/>
          </w:tcPr>
          <w:p>
            <w:pPr>
              <w:ind w:left="140"/>
              <w:spacing w:after="0"/>
              <w:rPr>
                <w:sz w:val="20"/>
                <w:szCs w:val="20"/>
                <w:color w:val="auto"/>
              </w:rPr>
            </w:pPr>
            <w:r>
              <w:rPr>
                <w:rFonts w:ascii="Arial" w:cs="Arial" w:eastAsia="Arial" w:hAnsi="Arial"/>
                <w:sz w:val="13"/>
                <w:szCs w:val="13"/>
                <w:b w:val="1"/>
                <w:bCs w:val="1"/>
                <w:color w:val="B2B3B6"/>
              </w:rPr>
              <w:t>Compensation</w:t>
            </w:r>
          </w:p>
        </w:tc>
        <w:tc>
          <w:tcPr>
            <w:tcW w:w="840" w:type="dxa"/>
            <w:vAlign w:val="bottom"/>
          </w:tcPr>
          <w:p>
            <w:pPr>
              <w:ind w:left="160"/>
              <w:spacing w:after="0"/>
              <w:rPr>
                <w:sz w:val="20"/>
                <w:szCs w:val="20"/>
                <w:color w:val="auto"/>
              </w:rPr>
            </w:pPr>
            <w:r>
              <w:rPr>
                <w:rFonts w:ascii="Arial" w:cs="Arial" w:eastAsia="Arial" w:hAnsi="Arial"/>
                <w:sz w:val="13"/>
                <w:szCs w:val="13"/>
                <w:b w:val="1"/>
                <w:bCs w:val="1"/>
                <w:color w:val="B2B3B6"/>
              </w:rPr>
              <w:t>Three</w:t>
            </w:r>
          </w:p>
        </w:tc>
        <w:tc>
          <w:tcPr>
            <w:tcW w:w="820" w:type="dxa"/>
            <w:vAlign w:val="bottom"/>
          </w:tcPr>
          <w:p>
            <w:pPr>
              <w:ind w:left="140"/>
              <w:spacing w:after="0"/>
              <w:rPr>
                <w:sz w:val="20"/>
                <w:szCs w:val="20"/>
                <w:color w:val="auto"/>
              </w:rPr>
            </w:pPr>
            <w:r>
              <w:rPr>
                <w:rFonts w:ascii="Arial" w:cs="Arial" w:eastAsia="Arial" w:hAnsi="Arial"/>
                <w:sz w:val="13"/>
                <w:szCs w:val="13"/>
                <w:b w:val="1"/>
                <w:bCs w:val="1"/>
                <w:color w:val="B2B3B6"/>
              </w:rPr>
              <w:t>Four</w:t>
            </w:r>
          </w:p>
        </w:tc>
        <w:tc>
          <w:tcPr>
            <w:tcW w:w="820" w:type="dxa"/>
            <w:vAlign w:val="bottom"/>
          </w:tcPr>
          <w:p>
            <w:pPr>
              <w:ind w:left="140"/>
              <w:spacing w:after="0"/>
              <w:rPr>
                <w:sz w:val="20"/>
                <w:szCs w:val="20"/>
                <w:color w:val="auto"/>
              </w:rPr>
            </w:pPr>
            <w:r>
              <w:rPr>
                <w:rFonts w:ascii="Arial" w:cs="Arial" w:eastAsia="Arial" w:hAnsi="Arial"/>
                <w:sz w:val="13"/>
                <w:szCs w:val="13"/>
                <w:b w:val="1"/>
                <w:bCs w:val="1"/>
                <w:color w:val="B2B3B6"/>
              </w:rPr>
              <w:t>Five</w:t>
            </w:r>
          </w:p>
        </w:tc>
        <w:tc>
          <w:tcPr>
            <w:tcW w:w="1140" w:type="dxa"/>
            <w:vAlign w:val="bottom"/>
          </w:tcPr>
          <w:p>
            <w:pPr>
              <w:ind w:left="140"/>
              <w:spacing w:after="0"/>
              <w:rPr>
                <w:sz w:val="20"/>
                <w:szCs w:val="20"/>
                <w:color w:val="auto"/>
              </w:rPr>
            </w:pPr>
            <w:r>
              <w:rPr>
                <w:rFonts w:ascii="Arial" w:cs="Arial" w:eastAsia="Arial" w:hAnsi="Arial"/>
                <w:sz w:val="13"/>
                <w:szCs w:val="13"/>
                <w:b w:val="1"/>
                <w:bCs w:val="1"/>
                <w:color w:val="B2B3B6"/>
              </w:rPr>
              <w:t>Proposals</w:t>
            </w:r>
          </w:p>
        </w:tc>
        <w:tc>
          <w:tcPr>
            <w:tcW w:w="700" w:type="dxa"/>
            <w:vAlign w:val="bottom"/>
          </w:tcPr>
          <w:p>
            <w:pPr>
              <w:ind w:left="40"/>
              <w:spacing w:after="0"/>
              <w:rPr>
                <w:sz w:val="20"/>
                <w:szCs w:val="20"/>
                <w:color w:val="auto"/>
              </w:rPr>
            </w:pPr>
            <w:r>
              <w:rPr>
                <w:rFonts w:ascii="Arial" w:cs="Arial" w:eastAsia="Arial" w:hAnsi="Arial"/>
                <w:sz w:val="13"/>
                <w:szCs w:val="13"/>
                <w:b w:val="1"/>
                <w:bCs w:val="1"/>
                <w:color w:val="6AAA37"/>
              </w:rPr>
              <w:t>Matters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wp:posOffset>
            </wp:positionH>
            <wp:positionV relativeFrom="paragraph">
              <wp:posOffset>-200025</wp:posOffset>
            </wp:positionV>
            <wp:extent cx="6810375" cy="860869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10375" cy="8608695"/>
                    </a:xfrm>
                    <a:prstGeom prst="rect">
                      <a:avLst/>
                    </a:prstGeom>
                    <a:noFill/>
                  </pic:spPr>
                </pic:pic>
              </a:graphicData>
            </a:graphic>
          </wp:anchor>
        </w:drawing>
      </w:r>
    </w:p>
    <w:p>
      <w:pPr>
        <w:spacing w:after="0" w:line="352" w:lineRule="exact"/>
        <w:rPr>
          <w:sz w:val="20"/>
          <w:szCs w:val="20"/>
          <w:color w:val="auto"/>
        </w:rPr>
      </w:pPr>
    </w:p>
    <w:p>
      <w:pPr>
        <w:ind w:left="332" w:right="60"/>
        <w:spacing w:after="0" w:line="295" w:lineRule="auto"/>
        <w:rPr>
          <w:sz w:val="20"/>
          <w:szCs w:val="20"/>
          <w:color w:val="auto"/>
        </w:rPr>
      </w:pPr>
      <w:r>
        <w:rPr>
          <w:rFonts w:ascii="Arial" w:cs="Arial" w:eastAsia="Arial" w:hAnsi="Arial"/>
          <w:sz w:val="16"/>
          <w:szCs w:val="16"/>
          <w:color w:val="auto"/>
        </w:rPr>
        <w:t>person shall have any claim to be granted any Award, and there is no obligation for uniformity of treatment of Participants, or holders or beneficiaries of Awards, or of multiple Awards granted to a Participant. The terms and conditions of Awards and the Committee’s determinations and interpretations with respect thereto need not be the same with respect to each Participant (whether or not such Participants are similarly situated).</w:t>
      </w:r>
    </w:p>
    <w:p>
      <w:pPr>
        <w:spacing w:after="0" w:line="108" w:lineRule="exact"/>
        <w:rPr>
          <w:sz w:val="20"/>
          <w:szCs w:val="20"/>
          <w:color w:val="auto"/>
        </w:rPr>
      </w:pPr>
    </w:p>
    <w:p>
      <w:pPr>
        <w:ind w:left="332" w:hanging="332"/>
        <w:spacing w:after="0"/>
        <w:tabs>
          <w:tab w:leader="none" w:pos="332" w:val="left"/>
        </w:tabs>
        <w:numPr>
          <w:ilvl w:val="0"/>
          <w:numId w:val="131"/>
        </w:numPr>
        <w:rPr>
          <w:rFonts w:ascii="Arial" w:cs="Arial" w:eastAsia="Arial" w:hAnsi="Arial"/>
          <w:sz w:val="16"/>
          <w:szCs w:val="16"/>
          <w:color w:val="auto"/>
        </w:rPr>
      </w:pPr>
      <w:r>
        <w:rPr>
          <w:rFonts w:ascii="Arial" w:cs="Arial" w:eastAsia="Arial" w:hAnsi="Arial"/>
          <w:sz w:val="16"/>
          <w:szCs w:val="16"/>
          <w:b w:val="1"/>
          <w:bCs w:val="1"/>
          <w:color w:val="auto"/>
        </w:rPr>
        <w:t>Options and Stock Appreciation Rights.</w:t>
      </w:r>
    </w:p>
    <w:p>
      <w:pPr>
        <w:spacing w:after="0" w:line="180" w:lineRule="exact"/>
        <w:rPr>
          <w:rFonts w:ascii="Arial" w:cs="Arial" w:eastAsia="Arial" w:hAnsi="Arial"/>
          <w:sz w:val="16"/>
          <w:szCs w:val="16"/>
          <w:color w:val="auto"/>
        </w:rPr>
      </w:pPr>
    </w:p>
    <w:p>
      <w:pPr>
        <w:ind w:left="652" w:hanging="328"/>
        <w:spacing w:after="0" w:line="321" w:lineRule="auto"/>
        <w:tabs>
          <w:tab w:leader="none" w:pos="652" w:val="left"/>
        </w:tabs>
        <w:numPr>
          <w:ilvl w:val="1"/>
          <w:numId w:val="131"/>
        </w:numPr>
        <w:rPr>
          <w:rFonts w:ascii="Arial" w:cs="Arial" w:eastAsia="Arial" w:hAnsi="Arial"/>
          <w:sz w:val="16"/>
          <w:szCs w:val="16"/>
          <w:color w:val="auto"/>
        </w:rPr>
      </w:pPr>
      <w:r>
        <w:rPr>
          <w:rFonts w:ascii="Arial" w:cs="Arial" w:eastAsia="Arial" w:hAnsi="Arial"/>
          <w:sz w:val="16"/>
          <w:szCs w:val="16"/>
          <w:b w:val="1"/>
          <w:bCs w:val="1"/>
          <w:color w:val="auto"/>
        </w:rPr>
        <w:t xml:space="preserve">Grant of Awards. </w:t>
      </w:r>
      <w:r>
        <w:rPr>
          <w:rFonts w:ascii="Arial" w:cs="Arial" w:eastAsia="Arial" w:hAnsi="Arial"/>
          <w:sz w:val="16"/>
          <w:szCs w:val="16"/>
          <w:color w:val="auto"/>
        </w:rPr>
        <w:t>The Committee may grant Options and/or Stock Appreciation Rights to Eligible Individuals, subject</w:t>
      </w:r>
      <w:r>
        <w:rPr>
          <w:rFonts w:ascii="Arial" w:cs="Arial" w:eastAsia="Arial" w:hAnsi="Arial"/>
          <w:sz w:val="16"/>
          <w:szCs w:val="16"/>
          <w:b w:val="1"/>
          <w:bCs w:val="1"/>
          <w:color w:val="auto"/>
        </w:rPr>
        <w:t xml:space="preserve"> </w:t>
      </w:r>
      <w:r>
        <w:rPr>
          <w:rFonts w:ascii="Arial" w:cs="Arial" w:eastAsia="Arial" w:hAnsi="Arial"/>
          <w:sz w:val="16"/>
          <w:szCs w:val="16"/>
          <w:color w:val="auto"/>
        </w:rPr>
        <w:t>to the terms and conditions of the Plan.</w:t>
      </w:r>
    </w:p>
    <w:p>
      <w:pPr>
        <w:spacing w:after="0" w:line="88" w:lineRule="exact"/>
        <w:rPr>
          <w:rFonts w:ascii="Arial" w:cs="Arial" w:eastAsia="Arial" w:hAnsi="Arial"/>
          <w:sz w:val="16"/>
          <w:szCs w:val="16"/>
          <w:color w:val="auto"/>
        </w:rPr>
      </w:pPr>
    </w:p>
    <w:p>
      <w:pPr>
        <w:ind w:left="652" w:right="860" w:hanging="328"/>
        <w:spacing w:after="0" w:line="321" w:lineRule="auto"/>
        <w:tabs>
          <w:tab w:leader="none" w:pos="652" w:val="left"/>
        </w:tabs>
        <w:numPr>
          <w:ilvl w:val="1"/>
          <w:numId w:val="131"/>
        </w:numPr>
        <w:rPr>
          <w:rFonts w:ascii="Arial" w:cs="Arial" w:eastAsia="Arial" w:hAnsi="Arial"/>
          <w:sz w:val="16"/>
          <w:szCs w:val="16"/>
          <w:color w:val="auto"/>
        </w:rPr>
      </w:pPr>
      <w:r>
        <w:rPr>
          <w:rFonts w:ascii="Arial" w:cs="Arial" w:eastAsia="Arial" w:hAnsi="Arial"/>
          <w:sz w:val="16"/>
          <w:szCs w:val="16"/>
          <w:b w:val="1"/>
          <w:bCs w:val="1"/>
          <w:color w:val="auto"/>
        </w:rPr>
        <w:t xml:space="preserve">Identification of Options. </w:t>
      </w:r>
      <w:r>
        <w:rPr>
          <w:rFonts w:ascii="Arial" w:cs="Arial" w:eastAsia="Arial" w:hAnsi="Arial"/>
          <w:sz w:val="16"/>
          <w:szCs w:val="16"/>
          <w:color w:val="auto"/>
        </w:rPr>
        <w:t>Each Option shall be clearly identified as either an Incentive Stock Option or a</w:t>
      </w:r>
      <w:r>
        <w:rPr>
          <w:rFonts w:ascii="Arial" w:cs="Arial" w:eastAsia="Arial" w:hAnsi="Arial"/>
          <w:sz w:val="16"/>
          <w:szCs w:val="16"/>
          <w:b w:val="1"/>
          <w:bCs w:val="1"/>
          <w:color w:val="auto"/>
        </w:rPr>
        <w:t xml:space="preserve"> </w:t>
      </w:r>
      <w:r>
        <w:rPr>
          <w:rFonts w:ascii="Arial" w:cs="Arial" w:eastAsia="Arial" w:hAnsi="Arial"/>
          <w:sz w:val="16"/>
          <w:szCs w:val="16"/>
          <w:color w:val="auto"/>
        </w:rPr>
        <w:t>Nonqualified Stock Option.</w:t>
      </w:r>
    </w:p>
    <w:p>
      <w:pPr>
        <w:spacing w:after="0" w:line="88" w:lineRule="exact"/>
        <w:rPr>
          <w:rFonts w:ascii="Arial" w:cs="Arial" w:eastAsia="Arial" w:hAnsi="Arial"/>
          <w:sz w:val="16"/>
          <w:szCs w:val="16"/>
          <w:color w:val="auto"/>
        </w:rPr>
      </w:pPr>
    </w:p>
    <w:p>
      <w:pPr>
        <w:ind w:left="652" w:right="20" w:hanging="328"/>
        <w:spacing w:after="0" w:line="300" w:lineRule="auto"/>
        <w:tabs>
          <w:tab w:leader="none" w:pos="652" w:val="left"/>
        </w:tabs>
        <w:numPr>
          <w:ilvl w:val="1"/>
          <w:numId w:val="131"/>
        </w:numPr>
        <w:rPr>
          <w:rFonts w:ascii="Arial" w:cs="Arial" w:eastAsia="Arial" w:hAnsi="Arial"/>
          <w:sz w:val="16"/>
          <w:szCs w:val="16"/>
          <w:color w:val="auto"/>
        </w:rPr>
      </w:pPr>
      <w:r>
        <w:rPr>
          <w:rFonts w:ascii="Arial" w:cs="Arial" w:eastAsia="Arial" w:hAnsi="Arial"/>
          <w:sz w:val="16"/>
          <w:szCs w:val="16"/>
          <w:b w:val="1"/>
          <w:bCs w:val="1"/>
          <w:color w:val="auto"/>
        </w:rPr>
        <w:t xml:space="preserve">Exercise Price. </w:t>
      </w:r>
      <w:r>
        <w:rPr>
          <w:rFonts w:ascii="Arial" w:cs="Arial" w:eastAsia="Arial" w:hAnsi="Arial"/>
          <w:sz w:val="16"/>
          <w:szCs w:val="16"/>
          <w:color w:val="auto"/>
        </w:rPr>
        <w:t>The “Exercise Price” of an Option or Stock Appreciation Right shall be established by the Committee</w:t>
      </w:r>
      <w:r>
        <w:rPr>
          <w:rFonts w:ascii="Arial" w:cs="Arial" w:eastAsia="Arial" w:hAnsi="Arial"/>
          <w:sz w:val="16"/>
          <w:szCs w:val="16"/>
          <w:b w:val="1"/>
          <w:bCs w:val="1"/>
          <w:color w:val="auto"/>
        </w:rPr>
        <w:t xml:space="preserve"> </w:t>
      </w:r>
      <w:r>
        <w:rPr>
          <w:rFonts w:ascii="Arial" w:cs="Arial" w:eastAsia="Arial" w:hAnsi="Arial"/>
          <w:sz w:val="16"/>
          <w:szCs w:val="16"/>
          <w:color w:val="auto"/>
        </w:rPr>
        <w:t>at the time the Option or Stock Appreciation Right is granted; provided, however, that in no event shall the Exercise Price be less than 100% of the Fair Market Value of a share of Common Stock on the date of grant (or, if greater, the par value of a share of Common Stock on the date of grant).</w:t>
      </w:r>
    </w:p>
    <w:p>
      <w:pPr>
        <w:spacing w:after="0" w:line="106" w:lineRule="exact"/>
        <w:rPr>
          <w:rFonts w:ascii="Arial" w:cs="Arial" w:eastAsia="Arial" w:hAnsi="Arial"/>
          <w:sz w:val="16"/>
          <w:szCs w:val="16"/>
          <w:color w:val="auto"/>
        </w:rPr>
      </w:pPr>
    </w:p>
    <w:p>
      <w:pPr>
        <w:ind w:left="652" w:right="40" w:hanging="328"/>
        <w:spacing w:after="0" w:line="288" w:lineRule="auto"/>
        <w:tabs>
          <w:tab w:leader="none" w:pos="652" w:val="left"/>
        </w:tabs>
        <w:numPr>
          <w:ilvl w:val="1"/>
          <w:numId w:val="131"/>
        </w:numPr>
        <w:rPr>
          <w:rFonts w:ascii="Arial" w:cs="Arial" w:eastAsia="Arial" w:hAnsi="Arial"/>
          <w:sz w:val="16"/>
          <w:szCs w:val="16"/>
          <w:color w:val="auto"/>
        </w:rPr>
      </w:pPr>
      <w:r>
        <w:rPr>
          <w:rFonts w:ascii="Arial" w:cs="Arial" w:eastAsia="Arial" w:hAnsi="Arial"/>
          <w:sz w:val="16"/>
          <w:szCs w:val="16"/>
          <w:b w:val="1"/>
          <w:bCs w:val="1"/>
          <w:color w:val="auto"/>
        </w:rPr>
        <w:t xml:space="preserve">No Repricing/Prohibition on Buy-Back. </w:t>
      </w:r>
      <w:r>
        <w:rPr>
          <w:rFonts w:ascii="Arial" w:cs="Arial" w:eastAsia="Arial" w:hAnsi="Arial"/>
          <w:sz w:val="16"/>
          <w:szCs w:val="16"/>
          <w:color w:val="auto"/>
        </w:rPr>
        <w:t>Except for either adjustments pursuant to Section 4(f) or reductions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Exercise Price approved by Huron’s stockholders, the Exercise Price for any outstanding Option or Stock Appreciation Right may not be decreased after the date of grant nor may an outstanding Option or Stock Appreciation Right granted under the Plan be surrendered to Huron as consideration for the grant of a replacement Option or Stock Appreciation Right with a lower Exercise Price. Except as approved by Huron’s stockholders, in no event shall any Option or Stock Appreciation Right granted under the Plan be surrendered to Huron in consideration for a cash payment if, at the time of such surrender, the Exercise Price of the Option or Stock Appreciation Right is greater than the then current Fair Market Value of a share of Common Stock. In addition, no repricing of an Option shall be permitted without the approval of Huron’s stockholders if such approval is required under the rules of any stock exchange on which Common Stock is listed.</w:t>
      </w:r>
    </w:p>
    <w:p>
      <w:pPr>
        <w:spacing w:after="0" w:line="114" w:lineRule="exact"/>
        <w:rPr>
          <w:rFonts w:ascii="Arial" w:cs="Arial" w:eastAsia="Arial" w:hAnsi="Arial"/>
          <w:sz w:val="16"/>
          <w:szCs w:val="16"/>
          <w:color w:val="auto"/>
        </w:rPr>
      </w:pPr>
    </w:p>
    <w:p>
      <w:pPr>
        <w:ind w:left="652" w:hanging="328"/>
        <w:spacing w:after="0"/>
        <w:tabs>
          <w:tab w:leader="none" w:pos="652" w:val="left"/>
        </w:tabs>
        <w:numPr>
          <w:ilvl w:val="1"/>
          <w:numId w:val="131"/>
        </w:numPr>
        <w:rPr>
          <w:rFonts w:ascii="Arial" w:cs="Arial" w:eastAsia="Arial" w:hAnsi="Arial"/>
          <w:sz w:val="16"/>
          <w:szCs w:val="16"/>
          <w:color w:val="auto"/>
        </w:rPr>
      </w:pPr>
      <w:r>
        <w:rPr>
          <w:rFonts w:ascii="Arial" w:cs="Arial" w:eastAsia="Arial" w:hAnsi="Arial"/>
          <w:sz w:val="16"/>
          <w:szCs w:val="16"/>
          <w:b w:val="1"/>
          <w:bCs w:val="1"/>
          <w:color w:val="auto"/>
        </w:rPr>
        <w:t>Term and Exercise.</w:t>
      </w:r>
    </w:p>
    <w:p>
      <w:pPr>
        <w:spacing w:after="0" w:line="180" w:lineRule="exact"/>
        <w:rPr>
          <w:rFonts w:ascii="Arial" w:cs="Arial" w:eastAsia="Arial" w:hAnsi="Arial"/>
          <w:sz w:val="16"/>
          <w:szCs w:val="16"/>
          <w:color w:val="auto"/>
        </w:rPr>
      </w:pPr>
    </w:p>
    <w:p>
      <w:pPr>
        <w:ind w:left="1292" w:right="60" w:hanging="464"/>
        <w:spacing w:after="0" w:line="288" w:lineRule="auto"/>
        <w:tabs>
          <w:tab w:leader="none" w:pos="1292" w:val="left"/>
        </w:tabs>
        <w:numPr>
          <w:ilvl w:val="2"/>
          <w:numId w:val="131"/>
        </w:numPr>
        <w:rPr>
          <w:rFonts w:ascii="Arial" w:cs="Arial" w:eastAsia="Arial" w:hAnsi="Arial"/>
          <w:sz w:val="16"/>
          <w:szCs w:val="16"/>
          <w:color w:val="auto"/>
        </w:rPr>
      </w:pPr>
      <w:r>
        <w:rPr>
          <w:rFonts w:ascii="Arial" w:cs="Arial" w:eastAsia="Arial" w:hAnsi="Arial"/>
          <w:sz w:val="16"/>
          <w:szCs w:val="16"/>
          <w:color w:val="auto"/>
        </w:rPr>
        <w:t>Each Option or Stock Appreciation Right shall become exercisable at the time determined by the Committee at the date of grant, subject to the terms and conditions of the Plan. At the time of grant of an Option or Stock Appreciation Right, as applicable, the Committee may impose such restrictions or conditions of the exercisability of the Award as it, in its absolute discretion, deems appropriate, including, but not limited to, achievement of performance goals based on one or more Business Criteria or conditions relating to the completion of a specified period of service. Subject to Section 7(g) hereof, the Committee shall determine the expiration date of each Option and Stock Appreciation Right, as applicable, which shall be no later than the tenth anniversary of the date of grant of the Award. No Option or Stock Appreciation Right, as applicable, may be exercised after the expiration date applicable thereto. If an Option (other than an Incentive Stock Option) has an expiration date during or within three days of a Blackout Period (defined as any period of time when, pursuant to any policies of Huron, any securities of the Corporation may not be traded by certain persons as designated by the Corporation), then the expiration date of such Option shall be extended for a period of 30 days following the end of the Blackout Period or such longer period as permitted by the Committee. Notwithstanding the foregoing, no extension of the exercise period may occur if it would cause the Option to become subject to and in violation of the requirements of Section 409A(a) of the Code.</w:t>
      </w:r>
    </w:p>
    <w:p>
      <w:pPr>
        <w:spacing w:after="0" w:line="333" w:lineRule="exact"/>
        <w:rPr>
          <w:rFonts w:ascii="Arial" w:cs="Arial" w:eastAsia="Arial" w:hAnsi="Arial"/>
          <w:sz w:val="16"/>
          <w:szCs w:val="16"/>
          <w:color w:val="auto"/>
        </w:rPr>
      </w:pPr>
    </w:p>
    <w:p>
      <w:pPr>
        <w:ind w:left="1292" w:right="300" w:hanging="499"/>
        <w:spacing w:after="0" w:line="300" w:lineRule="auto"/>
        <w:tabs>
          <w:tab w:leader="none" w:pos="1292" w:val="left"/>
        </w:tabs>
        <w:numPr>
          <w:ilvl w:val="2"/>
          <w:numId w:val="131"/>
        </w:numPr>
        <w:rPr>
          <w:rFonts w:ascii="Arial" w:cs="Arial" w:eastAsia="Arial" w:hAnsi="Arial"/>
          <w:sz w:val="16"/>
          <w:szCs w:val="16"/>
          <w:color w:val="auto"/>
        </w:rPr>
      </w:pPr>
      <w:r>
        <w:rPr>
          <w:rFonts w:ascii="Arial" w:cs="Arial" w:eastAsia="Arial" w:hAnsi="Arial"/>
          <w:sz w:val="16"/>
          <w:szCs w:val="16"/>
          <w:color w:val="auto"/>
        </w:rPr>
        <w:t>An Option or Stock Appreciation Right shall be exercised by delivering the form of notice of exercise provided by Huron. Unless otherwise provided in the Award Agreement, an Option will be automatically exercised via a broker- assisted cashless exercise upon the expiration date of the Option if the value of a share of Common Stock on the expiration date exceeds the Exercise Price for such Option.</w:t>
      </w:r>
    </w:p>
    <w:p>
      <w:pPr>
        <w:spacing w:after="0" w:line="92" w:lineRule="exact"/>
        <w:rPr>
          <w:rFonts w:ascii="Arial" w:cs="Arial" w:eastAsia="Arial" w:hAnsi="Arial"/>
          <w:sz w:val="16"/>
          <w:szCs w:val="16"/>
          <w:color w:val="auto"/>
        </w:rPr>
      </w:pPr>
    </w:p>
    <w:p>
      <w:pPr>
        <w:ind w:left="1292" w:right="280" w:hanging="535"/>
        <w:spacing w:after="0" w:line="300" w:lineRule="auto"/>
        <w:tabs>
          <w:tab w:leader="none" w:pos="1292" w:val="left"/>
        </w:tabs>
        <w:numPr>
          <w:ilvl w:val="2"/>
          <w:numId w:val="131"/>
        </w:numPr>
        <w:rPr>
          <w:rFonts w:ascii="Arial" w:cs="Arial" w:eastAsia="Arial" w:hAnsi="Arial"/>
          <w:sz w:val="16"/>
          <w:szCs w:val="16"/>
          <w:color w:val="auto"/>
        </w:rPr>
      </w:pPr>
      <w:r>
        <w:rPr>
          <w:rFonts w:ascii="Arial" w:cs="Arial" w:eastAsia="Arial" w:hAnsi="Arial"/>
          <w:sz w:val="16"/>
          <w:szCs w:val="16"/>
          <w:color w:val="auto"/>
        </w:rPr>
        <w:t>Payment for shares of Common Stock purchased upon the exercise of the Option shall be made on the effective date of such exercise by one or a combination of the following means (except that in the case of exercise using a broker- assisted cashless exercise, payment may be made as soon as practicable after exercise): (1) in cash or cash equivalents; (2) by tendering, by actual delivery or attestation, shares of</w:t>
      </w:r>
    </w:p>
    <w:p>
      <w:pPr>
        <w:spacing w:after="0" w:line="200" w:lineRule="exact"/>
        <w:rPr>
          <w:sz w:val="20"/>
          <w:szCs w:val="20"/>
          <w:color w:val="auto"/>
        </w:rPr>
      </w:pPr>
    </w:p>
    <w:p>
      <w:pPr>
        <w:spacing w:after="0" w:line="267" w:lineRule="exact"/>
        <w:rPr>
          <w:sz w:val="20"/>
          <w:szCs w:val="20"/>
          <w:color w:val="auto"/>
        </w:rPr>
      </w:pPr>
    </w:p>
    <w:p>
      <w:pPr>
        <w:ind w:left="52"/>
        <w:spacing w:after="0"/>
        <w:tabs>
          <w:tab w:leader="none" w:pos="4412" w:val="left"/>
          <w:tab w:leader="none" w:pos="7752"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13"/>
          <w:szCs w:val="13"/>
          <w:b w:val="1"/>
          <w:bCs w:val="1"/>
          <w:color w:val="00558C"/>
        </w:rPr>
        <w:t>A-9</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wp:posOffset>
            </wp:positionH>
            <wp:positionV relativeFrom="paragraph">
              <wp:posOffset>351790</wp:posOffset>
            </wp:positionV>
            <wp:extent cx="6810375" cy="18249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10375" cy="1824990"/>
                    </a:xfrm>
                    <a:prstGeom prst="rect">
                      <a:avLst/>
                    </a:prstGeom>
                    <a:noFill/>
                  </pic:spPr>
                </pic:pic>
              </a:graphicData>
            </a:graphic>
          </wp:anchor>
        </w:drawing>
      </w:r>
    </w:p>
    <w:p>
      <w:pPr>
        <w:sectPr>
          <w:pgSz w:w="11900" w:h="16843" w:orient="portrait"/>
          <w:cols w:equalWidth="0" w:num="1">
            <w:col w:w="9092"/>
          </w:cols>
          <w:pgMar w:left="1408" w:top="134" w:right="1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52"/>
        <w:spacing w:after="0" w:line="317" w:lineRule="auto"/>
        <w:rPr>
          <w:sz w:val="20"/>
          <w:szCs w:val="20"/>
          <w:color w:val="auto"/>
        </w:rPr>
      </w:pPr>
      <w:r>
        <w:rPr>
          <w:rFonts w:ascii="Arial" w:cs="Arial" w:eastAsia="Arial" w:hAnsi="Arial"/>
          <w:sz w:val="12"/>
          <w:szCs w:val="12"/>
          <w:b w:val="1"/>
          <w:bCs w:val="1"/>
          <w:color w:val="B2B3B6"/>
        </w:rPr>
        <w:t>General Information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2"/>
          <w:szCs w:val="12"/>
          <w:b w:val="1"/>
          <w:bCs w:val="1"/>
          <w:color w:val="B2B3B6"/>
        </w:rPr>
        <w:t>Proposal</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b w:val="1"/>
          <w:bCs w:val="1"/>
          <w:color w:val="B2B3B6"/>
        </w:rPr>
        <w:t>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line="274" w:lineRule="auto"/>
        <w:rPr>
          <w:sz w:val="20"/>
          <w:szCs w:val="20"/>
          <w:color w:val="auto"/>
        </w:rPr>
      </w:pPr>
      <w:r>
        <w:rPr>
          <w:rFonts w:ascii="Arial" w:cs="Arial" w:eastAsia="Arial" w:hAnsi="Arial"/>
          <w:sz w:val="13"/>
          <w:szCs w:val="13"/>
          <w:b w:val="1"/>
          <w:bCs w:val="1"/>
          <w:color w:val="B2B3B6"/>
        </w:rPr>
        <w:t>Corporate Proposal Executive Governance Two 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220"/>
        <w:spacing w:after="0" w:line="274" w:lineRule="auto"/>
        <w:rPr>
          <w:sz w:val="20"/>
          <w:szCs w:val="20"/>
          <w:color w:val="auto"/>
        </w:rPr>
      </w:pPr>
      <w:r>
        <w:rPr>
          <w:rFonts w:ascii="Arial" w:cs="Arial" w:eastAsia="Arial" w:hAnsi="Arial"/>
          <w:sz w:val="13"/>
          <w:szCs w:val="13"/>
          <w:b w:val="1"/>
          <w:bCs w:val="1"/>
          <w:color w:val="B2B3B6"/>
        </w:rPr>
        <w:t xml:space="preserve">Proposal Proposal Proposal Stockholder </w:t>
      </w:r>
      <w:r>
        <w:rPr>
          <w:rFonts w:ascii="Arial" w:cs="Arial" w:eastAsia="Arial" w:hAnsi="Arial"/>
          <w:sz w:val="13"/>
          <w:szCs w:val="13"/>
          <w:b w:val="1"/>
          <w:bCs w:val="1"/>
          <w:color w:val="6AAA37"/>
        </w:rPr>
        <w:t>Other</w:t>
      </w:r>
      <w:r>
        <w:rPr>
          <w:rFonts w:ascii="Arial" w:cs="Arial" w:eastAsia="Arial" w:hAnsi="Arial"/>
          <w:sz w:val="13"/>
          <w:szCs w:val="13"/>
          <w:b w:val="1"/>
          <w:bCs w:val="1"/>
          <w:color w:val="B2B3B6"/>
        </w:rPr>
        <w:t xml:space="preserve"> Three Four Five Proposals </w:t>
      </w:r>
      <w:r>
        <w:rPr>
          <w:rFonts w:ascii="Arial" w:cs="Arial" w:eastAsia="Arial" w:hAnsi="Arial"/>
          <w:sz w:val="13"/>
          <w:szCs w:val="13"/>
          <w:b w:val="1"/>
          <w:bCs w:val="1"/>
          <w:color w:val="6AAA37"/>
        </w:rPr>
        <w:t>Matters</w:t>
      </w:r>
    </w:p>
    <w:p>
      <w:pPr>
        <w:spacing w:after="0" w:line="223" w:lineRule="exact"/>
        <w:rPr>
          <w:sz w:val="20"/>
          <w:szCs w:val="20"/>
          <w:color w:val="auto"/>
        </w:rPr>
      </w:pPr>
    </w:p>
    <w:p>
      <w:pPr>
        <w:sectPr>
          <w:pgSz w:w="11900" w:h="16843" w:orient="portrait"/>
          <w:cols w:equalWidth="0" w:num="4">
            <w:col w:w="732" w:space="320"/>
            <w:col w:w="540" w:space="300"/>
            <w:col w:w="2700" w:space="320"/>
            <w:col w:w="4180"/>
          </w:cols>
          <w:pgMar w:left="1408" w:top="134" w:right="1399" w:bottom="0" w:gutter="0" w:footer="0" w:header="0"/>
          <w:type w:val="continuous"/>
        </w:sectPr>
      </w:pPr>
    </w:p>
    <w:p>
      <w:pPr>
        <w:spacing w:after="0" w:line="128" w:lineRule="exact"/>
        <w:rPr>
          <w:sz w:val="20"/>
          <w:szCs w:val="20"/>
          <w:color w:val="auto"/>
        </w:rPr>
      </w:pPr>
    </w:p>
    <w:p>
      <w:pPr>
        <w:ind w:left="1292" w:right="180"/>
        <w:spacing w:after="0" w:line="291" w:lineRule="auto"/>
        <w:rPr>
          <w:sz w:val="20"/>
          <w:szCs w:val="20"/>
          <w:color w:val="auto"/>
        </w:rPr>
      </w:pPr>
      <w:r>
        <w:rPr>
          <w:rFonts w:ascii="Arial" w:cs="Arial" w:eastAsia="Arial" w:hAnsi="Arial"/>
          <w:sz w:val="16"/>
          <w:szCs w:val="16"/>
          <w:color w:val="auto"/>
        </w:rPr>
        <w:t>Common Stock owned by the Participant for at least six months prior to the date of exercise and valued on the effective date of such exercise; or (3) by any such other methods (including broker-assisted cashless exercise via a broker selected by the Committee) as the Committee may from time to time authorize; provided, however, that in all cases, the method of making such payment shall be in compliance with applicable law.</w:t>
      </w:r>
    </w:p>
    <w:p>
      <w:pPr>
        <w:spacing w:after="0" w:line="113" w:lineRule="exact"/>
        <w:rPr>
          <w:sz w:val="20"/>
          <w:szCs w:val="20"/>
          <w:color w:val="auto"/>
        </w:rPr>
      </w:pPr>
    </w:p>
    <w:p>
      <w:pPr>
        <w:ind w:left="1292" w:right="80" w:hanging="545"/>
        <w:spacing w:after="0" w:line="321" w:lineRule="auto"/>
        <w:tabs>
          <w:tab w:leader="none" w:pos="1292" w:val="left"/>
        </w:tabs>
        <w:numPr>
          <w:ilvl w:val="0"/>
          <w:numId w:val="132"/>
        </w:numPr>
        <w:rPr>
          <w:rFonts w:ascii="Arial" w:cs="Arial" w:eastAsia="Arial" w:hAnsi="Arial"/>
          <w:sz w:val="16"/>
          <w:szCs w:val="16"/>
          <w:color w:val="auto"/>
        </w:rPr>
      </w:pPr>
      <w:r>
        <w:rPr>
          <w:rFonts w:ascii="Arial" w:cs="Arial" w:eastAsia="Arial" w:hAnsi="Arial"/>
          <w:sz w:val="16"/>
          <w:szCs w:val="16"/>
          <w:color w:val="auto"/>
        </w:rPr>
        <w:t>Payment in settlement of a Stock Appreciation Right may be made solely in whole shares of Common Stock valued on the date of exercise of the Stock Appreciation Right or alternatively, in the sole discretion of the</w:t>
      </w:r>
    </w:p>
    <w:p>
      <w:pPr>
        <w:sectPr>
          <w:pgSz w:w="11900" w:h="16843" w:orient="portrait"/>
          <w:cols w:equalWidth="0" w:num="1">
            <w:col w:w="9092"/>
          </w:cols>
          <w:pgMar w:left="1408" w:top="134" w:right="1399" w:bottom="0" w:gutter="0" w:footer="0" w:header="0"/>
          <w:type w:val="continuous"/>
        </w:sectPr>
      </w:pPr>
    </w:p>
    <w:bookmarkStart w:id="92" w:name="page93"/>
    <w:bookmarkEnd w:id="92"/>
    <w:p>
      <w:pPr>
        <w:spacing w:after="0" w:line="129" w:lineRule="exact"/>
        <w:rPr>
          <w:sz w:val="20"/>
          <w:szCs w:val="20"/>
          <w:color w:val="auto"/>
        </w:rPr>
      </w:pPr>
    </w:p>
    <w:p>
      <w:pPr>
        <w:ind w:left="1260" w:right="60"/>
        <w:spacing w:after="0" w:line="219" w:lineRule="auto"/>
        <w:rPr>
          <w:sz w:val="20"/>
          <w:szCs w:val="20"/>
          <w:color w:val="auto"/>
        </w:rPr>
      </w:pPr>
      <w:r>
        <w:rPr>
          <w:rFonts w:ascii="Arial" w:cs="Arial" w:eastAsia="Arial" w:hAnsi="Arial"/>
          <w:sz w:val="16"/>
          <w:szCs w:val="16"/>
          <w:color w:val="auto"/>
        </w:rPr>
        <w:t>Committee, solely in cash or a combination of cash and shares. If the Committee decides that payment will be made in shares of Common Stock, and the amount payable results in a fractional share, payment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-194945</wp:posOffset>
            </wp:positionV>
            <wp:extent cx="6810375" cy="70313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10375" cy="7031355"/>
                    </a:xfrm>
                    <a:prstGeom prst="rect">
                      <a:avLst/>
                    </a:prstGeom>
                    <a:noFill/>
                  </pic:spPr>
                </pic:pic>
              </a:graphicData>
            </a:graphic>
          </wp:anchor>
        </w:drawing>
      </w:r>
    </w:p>
    <w:p>
      <w:pPr>
        <w:ind w:left="1260"/>
        <w:spacing w:after="0"/>
        <w:rPr>
          <w:sz w:val="20"/>
          <w:szCs w:val="20"/>
          <w:color w:val="auto"/>
        </w:rPr>
      </w:pPr>
      <w:r>
        <w:rPr>
          <w:rFonts w:ascii="Arial" w:cs="Arial" w:eastAsia="Arial" w:hAnsi="Arial"/>
          <w:sz w:val="16"/>
          <w:szCs w:val="16"/>
          <w:color w:val="auto"/>
        </w:rPr>
        <w:t>fractional share will be made in cash.</w:t>
      </w:r>
    </w:p>
    <w:p>
      <w:pPr>
        <w:spacing w:after="0" w:line="181" w:lineRule="exact"/>
        <w:rPr>
          <w:sz w:val="20"/>
          <w:szCs w:val="20"/>
          <w:color w:val="auto"/>
        </w:rPr>
      </w:pPr>
    </w:p>
    <w:p>
      <w:pPr>
        <w:ind w:left="1260" w:hanging="509"/>
        <w:spacing w:after="0" w:line="293" w:lineRule="auto"/>
        <w:tabs>
          <w:tab w:leader="none" w:pos="1260" w:val="left"/>
        </w:tabs>
        <w:numPr>
          <w:ilvl w:val="1"/>
          <w:numId w:val="133"/>
        </w:numPr>
        <w:rPr>
          <w:rFonts w:ascii="Arial" w:cs="Arial" w:eastAsia="Arial" w:hAnsi="Arial"/>
          <w:sz w:val="16"/>
          <w:szCs w:val="16"/>
          <w:color w:val="auto"/>
        </w:rPr>
      </w:pPr>
      <w:r>
        <w:rPr>
          <w:rFonts w:ascii="Arial" w:cs="Arial" w:eastAsia="Arial" w:hAnsi="Arial"/>
          <w:sz w:val="16"/>
          <w:szCs w:val="16"/>
          <w:color w:val="auto"/>
        </w:rPr>
        <w:t>Upon the exercise of an Option or settlement of a Stock Appreciation Right in shares of Common Stock, in a manner determined by the Committee, either (1) certificates for shares of Common Stock shall be issued in the name of or for the account of the Participant or other person entitled to receive such shares or (2) shares of Common Stock shall be credited to such person’s account via book-entry transfer and shall be registered in such person’s name solely on the records of Huron’s transfer agent, in each case, as soon as practicable following the effective date on which the Option or Stock Appreciation Right, as applicable, is exercised.</w:t>
      </w:r>
    </w:p>
    <w:p>
      <w:pPr>
        <w:spacing w:after="0" w:line="110" w:lineRule="exact"/>
        <w:rPr>
          <w:rFonts w:ascii="Arial" w:cs="Arial" w:eastAsia="Arial" w:hAnsi="Arial"/>
          <w:sz w:val="16"/>
          <w:szCs w:val="16"/>
          <w:color w:val="auto"/>
        </w:rPr>
      </w:pPr>
    </w:p>
    <w:p>
      <w:pPr>
        <w:ind w:left="620" w:right="20" w:hanging="328"/>
        <w:spacing w:after="0" w:line="288" w:lineRule="auto"/>
        <w:tabs>
          <w:tab w:leader="none" w:pos="620" w:val="left"/>
        </w:tabs>
        <w:numPr>
          <w:ilvl w:val="0"/>
          <w:numId w:val="134"/>
        </w:numPr>
        <w:rPr>
          <w:rFonts w:ascii="Arial" w:cs="Arial" w:eastAsia="Arial" w:hAnsi="Arial"/>
          <w:sz w:val="16"/>
          <w:szCs w:val="16"/>
          <w:color w:val="auto"/>
        </w:rPr>
      </w:pPr>
      <w:r>
        <w:rPr>
          <w:rFonts w:ascii="Arial" w:cs="Arial" w:eastAsia="Arial" w:hAnsi="Arial"/>
          <w:sz w:val="16"/>
          <w:szCs w:val="16"/>
          <w:b w:val="1"/>
          <w:bCs w:val="1"/>
          <w:color w:val="auto"/>
        </w:rPr>
        <w:t xml:space="preserve">Provisions Relating to Incentive Stock Options. </w:t>
      </w:r>
      <w:r>
        <w:rPr>
          <w:rFonts w:ascii="Arial" w:cs="Arial" w:eastAsia="Arial" w:hAnsi="Arial"/>
          <w:sz w:val="16"/>
          <w:szCs w:val="16"/>
          <w:color w:val="auto"/>
        </w:rPr>
        <w:t>Incentive Stock Options may only be granted to employees of</w:t>
      </w:r>
      <w:r>
        <w:rPr>
          <w:rFonts w:ascii="Arial" w:cs="Arial" w:eastAsia="Arial" w:hAnsi="Arial"/>
          <w:sz w:val="16"/>
          <w:szCs w:val="16"/>
          <w:b w:val="1"/>
          <w:bCs w:val="1"/>
          <w:color w:val="auto"/>
        </w:rPr>
        <w:t xml:space="preserve"> </w:t>
      </w:r>
      <w:r>
        <w:rPr>
          <w:rFonts w:ascii="Arial" w:cs="Arial" w:eastAsia="Arial" w:hAnsi="Arial"/>
          <w:sz w:val="16"/>
          <w:szCs w:val="16"/>
          <w:color w:val="auto"/>
        </w:rPr>
        <w:t>Huron and its Subsidiaries, in accordance with the provisions of Section 422 of the Code. To the extent that the aggregate Fair Market Value of shares of Common Stock with respect to which Incentive Stock Options are exercisable for the first time by a Participant during any calendar year under the Plan and any other stock option plan of Huron or any of its Subsidiaries shall exceed $100,000, such Options shall be treated as Nonqualified Stock Options. For purposes of the preceding sentence, Fair Market Value shall be determined as of the date on which each such Incentive Stock Option is granted. No Incentive Stock Option may be granted to an individual if, at the time of the proposed grant, such individual owns (or is deemed to own under the Code) stock possessing more than ten percent of the total combined voting power of all classes of stock of Huron and its Subsidiaries unless (i) the exercise price of such Incentive Stock Option is at least 110% of the Fair Market Value of a share of Common Stock at the time such Incentive Stock Option is granted and (ii) such Incentive Stock Option is not exercisable after the expiration of five years from the date such Incentive Stock Option is granted. A Participant shall be required to notify Huron of any disposition of shares of Common Stock issued pursuant to the exercise of an Incentive Stock Option under the circumstances described in Section 421(b) of the Code (relating to certain disqualifying dispositions), within 10 days of such disposition.</w:t>
      </w:r>
    </w:p>
    <w:p>
      <w:pPr>
        <w:spacing w:after="0" w:line="103" w:lineRule="exact"/>
        <w:rPr>
          <w:rFonts w:ascii="Arial" w:cs="Arial" w:eastAsia="Arial" w:hAnsi="Arial"/>
          <w:sz w:val="16"/>
          <w:szCs w:val="16"/>
          <w:color w:val="auto"/>
        </w:rPr>
      </w:pPr>
    </w:p>
    <w:p>
      <w:pPr>
        <w:ind w:left="620" w:right="80" w:hanging="328"/>
        <w:spacing w:after="0" w:line="300" w:lineRule="auto"/>
        <w:tabs>
          <w:tab w:leader="none" w:pos="620" w:val="left"/>
        </w:tabs>
        <w:numPr>
          <w:ilvl w:val="0"/>
          <w:numId w:val="134"/>
        </w:numPr>
        <w:rPr>
          <w:rFonts w:ascii="Arial" w:cs="Arial" w:eastAsia="Arial" w:hAnsi="Arial"/>
          <w:sz w:val="16"/>
          <w:szCs w:val="16"/>
          <w:color w:val="auto"/>
        </w:rPr>
      </w:pPr>
      <w:r>
        <w:rPr>
          <w:rFonts w:ascii="Arial" w:cs="Arial" w:eastAsia="Arial" w:hAnsi="Arial"/>
          <w:sz w:val="16"/>
          <w:szCs w:val="16"/>
          <w:b w:val="1"/>
          <w:bCs w:val="1"/>
          <w:color w:val="auto"/>
        </w:rPr>
        <w:t xml:space="preserve">Effect of Termination of Employment or Provision of Services on Options and Stock Appreciation Rights. </w:t>
      </w:r>
      <w:r>
        <w:rPr>
          <w:rFonts w:ascii="Arial" w:cs="Arial" w:eastAsia="Arial" w:hAnsi="Arial"/>
          <w:sz w:val="16"/>
          <w:szCs w:val="16"/>
          <w:color w:val="auto"/>
        </w:rPr>
        <w:t>The Committee shall determine the effect of termination of employment or termination of service on each Option and Stock Appreciation Right, subject to the terms and conditions of the Plan. Unless otherwise provided by the Committee:</w:t>
      </w:r>
    </w:p>
    <w:p>
      <w:pPr>
        <w:spacing w:after="0" w:line="106" w:lineRule="exact"/>
        <w:rPr>
          <w:rFonts w:ascii="Arial" w:cs="Arial" w:eastAsia="Arial" w:hAnsi="Arial"/>
          <w:sz w:val="16"/>
          <w:szCs w:val="16"/>
          <w:color w:val="auto"/>
        </w:rPr>
      </w:pPr>
    </w:p>
    <w:p>
      <w:pPr>
        <w:ind w:left="1260" w:right="80" w:hanging="464"/>
        <w:spacing w:after="0" w:line="300" w:lineRule="auto"/>
        <w:tabs>
          <w:tab w:leader="none" w:pos="1260" w:val="left"/>
        </w:tabs>
        <w:numPr>
          <w:ilvl w:val="1"/>
          <w:numId w:val="134"/>
        </w:numPr>
        <w:rPr>
          <w:rFonts w:ascii="Arial" w:cs="Arial" w:eastAsia="Arial" w:hAnsi="Arial"/>
          <w:sz w:val="16"/>
          <w:szCs w:val="16"/>
          <w:color w:val="auto"/>
        </w:rPr>
      </w:pPr>
      <w:r>
        <w:rPr>
          <w:rFonts w:ascii="Arial" w:cs="Arial" w:eastAsia="Arial" w:hAnsi="Arial"/>
          <w:sz w:val="16"/>
          <w:szCs w:val="16"/>
          <w:color w:val="auto"/>
        </w:rPr>
        <w:t>any Option or Stock Appreciation Right that is outstanding on the date on which a Participant’s employment or service with Huron and the Affiliates terminates due to death or as a result of the Participant’s being Disabled shall become fully vested and exercisable on the date on which the Participant’s employment or service terminates due to the Participant’s death or as a result of the Participant’s being Disabled;</w:t>
      </w:r>
    </w:p>
    <w:p>
      <w:pPr>
        <w:spacing w:after="0" w:line="92" w:lineRule="exact"/>
        <w:rPr>
          <w:rFonts w:ascii="Arial" w:cs="Arial" w:eastAsia="Arial" w:hAnsi="Arial"/>
          <w:sz w:val="16"/>
          <w:szCs w:val="16"/>
          <w:color w:val="auto"/>
        </w:rPr>
      </w:pPr>
    </w:p>
    <w:p>
      <w:pPr>
        <w:ind w:left="1260" w:right="80" w:hanging="499"/>
        <w:spacing w:after="0" w:line="310" w:lineRule="auto"/>
        <w:tabs>
          <w:tab w:leader="none" w:pos="1260" w:val="left"/>
        </w:tabs>
        <w:numPr>
          <w:ilvl w:val="1"/>
          <w:numId w:val="135"/>
        </w:numPr>
        <w:rPr>
          <w:rFonts w:ascii="Arial" w:cs="Arial" w:eastAsia="Arial" w:hAnsi="Arial"/>
          <w:sz w:val="16"/>
          <w:szCs w:val="16"/>
          <w:color w:val="auto"/>
        </w:rPr>
      </w:pPr>
      <w:r>
        <w:rPr>
          <w:rFonts w:ascii="Arial" w:cs="Arial" w:eastAsia="Arial" w:hAnsi="Arial"/>
          <w:sz w:val="16"/>
          <w:szCs w:val="16"/>
          <w:color w:val="auto"/>
        </w:rPr>
        <w:t>any Option or Stock Appreciation Right that is outstanding on the date on which a Participant’s employment or service with Huron and the Affiliates terminates for Cause, whether or not then exercisable, shall be terminated effective as of the day immediately prior to the date of termination;</w:t>
      </w:r>
    </w:p>
    <w:p>
      <w:pPr>
        <w:spacing w:after="0" w:line="97" w:lineRule="exact"/>
        <w:rPr>
          <w:rFonts w:ascii="Arial" w:cs="Arial" w:eastAsia="Arial" w:hAnsi="Arial"/>
          <w:sz w:val="16"/>
          <w:szCs w:val="16"/>
          <w:color w:val="auto"/>
        </w:rPr>
      </w:pPr>
    </w:p>
    <w:p>
      <w:pPr>
        <w:ind w:left="1260" w:right="80" w:hanging="535"/>
        <w:spacing w:after="0" w:line="293" w:lineRule="auto"/>
        <w:tabs>
          <w:tab w:leader="none" w:pos="1260" w:val="left"/>
        </w:tabs>
        <w:numPr>
          <w:ilvl w:val="1"/>
          <w:numId w:val="136"/>
        </w:numPr>
        <w:rPr>
          <w:rFonts w:ascii="Arial" w:cs="Arial" w:eastAsia="Arial" w:hAnsi="Arial"/>
          <w:sz w:val="16"/>
          <w:szCs w:val="16"/>
          <w:color w:val="auto"/>
        </w:rPr>
      </w:pPr>
      <w:r>
        <w:rPr>
          <w:rFonts w:ascii="Arial" w:cs="Arial" w:eastAsia="Arial" w:hAnsi="Arial"/>
          <w:sz w:val="16"/>
          <w:szCs w:val="16"/>
          <w:color w:val="auto"/>
        </w:rPr>
        <w:t>any Option or Stock Appreciation Right that is outstanding on the date that a Participant’s employment or service with Huron and the Affiliates terminates for any reason other than Cause, death, or the Participant’s being Disabled or Retirement, (1) shall remain exercisable for the 90-day period following such termination to the extent that it is exercisable at the time of such termination, but in no event following the expiration of its term and (2) shall be terminated effective as of the date of termination to the extent it remains unexercisable as of the date of termination; and</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0"/>
        <w:spacing w:after="0"/>
        <w:tabs>
          <w:tab w:leader="none" w:pos="4340" w:val="left"/>
          <w:tab w:leader="none" w:pos="772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13"/>
          <w:szCs w:val="13"/>
          <w:b w:val="1"/>
          <w:bCs w:val="1"/>
          <w:color w:val="00558C"/>
        </w:rPr>
        <w:t>A-10</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351790</wp:posOffset>
            </wp:positionV>
            <wp:extent cx="6810375" cy="340233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10375" cy="3402330"/>
                    </a:xfrm>
                    <a:prstGeom prst="rect">
                      <a:avLst/>
                    </a:prstGeom>
                    <a:noFill/>
                  </pic:spPr>
                </pic:pic>
              </a:graphicData>
            </a:graphic>
          </wp:anchor>
        </w:drawing>
      </w:r>
    </w:p>
    <w:p>
      <w:pPr>
        <w:sectPr>
          <w:pgSz w:w="11900" w:h="16967" w:orient="portrait"/>
          <w:cols w:equalWidth="0" w:num="1">
            <w:col w:w="9020"/>
          </w:cols>
          <w:pgMar w:left="1440" w:top="111" w:right="14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20"/>
        <w:spacing w:after="0" w:line="317" w:lineRule="auto"/>
        <w:rPr>
          <w:sz w:val="20"/>
          <w:szCs w:val="20"/>
          <w:color w:val="auto"/>
        </w:rPr>
      </w:pPr>
      <w:r>
        <w:rPr>
          <w:rFonts w:ascii="Arial" w:cs="Arial" w:eastAsia="Arial" w:hAnsi="Arial"/>
          <w:sz w:val="12"/>
          <w:szCs w:val="12"/>
          <w:b w:val="1"/>
          <w:bCs w:val="1"/>
          <w:color w:val="B2B3B6"/>
        </w:rPr>
        <w:t>General Information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2"/>
          <w:szCs w:val="12"/>
          <w:b w:val="1"/>
          <w:bCs w:val="1"/>
          <w:color w:val="B2B3B6"/>
        </w:rPr>
        <w:t>Proposal</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b w:val="1"/>
          <w:bCs w:val="1"/>
          <w:color w:val="B2B3B6"/>
        </w:rPr>
        <w:t>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line="274" w:lineRule="auto"/>
        <w:rPr>
          <w:sz w:val="20"/>
          <w:szCs w:val="20"/>
          <w:color w:val="auto"/>
        </w:rPr>
      </w:pPr>
      <w:r>
        <w:rPr>
          <w:rFonts w:ascii="Arial" w:cs="Arial" w:eastAsia="Arial" w:hAnsi="Arial"/>
          <w:sz w:val="13"/>
          <w:szCs w:val="13"/>
          <w:b w:val="1"/>
          <w:bCs w:val="1"/>
          <w:color w:val="B2B3B6"/>
        </w:rPr>
        <w:t>Corporate Proposal Executive Governance Two 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180"/>
        <w:spacing w:after="0" w:line="274" w:lineRule="auto"/>
        <w:rPr>
          <w:sz w:val="20"/>
          <w:szCs w:val="20"/>
          <w:color w:val="auto"/>
        </w:rPr>
      </w:pPr>
      <w:r>
        <w:rPr>
          <w:rFonts w:ascii="Arial" w:cs="Arial" w:eastAsia="Arial" w:hAnsi="Arial"/>
          <w:sz w:val="13"/>
          <w:szCs w:val="13"/>
          <w:b w:val="1"/>
          <w:bCs w:val="1"/>
          <w:color w:val="B2B3B6"/>
        </w:rPr>
        <w:t xml:space="preserve">Proposal Proposal Proposal Stockholder </w:t>
      </w:r>
      <w:r>
        <w:rPr>
          <w:rFonts w:ascii="Arial" w:cs="Arial" w:eastAsia="Arial" w:hAnsi="Arial"/>
          <w:sz w:val="13"/>
          <w:szCs w:val="13"/>
          <w:b w:val="1"/>
          <w:bCs w:val="1"/>
          <w:color w:val="6AAA37"/>
        </w:rPr>
        <w:t>Other</w:t>
      </w:r>
      <w:r>
        <w:rPr>
          <w:rFonts w:ascii="Arial" w:cs="Arial" w:eastAsia="Arial" w:hAnsi="Arial"/>
          <w:sz w:val="13"/>
          <w:szCs w:val="13"/>
          <w:b w:val="1"/>
          <w:bCs w:val="1"/>
          <w:color w:val="B2B3B6"/>
        </w:rPr>
        <w:t xml:space="preserve"> Three Four Five Proposals </w:t>
      </w:r>
      <w:r>
        <w:rPr>
          <w:rFonts w:ascii="Arial" w:cs="Arial" w:eastAsia="Arial" w:hAnsi="Arial"/>
          <w:sz w:val="13"/>
          <w:szCs w:val="13"/>
          <w:b w:val="1"/>
          <w:bCs w:val="1"/>
          <w:color w:val="6AAA37"/>
        </w:rPr>
        <w:t>Matters</w:t>
      </w:r>
    </w:p>
    <w:p>
      <w:pPr>
        <w:spacing w:after="0" w:line="223" w:lineRule="exact"/>
        <w:rPr>
          <w:sz w:val="20"/>
          <w:szCs w:val="20"/>
          <w:color w:val="auto"/>
        </w:rPr>
      </w:pPr>
    </w:p>
    <w:p>
      <w:pPr>
        <w:sectPr>
          <w:pgSz w:w="11900" w:h="16967" w:orient="portrait"/>
          <w:cols w:equalWidth="0" w:num="4">
            <w:col w:w="700" w:space="320"/>
            <w:col w:w="540" w:space="300"/>
            <w:col w:w="2700" w:space="320"/>
            <w:col w:w="4140"/>
          </w:cols>
          <w:pgMar w:left="1440" w:top="111" w:right="1439" w:bottom="0" w:gutter="0" w:footer="0" w:header="0"/>
          <w:type w:val="continuous"/>
        </w:sectPr>
      </w:pPr>
    </w:p>
    <w:p>
      <w:pPr>
        <w:spacing w:after="0" w:line="128" w:lineRule="exact"/>
        <w:rPr>
          <w:sz w:val="20"/>
          <w:szCs w:val="20"/>
          <w:color w:val="auto"/>
        </w:rPr>
      </w:pPr>
    </w:p>
    <w:p>
      <w:pPr>
        <w:ind w:left="1260" w:right="40" w:hanging="545"/>
        <w:spacing w:after="0" w:line="288" w:lineRule="auto"/>
        <w:tabs>
          <w:tab w:leader="none" w:pos="1260" w:val="left"/>
        </w:tabs>
        <w:numPr>
          <w:ilvl w:val="1"/>
          <w:numId w:val="137"/>
        </w:numPr>
        <w:rPr>
          <w:rFonts w:ascii="Arial" w:cs="Arial" w:eastAsia="Arial" w:hAnsi="Arial"/>
          <w:sz w:val="16"/>
          <w:szCs w:val="16"/>
          <w:color w:val="auto"/>
        </w:rPr>
      </w:pPr>
      <w:r>
        <w:rPr>
          <w:rFonts w:ascii="Arial" w:cs="Arial" w:eastAsia="Arial" w:hAnsi="Arial"/>
          <w:sz w:val="16"/>
          <w:szCs w:val="16"/>
          <w:color w:val="auto"/>
        </w:rPr>
        <w:t>with respect to any Participant who is an employee of Huron or any Affiliate and who is in a position of corporate vice president, managing director, principal or executive officer, any Option or Stock Appreciation Right that is outstanding on the date on which such Participant’s employment with Huron and the Affiliates terminates due to Retirement shall continue to vest and be exercisable in accordance with its terms as though the Participant had remained in the employ of Huron and its Affiliates, provided that the Participant complies with the terms of the non-competition agreement and non-solicitation agreement in the form determined by Huron and signed by the Participant; provided further, however, that the foregoing provisions of this paragraph (iv) shall not apply with respect to any Option or Stock Appreciation Right that is subject to Section 409A of the Code. Notwithstanding the foregoing, if a Participant dies following Retirement, any Option or Stock Appreciation Right that is still outstanding on the date of such Participant’s death shall become fully vested and exercisable on the date of such Participant’s death, and shall expire on the earlier of such Award’s expiration date and the one-year anniversary of the Participant’s death.</w:t>
      </w:r>
    </w:p>
    <w:p>
      <w:pPr>
        <w:spacing w:after="0" w:line="118" w:lineRule="exact"/>
        <w:rPr>
          <w:rFonts w:ascii="Arial" w:cs="Arial" w:eastAsia="Arial" w:hAnsi="Arial"/>
          <w:sz w:val="16"/>
          <w:szCs w:val="16"/>
          <w:color w:val="auto"/>
        </w:rPr>
      </w:pPr>
    </w:p>
    <w:p>
      <w:pPr>
        <w:ind w:left="620" w:right="120" w:hanging="328"/>
        <w:spacing w:after="0" w:line="291" w:lineRule="auto"/>
        <w:tabs>
          <w:tab w:leader="none" w:pos="620" w:val="left"/>
        </w:tabs>
        <w:numPr>
          <w:ilvl w:val="0"/>
          <w:numId w:val="138"/>
        </w:numPr>
        <w:rPr>
          <w:rFonts w:ascii="Arial" w:cs="Arial" w:eastAsia="Arial" w:hAnsi="Arial"/>
          <w:sz w:val="16"/>
          <w:szCs w:val="16"/>
          <w:color w:val="auto"/>
        </w:rPr>
      </w:pPr>
      <w:r>
        <w:rPr>
          <w:rFonts w:ascii="Arial" w:cs="Arial" w:eastAsia="Arial" w:hAnsi="Arial"/>
          <w:sz w:val="16"/>
          <w:szCs w:val="16"/>
          <w:b w:val="1"/>
          <w:bCs w:val="1"/>
          <w:color w:val="auto"/>
        </w:rPr>
        <w:t xml:space="preserve">Leaves of Absence. </w:t>
      </w:r>
      <w:r>
        <w:rPr>
          <w:rFonts w:ascii="Arial" w:cs="Arial" w:eastAsia="Arial" w:hAnsi="Arial"/>
          <w:sz w:val="16"/>
          <w:szCs w:val="16"/>
          <w:color w:val="auto"/>
        </w:rPr>
        <w:t>Unless otherwise provided by the Committee and, with respect to Incentive Stock Options, to</w:t>
      </w:r>
      <w:r>
        <w:rPr>
          <w:rFonts w:ascii="Arial" w:cs="Arial" w:eastAsia="Arial" w:hAnsi="Arial"/>
          <w:sz w:val="16"/>
          <w:szCs w:val="16"/>
          <w:b w:val="1"/>
          <w:bCs w:val="1"/>
          <w:color w:val="auto"/>
        </w:rPr>
        <w:t xml:space="preserve"> </w:t>
      </w:r>
      <w:r>
        <w:rPr>
          <w:rFonts w:ascii="Arial" w:cs="Arial" w:eastAsia="Arial" w:hAnsi="Arial"/>
          <w:sz w:val="16"/>
          <w:szCs w:val="16"/>
          <w:color w:val="auto"/>
        </w:rPr>
        <w:t>the extent permitted under Section 422 of the Code, subject in all cases to the terms and conditions of the Award, in the case of any Participant who takes an approved unpaid leave of absence (i) the Participant’s employment or service shall not be deemed to be terminated solely because of such leave of absence; (ii) the Participant shall continue to vest in his or her outstanding Options and Stock Appreciation Rights under the Plan during the first 30 days of such leave of absence; and the Participant shall cease to vest in his or her outstanding Options and Stock Appreciation Rights under the Plan during any period of such leave of absence which exceeds 30 days.</w:t>
      </w:r>
    </w:p>
    <w:p>
      <w:pPr>
        <w:sectPr>
          <w:pgSz w:w="11900" w:h="16967" w:orient="portrait"/>
          <w:cols w:equalWidth="0" w:num="1">
            <w:col w:w="9020"/>
          </w:cols>
          <w:pgMar w:left="1440" w:top="111" w:right="1439" w:bottom="0" w:gutter="0" w:footer="0" w:header="0"/>
          <w:type w:val="continuous"/>
        </w:sectPr>
      </w:pPr>
    </w:p>
    <w:bookmarkStart w:id="93" w:name="page94"/>
    <w:bookmarkEnd w:id="93"/>
    <w:p>
      <w:pPr>
        <w:spacing w:after="0" w:line="5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54540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10375" cy="5454015"/>
                    </a:xfrm>
                    <a:prstGeom prst="rect">
                      <a:avLst/>
                    </a:prstGeom>
                    <a:noFill/>
                  </pic:spPr>
                </pic:pic>
              </a:graphicData>
            </a:graphic>
          </wp:anchor>
        </w:drawing>
      </w:r>
    </w:p>
    <w:p>
      <w:pPr>
        <w:ind w:left="652" w:right="160" w:hanging="328"/>
        <w:spacing w:after="0" w:line="293" w:lineRule="auto"/>
        <w:tabs>
          <w:tab w:leader="none" w:pos="652" w:val="left"/>
        </w:tabs>
        <w:numPr>
          <w:ilvl w:val="1"/>
          <w:numId w:val="139"/>
        </w:numPr>
        <w:rPr>
          <w:rFonts w:ascii="Arial" w:cs="Arial" w:eastAsia="Arial" w:hAnsi="Arial"/>
          <w:sz w:val="16"/>
          <w:szCs w:val="16"/>
          <w:color w:val="auto"/>
        </w:rPr>
      </w:pPr>
      <w:r>
        <w:rPr>
          <w:rFonts w:ascii="Arial" w:cs="Arial" w:eastAsia="Arial" w:hAnsi="Arial"/>
          <w:sz w:val="16"/>
          <w:szCs w:val="16"/>
          <w:b w:val="1"/>
          <w:bCs w:val="1"/>
          <w:color w:val="auto"/>
        </w:rPr>
        <w:t xml:space="preserve">Post-Exercise Limitations. </w:t>
      </w:r>
      <w:r>
        <w:rPr>
          <w:rFonts w:ascii="Arial" w:cs="Arial" w:eastAsia="Arial" w:hAnsi="Arial"/>
          <w:sz w:val="16"/>
          <w:szCs w:val="16"/>
          <w:color w:val="auto"/>
        </w:rPr>
        <w:t>Without otherwise limiting the Committee’s authority under the Plan, the Committee, in</w:t>
      </w:r>
      <w:r>
        <w:rPr>
          <w:rFonts w:ascii="Arial" w:cs="Arial" w:eastAsia="Arial" w:hAnsi="Arial"/>
          <w:sz w:val="16"/>
          <w:szCs w:val="16"/>
          <w:b w:val="1"/>
          <w:bCs w:val="1"/>
          <w:color w:val="auto"/>
        </w:rPr>
        <w:t xml:space="preserve"> </w:t>
      </w:r>
      <w:r>
        <w:rPr>
          <w:rFonts w:ascii="Arial" w:cs="Arial" w:eastAsia="Arial" w:hAnsi="Arial"/>
          <w:sz w:val="16"/>
          <w:szCs w:val="16"/>
          <w:color w:val="auto"/>
        </w:rPr>
        <w:t>its discretion, may impose such restrictions on shares of Common Stock acquired pursuant to the exercise of an Option or received in settlement of a Stock Appreciation Right as it determines to be desirable, including, without limitation, restrictions relating to disposition of the shares and forfeiture restrictions based on service, performance, share ownership by the Participant, conformity with Huron’s recoupment or clawback policies and such other factors as the Committee determines to be appropriate.</w:t>
      </w:r>
    </w:p>
    <w:p>
      <w:pPr>
        <w:spacing w:after="0" w:line="110" w:lineRule="exact"/>
        <w:rPr>
          <w:rFonts w:ascii="Arial" w:cs="Arial" w:eastAsia="Arial" w:hAnsi="Arial"/>
          <w:sz w:val="16"/>
          <w:szCs w:val="16"/>
          <w:color w:val="auto"/>
        </w:rPr>
      </w:pPr>
    </w:p>
    <w:p>
      <w:pPr>
        <w:ind w:left="332" w:hanging="332"/>
        <w:spacing w:after="0"/>
        <w:tabs>
          <w:tab w:leader="none" w:pos="332" w:val="left"/>
        </w:tabs>
        <w:numPr>
          <w:ilvl w:val="0"/>
          <w:numId w:val="140"/>
        </w:numPr>
        <w:rPr>
          <w:rFonts w:ascii="Arial" w:cs="Arial" w:eastAsia="Arial" w:hAnsi="Arial"/>
          <w:sz w:val="16"/>
          <w:szCs w:val="16"/>
          <w:color w:val="auto"/>
        </w:rPr>
      </w:pPr>
      <w:r>
        <w:rPr>
          <w:rFonts w:ascii="Arial" w:cs="Arial" w:eastAsia="Arial" w:hAnsi="Arial"/>
          <w:sz w:val="16"/>
          <w:szCs w:val="16"/>
          <w:b w:val="1"/>
          <w:bCs w:val="1"/>
          <w:color w:val="auto"/>
        </w:rPr>
        <w:t>Full Value Awards and Cash Incentive Awards.</w:t>
      </w:r>
    </w:p>
    <w:p>
      <w:pPr>
        <w:spacing w:after="0" w:line="167" w:lineRule="exact"/>
        <w:rPr>
          <w:rFonts w:ascii="Arial" w:cs="Arial" w:eastAsia="Arial" w:hAnsi="Arial"/>
          <w:sz w:val="16"/>
          <w:szCs w:val="16"/>
          <w:color w:val="auto"/>
        </w:rPr>
      </w:pPr>
    </w:p>
    <w:p>
      <w:pPr>
        <w:ind w:left="652" w:right="40" w:hanging="328"/>
        <w:spacing w:after="0" w:line="339" w:lineRule="auto"/>
        <w:tabs>
          <w:tab w:leader="none" w:pos="652" w:val="left"/>
        </w:tabs>
        <w:numPr>
          <w:ilvl w:val="1"/>
          <w:numId w:val="140"/>
        </w:numPr>
        <w:rPr>
          <w:rFonts w:ascii="Arial" w:cs="Arial" w:eastAsia="Arial" w:hAnsi="Arial"/>
          <w:sz w:val="16"/>
          <w:szCs w:val="16"/>
          <w:color w:val="auto"/>
        </w:rPr>
      </w:pPr>
      <w:r>
        <w:rPr>
          <w:rFonts w:ascii="Arial" w:cs="Arial" w:eastAsia="Arial" w:hAnsi="Arial"/>
          <w:sz w:val="16"/>
          <w:szCs w:val="16"/>
          <w:b w:val="1"/>
          <w:bCs w:val="1"/>
          <w:color w:val="auto"/>
        </w:rPr>
        <w:t xml:space="preserve">Grant of Awards. </w:t>
      </w:r>
      <w:r>
        <w:rPr>
          <w:rFonts w:ascii="Arial" w:cs="Arial" w:eastAsia="Arial" w:hAnsi="Arial"/>
          <w:sz w:val="16"/>
          <w:szCs w:val="16"/>
          <w:color w:val="auto"/>
        </w:rPr>
        <w:t>The Committee may grant Full Value Awards and/or Cash Incentive Awards to Eligible Individuals,</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terms and conditions of the Plan.</w:t>
      </w:r>
    </w:p>
    <w:p>
      <w:pPr>
        <w:spacing w:after="0" w:line="74" w:lineRule="exact"/>
        <w:rPr>
          <w:rFonts w:ascii="Arial" w:cs="Arial" w:eastAsia="Arial" w:hAnsi="Arial"/>
          <w:sz w:val="16"/>
          <w:szCs w:val="16"/>
          <w:color w:val="auto"/>
        </w:rPr>
      </w:pPr>
    </w:p>
    <w:p>
      <w:pPr>
        <w:ind w:left="652" w:right="180" w:hanging="328"/>
        <w:spacing w:after="0" w:line="301" w:lineRule="auto"/>
        <w:tabs>
          <w:tab w:leader="none" w:pos="652" w:val="left"/>
        </w:tabs>
        <w:numPr>
          <w:ilvl w:val="1"/>
          <w:numId w:val="140"/>
        </w:numPr>
        <w:rPr>
          <w:rFonts w:ascii="Arial" w:cs="Arial" w:eastAsia="Arial" w:hAnsi="Arial"/>
          <w:sz w:val="16"/>
          <w:szCs w:val="16"/>
          <w:color w:val="auto"/>
        </w:rPr>
      </w:pPr>
      <w:r>
        <w:rPr>
          <w:rFonts w:ascii="Arial" w:cs="Arial" w:eastAsia="Arial" w:hAnsi="Arial"/>
          <w:sz w:val="16"/>
          <w:szCs w:val="16"/>
          <w:b w:val="1"/>
          <w:bCs w:val="1"/>
          <w:color w:val="auto"/>
        </w:rPr>
        <w:t xml:space="preserve">Effect of Termination of Employment or Provision of Services on Full Value Awards. </w:t>
      </w:r>
      <w:r>
        <w:rPr>
          <w:rFonts w:ascii="Arial" w:cs="Arial" w:eastAsia="Arial" w:hAnsi="Arial"/>
          <w:sz w:val="16"/>
          <w:szCs w:val="16"/>
          <w:color w:val="auto"/>
        </w:rPr>
        <w:t>The Committee shall</w:t>
      </w:r>
      <w:r>
        <w:rPr>
          <w:rFonts w:ascii="Arial" w:cs="Arial" w:eastAsia="Arial" w:hAnsi="Arial"/>
          <w:sz w:val="16"/>
          <w:szCs w:val="16"/>
          <w:b w:val="1"/>
          <w:bCs w:val="1"/>
          <w:color w:val="auto"/>
        </w:rPr>
        <w:t xml:space="preserve"> </w:t>
      </w:r>
      <w:r>
        <w:rPr>
          <w:rFonts w:ascii="Arial" w:cs="Arial" w:eastAsia="Arial" w:hAnsi="Arial"/>
          <w:sz w:val="16"/>
          <w:szCs w:val="16"/>
          <w:color w:val="auto"/>
        </w:rPr>
        <w:t>determine the effect of termination of employment or termination of service on each Full Value Award, subject to the terms and conditions of the Plan. Unless otherwise provided by the Committee:</w:t>
      </w:r>
    </w:p>
    <w:p>
      <w:pPr>
        <w:spacing w:after="0" w:line="104" w:lineRule="exact"/>
        <w:rPr>
          <w:rFonts w:ascii="Arial" w:cs="Arial" w:eastAsia="Arial" w:hAnsi="Arial"/>
          <w:sz w:val="16"/>
          <w:szCs w:val="16"/>
          <w:color w:val="auto"/>
        </w:rPr>
      </w:pPr>
    </w:p>
    <w:p>
      <w:pPr>
        <w:ind w:left="1292" w:right="280" w:hanging="464"/>
        <w:spacing w:after="0" w:line="295" w:lineRule="auto"/>
        <w:tabs>
          <w:tab w:leader="none" w:pos="1292" w:val="left"/>
        </w:tabs>
        <w:numPr>
          <w:ilvl w:val="2"/>
          <w:numId w:val="140"/>
        </w:numPr>
        <w:rPr>
          <w:rFonts w:ascii="Arial" w:cs="Arial" w:eastAsia="Arial" w:hAnsi="Arial"/>
          <w:sz w:val="16"/>
          <w:szCs w:val="16"/>
          <w:color w:val="auto"/>
        </w:rPr>
      </w:pPr>
      <w:r>
        <w:rPr>
          <w:rFonts w:ascii="Arial" w:cs="Arial" w:eastAsia="Arial" w:hAnsi="Arial"/>
          <w:sz w:val="16"/>
          <w:szCs w:val="16"/>
          <w:color w:val="auto"/>
        </w:rPr>
        <w:t>any Full Value Award that is outstanding on the date on which a Participant’s employment or service with Huron and the Affiliates terminates due to death or as a result of the Participant’s being Disabled shall become fully vested (and exercisable, if applicable) on the date on which the Participant’s employment or service terminates due to the Participant’s death or as a result of the Participant’s being Disabled;</w:t>
      </w:r>
    </w:p>
    <w:p>
      <w:pPr>
        <w:spacing w:after="0" w:line="107" w:lineRule="exact"/>
        <w:rPr>
          <w:rFonts w:ascii="Arial" w:cs="Arial" w:eastAsia="Arial" w:hAnsi="Arial"/>
          <w:sz w:val="16"/>
          <w:szCs w:val="16"/>
          <w:color w:val="auto"/>
        </w:rPr>
      </w:pPr>
    </w:p>
    <w:p>
      <w:pPr>
        <w:ind w:left="1292" w:right="80" w:hanging="499"/>
        <w:spacing w:after="0" w:line="300" w:lineRule="auto"/>
        <w:tabs>
          <w:tab w:leader="none" w:pos="1292" w:val="left"/>
        </w:tabs>
        <w:numPr>
          <w:ilvl w:val="2"/>
          <w:numId w:val="140"/>
        </w:numPr>
        <w:rPr>
          <w:rFonts w:ascii="Arial" w:cs="Arial" w:eastAsia="Arial" w:hAnsi="Arial"/>
          <w:sz w:val="16"/>
          <w:szCs w:val="16"/>
          <w:color w:val="auto"/>
        </w:rPr>
      </w:pPr>
      <w:r>
        <w:rPr>
          <w:rFonts w:ascii="Arial" w:cs="Arial" w:eastAsia="Arial" w:hAnsi="Arial"/>
          <w:sz w:val="16"/>
          <w:szCs w:val="16"/>
          <w:color w:val="auto"/>
        </w:rPr>
        <w:t>a Full Value Award that is outstanding on the date on which a Participant’s employment or service with Huron and the Affiliates terminates for Cause shall be terminated effective as of the day immediately prior to the date of termination and all shares subject to the Full Value Award (whether or not then vested or distributable) shall be terminated effective as of the day immediately prior to the date of termination;</w:t>
      </w:r>
    </w:p>
    <w:p>
      <w:pPr>
        <w:spacing w:after="0" w:line="106" w:lineRule="exact"/>
        <w:rPr>
          <w:rFonts w:ascii="Arial" w:cs="Arial" w:eastAsia="Arial" w:hAnsi="Arial"/>
          <w:sz w:val="16"/>
          <w:szCs w:val="16"/>
          <w:color w:val="auto"/>
        </w:rPr>
      </w:pPr>
    </w:p>
    <w:p>
      <w:pPr>
        <w:ind w:left="1292" w:right="200" w:hanging="535"/>
        <w:spacing w:after="0" w:line="295" w:lineRule="auto"/>
        <w:tabs>
          <w:tab w:leader="none" w:pos="1292" w:val="left"/>
        </w:tabs>
        <w:numPr>
          <w:ilvl w:val="2"/>
          <w:numId w:val="140"/>
        </w:numPr>
        <w:rPr>
          <w:rFonts w:ascii="Arial" w:cs="Arial" w:eastAsia="Arial" w:hAnsi="Arial"/>
          <w:sz w:val="16"/>
          <w:szCs w:val="16"/>
          <w:color w:val="auto"/>
        </w:rPr>
      </w:pPr>
      <w:r>
        <w:rPr>
          <w:rFonts w:ascii="Arial" w:cs="Arial" w:eastAsia="Arial" w:hAnsi="Arial"/>
          <w:sz w:val="16"/>
          <w:szCs w:val="16"/>
          <w:color w:val="auto"/>
        </w:rPr>
        <w:t>any Full Value Award that is outstanding on the date that a Participant’s employment or service with Huron and the Affiliates terminates for any reason other than Cause, death, the Participant’s being Disabled or Retirement and that has not vested on the date of termination (and all rights with respect thereto, such as dividends or dividend equivalents) shall be terminated effective as of the date of termination; and</w:t>
      </w:r>
    </w:p>
    <w:p>
      <w:pPr>
        <w:spacing w:after="0" w:line="107" w:lineRule="exact"/>
        <w:rPr>
          <w:rFonts w:ascii="Arial" w:cs="Arial" w:eastAsia="Arial" w:hAnsi="Arial"/>
          <w:sz w:val="16"/>
          <w:szCs w:val="16"/>
          <w:color w:val="auto"/>
        </w:rPr>
      </w:pPr>
    </w:p>
    <w:p>
      <w:pPr>
        <w:ind w:left="1292" w:hanging="545"/>
        <w:spacing w:after="0" w:line="296" w:lineRule="auto"/>
        <w:tabs>
          <w:tab w:leader="none" w:pos="1292" w:val="left"/>
        </w:tabs>
        <w:numPr>
          <w:ilvl w:val="2"/>
          <w:numId w:val="140"/>
        </w:numPr>
        <w:rPr>
          <w:rFonts w:ascii="Arial" w:cs="Arial" w:eastAsia="Arial" w:hAnsi="Arial"/>
          <w:sz w:val="16"/>
          <w:szCs w:val="16"/>
          <w:color w:val="auto"/>
        </w:rPr>
      </w:pPr>
      <w:r>
        <w:rPr>
          <w:rFonts w:ascii="Arial" w:cs="Arial" w:eastAsia="Arial" w:hAnsi="Arial"/>
          <w:sz w:val="16"/>
          <w:szCs w:val="16"/>
          <w:color w:val="auto"/>
        </w:rPr>
        <w:t>with respect to any Participant who is an employee of Huron or any Affiliate and who is in a position of corporate vice president, managing director, principal or executive officer, any Full Value Award that is outstanding on the date on which such Participant’s employment with Huron and the Affiliates terminates due to Retirement shall continue to vest and be distributable in accordance with its terms as though the Participant had remained in the employ of Huron and the Affiliates; provided that the Participant complies</w:t>
      </w:r>
    </w:p>
    <w:p>
      <w:pPr>
        <w:spacing w:after="0" w:line="200" w:lineRule="exact"/>
        <w:rPr>
          <w:sz w:val="20"/>
          <w:szCs w:val="20"/>
          <w:color w:val="auto"/>
        </w:rPr>
      </w:pPr>
    </w:p>
    <w:p>
      <w:pPr>
        <w:spacing w:after="0" w:line="268" w:lineRule="exact"/>
        <w:rPr>
          <w:sz w:val="20"/>
          <w:szCs w:val="20"/>
          <w:color w:val="auto"/>
        </w:rPr>
      </w:pPr>
    </w:p>
    <w:p>
      <w:pPr>
        <w:ind w:left="52"/>
        <w:spacing w:after="0"/>
        <w:tabs>
          <w:tab w:leader="none" w:pos="4392" w:val="left"/>
          <w:tab w:leader="none" w:pos="7752"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13"/>
          <w:szCs w:val="13"/>
          <w:b w:val="1"/>
          <w:bCs w:val="1"/>
          <w:color w:val="00558C"/>
        </w:rPr>
        <w:t>A-11</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wp:posOffset>
            </wp:positionH>
            <wp:positionV relativeFrom="paragraph">
              <wp:posOffset>351790</wp:posOffset>
            </wp:positionV>
            <wp:extent cx="6810375" cy="497967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10375" cy="4979670"/>
                    </a:xfrm>
                    <a:prstGeom prst="rect">
                      <a:avLst/>
                    </a:prstGeom>
                    <a:noFill/>
                  </pic:spPr>
                </pic:pic>
              </a:graphicData>
            </a:graphic>
          </wp:anchor>
        </w:drawing>
      </w:r>
    </w:p>
    <w:p>
      <w:pPr>
        <w:sectPr>
          <w:pgSz w:w="11900" w:h="16889" w:orient="portrait"/>
          <w:cols w:equalWidth="0" w:num="1">
            <w:col w:w="9092"/>
          </w:cols>
          <w:pgMar w:left="1408" w:top="301" w:right="1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52"/>
        <w:spacing w:after="0" w:line="274" w:lineRule="auto"/>
        <w:rPr>
          <w:sz w:val="20"/>
          <w:szCs w:val="20"/>
          <w:color w:val="auto"/>
        </w:rPr>
      </w:pPr>
      <w:r>
        <w:rPr>
          <w:rFonts w:ascii="Arial" w:cs="Arial" w:eastAsia="Arial" w:hAnsi="Arial"/>
          <w:sz w:val="13"/>
          <w:szCs w:val="13"/>
          <w:b w:val="1"/>
          <w:bCs w:val="1"/>
          <w:color w:val="B2B3B6"/>
        </w:rPr>
        <w:t>General Proposal Information 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line="274" w:lineRule="auto"/>
        <w:rPr>
          <w:sz w:val="20"/>
          <w:szCs w:val="20"/>
          <w:color w:val="auto"/>
        </w:rPr>
      </w:pPr>
      <w:r>
        <w:rPr>
          <w:rFonts w:ascii="Arial" w:cs="Arial" w:eastAsia="Arial" w:hAnsi="Arial"/>
          <w:sz w:val="13"/>
          <w:szCs w:val="13"/>
          <w:b w:val="1"/>
          <w:bCs w:val="1"/>
          <w:color w:val="B2B3B6"/>
        </w:rPr>
        <w:t>Corporate Proposal Executive Governance Two 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220"/>
        <w:spacing w:after="0" w:line="274" w:lineRule="auto"/>
        <w:rPr>
          <w:sz w:val="20"/>
          <w:szCs w:val="20"/>
          <w:color w:val="auto"/>
        </w:rPr>
      </w:pPr>
      <w:r>
        <w:rPr>
          <w:rFonts w:ascii="Arial" w:cs="Arial" w:eastAsia="Arial" w:hAnsi="Arial"/>
          <w:sz w:val="13"/>
          <w:szCs w:val="13"/>
          <w:b w:val="1"/>
          <w:bCs w:val="1"/>
          <w:color w:val="B2B3B6"/>
        </w:rPr>
        <w:t xml:space="preserve">Proposal Proposal Proposal Stockholder </w:t>
      </w:r>
      <w:r>
        <w:rPr>
          <w:rFonts w:ascii="Arial" w:cs="Arial" w:eastAsia="Arial" w:hAnsi="Arial"/>
          <w:sz w:val="13"/>
          <w:szCs w:val="13"/>
          <w:b w:val="1"/>
          <w:bCs w:val="1"/>
          <w:color w:val="6AAA37"/>
        </w:rPr>
        <w:t>Other</w:t>
      </w:r>
      <w:r>
        <w:rPr>
          <w:rFonts w:ascii="Arial" w:cs="Arial" w:eastAsia="Arial" w:hAnsi="Arial"/>
          <w:sz w:val="13"/>
          <w:szCs w:val="13"/>
          <w:b w:val="1"/>
          <w:bCs w:val="1"/>
          <w:color w:val="B2B3B6"/>
        </w:rPr>
        <w:t xml:space="preserve"> Three Four Five Proposals </w:t>
      </w:r>
      <w:r>
        <w:rPr>
          <w:rFonts w:ascii="Arial" w:cs="Arial" w:eastAsia="Arial" w:hAnsi="Arial"/>
          <w:sz w:val="13"/>
          <w:szCs w:val="13"/>
          <w:b w:val="1"/>
          <w:bCs w:val="1"/>
          <w:color w:val="6AAA37"/>
        </w:rPr>
        <w:t>Matters</w:t>
      </w:r>
    </w:p>
    <w:p>
      <w:pPr>
        <w:spacing w:after="0" w:line="200" w:lineRule="exact"/>
        <w:rPr>
          <w:sz w:val="20"/>
          <w:szCs w:val="20"/>
          <w:color w:val="auto"/>
        </w:rPr>
      </w:pPr>
    </w:p>
    <w:p>
      <w:pPr>
        <w:sectPr>
          <w:pgSz w:w="11900" w:h="16889" w:orient="portrait"/>
          <w:cols w:equalWidth="0" w:num="3">
            <w:col w:w="1592" w:space="300"/>
            <w:col w:w="2700" w:space="320"/>
            <w:col w:w="4180"/>
          </w:cols>
          <w:pgMar w:left="1408" w:top="301" w:right="1399" w:bottom="0" w:gutter="0" w:footer="0" w:header="0"/>
          <w:type w:val="continuous"/>
        </w:sectPr>
      </w:pPr>
    </w:p>
    <w:p>
      <w:pPr>
        <w:spacing w:after="0" w:line="151" w:lineRule="exact"/>
        <w:rPr>
          <w:sz w:val="20"/>
          <w:szCs w:val="20"/>
          <w:color w:val="auto"/>
        </w:rPr>
      </w:pPr>
    </w:p>
    <w:p>
      <w:pPr>
        <w:ind w:left="1292" w:right="180"/>
        <w:spacing w:after="0" w:line="295" w:lineRule="auto"/>
        <w:rPr>
          <w:sz w:val="20"/>
          <w:szCs w:val="20"/>
          <w:color w:val="auto"/>
        </w:rPr>
      </w:pPr>
      <w:r>
        <w:rPr>
          <w:rFonts w:ascii="Arial" w:cs="Arial" w:eastAsia="Arial" w:hAnsi="Arial"/>
          <w:sz w:val="16"/>
          <w:szCs w:val="16"/>
          <w:color w:val="auto"/>
        </w:rPr>
        <w:t>with the terms of the non-competition agreement and non-solicitation agreement in the form determined by Huron and signed by the Participant. Notwithstanding the foregoing, if a Participant dies following Retirement, any Full Value Award that is still outstanding on the date of such Participant's death shall become fully vested on the date of such Participant's death.</w:t>
      </w:r>
    </w:p>
    <w:p>
      <w:pPr>
        <w:spacing w:after="0" w:line="108" w:lineRule="exact"/>
        <w:rPr>
          <w:sz w:val="20"/>
          <w:szCs w:val="20"/>
          <w:color w:val="auto"/>
        </w:rPr>
      </w:pPr>
    </w:p>
    <w:p>
      <w:pPr>
        <w:ind w:left="652" w:right="40" w:hanging="328"/>
        <w:spacing w:after="0" w:line="293" w:lineRule="auto"/>
        <w:tabs>
          <w:tab w:leader="none" w:pos="652" w:val="left"/>
        </w:tabs>
        <w:numPr>
          <w:ilvl w:val="1"/>
          <w:numId w:val="141"/>
        </w:numPr>
        <w:rPr>
          <w:rFonts w:ascii="Arial" w:cs="Arial" w:eastAsia="Arial" w:hAnsi="Arial"/>
          <w:sz w:val="16"/>
          <w:szCs w:val="16"/>
          <w:color w:val="auto"/>
        </w:rPr>
      </w:pPr>
      <w:r>
        <w:rPr>
          <w:rFonts w:ascii="Arial" w:cs="Arial" w:eastAsia="Arial" w:hAnsi="Arial"/>
          <w:sz w:val="16"/>
          <w:szCs w:val="16"/>
          <w:b w:val="1"/>
          <w:bCs w:val="1"/>
          <w:color w:val="auto"/>
        </w:rPr>
        <w:t xml:space="preserve">Leaves of Absence. </w:t>
      </w:r>
      <w:r>
        <w:rPr>
          <w:rFonts w:ascii="Arial" w:cs="Arial" w:eastAsia="Arial" w:hAnsi="Arial"/>
          <w:sz w:val="16"/>
          <w:szCs w:val="16"/>
          <w:color w:val="auto"/>
        </w:rPr>
        <w:t>Unless otherwise provided by the Committee, subject in all cases to the terms and conditions</w:t>
      </w:r>
      <w:r>
        <w:rPr>
          <w:rFonts w:ascii="Arial" w:cs="Arial" w:eastAsia="Arial" w:hAnsi="Arial"/>
          <w:sz w:val="16"/>
          <w:szCs w:val="16"/>
          <w:b w:val="1"/>
          <w:bCs w:val="1"/>
          <w:color w:val="auto"/>
        </w:rPr>
        <w:t xml:space="preserve"> </w:t>
      </w:r>
      <w:r>
        <w:rPr>
          <w:rFonts w:ascii="Arial" w:cs="Arial" w:eastAsia="Arial" w:hAnsi="Arial"/>
          <w:sz w:val="16"/>
          <w:szCs w:val="16"/>
          <w:color w:val="auto"/>
        </w:rPr>
        <w:t>of the Award, in the case of any Participant who takes an approved unpaid leave of absence (i) the Participant’s employment or service shall not be deemed to be terminated solely because of such leave of absence; (ii) the Participant shall continue to vest in his or her outstanding Full Value Awards under the Plan during the first 30 days of such leave of absence; and the Participant shall cease to vest in his or her outstanding Full Value Awards under the Plan during any period of such leave of absence which exceeds 30 days.</w:t>
      </w:r>
    </w:p>
    <w:p>
      <w:pPr>
        <w:spacing w:after="0" w:line="110" w:lineRule="exact"/>
        <w:rPr>
          <w:rFonts w:ascii="Arial" w:cs="Arial" w:eastAsia="Arial" w:hAnsi="Arial"/>
          <w:sz w:val="16"/>
          <w:szCs w:val="16"/>
          <w:color w:val="auto"/>
        </w:rPr>
      </w:pPr>
    </w:p>
    <w:p>
      <w:pPr>
        <w:ind w:left="652" w:right="100" w:hanging="328"/>
        <w:spacing w:after="0" w:line="293" w:lineRule="auto"/>
        <w:tabs>
          <w:tab w:leader="none" w:pos="652" w:val="left"/>
        </w:tabs>
        <w:numPr>
          <w:ilvl w:val="1"/>
          <w:numId w:val="141"/>
        </w:numPr>
        <w:rPr>
          <w:rFonts w:ascii="Arial" w:cs="Arial" w:eastAsia="Arial" w:hAnsi="Arial"/>
          <w:sz w:val="16"/>
          <w:szCs w:val="16"/>
          <w:color w:val="auto"/>
        </w:rPr>
      </w:pPr>
      <w:r>
        <w:rPr>
          <w:rFonts w:ascii="Arial" w:cs="Arial" w:eastAsia="Arial" w:hAnsi="Arial"/>
          <w:sz w:val="16"/>
          <w:szCs w:val="16"/>
          <w:b w:val="1"/>
          <w:bCs w:val="1"/>
          <w:color w:val="auto"/>
        </w:rPr>
        <w:t xml:space="preserve">Restrictions. </w:t>
      </w:r>
      <w:r>
        <w:rPr>
          <w:rFonts w:ascii="Arial" w:cs="Arial" w:eastAsia="Arial" w:hAnsi="Arial"/>
          <w:sz w:val="16"/>
          <w:szCs w:val="16"/>
          <w:color w:val="auto"/>
        </w:rPr>
        <w:t>Without otherwise limiting the Committee’s authority under the Plan, the Committee, in its discretion,</w:t>
      </w:r>
      <w:r>
        <w:rPr>
          <w:rFonts w:ascii="Arial" w:cs="Arial" w:eastAsia="Arial" w:hAnsi="Arial"/>
          <w:sz w:val="16"/>
          <w:szCs w:val="16"/>
          <w:b w:val="1"/>
          <w:bCs w:val="1"/>
          <w:color w:val="auto"/>
        </w:rPr>
        <w:t xml:space="preserve"> </w:t>
      </w:r>
      <w:r>
        <w:rPr>
          <w:rFonts w:ascii="Arial" w:cs="Arial" w:eastAsia="Arial" w:hAnsi="Arial"/>
          <w:sz w:val="16"/>
          <w:szCs w:val="16"/>
          <w:color w:val="auto"/>
        </w:rPr>
        <w:t>may impose such restrictions on shares of Common Stock acquired pursuant to the grant or settlement of a Full Value Award or the payment or retention of a Cash Incentive Award as it determines to be desirable, including, without limitation, restrictions relating to disposition of the shares and forfeiture restrictions based on service, performance, share ownership by the Participant, conformity with Huron’s recoupment or clawback policies and such other factors as the Committee determines to be appropriate.</w:t>
      </w:r>
    </w:p>
    <w:p>
      <w:pPr>
        <w:spacing w:after="0" w:line="110" w:lineRule="exact"/>
        <w:rPr>
          <w:rFonts w:ascii="Arial" w:cs="Arial" w:eastAsia="Arial" w:hAnsi="Arial"/>
          <w:sz w:val="16"/>
          <w:szCs w:val="16"/>
          <w:color w:val="auto"/>
        </w:rPr>
      </w:pPr>
    </w:p>
    <w:p>
      <w:pPr>
        <w:ind w:left="332" w:right="60" w:hanging="332"/>
        <w:spacing w:after="0" w:line="296" w:lineRule="auto"/>
        <w:tabs>
          <w:tab w:leader="none" w:pos="332" w:val="left"/>
        </w:tabs>
        <w:numPr>
          <w:ilvl w:val="0"/>
          <w:numId w:val="142"/>
        </w:numPr>
        <w:rPr>
          <w:rFonts w:ascii="Arial" w:cs="Arial" w:eastAsia="Arial" w:hAnsi="Arial"/>
          <w:sz w:val="16"/>
          <w:szCs w:val="16"/>
          <w:color w:val="auto"/>
        </w:rPr>
      </w:pPr>
      <w:r>
        <w:rPr>
          <w:rFonts w:ascii="Arial" w:cs="Arial" w:eastAsia="Arial" w:hAnsi="Arial"/>
          <w:sz w:val="16"/>
          <w:szCs w:val="16"/>
          <w:b w:val="1"/>
          <w:bCs w:val="1"/>
          <w:color w:val="auto"/>
        </w:rPr>
        <w:t xml:space="preserve">Performance-Based Compensation. </w:t>
      </w:r>
      <w:r>
        <w:rPr>
          <w:rFonts w:ascii="Arial" w:cs="Arial" w:eastAsia="Arial" w:hAnsi="Arial"/>
          <w:sz w:val="16"/>
          <w:szCs w:val="16"/>
          <w:color w:val="auto"/>
        </w:rPr>
        <w:t>The Committee may designate any Full Value Award or a Cash Incentive Award</w:t>
      </w:r>
      <w:r>
        <w:rPr>
          <w:rFonts w:ascii="Arial" w:cs="Arial" w:eastAsia="Arial" w:hAnsi="Arial"/>
          <w:sz w:val="16"/>
          <w:szCs w:val="16"/>
          <w:b w:val="1"/>
          <w:bCs w:val="1"/>
          <w:color w:val="auto"/>
        </w:rPr>
        <w:t xml:space="preserve"> </w:t>
      </w:r>
      <w:r>
        <w:rPr>
          <w:rFonts w:ascii="Arial" w:cs="Arial" w:eastAsia="Arial" w:hAnsi="Arial"/>
          <w:sz w:val="16"/>
          <w:szCs w:val="16"/>
          <w:color w:val="auto"/>
        </w:rPr>
        <w:t>granted to a Participant under the Plan as “Performance-Based Compensation” within the meaning of Section 162(m) of the Code and regulations thereunder. To the extent required by Section 162(m) of the Code, any such Award so designated shall be conditioned on the achievement of one or more performance targets as determined by the Committee and the following shall apply:</w:t>
      </w:r>
    </w:p>
    <w:p>
      <w:pPr>
        <w:spacing w:after="0" w:line="93" w:lineRule="exact"/>
        <w:rPr>
          <w:rFonts w:ascii="Arial" w:cs="Arial" w:eastAsia="Arial" w:hAnsi="Arial"/>
          <w:sz w:val="16"/>
          <w:szCs w:val="16"/>
          <w:color w:val="auto"/>
        </w:rPr>
      </w:pPr>
    </w:p>
    <w:p>
      <w:pPr>
        <w:ind w:left="652" w:right="20" w:hanging="328"/>
        <w:spacing w:after="0" w:line="294" w:lineRule="auto"/>
        <w:tabs>
          <w:tab w:leader="none" w:pos="652" w:val="left"/>
        </w:tabs>
        <w:numPr>
          <w:ilvl w:val="1"/>
          <w:numId w:val="142"/>
        </w:numPr>
        <w:rPr>
          <w:rFonts w:ascii="Arial" w:cs="Arial" w:eastAsia="Arial" w:hAnsi="Arial"/>
          <w:sz w:val="16"/>
          <w:szCs w:val="16"/>
          <w:color w:val="auto"/>
        </w:rPr>
      </w:pPr>
      <w:r>
        <w:rPr>
          <w:rFonts w:ascii="Arial" w:cs="Arial" w:eastAsia="Arial" w:hAnsi="Arial"/>
          <w:sz w:val="16"/>
          <w:szCs w:val="16"/>
          <w:b w:val="1"/>
          <w:bCs w:val="1"/>
          <w:color w:val="auto"/>
        </w:rPr>
        <w:t xml:space="preserve">Establishment of Performance Criteria. </w:t>
      </w:r>
      <w:r>
        <w:rPr>
          <w:rFonts w:ascii="Arial" w:cs="Arial" w:eastAsia="Arial" w:hAnsi="Arial"/>
          <w:sz w:val="16"/>
          <w:szCs w:val="16"/>
          <w:color w:val="auto"/>
        </w:rPr>
        <w:t>The performance targets established for the performance period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 shall be objective (as that term is described in regulations under Section 162(m) of the Code), and shall be established in writing by the Committee not later than 90 days after the beginning of the performance period (but in no event after 25% of the performance period has elapsed), and while the outcome as to the performance targets is substantially uncertain. The performance targets established by the Committee may be with respect to corporate performance, operating group or sub-group performance, individual performance, other group or individual performance, or division performance, and shall be based on one or more of the Business Criteria.</w:t>
      </w:r>
    </w:p>
    <w:p>
      <w:pPr>
        <w:sectPr>
          <w:pgSz w:w="11900" w:h="16889" w:orient="portrait"/>
          <w:cols w:equalWidth="0" w:num="1">
            <w:col w:w="9092"/>
          </w:cols>
          <w:pgMar w:left="1408" w:top="301" w:right="1399" w:bottom="0" w:gutter="0" w:footer="0" w:header="0"/>
          <w:type w:val="continuous"/>
        </w:sectPr>
      </w:pPr>
    </w:p>
    <w:bookmarkStart w:id="94" w:name="page95"/>
    <w:bookmarkEnd w:id="94"/>
    <w:p>
      <w:pPr>
        <w:spacing w:after="0" w:line="15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387667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10375" cy="3876675"/>
                    </a:xfrm>
                    <a:prstGeom prst="rect">
                      <a:avLst/>
                    </a:prstGeom>
                    <a:noFill/>
                  </pic:spPr>
                </pic:pic>
              </a:graphicData>
            </a:graphic>
          </wp:anchor>
        </w:drawing>
      </w:r>
    </w:p>
    <w:p>
      <w:pPr>
        <w:ind w:left="652" w:right="100" w:hanging="328"/>
        <w:spacing w:after="0" w:line="291" w:lineRule="auto"/>
        <w:tabs>
          <w:tab w:leader="none" w:pos="652" w:val="left"/>
        </w:tabs>
        <w:numPr>
          <w:ilvl w:val="1"/>
          <w:numId w:val="143"/>
        </w:numPr>
        <w:rPr>
          <w:rFonts w:ascii="Arial" w:cs="Arial" w:eastAsia="Arial" w:hAnsi="Arial"/>
          <w:sz w:val="16"/>
          <w:szCs w:val="16"/>
          <w:color w:val="auto"/>
        </w:rPr>
      </w:pPr>
      <w:r>
        <w:rPr>
          <w:rFonts w:ascii="Arial" w:cs="Arial" w:eastAsia="Arial" w:hAnsi="Arial"/>
          <w:sz w:val="16"/>
          <w:szCs w:val="16"/>
          <w:b w:val="1"/>
          <w:bCs w:val="1"/>
          <w:color w:val="auto"/>
        </w:rPr>
        <w:t xml:space="preserve">Certification of Targets. </w:t>
      </w:r>
      <w:r>
        <w:rPr>
          <w:rFonts w:ascii="Arial" w:cs="Arial" w:eastAsia="Arial" w:hAnsi="Arial"/>
          <w:sz w:val="16"/>
          <w:szCs w:val="16"/>
          <w:color w:val="auto"/>
        </w:rPr>
        <w:t>A Participant otherwise entitled to receive a Performance-Based Compensation Award for</w:t>
      </w:r>
      <w:r>
        <w:rPr>
          <w:rFonts w:ascii="Arial" w:cs="Arial" w:eastAsia="Arial" w:hAnsi="Arial"/>
          <w:sz w:val="16"/>
          <w:szCs w:val="16"/>
          <w:b w:val="1"/>
          <w:bCs w:val="1"/>
          <w:color w:val="auto"/>
        </w:rPr>
        <w:t xml:space="preserve"> </w:t>
      </w:r>
      <w:r>
        <w:rPr>
          <w:rFonts w:ascii="Arial" w:cs="Arial" w:eastAsia="Arial" w:hAnsi="Arial"/>
          <w:sz w:val="16"/>
          <w:szCs w:val="16"/>
          <w:color w:val="auto"/>
        </w:rPr>
        <w:t>any performance period shall not receive a settlement or payment of the Award until the Committee has determined that the applicable performance target(s) have been attained. To the extent that the Committee exercises discretion in making the determination required by this Section 9(b), such exercise of discretion may not result in an increase in the amount of the payment.</w:t>
      </w:r>
    </w:p>
    <w:p>
      <w:pPr>
        <w:spacing w:after="0" w:line="113" w:lineRule="exact"/>
        <w:rPr>
          <w:rFonts w:ascii="Arial" w:cs="Arial" w:eastAsia="Arial" w:hAnsi="Arial"/>
          <w:sz w:val="16"/>
          <w:szCs w:val="16"/>
          <w:color w:val="auto"/>
        </w:rPr>
      </w:pPr>
    </w:p>
    <w:p>
      <w:pPr>
        <w:ind w:left="652" w:right="100" w:hanging="328"/>
        <w:spacing w:after="0" w:line="293" w:lineRule="auto"/>
        <w:tabs>
          <w:tab w:leader="none" w:pos="652" w:val="left"/>
        </w:tabs>
        <w:numPr>
          <w:ilvl w:val="1"/>
          <w:numId w:val="143"/>
        </w:numPr>
        <w:rPr>
          <w:rFonts w:ascii="Arial" w:cs="Arial" w:eastAsia="Arial" w:hAnsi="Arial"/>
          <w:sz w:val="16"/>
          <w:szCs w:val="16"/>
          <w:color w:val="auto"/>
        </w:rPr>
      </w:pPr>
      <w:r>
        <w:rPr>
          <w:rFonts w:ascii="Arial" w:cs="Arial" w:eastAsia="Arial" w:hAnsi="Arial"/>
          <w:sz w:val="16"/>
          <w:szCs w:val="16"/>
          <w:b w:val="1"/>
          <w:bCs w:val="1"/>
          <w:color w:val="auto"/>
        </w:rPr>
        <w:t xml:space="preserve">Special Termination Rules. </w:t>
      </w:r>
      <w:r>
        <w:rPr>
          <w:rFonts w:ascii="Arial" w:cs="Arial" w:eastAsia="Arial" w:hAnsi="Arial"/>
          <w:sz w:val="16"/>
          <w:szCs w:val="16"/>
          <w:color w:val="auto"/>
        </w:rPr>
        <w:t>Subject to the other terms and conditions of the Plan, if an Award is intended to</w:t>
      </w:r>
      <w:r>
        <w:rPr>
          <w:rFonts w:ascii="Arial" w:cs="Arial" w:eastAsia="Arial" w:hAnsi="Arial"/>
          <w:sz w:val="16"/>
          <w:szCs w:val="16"/>
          <w:b w:val="1"/>
          <w:bCs w:val="1"/>
          <w:color w:val="auto"/>
        </w:rPr>
        <w:t xml:space="preserve"> </w:t>
      </w:r>
      <w:r>
        <w:rPr>
          <w:rFonts w:ascii="Arial" w:cs="Arial" w:eastAsia="Arial" w:hAnsi="Arial"/>
          <w:sz w:val="16"/>
          <w:szCs w:val="16"/>
          <w:color w:val="auto"/>
        </w:rPr>
        <w:t>constitute Performance-Based Compensation, the Committee may provide that if a Participant’s employment with Huron and the Affiliates terminates because of death or the Participant’s being Disabled, or if a Change of Control occurs prior to the Participant’s termination date, the Participant’s Performance-Based Compensation may become vested without regard to whether the Award would continue to constitute Performance-Based Compensation, subject to the terms of Section 10 below.</w:t>
      </w:r>
    </w:p>
    <w:p>
      <w:pPr>
        <w:spacing w:after="0" w:line="110" w:lineRule="exact"/>
        <w:rPr>
          <w:rFonts w:ascii="Arial" w:cs="Arial" w:eastAsia="Arial" w:hAnsi="Arial"/>
          <w:sz w:val="16"/>
          <w:szCs w:val="16"/>
          <w:color w:val="auto"/>
        </w:rPr>
      </w:pPr>
    </w:p>
    <w:p>
      <w:pPr>
        <w:ind w:left="652"/>
        <w:spacing w:after="0" w:line="291" w:lineRule="auto"/>
        <w:rPr>
          <w:rFonts w:ascii="Arial" w:cs="Arial" w:eastAsia="Arial" w:hAnsi="Arial"/>
          <w:sz w:val="16"/>
          <w:szCs w:val="16"/>
          <w:color w:val="auto"/>
        </w:rPr>
      </w:pPr>
      <w:r>
        <w:rPr>
          <w:rFonts w:ascii="Arial" w:cs="Arial" w:eastAsia="Arial" w:hAnsi="Arial"/>
          <w:sz w:val="16"/>
          <w:szCs w:val="16"/>
          <w:color w:val="auto"/>
        </w:rPr>
        <w:t>Nothing in this Section 9 shall preclude the Committee from granting Awards under the Plan, or the Committee, Huron or any Affiliate from granting any cash awards outside of the Plan, that are not intended to be Performance-Based Compensation; provided, however, that, at the time of grant of Awards by the Committee (other than a Stock Option or Stock Appreciation Right), the Committee shall designate whether such Awards are intended to constitute Performance-Based Compensation. To the extent that the provisions of this Section 9 reflect the requirements applicable to Performance-Based Compensation, such provisions shall not apply to the portion of an Award, if any, that is not intended to constitute Performance-Based Compensation.</w:t>
      </w:r>
    </w:p>
    <w:p>
      <w:pPr>
        <w:spacing w:after="0" w:line="112" w:lineRule="exact"/>
        <w:rPr>
          <w:rFonts w:ascii="Arial" w:cs="Arial" w:eastAsia="Arial" w:hAnsi="Arial"/>
          <w:sz w:val="16"/>
          <w:szCs w:val="16"/>
          <w:color w:val="auto"/>
        </w:rPr>
      </w:pPr>
    </w:p>
    <w:p>
      <w:pPr>
        <w:ind w:left="332" w:hanging="332"/>
        <w:spacing w:after="0"/>
        <w:tabs>
          <w:tab w:leader="none" w:pos="332" w:val="left"/>
        </w:tabs>
        <w:numPr>
          <w:ilvl w:val="0"/>
          <w:numId w:val="144"/>
        </w:numPr>
        <w:rPr>
          <w:rFonts w:ascii="Arial" w:cs="Arial" w:eastAsia="Arial" w:hAnsi="Arial"/>
          <w:sz w:val="16"/>
          <w:szCs w:val="16"/>
          <w:color w:val="auto"/>
        </w:rPr>
      </w:pPr>
      <w:r>
        <w:rPr>
          <w:rFonts w:ascii="Arial" w:cs="Arial" w:eastAsia="Arial" w:hAnsi="Arial"/>
          <w:sz w:val="16"/>
          <w:szCs w:val="16"/>
          <w:b w:val="1"/>
          <w:bCs w:val="1"/>
          <w:color w:val="auto"/>
        </w:rPr>
        <w:t>Change of Control.</w:t>
      </w:r>
    </w:p>
    <w:p>
      <w:pPr>
        <w:spacing w:after="0" w:line="180" w:lineRule="exact"/>
        <w:rPr>
          <w:rFonts w:ascii="Arial" w:cs="Arial" w:eastAsia="Arial" w:hAnsi="Arial"/>
          <w:sz w:val="16"/>
          <w:szCs w:val="16"/>
          <w:color w:val="auto"/>
        </w:rPr>
      </w:pPr>
    </w:p>
    <w:p>
      <w:pPr>
        <w:ind w:left="652" w:hanging="328"/>
        <w:spacing w:after="0"/>
        <w:tabs>
          <w:tab w:leader="none" w:pos="652" w:val="left"/>
        </w:tabs>
        <w:numPr>
          <w:ilvl w:val="1"/>
          <w:numId w:val="144"/>
        </w:numPr>
        <w:rPr>
          <w:rFonts w:ascii="Arial" w:cs="Arial" w:eastAsia="Arial" w:hAnsi="Arial"/>
          <w:sz w:val="16"/>
          <w:szCs w:val="16"/>
          <w:color w:val="auto"/>
        </w:rPr>
      </w:pPr>
      <w:r>
        <w:rPr>
          <w:rFonts w:ascii="Arial" w:cs="Arial" w:eastAsia="Arial" w:hAnsi="Arial"/>
          <w:sz w:val="16"/>
          <w:szCs w:val="16"/>
          <w:b w:val="1"/>
          <w:bCs w:val="1"/>
          <w:color w:val="auto"/>
        </w:rPr>
        <w:t>Termination of Employment without Cause; Termination of Plan without Substitution.</w:t>
      </w:r>
    </w:p>
    <w:p>
      <w:pPr>
        <w:spacing w:after="0" w:line="200" w:lineRule="exact"/>
        <w:rPr>
          <w:sz w:val="20"/>
          <w:szCs w:val="20"/>
          <w:color w:val="auto"/>
        </w:rPr>
      </w:pPr>
    </w:p>
    <w:p>
      <w:pPr>
        <w:spacing w:after="0" w:line="341" w:lineRule="exact"/>
        <w:rPr>
          <w:sz w:val="20"/>
          <w:szCs w:val="20"/>
          <w:color w:val="auto"/>
        </w:rPr>
      </w:pPr>
    </w:p>
    <w:p>
      <w:pPr>
        <w:ind w:left="52"/>
        <w:spacing w:after="0"/>
        <w:tabs>
          <w:tab w:leader="none" w:pos="4372" w:val="left"/>
          <w:tab w:leader="none" w:pos="7752"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13"/>
          <w:szCs w:val="13"/>
          <w:b w:val="1"/>
          <w:bCs w:val="1"/>
          <w:color w:val="00558C"/>
        </w:rPr>
        <w:t>A-12</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wp:posOffset>
            </wp:positionH>
            <wp:positionV relativeFrom="paragraph">
              <wp:posOffset>351790</wp:posOffset>
            </wp:positionV>
            <wp:extent cx="6810375" cy="655701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10375" cy="6557010"/>
                    </a:xfrm>
                    <a:prstGeom prst="rect">
                      <a:avLst/>
                    </a:prstGeom>
                    <a:noFill/>
                  </pic:spPr>
                </pic:pic>
              </a:graphicData>
            </a:graphic>
          </wp:anchor>
        </w:drawing>
      </w:r>
    </w:p>
    <w:p>
      <w:pPr>
        <w:sectPr>
          <w:pgSz w:w="11900" w:h="16992" w:orient="portrait"/>
          <w:cols w:equalWidth="0" w:num="1">
            <w:col w:w="9092"/>
          </w:cols>
          <w:pgMar w:left="1408" w:top="220" w:right="1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52"/>
        <w:spacing w:after="0" w:line="317" w:lineRule="auto"/>
        <w:rPr>
          <w:sz w:val="20"/>
          <w:szCs w:val="20"/>
          <w:color w:val="auto"/>
        </w:rPr>
      </w:pPr>
      <w:r>
        <w:rPr>
          <w:rFonts w:ascii="Arial" w:cs="Arial" w:eastAsia="Arial" w:hAnsi="Arial"/>
          <w:sz w:val="12"/>
          <w:szCs w:val="12"/>
          <w:b w:val="1"/>
          <w:bCs w:val="1"/>
          <w:color w:val="B2B3B6"/>
        </w:rPr>
        <w:t>General Information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2"/>
          <w:szCs w:val="12"/>
          <w:b w:val="1"/>
          <w:bCs w:val="1"/>
          <w:color w:val="B2B3B6"/>
        </w:rPr>
        <w:t>Proposal</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b w:val="1"/>
          <w:bCs w:val="1"/>
          <w:color w:val="B2B3B6"/>
        </w:rPr>
        <w:t>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line="274" w:lineRule="auto"/>
        <w:rPr>
          <w:sz w:val="20"/>
          <w:szCs w:val="20"/>
          <w:color w:val="auto"/>
        </w:rPr>
      </w:pPr>
      <w:r>
        <w:rPr>
          <w:rFonts w:ascii="Arial" w:cs="Arial" w:eastAsia="Arial" w:hAnsi="Arial"/>
          <w:sz w:val="13"/>
          <w:szCs w:val="13"/>
          <w:b w:val="1"/>
          <w:bCs w:val="1"/>
          <w:color w:val="B2B3B6"/>
        </w:rPr>
        <w:t>Corporate Proposal Executive Governance Two 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line="274" w:lineRule="auto"/>
        <w:rPr>
          <w:sz w:val="20"/>
          <w:szCs w:val="20"/>
          <w:color w:val="auto"/>
        </w:rPr>
      </w:pPr>
      <w:r>
        <w:rPr>
          <w:rFonts w:ascii="Arial" w:cs="Arial" w:eastAsia="Arial" w:hAnsi="Arial"/>
          <w:sz w:val="13"/>
          <w:szCs w:val="13"/>
          <w:b w:val="1"/>
          <w:bCs w:val="1"/>
          <w:color w:val="B2B3B6"/>
        </w:rPr>
        <w:t>Proposal Proposal Proposal Three Four Five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line="317" w:lineRule="auto"/>
        <w:rPr>
          <w:sz w:val="20"/>
          <w:szCs w:val="20"/>
          <w:color w:val="auto"/>
        </w:rPr>
      </w:pPr>
      <w:r>
        <w:rPr>
          <w:rFonts w:ascii="Arial" w:cs="Arial" w:eastAsia="Arial" w:hAnsi="Arial"/>
          <w:sz w:val="12"/>
          <w:szCs w:val="12"/>
          <w:b w:val="1"/>
          <w:bCs w:val="1"/>
          <w:color w:val="B2B3B6"/>
        </w:rPr>
        <w:t>Stockholder Proposals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3"/>
          <w:szCs w:val="13"/>
          <w:b w:val="1"/>
          <w:bCs w:val="1"/>
          <w:color w:val="6AAA37"/>
        </w:rPr>
        <w:t>Other</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b w:val="1"/>
          <w:bCs w:val="1"/>
          <w:color w:val="6AAA37"/>
        </w:rPr>
        <w:t>Matters</w:t>
      </w:r>
    </w:p>
    <w:p>
      <w:pPr>
        <w:spacing w:after="0" w:line="266" w:lineRule="exact"/>
        <w:rPr>
          <w:sz w:val="20"/>
          <w:szCs w:val="20"/>
          <w:color w:val="auto"/>
        </w:rPr>
      </w:pPr>
    </w:p>
    <w:p>
      <w:pPr>
        <w:sectPr>
          <w:pgSz w:w="11900" w:h="16992" w:orient="portrait"/>
          <w:cols w:equalWidth="0" w:num="6">
            <w:col w:w="732" w:space="320"/>
            <w:col w:w="540" w:space="300"/>
            <w:col w:w="2700" w:space="320"/>
            <w:col w:w="2180" w:space="280"/>
            <w:col w:w="740" w:space="300"/>
            <w:col w:w="680"/>
          </w:cols>
          <w:pgMar w:left="1408" w:top="220" w:right="1399" w:bottom="0" w:gutter="0" w:footer="0" w:header="0"/>
          <w:type w:val="continuous"/>
        </w:sectPr>
      </w:pPr>
    </w:p>
    <w:p>
      <w:pPr>
        <w:spacing w:after="0" w:line="128" w:lineRule="exact"/>
        <w:rPr>
          <w:sz w:val="20"/>
          <w:szCs w:val="20"/>
          <w:color w:val="auto"/>
        </w:rPr>
      </w:pPr>
    </w:p>
    <w:p>
      <w:pPr>
        <w:ind w:left="1292" w:right="80" w:hanging="464"/>
        <w:spacing w:after="0" w:line="284" w:lineRule="auto"/>
        <w:tabs>
          <w:tab w:leader="none" w:pos="1292" w:val="left"/>
        </w:tabs>
        <w:numPr>
          <w:ilvl w:val="2"/>
          <w:numId w:val="145"/>
        </w:numPr>
        <w:rPr>
          <w:rFonts w:ascii="Arial" w:cs="Arial" w:eastAsia="Arial" w:hAnsi="Arial"/>
          <w:sz w:val="16"/>
          <w:szCs w:val="16"/>
          <w:color w:val="auto"/>
        </w:rPr>
      </w:pPr>
      <w:r>
        <w:rPr>
          <w:rFonts w:ascii="Arial" w:cs="Arial" w:eastAsia="Arial" w:hAnsi="Arial"/>
          <w:sz w:val="16"/>
          <w:szCs w:val="16"/>
          <w:color w:val="auto"/>
        </w:rPr>
        <w:t>Except as otherwise provided in an Agreement or an Alternative Agreement, in the event that (A) a Participant is employed, or performs services as a director or independent contractor, on the date of a Change of Control and the Participant's employment or service, as applicable, is terminated by Huron or the successor to Huron (or a Related Company which is his or her employer) for reasons other than Cause within 12 months following the Change of Control, or (B) the Plan is terminated by Huron or its successor following a Change of Control without provision for the continuation of outstanding Awards hereunder, then</w:t>
      </w:r>
    </w:p>
    <w:p>
      <w:pPr>
        <w:spacing w:after="0" w:line="3" w:lineRule="exact"/>
        <w:rPr>
          <w:rFonts w:ascii="Arial" w:cs="Arial" w:eastAsia="Arial" w:hAnsi="Arial"/>
          <w:sz w:val="16"/>
          <w:szCs w:val="16"/>
          <w:color w:val="auto"/>
        </w:rPr>
      </w:pPr>
    </w:p>
    <w:p>
      <w:pPr>
        <w:ind w:left="1292" w:right="740" w:firstLine="4"/>
        <w:spacing w:after="0" w:line="321" w:lineRule="auto"/>
        <w:tabs>
          <w:tab w:leader="none" w:pos="1481" w:val="left"/>
        </w:tabs>
        <w:numPr>
          <w:ilvl w:val="3"/>
          <w:numId w:val="145"/>
        </w:numPr>
        <w:rPr>
          <w:rFonts w:ascii="Arial" w:cs="Arial" w:eastAsia="Arial" w:hAnsi="Arial"/>
          <w:sz w:val="16"/>
          <w:szCs w:val="16"/>
          <w:color w:val="auto"/>
        </w:rPr>
      </w:pPr>
      <w:r>
        <w:rPr>
          <w:rFonts w:ascii="Arial" w:cs="Arial" w:eastAsia="Arial" w:hAnsi="Arial"/>
          <w:sz w:val="16"/>
          <w:szCs w:val="16"/>
          <w:color w:val="auto"/>
        </w:rPr>
        <w:t>all Options and Stock Appreciation Rights which are then outstanding shall become immediately exercisable, and (ii) all other Awards shall become fully vested.</w:t>
      </w:r>
    </w:p>
    <w:p>
      <w:pPr>
        <w:spacing w:after="0" w:line="88" w:lineRule="exact"/>
        <w:rPr>
          <w:rFonts w:ascii="Arial" w:cs="Arial" w:eastAsia="Arial" w:hAnsi="Arial"/>
          <w:sz w:val="16"/>
          <w:szCs w:val="16"/>
          <w:color w:val="auto"/>
        </w:rPr>
      </w:pPr>
    </w:p>
    <w:p>
      <w:pPr>
        <w:ind w:left="1292" w:right="160" w:hanging="499"/>
        <w:spacing w:after="0" w:line="289" w:lineRule="auto"/>
        <w:tabs>
          <w:tab w:leader="none" w:pos="1292" w:val="left"/>
        </w:tabs>
        <w:numPr>
          <w:ilvl w:val="2"/>
          <w:numId w:val="145"/>
        </w:numPr>
        <w:rPr>
          <w:rFonts w:ascii="Arial" w:cs="Arial" w:eastAsia="Arial" w:hAnsi="Arial"/>
          <w:sz w:val="16"/>
          <w:szCs w:val="16"/>
          <w:color w:val="auto"/>
        </w:rPr>
      </w:pPr>
      <w:r>
        <w:rPr>
          <w:rFonts w:ascii="Arial" w:cs="Arial" w:eastAsia="Arial" w:hAnsi="Arial"/>
          <w:sz w:val="16"/>
          <w:szCs w:val="16"/>
          <w:color w:val="auto"/>
        </w:rPr>
        <w:t>In the case of an award constituting Performance-Based Compensation, the phrase "fully vested" in the immediately prior sentence shall mean the greater of (x) vesting at target (or, if target is not defined in the award, vesting at 100% of the number of units granted), or (y) vesting in the award based on the extent, as determined by the Committee, to which the applicable performance metrics have been met during the applicable performance period up through and including the effective date of the Change of Control. If an Agreement or Alternative Agreement contains a vesting provision for a Performance-Based Compensation award that would result in lesser vesting than per this subsection (ii), then the terms of the Agreement or Alternate Agreement, as applicable, shall govern.</w:t>
      </w:r>
    </w:p>
    <w:p>
      <w:pPr>
        <w:spacing w:after="0" w:line="117" w:lineRule="exact"/>
        <w:rPr>
          <w:rFonts w:ascii="Arial" w:cs="Arial" w:eastAsia="Arial" w:hAnsi="Arial"/>
          <w:sz w:val="16"/>
          <w:szCs w:val="16"/>
          <w:color w:val="auto"/>
        </w:rPr>
      </w:pPr>
    </w:p>
    <w:p>
      <w:pPr>
        <w:ind w:left="1292" w:right="20" w:hanging="535"/>
        <w:spacing w:after="0" w:line="296" w:lineRule="auto"/>
        <w:tabs>
          <w:tab w:leader="none" w:pos="1292" w:val="left"/>
        </w:tabs>
        <w:numPr>
          <w:ilvl w:val="2"/>
          <w:numId w:val="145"/>
        </w:numPr>
        <w:rPr>
          <w:rFonts w:ascii="Arial" w:cs="Arial" w:eastAsia="Arial" w:hAnsi="Arial"/>
          <w:sz w:val="16"/>
          <w:szCs w:val="16"/>
          <w:color w:val="auto"/>
        </w:rPr>
      </w:pPr>
      <w:r>
        <w:rPr>
          <w:rFonts w:ascii="Arial" w:cs="Arial" w:eastAsia="Arial" w:hAnsi="Arial"/>
          <w:sz w:val="16"/>
          <w:szCs w:val="16"/>
          <w:color w:val="auto"/>
        </w:rPr>
        <w:t>In addition, to the extent any accelerated exercisability and/or vesting pursuant to clause (B) of Section 10(a)(i) above applies to an award that is deferred compensation subject to, and not exempt from, the provisions of Internal Revenue Code Section 409A, then the definition of "Change of Control" for purposes of accelerated exercisability and/or vesting under clause (B) shall be no broader than the definition allowed by Treasury Regulations Section 1.409A-(3)(i)(5).</w:t>
      </w:r>
    </w:p>
    <w:p>
      <w:pPr>
        <w:spacing w:after="0" w:line="107" w:lineRule="exact"/>
        <w:rPr>
          <w:rFonts w:ascii="Arial" w:cs="Arial" w:eastAsia="Arial" w:hAnsi="Arial"/>
          <w:sz w:val="16"/>
          <w:szCs w:val="16"/>
          <w:color w:val="auto"/>
        </w:rPr>
      </w:pPr>
    </w:p>
    <w:p>
      <w:pPr>
        <w:ind w:left="652" w:right="20" w:hanging="328"/>
        <w:spacing w:after="0" w:line="289" w:lineRule="auto"/>
        <w:tabs>
          <w:tab w:leader="none" w:pos="652" w:val="left"/>
        </w:tabs>
        <w:numPr>
          <w:ilvl w:val="1"/>
          <w:numId w:val="146"/>
        </w:numPr>
        <w:rPr>
          <w:rFonts w:ascii="Arial" w:cs="Arial" w:eastAsia="Arial" w:hAnsi="Arial"/>
          <w:sz w:val="16"/>
          <w:szCs w:val="16"/>
          <w:color w:val="auto"/>
        </w:rPr>
      </w:pPr>
      <w:r>
        <w:rPr>
          <w:rFonts w:ascii="Arial" w:cs="Arial" w:eastAsia="Arial" w:hAnsi="Arial"/>
          <w:sz w:val="16"/>
          <w:szCs w:val="16"/>
          <w:b w:val="1"/>
          <w:bCs w:val="1"/>
          <w:color w:val="auto"/>
        </w:rPr>
        <w:t xml:space="preserve">Substitution and Continued Employment. </w:t>
      </w:r>
      <w:r>
        <w:rPr>
          <w:rFonts w:ascii="Arial" w:cs="Arial" w:eastAsia="Arial" w:hAnsi="Arial"/>
          <w:sz w:val="16"/>
          <w:szCs w:val="16"/>
          <w:color w:val="auto"/>
        </w:rPr>
        <w:t>If, upon a Change of Control, awards in other shares or securities are</w:t>
      </w:r>
      <w:r>
        <w:rPr>
          <w:rFonts w:ascii="Arial" w:cs="Arial" w:eastAsia="Arial" w:hAnsi="Arial"/>
          <w:sz w:val="16"/>
          <w:szCs w:val="16"/>
          <w:b w:val="1"/>
          <w:bCs w:val="1"/>
          <w:color w:val="auto"/>
        </w:rPr>
        <w:t xml:space="preserve"> </w:t>
      </w:r>
      <w:r>
        <w:rPr>
          <w:rFonts w:ascii="Arial" w:cs="Arial" w:eastAsia="Arial" w:hAnsi="Arial"/>
          <w:sz w:val="16"/>
          <w:szCs w:val="16"/>
          <w:color w:val="auto"/>
        </w:rPr>
        <w:t>substituted for outstanding Awards under the Plan and, immediately following the Change of Control, the Participant becomes employed (if the Participant was an employee immediately prior to the Change of Control) or remains in continued service (as a director or independent contractor if the Participant was a director or independent contractor immediately prior to the Change of Control) of the entity into which Huron merged, or the purchaser of substantially all of the assets of Huron or a successor to such entity or purchaser, then the Participant shall not be treated as having terminated employment or service for purposes of this Section 10 until such time as the Participant terminates employment or service with the merged entity or purchaser (or successor), as applicable.</w:t>
      </w:r>
    </w:p>
    <w:p>
      <w:pPr>
        <w:spacing w:after="0" w:line="117" w:lineRule="exact"/>
        <w:rPr>
          <w:rFonts w:ascii="Arial" w:cs="Arial" w:eastAsia="Arial" w:hAnsi="Arial"/>
          <w:sz w:val="16"/>
          <w:szCs w:val="16"/>
          <w:color w:val="auto"/>
        </w:rPr>
      </w:pPr>
    </w:p>
    <w:p>
      <w:pPr>
        <w:ind w:left="652" w:right="20" w:hanging="328"/>
        <w:spacing w:after="0" w:line="289" w:lineRule="auto"/>
        <w:tabs>
          <w:tab w:leader="none" w:pos="652" w:val="left"/>
        </w:tabs>
        <w:numPr>
          <w:ilvl w:val="1"/>
          <w:numId w:val="146"/>
        </w:numPr>
        <w:rPr>
          <w:rFonts w:ascii="Arial" w:cs="Arial" w:eastAsia="Arial" w:hAnsi="Arial"/>
          <w:sz w:val="16"/>
          <w:szCs w:val="16"/>
          <w:color w:val="auto"/>
        </w:rPr>
      </w:pPr>
      <w:r>
        <w:rPr>
          <w:rFonts w:ascii="Arial" w:cs="Arial" w:eastAsia="Arial" w:hAnsi="Arial"/>
          <w:sz w:val="16"/>
          <w:szCs w:val="16"/>
          <w:b w:val="1"/>
          <w:bCs w:val="1"/>
          <w:color w:val="auto"/>
        </w:rPr>
        <w:t xml:space="preserve">Failure to Take Comparable Job not Termination. </w:t>
      </w:r>
      <w:r>
        <w:rPr>
          <w:rFonts w:ascii="Arial" w:cs="Arial" w:eastAsia="Arial" w:hAnsi="Arial"/>
          <w:sz w:val="16"/>
          <w:szCs w:val="16"/>
          <w:color w:val="auto"/>
        </w:rPr>
        <w:t>If, as described in subsection 10(b) above, awards in other</w:t>
      </w:r>
      <w:r>
        <w:rPr>
          <w:rFonts w:ascii="Arial" w:cs="Arial" w:eastAsia="Arial" w:hAnsi="Arial"/>
          <w:sz w:val="16"/>
          <w:szCs w:val="16"/>
          <w:b w:val="1"/>
          <w:bCs w:val="1"/>
          <w:color w:val="auto"/>
        </w:rPr>
        <w:t xml:space="preserve"> </w:t>
      </w:r>
      <w:r>
        <w:rPr>
          <w:rFonts w:ascii="Arial" w:cs="Arial" w:eastAsia="Arial" w:hAnsi="Arial"/>
          <w:sz w:val="16"/>
          <w:szCs w:val="16"/>
          <w:color w:val="auto"/>
        </w:rPr>
        <w:t>shares or securities are substituted for outstanding Awards under the Plan in connection with a Change of Control, in the event a Participant is offered employment with a successor to Huron (or an Affiliate) for which the Participant is reasonably qualified and on financial terms and conditions which are comparable to the financial terms and conditions that applied to the Participant's employment immediately prior to the Change of Control, then, if the Participant does not accept the offer of employment and, as a result, the Participant's employment with Huron, the Affiliates and their respective successors is terminated, such Participant shall not be treated as having a termination of employment for purposes of this Section 10.</w:t>
      </w:r>
    </w:p>
    <w:p>
      <w:pPr>
        <w:spacing w:after="0" w:line="117" w:lineRule="exact"/>
        <w:rPr>
          <w:rFonts w:ascii="Arial" w:cs="Arial" w:eastAsia="Arial" w:hAnsi="Arial"/>
          <w:sz w:val="16"/>
          <w:szCs w:val="16"/>
          <w:color w:val="auto"/>
        </w:rPr>
      </w:pPr>
    </w:p>
    <w:p>
      <w:pPr>
        <w:jc w:val="both"/>
        <w:ind w:left="332" w:right="40" w:hanging="332"/>
        <w:spacing w:after="0" w:line="339" w:lineRule="auto"/>
        <w:tabs>
          <w:tab w:leader="none" w:pos="332" w:val="left"/>
        </w:tabs>
        <w:numPr>
          <w:ilvl w:val="0"/>
          <w:numId w:val="147"/>
        </w:numPr>
        <w:rPr>
          <w:rFonts w:ascii="Arial" w:cs="Arial" w:eastAsia="Arial" w:hAnsi="Arial"/>
          <w:sz w:val="16"/>
          <w:szCs w:val="16"/>
          <w:color w:val="auto"/>
        </w:rPr>
      </w:pPr>
      <w:r>
        <w:rPr>
          <w:rFonts w:ascii="Arial" w:cs="Arial" w:eastAsia="Arial" w:hAnsi="Arial"/>
          <w:sz w:val="16"/>
          <w:szCs w:val="16"/>
          <w:b w:val="1"/>
          <w:bCs w:val="1"/>
          <w:color w:val="auto"/>
        </w:rPr>
        <w:t xml:space="preserve">Rights as a Stockholder. </w:t>
      </w:r>
      <w:r>
        <w:rPr>
          <w:rFonts w:ascii="Arial" w:cs="Arial" w:eastAsia="Arial" w:hAnsi="Arial"/>
          <w:sz w:val="16"/>
          <w:szCs w:val="16"/>
          <w:color w:val="auto"/>
        </w:rPr>
        <w:t>No person shall have any rights as a stockholder with respect to any shares of Common Stock</w:t>
      </w:r>
      <w:r>
        <w:rPr>
          <w:rFonts w:ascii="Arial" w:cs="Arial" w:eastAsia="Arial" w:hAnsi="Arial"/>
          <w:sz w:val="16"/>
          <w:szCs w:val="16"/>
          <w:b w:val="1"/>
          <w:bCs w:val="1"/>
          <w:color w:val="auto"/>
        </w:rPr>
        <w:t xml:space="preserve"> </w:t>
      </w:r>
      <w:r>
        <w:rPr>
          <w:rFonts w:ascii="Arial" w:cs="Arial" w:eastAsia="Arial" w:hAnsi="Arial"/>
          <w:sz w:val="16"/>
          <w:szCs w:val="16"/>
          <w:color w:val="auto"/>
        </w:rPr>
        <w:t>covered by or relating to any Award until the date of issuance of a stock certificate with respect to such shares or the date</w:t>
      </w:r>
    </w:p>
    <w:p>
      <w:pPr>
        <w:sectPr>
          <w:pgSz w:w="11900" w:h="16992" w:orient="portrait"/>
          <w:cols w:equalWidth="0" w:num="1">
            <w:col w:w="9092"/>
          </w:cols>
          <w:pgMar w:left="1408" w:top="220" w:right="1399" w:bottom="0" w:gutter="0" w:footer="0" w:header="0"/>
          <w:type w:val="continuous"/>
        </w:sectPr>
      </w:pPr>
    </w:p>
    <w:bookmarkStart w:id="95" w:name="page96"/>
    <w:bookmarkEnd w:id="95"/>
    <w:p>
      <w:pPr>
        <w:spacing w:after="0" w:line="126" w:lineRule="exact"/>
        <w:rPr>
          <w:sz w:val="20"/>
          <w:szCs w:val="20"/>
          <w:color w:val="auto"/>
        </w:rPr>
      </w:pPr>
    </w:p>
    <w:p>
      <w:pPr>
        <w:ind w:left="332"/>
        <w:spacing w:after="0" w:line="301" w:lineRule="auto"/>
        <w:rPr>
          <w:sz w:val="20"/>
          <w:szCs w:val="20"/>
          <w:color w:val="auto"/>
        </w:rPr>
      </w:pPr>
      <w:r>
        <w:rPr>
          <w:rFonts w:ascii="Arial" w:cs="Arial" w:eastAsia="Arial" w:hAnsi="Arial"/>
          <w:sz w:val="16"/>
          <w:szCs w:val="16"/>
          <w:color w:val="auto"/>
        </w:rPr>
        <w:t>of crediting such shares to such person’s account via book-entry transfer. Except for adjustments pursuant to Section 4(f), no adjustment to any Award shall be made for dividends or other rights for which the record date occurs prior to the date such stock certificate is issued or credit via book-entry transfer is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wp:posOffset>
            </wp:positionH>
            <wp:positionV relativeFrom="paragraph">
              <wp:posOffset>-438785</wp:posOffset>
            </wp:positionV>
            <wp:extent cx="6810375" cy="22993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10375" cy="2299335"/>
                    </a:xfrm>
                    <a:prstGeom prst="rect">
                      <a:avLst/>
                    </a:prstGeom>
                    <a:noFill/>
                  </pic:spPr>
                </pic:pic>
              </a:graphicData>
            </a:graphic>
          </wp:anchor>
        </w:drawing>
      </w:r>
    </w:p>
    <w:p>
      <w:pPr>
        <w:spacing w:after="0" w:line="84" w:lineRule="exact"/>
        <w:rPr>
          <w:sz w:val="20"/>
          <w:szCs w:val="20"/>
          <w:color w:val="auto"/>
        </w:rPr>
      </w:pPr>
    </w:p>
    <w:p>
      <w:pPr>
        <w:ind w:left="332" w:hanging="332"/>
        <w:spacing w:after="0"/>
        <w:tabs>
          <w:tab w:leader="none" w:pos="332" w:val="left"/>
        </w:tabs>
        <w:numPr>
          <w:ilvl w:val="0"/>
          <w:numId w:val="148"/>
        </w:numPr>
        <w:rPr>
          <w:rFonts w:ascii="Arial" w:cs="Arial" w:eastAsia="Arial" w:hAnsi="Arial"/>
          <w:sz w:val="16"/>
          <w:szCs w:val="16"/>
          <w:color w:val="auto"/>
        </w:rPr>
      </w:pPr>
      <w:r>
        <w:rPr>
          <w:rFonts w:ascii="Arial" w:cs="Arial" w:eastAsia="Arial" w:hAnsi="Arial"/>
          <w:sz w:val="16"/>
          <w:szCs w:val="16"/>
          <w:b w:val="1"/>
          <w:bCs w:val="1"/>
          <w:color w:val="auto"/>
        </w:rPr>
        <w:t>Limitations of Implied Rights.</w:t>
      </w:r>
    </w:p>
    <w:p>
      <w:pPr>
        <w:spacing w:after="0" w:line="180" w:lineRule="exact"/>
        <w:rPr>
          <w:rFonts w:ascii="Arial" w:cs="Arial" w:eastAsia="Arial" w:hAnsi="Arial"/>
          <w:sz w:val="16"/>
          <w:szCs w:val="16"/>
          <w:color w:val="auto"/>
        </w:rPr>
      </w:pPr>
    </w:p>
    <w:p>
      <w:pPr>
        <w:ind w:left="652" w:hanging="328"/>
        <w:spacing w:after="0" w:line="296" w:lineRule="auto"/>
        <w:tabs>
          <w:tab w:leader="none" w:pos="652" w:val="left"/>
        </w:tabs>
        <w:numPr>
          <w:ilvl w:val="1"/>
          <w:numId w:val="148"/>
        </w:numPr>
        <w:rPr>
          <w:rFonts w:ascii="Arial" w:cs="Arial" w:eastAsia="Arial" w:hAnsi="Arial"/>
          <w:sz w:val="16"/>
          <w:szCs w:val="16"/>
          <w:color w:val="auto"/>
        </w:rPr>
      </w:pPr>
      <w:r>
        <w:rPr>
          <w:rFonts w:ascii="Arial" w:cs="Arial" w:eastAsia="Arial" w:hAnsi="Arial"/>
          <w:sz w:val="16"/>
          <w:szCs w:val="16"/>
          <w:b w:val="1"/>
          <w:bCs w:val="1"/>
          <w:color w:val="auto"/>
        </w:rPr>
        <w:t xml:space="preserve">No Right to Employment or Continued Service. </w:t>
      </w:r>
      <w:r>
        <w:rPr>
          <w:rFonts w:ascii="Arial" w:cs="Arial" w:eastAsia="Arial" w:hAnsi="Arial"/>
          <w:sz w:val="16"/>
          <w:szCs w:val="16"/>
          <w:color w:val="auto"/>
        </w:rPr>
        <w:t>Nothing contained in the Plan or any Agreement shall confer upon</w:t>
      </w:r>
      <w:r>
        <w:rPr>
          <w:rFonts w:ascii="Arial" w:cs="Arial" w:eastAsia="Arial" w:hAnsi="Arial"/>
          <w:sz w:val="16"/>
          <w:szCs w:val="16"/>
          <w:b w:val="1"/>
          <w:bCs w:val="1"/>
          <w:color w:val="auto"/>
        </w:rPr>
        <w:t xml:space="preserve"> </w:t>
      </w:r>
      <w:r>
        <w:rPr>
          <w:rFonts w:ascii="Arial" w:cs="Arial" w:eastAsia="Arial" w:hAnsi="Arial"/>
          <w:sz w:val="16"/>
          <w:szCs w:val="16"/>
          <w:color w:val="auto"/>
        </w:rPr>
        <w:t>any Participant any right with respect to the continuation of employment by or provision of services to Huron and the Affiliates or interfere in any way with the right of Huron and the Affiliates, subject to the terms of any separate agreement to the contrary, at any time to terminate such employment or service or to increase or decrease the compensation of any Participant.</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52"/>
        <w:spacing w:after="0"/>
        <w:tabs>
          <w:tab w:leader="none" w:pos="4372" w:val="left"/>
          <w:tab w:leader="none" w:pos="7752"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13"/>
          <w:szCs w:val="13"/>
          <w:b w:val="1"/>
          <w:bCs w:val="1"/>
          <w:color w:val="00558C"/>
        </w:rPr>
        <w:t>A-13</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wp:posOffset>
            </wp:positionH>
            <wp:positionV relativeFrom="paragraph">
              <wp:posOffset>351790</wp:posOffset>
            </wp:positionV>
            <wp:extent cx="6810375" cy="81343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10375" cy="8134350"/>
                    </a:xfrm>
                    <a:prstGeom prst="rect">
                      <a:avLst/>
                    </a:prstGeom>
                    <a:noFill/>
                  </pic:spPr>
                </pic:pic>
              </a:graphicData>
            </a:graphic>
          </wp:anchor>
        </w:drawing>
      </w:r>
    </w:p>
    <w:p>
      <w:pPr>
        <w:sectPr>
          <w:pgSz w:w="11900" w:h="16964" w:orient="portrait"/>
          <w:cols w:equalWidth="0" w:num="1">
            <w:col w:w="9072"/>
          </w:cols>
          <w:pgMar w:left="1408" w:top="139" w:right="14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52"/>
        <w:spacing w:after="0" w:line="274" w:lineRule="auto"/>
        <w:rPr>
          <w:sz w:val="20"/>
          <w:szCs w:val="20"/>
          <w:color w:val="auto"/>
        </w:rPr>
      </w:pPr>
      <w:r>
        <w:rPr>
          <w:rFonts w:ascii="Arial" w:cs="Arial" w:eastAsia="Arial" w:hAnsi="Arial"/>
          <w:sz w:val="13"/>
          <w:szCs w:val="13"/>
          <w:b w:val="1"/>
          <w:bCs w:val="1"/>
          <w:color w:val="B2B3B6"/>
        </w:rPr>
        <w:t>General Proposal Information 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line="274" w:lineRule="auto"/>
        <w:rPr>
          <w:sz w:val="20"/>
          <w:szCs w:val="20"/>
          <w:color w:val="auto"/>
        </w:rPr>
      </w:pPr>
      <w:r>
        <w:rPr>
          <w:rFonts w:ascii="Arial" w:cs="Arial" w:eastAsia="Arial" w:hAnsi="Arial"/>
          <w:sz w:val="13"/>
          <w:szCs w:val="13"/>
          <w:b w:val="1"/>
          <w:bCs w:val="1"/>
          <w:color w:val="B2B3B6"/>
        </w:rPr>
        <w:t>Corporate Proposal Executive Governance Two 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line="274" w:lineRule="auto"/>
        <w:rPr>
          <w:sz w:val="20"/>
          <w:szCs w:val="20"/>
          <w:color w:val="auto"/>
        </w:rPr>
      </w:pPr>
      <w:r>
        <w:rPr>
          <w:rFonts w:ascii="Arial" w:cs="Arial" w:eastAsia="Arial" w:hAnsi="Arial"/>
          <w:sz w:val="13"/>
          <w:szCs w:val="13"/>
          <w:b w:val="1"/>
          <w:bCs w:val="1"/>
          <w:color w:val="B2B3B6"/>
        </w:rPr>
        <w:t>Proposal Proposal Proposal Three Four Five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200"/>
        <w:spacing w:after="0" w:line="274" w:lineRule="auto"/>
        <w:rPr>
          <w:sz w:val="20"/>
          <w:szCs w:val="20"/>
          <w:color w:val="auto"/>
        </w:rPr>
      </w:pPr>
      <w:r>
        <w:rPr>
          <w:rFonts w:ascii="Arial" w:cs="Arial" w:eastAsia="Arial" w:hAnsi="Arial"/>
          <w:sz w:val="13"/>
          <w:szCs w:val="13"/>
          <w:b w:val="1"/>
          <w:bCs w:val="1"/>
          <w:color w:val="B2B3B6"/>
        </w:rPr>
        <w:t xml:space="preserve">Stockholder </w:t>
      </w:r>
      <w:r>
        <w:rPr>
          <w:rFonts w:ascii="Arial" w:cs="Arial" w:eastAsia="Arial" w:hAnsi="Arial"/>
          <w:sz w:val="13"/>
          <w:szCs w:val="13"/>
          <w:b w:val="1"/>
          <w:bCs w:val="1"/>
          <w:color w:val="6AAA37"/>
        </w:rPr>
        <w:t>Other</w:t>
      </w:r>
      <w:r>
        <w:rPr>
          <w:rFonts w:ascii="Arial" w:cs="Arial" w:eastAsia="Arial" w:hAnsi="Arial"/>
          <w:sz w:val="13"/>
          <w:szCs w:val="13"/>
          <w:b w:val="1"/>
          <w:bCs w:val="1"/>
          <w:color w:val="B2B3B6"/>
        </w:rPr>
        <w:t xml:space="preserve"> Proposals </w:t>
      </w:r>
      <w:r>
        <w:rPr>
          <w:rFonts w:ascii="Arial" w:cs="Arial" w:eastAsia="Arial" w:hAnsi="Arial"/>
          <w:sz w:val="13"/>
          <w:szCs w:val="13"/>
          <w:b w:val="1"/>
          <w:bCs w:val="1"/>
          <w:color w:val="6AAA37"/>
        </w:rPr>
        <w:t>Matters</w:t>
      </w:r>
    </w:p>
    <w:p>
      <w:pPr>
        <w:spacing w:after="0" w:line="200" w:lineRule="exact"/>
        <w:rPr>
          <w:sz w:val="20"/>
          <w:szCs w:val="20"/>
          <w:color w:val="auto"/>
        </w:rPr>
      </w:pPr>
    </w:p>
    <w:p>
      <w:pPr>
        <w:sectPr>
          <w:pgSz w:w="11900" w:h="16964" w:orient="portrait"/>
          <w:cols w:equalWidth="0" w:num="4">
            <w:col w:w="1592" w:space="300"/>
            <w:col w:w="2700" w:space="320"/>
            <w:col w:w="2180" w:space="280"/>
            <w:col w:w="1700"/>
          </w:cols>
          <w:pgMar w:left="1408" w:top="139" w:right="1419" w:bottom="0" w:gutter="0" w:footer="0" w:header="0"/>
          <w:type w:val="continuous"/>
        </w:sectPr>
      </w:pPr>
    </w:p>
    <w:p>
      <w:pPr>
        <w:spacing w:after="0" w:line="151" w:lineRule="exact"/>
        <w:rPr>
          <w:sz w:val="20"/>
          <w:szCs w:val="20"/>
          <w:color w:val="auto"/>
        </w:rPr>
      </w:pPr>
    </w:p>
    <w:p>
      <w:pPr>
        <w:ind w:left="652" w:right="60" w:hanging="328"/>
        <w:spacing w:after="0" w:line="295" w:lineRule="auto"/>
        <w:tabs>
          <w:tab w:leader="none" w:pos="652" w:val="left"/>
        </w:tabs>
        <w:numPr>
          <w:ilvl w:val="1"/>
          <w:numId w:val="149"/>
        </w:numPr>
        <w:rPr>
          <w:rFonts w:ascii="Arial" w:cs="Arial" w:eastAsia="Arial" w:hAnsi="Arial"/>
          <w:sz w:val="16"/>
          <w:szCs w:val="16"/>
          <w:color w:val="auto"/>
        </w:rPr>
      </w:pPr>
      <w:r>
        <w:rPr>
          <w:rFonts w:ascii="Arial" w:cs="Arial" w:eastAsia="Arial" w:hAnsi="Arial"/>
          <w:sz w:val="16"/>
          <w:szCs w:val="16"/>
          <w:b w:val="1"/>
          <w:bCs w:val="1"/>
          <w:color w:val="auto"/>
        </w:rPr>
        <w:t xml:space="preserve">No Claim to Award. </w:t>
      </w:r>
      <w:r>
        <w:rPr>
          <w:rFonts w:ascii="Arial" w:cs="Arial" w:eastAsia="Arial" w:hAnsi="Arial"/>
          <w:sz w:val="16"/>
          <w:szCs w:val="16"/>
          <w:color w:val="auto"/>
        </w:rPr>
        <w:t>No person shall have any claim or right to receive an Award hereunder. The grant of an Award</w:t>
      </w:r>
      <w:r>
        <w:rPr>
          <w:rFonts w:ascii="Arial" w:cs="Arial" w:eastAsia="Arial" w:hAnsi="Arial"/>
          <w:sz w:val="16"/>
          <w:szCs w:val="16"/>
          <w:b w:val="1"/>
          <w:bCs w:val="1"/>
          <w:color w:val="auto"/>
        </w:rPr>
        <w:t xml:space="preserve"> </w:t>
      </w:r>
      <w:r>
        <w:rPr>
          <w:rFonts w:ascii="Arial" w:cs="Arial" w:eastAsia="Arial" w:hAnsi="Arial"/>
          <w:sz w:val="16"/>
          <w:szCs w:val="16"/>
          <w:color w:val="auto"/>
        </w:rPr>
        <w:t>to a Participant at any time shall neither require the Committee to grant any other Award to such Participant or other person at any time nor preclude the Committee from making subsequent grants to such Participant or any other person.</w:t>
      </w:r>
    </w:p>
    <w:p>
      <w:pPr>
        <w:spacing w:after="0" w:line="107" w:lineRule="exact"/>
        <w:rPr>
          <w:rFonts w:ascii="Arial" w:cs="Arial" w:eastAsia="Arial" w:hAnsi="Arial"/>
          <w:sz w:val="16"/>
          <w:szCs w:val="16"/>
          <w:color w:val="auto"/>
        </w:rPr>
      </w:pPr>
    </w:p>
    <w:p>
      <w:pPr>
        <w:ind w:left="652" w:right="160" w:hanging="328"/>
        <w:spacing w:after="0" w:line="291" w:lineRule="auto"/>
        <w:tabs>
          <w:tab w:leader="none" w:pos="652" w:val="left"/>
        </w:tabs>
        <w:numPr>
          <w:ilvl w:val="1"/>
          <w:numId w:val="149"/>
        </w:numPr>
        <w:rPr>
          <w:rFonts w:ascii="Arial" w:cs="Arial" w:eastAsia="Arial" w:hAnsi="Arial"/>
          <w:sz w:val="16"/>
          <w:szCs w:val="16"/>
          <w:color w:val="auto"/>
        </w:rPr>
      </w:pPr>
      <w:r>
        <w:rPr>
          <w:rFonts w:ascii="Arial" w:cs="Arial" w:eastAsia="Arial" w:hAnsi="Arial"/>
          <w:sz w:val="16"/>
          <w:szCs w:val="16"/>
          <w:b w:val="1"/>
          <w:bCs w:val="1"/>
          <w:color w:val="auto"/>
        </w:rPr>
        <w:t xml:space="preserve">No Right to Assets or Property. </w:t>
      </w:r>
      <w:r>
        <w:rPr>
          <w:rFonts w:ascii="Arial" w:cs="Arial" w:eastAsia="Arial" w:hAnsi="Arial"/>
          <w:sz w:val="16"/>
          <w:szCs w:val="16"/>
          <w:color w:val="auto"/>
        </w:rPr>
        <w:t>Neither a Participant nor any other person shall, by reason of the Plan, acquire</w:t>
      </w:r>
      <w:r>
        <w:rPr>
          <w:rFonts w:ascii="Arial" w:cs="Arial" w:eastAsia="Arial" w:hAnsi="Arial"/>
          <w:sz w:val="16"/>
          <w:szCs w:val="16"/>
          <w:b w:val="1"/>
          <w:bCs w:val="1"/>
          <w:color w:val="auto"/>
        </w:rPr>
        <w:t xml:space="preserve"> </w:t>
      </w:r>
      <w:r>
        <w:rPr>
          <w:rFonts w:ascii="Arial" w:cs="Arial" w:eastAsia="Arial" w:hAnsi="Arial"/>
          <w:sz w:val="16"/>
          <w:szCs w:val="16"/>
          <w:color w:val="auto"/>
        </w:rPr>
        <w:t>any right in or title to any assets, funds or property of Huron or any Affiliate whatsoever, including, without limitation, any specific funds, assets, or other property which Huron or any Affiliate, in its sole discretion, may set aside in anticipation of a liability under the Plan. A Participant shall have only a contractual right to the amounts, if any, payable under the Plan, unsecured by any assets of Huron and any Affiliate. Nothing contained in the Plan shall constitute a guarantee by Huron or any Affiliate that the assets of such companies shall be sufficient to pay any benefits to any person.</w:t>
      </w:r>
    </w:p>
    <w:p>
      <w:pPr>
        <w:spacing w:after="0" w:line="112" w:lineRule="exact"/>
        <w:rPr>
          <w:rFonts w:ascii="Arial" w:cs="Arial" w:eastAsia="Arial" w:hAnsi="Arial"/>
          <w:sz w:val="16"/>
          <w:szCs w:val="16"/>
          <w:color w:val="auto"/>
        </w:rPr>
      </w:pPr>
    </w:p>
    <w:p>
      <w:pPr>
        <w:ind w:left="332" w:hanging="332"/>
        <w:spacing w:after="0"/>
        <w:tabs>
          <w:tab w:leader="none" w:pos="332" w:val="left"/>
        </w:tabs>
        <w:numPr>
          <w:ilvl w:val="0"/>
          <w:numId w:val="150"/>
        </w:numPr>
        <w:rPr>
          <w:rFonts w:ascii="Arial" w:cs="Arial" w:eastAsia="Arial" w:hAnsi="Arial"/>
          <w:sz w:val="16"/>
          <w:szCs w:val="16"/>
          <w:color w:val="auto"/>
        </w:rPr>
      </w:pPr>
      <w:r>
        <w:rPr>
          <w:rFonts w:ascii="Arial" w:cs="Arial" w:eastAsia="Arial" w:hAnsi="Arial"/>
          <w:sz w:val="16"/>
          <w:szCs w:val="16"/>
          <w:b w:val="1"/>
          <w:bCs w:val="1"/>
          <w:color w:val="auto"/>
        </w:rPr>
        <w:t>Securities Matters.</w:t>
      </w:r>
    </w:p>
    <w:p>
      <w:pPr>
        <w:spacing w:after="0" w:line="180" w:lineRule="exact"/>
        <w:rPr>
          <w:rFonts w:ascii="Arial" w:cs="Arial" w:eastAsia="Arial" w:hAnsi="Arial"/>
          <w:sz w:val="16"/>
          <w:szCs w:val="16"/>
          <w:color w:val="auto"/>
        </w:rPr>
      </w:pPr>
    </w:p>
    <w:p>
      <w:pPr>
        <w:ind w:left="652" w:right="60" w:hanging="328"/>
        <w:spacing w:after="0" w:line="291" w:lineRule="auto"/>
        <w:tabs>
          <w:tab w:leader="none" w:pos="652" w:val="left"/>
        </w:tabs>
        <w:numPr>
          <w:ilvl w:val="1"/>
          <w:numId w:val="150"/>
        </w:numPr>
        <w:rPr>
          <w:rFonts w:ascii="Arial" w:cs="Arial" w:eastAsia="Arial" w:hAnsi="Arial"/>
          <w:sz w:val="16"/>
          <w:szCs w:val="16"/>
          <w:color w:val="auto"/>
        </w:rPr>
      </w:pPr>
      <w:r>
        <w:rPr>
          <w:rFonts w:ascii="Arial" w:cs="Arial" w:eastAsia="Arial" w:hAnsi="Arial"/>
          <w:sz w:val="16"/>
          <w:szCs w:val="16"/>
          <w:b w:val="1"/>
          <w:bCs w:val="1"/>
          <w:color w:val="auto"/>
        </w:rPr>
        <w:t xml:space="preserve">Compliance with Law. </w:t>
      </w:r>
      <w:r>
        <w:rPr>
          <w:rFonts w:ascii="Arial" w:cs="Arial" w:eastAsia="Arial" w:hAnsi="Arial"/>
          <w:sz w:val="16"/>
          <w:szCs w:val="16"/>
          <w:color w:val="auto"/>
        </w:rPr>
        <w:t>Notwithstanding anything herein to the contrary, Huron shall not be obligated to cause to be</w:t>
      </w:r>
      <w:r>
        <w:rPr>
          <w:rFonts w:ascii="Arial" w:cs="Arial" w:eastAsia="Arial" w:hAnsi="Arial"/>
          <w:sz w:val="16"/>
          <w:szCs w:val="16"/>
          <w:b w:val="1"/>
          <w:bCs w:val="1"/>
          <w:color w:val="auto"/>
        </w:rPr>
        <w:t xml:space="preserve"> </w:t>
      </w:r>
      <w:r>
        <w:rPr>
          <w:rFonts w:ascii="Arial" w:cs="Arial" w:eastAsia="Arial" w:hAnsi="Arial"/>
          <w:sz w:val="16"/>
          <w:szCs w:val="16"/>
          <w:color w:val="auto"/>
        </w:rPr>
        <w:t>issued or delivered any certificates evidencing shares of Common Stock pursuant to the Plan (or any crediting of shares to a person’s account via book-entry transfer) unless and until Huron is advised by its counsel (which may be Huron’s in-house counsel) that the issuance and delivery of such certificates (or crediting of such shares to an account) is in compliance with all applicable laws, regulations of governmental authority and the requirements of any securities exchange on which shares of Common Stock are traded. The Committee may require, as a condition of the issuance and delivery of certificates (or crediting to an account) pursuant to the terms hereof, that the recipient of such shares make such agreements and representations, and that, if applicable, such certificates bear such legends, as the Committee, in its sole discretion, deems necessary or advisable.</w:t>
      </w:r>
    </w:p>
    <w:p>
      <w:pPr>
        <w:spacing w:after="0" w:line="98" w:lineRule="exact"/>
        <w:rPr>
          <w:rFonts w:ascii="Arial" w:cs="Arial" w:eastAsia="Arial" w:hAnsi="Arial"/>
          <w:sz w:val="16"/>
          <w:szCs w:val="16"/>
          <w:color w:val="auto"/>
        </w:rPr>
      </w:pPr>
    </w:p>
    <w:p>
      <w:pPr>
        <w:ind w:left="652" w:right="20" w:hanging="328"/>
        <w:spacing w:after="0" w:line="290" w:lineRule="auto"/>
        <w:tabs>
          <w:tab w:leader="none" w:pos="652" w:val="left"/>
        </w:tabs>
        <w:numPr>
          <w:ilvl w:val="1"/>
          <w:numId w:val="150"/>
        </w:numPr>
        <w:rPr>
          <w:rFonts w:ascii="Arial" w:cs="Arial" w:eastAsia="Arial" w:hAnsi="Arial"/>
          <w:sz w:val="16"/>
          <w:szCs w:val="16"/>
          <w:color w:val="auto"/>
        </w:rPr>
      </w:pPr>
      <w:r>
        <w:rPr>
          <w:rFonts w:ascii="Arial" w:cs="Arial" w:eastAsia="Arial" w:hAnsi="Arial"/>
          <w:sz w:val="16"/>
          <w:szCs w:val="16"/>
          <w:b w:val="1"/>
          <w:bCs w:val="1"/>
          <w:color w:val="auto"/>
        </w:rPr>
        <w:t xml:space="preserve">Transfer of Shares. </w:t>
      </w:r>
      <w:r>
        <w:rPr>
          <w:rFonts w:ascii="Arial" w:cs="Arial" w:eastAsia="Arial" w:hAnsi="Arial"/>
          <w:sz w:val="16"/>
          <w:szCs w:val="16"/>
          <w:color w:val="auto"/>
        </w:rPr>
        <w:t>The transfer of any shares of Common Stock hereunder shall be effective only at such time as</w:t>
      </w:r>
      <w:r>
        <w:rPr>
          <w:rFonts w:ascii="Arial" w:cs="Arial" w:eastAsia="Arial" w:hAnsi="Arial"/>
          <w:sz w:val="16"/>
          <w:szCs w:val="16"/>
          <w:b w:val="1"/>
          <w:bCs w:val="1"/>
          <w:color w:val="auto"/>
        </w:rPr>
        <w:t xml:space="preserve"> </w:t>
      </w:r>
      <w:r>
        <w:rPr>
          <w:rFonts w:ascii="Arial" w:cs="Arial" w:eastAsia="Arial" w:hAnsi="Arial"/>
          <w:sz w:val="16"/>
          <w:szCs w:val="16"/>
          <w:color w:val="auto"/>
        </w:rPr>
        <w:t>counsel to Huron (which may be Huron’s in-house counsel) shall have determined that the issuance and delivery of such shares is in compliance with all applicable laws, regulations of governmental authority and the requirements of any securities exchange on which shares of Common Stock are traded. The Committee may, in its sole discretion, defer the effectiveness of any transfer of shares of Common Stock hereunder in order to allow the issuance of such shares to be made pursuant to registration or an exemption from registration or other methods for compliance available under federal or state securities laws. The Committee shall inform the Participant in writing of its decision to defer the effectiveness of a transfer. During the period of such deferral in connection with the exercise of an Option, the Participant may, by written notice, withdraw such exercise and obtain the refund of any amount paid with respect thereto.</w:t>
      </w:r>
    </w:p>
    <w:p>
      <w:pPr>
        <w:spacing w:after="0" w:line="112" w:lineRule="exact"/>
        <w:rPr>
          <w:rFonts w:ascii="Arial" w:cs="Arial" w:eastAsia="Arial" w:hAnsi="Arial"/>
          <w:sz w:val="16"/>
          <w:szCs w:val="16"/>
          <w:color w:val="auto"/>
        </w:rPr>
      </w:pPr>
    </w:p>
    <w:p>
      <w:pPr>
        <w:ind w:left="332" w:right="20" w:hanging="332"/>
        <w:spacing w:after="0" w:line="289" w:lineRule="auto"/>
        <w:tabs>
          <w:tab w:leader="none" w:pos="332" w:val="left"/>
        </w:tabs>
        <w:numPr>
          <w:ilvl w:val="0"/>
          <w:numId w:val="150"/>
        </w:numPr>
        <w:rPr>
          <w:rFonts w:ascii="Arial" w:cs="Arial" w:eastAsia="Arial" w:hAnsi="Arial"/>
          <w:sz w:val="16"/>
          <w:szCs w:val="16"/>
          <w:color w:val="auto"/>
        </w:rPr>
      </w:pPr>
      <w:r>
        <w:rPr>
          <w:rFonts w:ascii="Arial" w:cs="Arial" w:eastAsia="Arial" w:hAnsi="Arial"/>
          <w:sz w:val="16"/>
          <w:szCs w:val="16"/>
          <w:b w:val="1"/>
          <w:bCs w:val="1"/>
          <w:color w:val="auto"/>
        </w:rPr>
        <w:t xml:space="preserve">Withholding Taxes. </w:t>
      </w:r>
      <w:r>
        <w:rPr>
          <w:rFonts w:ascii="Arial" w:cs="Arial" w:eastAsia="Arial" w:hAnsi="Arial"/>
          <w:sz w:val="16"/>
          <w:szCs w:val="16"/>
          <w:color w:val="auto"/>
        </w:rPr>
        <w:t>All Awards and other payments under the Plan are subject to withholding of all applicable taxes.</w:t>
      </w:r>
      <w:r>
        <w:rPr>
          <w:rFonts w:ascii="Arial" w:cs="Arial" w:eastAsia="Arial" w:hAnsi="Arial"/>
          <w:sz w:val="16"/>
          <w:szCs w:val="16"/>
          <w:b w:val="1"/>
          <w:bCs w:val="1"/>
          <w:color w:val="auto"/>
        </w:rPr>
        <w:t xml:space="preserve"> </w:t>
      </w:r>
      <w:r>
        <w:rPr>
          <w:rFonts w:ascii="Arial" w:cs="Arial" w:eastAsia="Arial" w:hAnsi="Arial"/>
          <w:sz w:val="16"/>
          <w:szCs w:val="16"/>
          <w:color w:val="auto"/>
        </w:rPr>
        <w:t>Whenever cash is to be paid pursuant to an Award, Huron and the Affiliates shall have the right to deduct therefrom an amount sufficient to satisfy any federal, state and local withholding tax requirements related thereto. Whenever shares of Common Stock are to be delivered pursuant to an Award, Huron and the Affiliates shall have the right to require the Participant to remit to Huron and the Affiliates in cash an amount sufficient to satisfy any federal, state and local withholding tax requirements related thereto. With the approval of the Committee, a Participant may satisfy the foregoing requirement by electing to have Huron and the Affiliates withhold from delivery shares of Common Stock having a value equal to the amount of tax required to be withheld, as determined by the Committee or through the surrender of shares of Common Stock which the Participant already owns. As determined solely by Huron and the Affiliates, the number of shares used for withholding may exceed the number needed to satisfy the required withholding but shall not exceed the number of shares of Common Stock needed for the maximum tax withholding under applicable law (or other rates that will not have a negative accounting impact). Such a withholding election may be made by the Participant with respect to all or any portion of the shares to be delivered pursuant to an Award.</w:t>
      </w:r>
    </w:p>
    <w:p>
      <w:pPr>
        <w:spacing w:after="0" w:line="103" w:lineRule="exact"/>
        <w:rPr>
          <w:rFonts w:ascii="Arial" w:cs="Arial" w:eastAsia="Arial" w:hAnsi="Arial"/>
          <w:sz w:val="16"/>
          <w:szCs w:val="16"/>
          <w:color w:val="auto"/>
        </w:rPr>
      </w:pPr>
    </w:p>
    <w:p>
      <w:pPr>
        <w:jc w:val="both"/>
        <w:ind w:left="332" w:right="120" w:hanging="332"/>
        <w:spacing w:after="0" w:line="310" w:lineRule="auto"/>
        <w:tabs>
          <w:tab w:leader="none" w:pos="332" w:val="left"/>
        </w:tabs>
        <w:numPr>
          <w:ilvl w:val="0"/>
          <w:numId w:val="150"/>
        </w:numPr>
        <w:rPr>
          <w:rFonts w:ascii="Arial" w:cs="Arial" w:eastAsia="Arial" w:hAnsi="Arial"/>
          <w:sz w:val="16"/>
          <w:szCs w:val="16"/>
          <w:color w:val="auto"/>
        </w:rPr>
      </w:pPr>
      <w:r>
        <w:rPr>
          <w:rFonts w:ascii="Arial" w:cs="Arial" w:eastAsia="Arial" w:hAnsi="Arial"/>
          <w:sz w:val="16"/>
          <w:szCs w:val="16"/>
          <w:b w:val="1"/>
          <w:bCs w:val="1"/>
          <w:color w:val="auto"/>
        </w:rPr>
        <w:t xml:space="preserve">Notification of Election Under Section 83(b) of the Code. </w:t>
      </w:r>
      <w:r>
        <w:rPr>
          <w:rFonts w:ascii="Arial" w:cs="Arial" w:eastAsia="Arial" w:hAnsi="Arial"/>
          <w:sz w:val="16"/>
          <w:szCs w:val="16"/>
          <w:color w:val="auto"/>
        </w:rPr>
        <w:t>If any Participant shall, in connection with the acquisition of</w:t>
      </w:r>
      <w:r>
        <w:rPr>
          <w:rFonts w:ascii="Arial" w:cs="Arial" w:eastAsia="Arial" w:hAnsi="Arial"/>
          <w:sz w:val="16"/>
          <w:szCs w:val="16"/>
          <w:b w:val="1"/>
          <w:bCs w:val="1"/>
          <w:color w:val="auto"/>
        </w:rPr>
        <w:t xml:space="preserve"> </w:t>
      </w:r>
      <w:r>
        <w:rPr>
          <w:rFonts w:ascii="Arial" w:cs="Arial" w:eastAsia="Arial" w:hAnsi="Arial"/>
          <w:sz w:val="16"/>
          <w:szCs w:val="16"/>
          <w:color w:val="auto"/>
        </w:rPr>
        <w:t>shares of Common Stock under the Plan, make the election permitted under Section 83(b) of the Code, such Participant shall notify Huron of such election within 10 days of filing notice of the election with the Internal Revenue Service.</w:t>
      </w:r>
    </w:p>
    <w:p>
      <w:pPr>
        <w:spacing w:after="0" w:line="97" w:lineRule="exact"/>
        <w:rPr>
          <w:rFonts w:ascii="Arial" w:cs="Arial" w:eastAsia="Arial" w:hAnsi="Arial"/>
          <w:sz w:val="16"/>
          <w:szCs w:val="16"/>
          <w:color w:val="auto"/>
        </w:rPr>
      </w:pPr>
    </w:p>
    <w:p>
      <w:pPr>
        <w:ind w:left="332" w:right="120" w:hanging="332"/>
        <w:spacing w:after="0" w:line="321" w:lineRule="auto"/>
        <w:tabs>
          <w:tab w:leader="none" w:pos="332" w:val="left"/>
        </w:tabs>
        <w:numPr>
          <w:ilvl w:val="0"/>
          <w:numId w:val="150"/>
        </w:numPr>
        <w:rPr>
          <w:rFonts w:ascii="Arial" w:cs="Arial" w:eastAsia="Arial" w:hAnsi="Arial"/>
          <w:sz w:val="16"/>
          <w:szCs w:val="16"/>
          <w:color w:val="auto"/>
        </w:rPr>
      </w:pPr>
      <w:r>
        <w:rPr>
          <w:rFonts w:ascii="Arial" w:cs="Arial" w:eastAsia="Arial" w:hAnsi="Arial"/>
          <w:sz w:val="16"/>
          <w:szCs w:val="16"/>
          <w:b w:val="1"/>
          <w:bCs w:val="1"/>
          <w:color w:val="auto"/>
        </w:rPr>
        <w:t xml:space="preserve">Amendment or Termination of the Plan. </w:t>
      </w:r>
      <w:r>
        <w:rPr>
          <w:rFonts w:ascii="Arial" w:cs="Arial" w:eastAsia="Arial" w:hAnsi="Arial"/>
          <w:sz w:val="16"/>
          <w:szCs w:val="16"/>
          <w:color w:val="auto"/>
        </w:rPr>
        <w:t>The Board of Directors may, at any time, suspend or terminate the Plan or</w:t>
      </w:r>
      <w:r>
        <w:rPr>
          <w:rFonts w:ascii="Arial" w:cs="Arial" w:eastAsia="Arial" w:hAnsi="Arial"/>
          <w:sz w:val="16"/>
          <w:szCs w:val="16"/>
          <w:b w:val="1"/>
          <w:bCs w:val="1"/>
          <w:color w:val="auto"/>
        </w:rPr>
        <w:t xml:space="preserve"> </w:t>
      </w:r>
      <w:r>
        <w:rPr>
          <w:rFonts w:ascii="Arial" w:cs="Arial" w:eastAsia="Arial" w:hAnsi="Arial"/>
          <w:sz w:val="16"/>
          <w:szCs w:val="16"/>
          <w:color w:val="auto"/>
        </w:rPr>
        <w:t>revise or amend it in any respect whatsoever; provided, however, that approval of Huron’s stockholders shall be required</w:t>
      </w:r>
    </w:p>
    <w:p>
      <w:pPr>
        <w:sectPr>
          <w:pgSz w:w="11900" w:h="16964" w:orient="portrait"/>
          <w:cols w:equalWidth="0" w:num="1">
            <w:col w:w="9072"/>
          </w:cols>
          <w:pgMar w:left="1408" w:top="139" w:right="1419" w:bottom="0" w:gutter="0" w:footer="0" w:header="0"/>
          <w:type w:val="continuous"/>
        </w:sectPr>
      </w:pPr>
    </w:p>
    <w:bookmarkStart w:id="96" w:name="page97"/>
    <w:bookmarkEnd w:id="96"/>
    <w:p>
      <w:pPr>
        <w:ind w:left="52"/>
        <w:spacing w:after="0"/>
        <w:tabs>
          <w:tab w:leader="none" w:pos="4372" w:val="left"/>
          <w:tab w:leader="none" w:pos="7752"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72199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10375" cy="721995"/>
                    </a:xfrm>
                    <a:prstGeom prst="rect">
                      <a:avLst/>
                    </a:prstGeom>
                    <a:noFill/>
                  </pic:spPr>
                </pic:pic>
              </a:graphicData>
            </a:graphic>
          </wp:anchor>
        </w:drawing>
        <w:t>Huron Consulting Group Inc.</w:t>
      </w:r>
      <w:r>
        <w:rPr>
          <w:sz w:val="20"/>
          <w:szCs w:val="20"/>
          <w:color w:val="auto"/>
        </w:rPr>
        <w:tab/>
      </w:r>
      <w:r>
        <w:rPr>
          <w:rFonts w:ascii="Arial" w:cs="Arial" w:eastAsia="Arial" w:hAnsi="Arial"/>
          <w:sz w:val="13"/>
          <w:szCs w:val="13"/>
          <w:b w:val="1"/>
          <w:bCs w:val="1"/>
          <w:color w:val="00558C"/>
        </w:rPr>
        <w:t>A-14</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wp:posOffset>
            </wp:positionH>
            <wp:positionV relativeFrom="paragraph">
              <wp:posOffset>351790</wp:posOffset>
            </wp:positionV>
            <wp:extent cx="6810375" cy="886777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2"/>
        <w:spacing w:after="0"/>
        <w:tabs>
          <w:tab w:leader="none" w:pos="1032" w:val="left"/>
          <w:tab w:leader="none" w:pos="1872" w:val="left"/>
          <w:tab w:leader="none" w:pos="2872" w:val="left"/>
          <w:tab w:leader="none" w:pos="3692" w:val="left"/>
          <w:tab w:leader="none" w:pos="4892" w:val="left"/>
          <w:tab w:leader="none" w:pos="5712" w:val="left"/>
          <w:tab w:leader="none" w:pos="6532" w:val="left"/>
          <w:tab w:leader="none" w:pos="7352" w:val="left"/>
          <w:tab w:leader="none" w:pos="8392" w:val="left"/>
        </w:tabs>
        <w:rPr>
          <w:sz w:val="20"/>
          <w:szCs w:val="20"/>
          <w:color w:val="auto"/>
        </w:rPr>
      </w:pPr>
      <w:r>
        <w:rPr>
          <w:rFonts w:ascii="Arial" w:cs="Arial" w:eastAsia="Arial" w:hAnsi="Arial"/>
          <w:sz w:val="13"/>
          <w:szCs w:val="13"/>
          <w:b w:val="1"/>
          <w:bCs w:val="1"/>
          <w:color w:val="B2B3B6"/>
        </w:rPr>
        <w:t>General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Corporate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Executive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Stockholder</w:t>
      </w:r>
      <w:r>
        <w:rPr>
          <w:sz w:val="20"/>
          <w:szCs w:val="20"/>
          <w:color w:val="auto"/>
        </w:rPr>
        <w:tab/>
      </w:r>
      <w:r>
        <w:rPr>
          <w:rFonts w:ascii="Arial" w:cs="Arial" w:eastAsia="Arial" w:hAnsi="Arial"/>
          <w:sz w:val="12"/>
          <w:szCs w:val="12"/>
          <w:b w:val="1"/>
          <w:bCs w:val="1"/>
          <w:color w:val="6AAA37"/>
        </w:rPr>
        <w:t>Other</w:t>
      </w:r>
    </w:p>
    <w:p>
      <w:pPr>
        <w:spacing w:after="0" w:line="11" w:lineRule="exact"/>
        <w:rPr>
          <w:sz w:val="20"/>
          <w:szCs w:val="20"/>
          <w:color w:val="auto"/>
        </w:rPr>
      </w:pPr>
    </w:p>
    <w:p>
      <w:pPr>
        <w:ind w:left="52"/>
        <w:spacing w:after="0"/>
        <w:tabs>
          <w:tab w:leader="none" w:pos="1032" w:val="left"/>
          <w:tab w:leader="none" w:pos="1872" w:val="left"/>
          <w:tab w:leader="none" w:pos="2872" w:val="left"/>
          <w:tab w:leader="none" w:pos="3692" w:val="left"/>
          <w:tab w:leader="none" w:pos="4892" w:val="left"/>
          <w:tab w:leader="none" w:pos="5712" w:val="left"/>
          <w:tab w:leader="none" w:pos="6532" w:val="left"/>
          <w:tab w:leader="none" w:pos="7352" w:val="left"/>
          <w:tab w:leader="none" w:pos="8392" w:val="left"/>
        </w:tabs>
        <w:rPr>
          <w:sz w:val="20"/>
          <w:szCs w:val="20"/>
          <w:color w:val="auto"/>
        </w:rPr>
      </w:pPr>
      <w:r>
        <w:rPr>
          <w:rFonts w:ascii="Arial" w:cs="Arial" w:eastAsia="Arial" w:hAnsi="Arial"/>
          <w:sz w:val="13"/>
          <w:szCs w:val="13"/>
          <w:b w:val="1"/>
          <w:bCs w:val="1"/>
          <w:color w:val="B2B3B6"/>
        </w:rPr>
        <w:t>Information</w:t>
      </w:r>
      <w:r>
        <w:rPr>
          <w:sz w:val="20"/>
          <w:szCs w:val="20"/>
          <w:color w:val="auto"/>
        </w:rPr>
        <w:tab/>
      </w:r>
      <w:r>
        <w:rPr>
          <w:rFonts w:ascii="Arial" w:cs="Arial" w:eastAsia="Arial" w:hAnsi="Arial"/>
          <w:sz w:val="13"/>
          <w:szCs w:val="13"/>
          <w:b w:val="1"/>
          <w:bCs w:val="1"/>
          <w:color w:val="B2B3B6"/>
        </w:rPr>
        <w:t>One</w:t>
      </w:r>
      <w:r>
        <w:rPr>
          <w:sz w:val="20"/>
          <w:szCs w:val="20"/>
          <w:color w:val="auto"/>
        </w:rPr>
        <w:tab/>
      </w:r>
      <w:r>
        <w:rPr>
          <w:rFonts w:ascii="Arial" w:cs="Arial" w:eastAsia="Arial" w:hAnsi="Arial"/>
          <w:sz w:val="13"/>
          <w:szCs w:val="13"/>
          <w:b w:val="1"/>
          <w:bCs w:val="1"/>
          <w:color w:val="B2B3B6"/>
        </w:rPr>
        <w:t>Governance</w:t>
      </w:r>
      <w:r>
        <w:rPr>
          <w:sz w:val="20"/>
          <w:szCs w:val="20"/>
          <w:color w:val="auto"/>
        </w:rPr>
        <w:tab/>
      </w:r>
      <w:r>
        <w:rPr>
          <w:rFonts w:ascii="Arial" w:cs="Arial" w:eastAsia="Arial" w:hAnsi="Arial"/>
          <w:sz w:val="13"/>
          <w:szCs w:val="13"/>
          <w:b w:val="1"/>
          <w:bCs w:val="1"/>
          <w:color w:val="B2B3B6"/>
        </w:rPr>
        <w:t>Two</w:t>
      </w:r>
      <w:r>
        <w:rPr>
          <w:sz w:val="20"/>
          <w:szCs w:val="20"/>
          <w:color w:val="auto"/>
        </w:rPr>
        <w:tab/>
      </w:r>
      <w:r>
        <w:rPr>
          <w:rFonts w:ascii="Arial" w:cs="Arial" w:eastAsia="Arial" w:hAnsi="Arial"/>
          <w:sz w:val="13"/>
          <w:szCs w:val="13"/>
          <w:b w:val="1"/>
          <w:bCs w:val="1"/>
          <w:color w:val="B2B3B6"/>
        </w:rPr>
        <w:t>Compensation</w:t>
      </w:r>
      <w:r>
        <w:rPr>
          <w:sz w:val="20"/>
          <w:szCs w:val="20"/>
          <w:color w:val="auto"/>
        </w:rPr>
        <w:tab/>
      </w:r>
      <w:r>
        <w:rPr>
          <w:rFonts w:ascii="Arial" w:cs="Arial" w:eastAsia="Arial" w:hAnsi="Arial"/>
          <w:sz w:val="13"/>
          <w:szCs w:val="13"/>
          <w:b w:val="1"/>
          <w:bCs w:val="1"/>
          <w:color w:val="B2B3B6"/>
        </w:rPr>
        <w:t>Three</w:t>
      </w:r>
      <w:r>
        <w:rPr>
          <w:sz w:val="20"/>
          <w:szCs w:val="20"/>
          <w:color w:val="auto"/>
        </w:rPr>
        <w:tab/>
      </w:r>
      <w:r>
        <w:rPr>
          <w:rFonts w:ascii="Arial" w:cs="Arial" w:eastAsia="Arial" w:hAnsi="Arial"/>
          <w:sz w:val="13"/>
          <w:szCs w:val="13"/>
          <w:b w:val="1"/>
          <w:bCs w:val="1"/>
          <w:color w:val="B2B3B6"/>
        </w:rPr>
        <w:t>Four</w:t>
      </w:r>
      <w:r>
        <w:rPr>
          <w:sz w:val="20"/>
          <w:szCs w:val="20"/>
          <w:color w:val="auto"/>
        </w:rPr>
        <w:tab/>
      </w:r>
      <w:r>
        <w:rPr>
          <w:rFonts w:ascii="Arial" w:cs="Arial" w:eastAsia="Arial" w:hAnsi="Arial"/>
          <w:sz w:val="13"/>
          <w:szCs w:val="13"/>
          <w:b w:val="1"/>
          <w:bCs w:val="1"/>
          <w:color w:val="B2B3B6"/>
        </w:rPr>
        <w:t>Five</w:t>
      </w:r>
      <w:r>
        <w:rPr>
          <w:sz w:val="20"/>
          <w:szCs w:val="20"/>
          <w:color w:val="auto"/>
        </w:rPr>
        <w:tab/>
      </w:r>
      <w:r>
        <w:rPr>
          <w:rFonts w:ascii="Arial" w:cs="Arial" w:eastAsia="Arial" w:hAnsi="Arial"/>
          <w:sz w:val="13"/>
          <w:szCs w:val="13"/>
          <w:b w:val="1"/>
          <w:bCs w:val="1"/>
          <w:color w:val="B2B3B6"/>
        </w:rPr>
        <w:t>Proposals</w:t>
      </w:r>
      <w:r>
        <w:rPr>
          <w:sz w:val="20"/>
          <w:szCs w:val="20"/>
          <w:color w:val="auto"/>
        </w:rPr>
        <w:tab/>
      </w:r>
      <w:r>
        <w:rPr>
          <w:rFonts w:ascii="Arial" w:cs="Arial" w:eastAsia="Arial" w:hAnsi="Arial"/>
          <w:sz w:val="12"/>
          <w:szCs w:val="12"/>
          <w:b w:val="1"/>
          <w:bCs w:val="1"/>
          <w:color w:val="6AAA37"/>
        </w:rPr>
        <w:t>Matters</w:t>
      </w:r>
    </w:p>
    <w:p>
      <w:pPr>
        <w:spacing w:after="0" w:line="382" w:lineRule="exact"/>
        <w:rPr>
          <w:sz w:val="20"/>
          <w:szCs w:val="20"/>
          <w:color w:val="auto"/>
        </w:rPr>
      </w:pPr>
    </w:p>
    <w:p>
      <w:pPr>
        <w:ind w:left="332" w:right="40"/>
        <w:spacing w:after="0" w:line="291" w:lineRule="auto"/>
        <w:rPr>
          <w:sz w:val="20"/>
          <w:szCs w:val="20"/>
          <w:color w:val="auto"/>
        </w:rPr>
      </w:pPr>
      <w:r>
        <w:rPr>
          <w:rFonts w:ascii="Arial" w:cs="Arial" w:eastAsia="Arial" w:hAnsi="Arial"/>
          <w:sz w:val="16"/>
          <w:szCs w:val="16"/>
          <w:color w:val="auto"/>
        </w:rPr>
        <w:t>for any such amendment if and to the extent such approval is required in order to comply with applicable law (including, but not limited to, the Incentive Stock Option regulations and any amendments thereto), or stock exchange or automated quotation system listing requirement. Without limiting the generality of the foregoing, no amendment of the Plan will be made without the approval of Huron’s stockholders if such amendment would (a) materially increase the benefits accruing to a Participant under the Plan; increase the aggregate number of shares of Common Stock that may be issued under the Plan; (c) modify the requirements as to eligibility for participation in the Plan; or (d) be required under Section 7(d) of the Plan (relating to prohibitions on repricing and buy-backs).</w:t>
      </w:r>
    </w:p>
    <w:p>
      <w:pPr>
        <w:spacing w:after="0" w:line="112" w:lineRule="exact"/>
        <w:rPr>
          <w:sz w:val="20"/>
          <w:szCs w:val="20"/>
          <w:color w:val="auto"/>
        </w:rPr>
      </w:pPr>
    </w:p>
    <w:p>
      <w:pPr>
        <w:jc w:val="both"/>
        <w:ind w:left="332"/>
        <w:spacing w:after="0" w:line="301" w:lineRule="auto"/>
        <w:rPr>
          <w:sz w:val="20"/>
          <w:szCs w:val="20"/>
          <w:color w:val="auto"/>
        </w:rPr>
      </w:pPr>
      <w:r>
        <w:rPr>
          <w:rFonts w:ascii="Arial" w:cs="Arial" w:eastAsia="Arial" w:hAnsi="Arial"/>
          <w:sz w:val="16"/>
          <w:szCs w:val="16"/>
          <w:color w:val="auto"/>
        </w:rPr>
        <w:t>Nothing in this Section 16 shall restrict the Committee’s ability to exercise its discretionary authority pursuant to Sections 4 and 5, which discretion may be exercised without amendment to the Plan. No action hereunder may, without the consent of a Participant, reduce the Participant’s rights under any outstanding Award.</w:t>
      </w:r>
    </w:p>
    <w:p>
      <w:pPr>
        <w:spacing w:after="0" w:line="104" w:lineRule="exact"/>
        <w:rPr>
          <w:sz w:val="20"/>
          <w:szCs w:val="20"/>
          <w:color w:val="auto"/>
        </w:rPr>
      </w:pPr>
    </w:p>
    <w:p>
      <w:pPr>
        <w:ind w:left="332" w:hanging="332"/>
        <w:spacing w:after="0"/>
        <w:tabs>
          <w:tab w:leader="none" w:pos="332" w:val="left"/>
        </w:tabs>
        <w:numPr>
          <w:ilvl w:val="0"/>
          <w:numId w:val="151"/>
        </w:numPr>
        <w:rPr>
          <w:rFonts w:ascii="Arial" w:cs="Arial" w:eastAsia="Arial" w:hAnsi="Arial"/>
          <w:sz w:val="16"/>
          <w:szCs w:val="16"/>
          <w:color w:val="auto"/>
        </w:rPr>
      </w:pPr>
      <w:r>
        <w:rPr>
          <w:rFonts w:ascii="Arial" w:cs="Arial" w:eastAsia="Arial" w:hAnsi="Arial"/>
          <w:sz w:val="16"/>
          <w:szCs w:val="16"/>
          <w:b w:val="1"/>
          <w:bCs w:val="1"/>
          <w:color w:val="auto"/>
        </w:rPr>
        <w:t>Transferability.</w:t>
      </w:r>
    </w:p>
    <w:p>
      <w:pPr>
        <w:spacing w:after="0" w:line="180" w:lineRule="exact"/>
        <w:rPr>
          <w:rFonts w:ascii="Arial" w:cs="Arial" w:eastAsia="Arial" w:hAnsi="Arial"/>
          <w:sz w:val="16"/>
          <w:szCs w:val="16"/>
          <w:color w:val="auto"/>
        </w:rPr>
      </w:pPr>
    </w:p>
    <w:p>
      <w:pPr>
        <w:ind w:left="652" w:hanging="328"/>
        <w:spacing w:after="0" w:line="288" w:lineRule="auto"/>
        <w:tabs>
          <w:tab w:leader="none" w:pos="652" w:val="left"/>
        </w:tabs>
        <w:numPr>
          <w:ilvl w:val="1"/>
          <w:numId w:val="151"/>
        </w:numPr>
        <w:rPr>
          <w:rFonts w:ascii="Arial" w:cs="Arial" w:eastAsia="Arial" w:hAnsi="Arial"/>
          <w:sz w:val="16"/>
          <w:szCs w:val="16"/>
          <w:color w:val="auto"/>
        </w:rPr>
      </w:pPr>
      <w:r>
        <w:rPr>
          <w:rFonts w:ascii="Arial" w:cs="Arial" w:eastAsia="Arial" w:hAnsi="Arial"/>
          <w:sz w:val="16"/>
          <w:szCs w:val="16"/>
          <w:b w:val="1"/>
          <w:bCs w:val="1"/>
          <w:color w:val="auto"/>
        </w:rPr>
        <w:t xml:space="preserve">General. </w:t>
      </w:r>
      <w:r>
        <w:rPr>
          <w:rFonts w:ascii="Arial" w:cs="Arial" w:eastAsia="Arial" w:hAnsi="Arial"/>
          <w:sz w:val="16"/>
          <w:szCs w:val="16"/>
          <w:color w:val="auto"/>
        </w:rPr>
        <w:t>Awards under the Plan are not transferable except as designated by the Participant by will or by the laws of</w:t>
      </w:r>
      <w:r>
        <w:rPr>
          <w:rFonts w:ascii="Arial" w:cs="Arial" w:eastAsia="Arial" w:hAnsi="Arial"/>
          <w:sz w:val="16"/>
          <w:szCs w:val="16"/>
          <w:b w:val="1"/>
          <w:bCs w:val="1"/>
          <w:color w:val="auto"/>
        </w:rPr>
        <w:t xml:space="preserve"> </w:t>
      </w:r>
      <w:r>
        <w:rPr>
          <w:rFonts w:ascii="Arial" w:cs="Arial" w:eastAsia="Arial" w:hAnsi="Arial"/>
          <w:sz w:val="16"/>
          <w:szCs w:val="16"/>
          <w:color w:val="auto"/>
        </w:rPr>
        <w:t>descent and distribution. Upon the death of a Participant, outstanding Awards granted to such Participant may be exercised only by the executor or administrator of the Participant’s estate or by a person who shall have acquired the right to such exercise by will or by the laws of descent and distribution. No transfer of an Award by will or the laws of descent and distribution shall be effective to bind Huron unless the Committee shall have been furnished with (i) written notice thereof and with a copy of the will and/or such evidence as the Committee may deem necessary to establish the validity of the transfer and (ii) an agreement by the transferee to comply with all the terms and conditions of the Award that are or would have been applicable to the Participant and to be bound by the acknowledgments made by the Participant in connection with the grant of the Award.</w:t>
      </w:r>
    </w:p>
    <w:p>
      <w:pPr>
        <w:spacing w:after="0" w:line="118" w:lineRule="exact"/>
        <w:rPr>
          <w:rFonts w:ascii="Arial" w:cs="Arial" w:eastAsia="Arial" w:hAnsi="Arial"/>
          <w:sz w:val="16"/>
          <w:szCs w:val="16"/>
          <w:color w:val="auto"/>
        </w:rPr>
      </w:pPr>
    </w:p>
    <w:p>
      <w:pPr>
        <w:ind w:left="652" w:right="40" w:hanging="328"/>
        <w:spacing w:after="0" w:line="290" w:lineRule="auto"/>
        <w:tabs>
          <w:tab w:leader="none" w:pos="652" w:val="left"/>
        </w:tabs>
        <w:numPr>
          <w:ilvl w:val="1"/>
          <w:numId w:val="151"/>
        </w:numPr>
        <w:rPr>
          <w:rFonts w:ascii="Arial" w:cs="Arial" w:eastAsia="Arial" w:hAnsi="Arial"/>
          <w:sz w:val="16"/>
          <w:szCs w:val="16"/>
          <w:color w:val="auto"/>
        </w:rPr>
      </w:pPr>
      <w:r>
        <w:rPr>
          <w:rFonts w:ascii="Arial" w:cs="Arial" w:eastAsia="Arial" w:hAnsi="Arial"/>
          <w:sz w:val="16"/>
          <w:szCs w:val="16"/>
          <w:b w:val="1"/>
          <w:bCs w:val="1"/>
          <w:color w:val="auto"/>
        </w:rPr>
        <w:t xml:space="preserve">Family Members. </w:t>
      </w:r>
      <w:r>
        <w:rPr>
          <w:rFonts w:ascii="Arial" w:cs="Arial" w:eastAsia="Arial" w:hAnsi="Arial"/>
          <w:sz w:val="16"/>
          <w:szCs w:val="16"/>
          <w:color w:val="auto"/>
        </w:rPr>
        <w:t>Notwithstanding Section 17(a), during a Participant’s lifetime, the Committee may, in its sole</w:t>
      </w:r>
      <w:r>
        <w:rPr>
          <w:rFonts w:ascii="Arial" w:cs="Arial" w:eastAsia="Arial" w:hAnsi="Arial"/>
          <w:sz w:val="16"/>
          <w:szCs w:val="16"/>
          <w:b w:val="1"/>
          <w:bCs w:val="1"/>
          <w:color w:val="auto"/>
        </w:rPr>
        <w:t xml:space="preserve"> </w:t>
      </w:r>
      <w:r>
        <w:rPr>
          <w:rFonts w:ascii="Arial" w:cs="Arial" w:eastAsia="Arial" w:hAnsi="Arial"/>
          <w:sz w:val="16"/>
          <w:szCs w:val="16"/>
          <w:color w:val="auto"/>
        </w:rPr>
        <w:t>discretion, pursuant to the provisions set forth in this Section 17(b), permit the transfer, assignment or other encumbrance of an outstanding Option, unless such Option is an Incentive Stock Option and the Committee and the Participant intend that it shall retain such status. Subject to the approval of the Committee and to any conditions that the Committee may prescribe, a Participant may, upon providing written notice to Huron, elect to transfer any or all Options granted to such Participant pursuant to the Plan to members of his or her immediate family, including, but not limited to, children, grandchildren and spouse or to trusts for the benefit of such immediate family members or to partnerships in which such family members are the only partners; provided, however, that no such transfer by any Participant may be made in exchange for consideration. Any such transferee must agree, in writing, to be bound by all terms and conditions of the Plan.</w:t>
      </w:r>
    </w:p>
    <w:p>
      <w:pPr>
        <w:spacing w:after="0" w:line="112" w:lineRule="exact"/>
        <w:rPr>
          <w:rFonts w:ascii="Arial" w:cs="Arial" w:eastAsia="Arial" w:hAnsi="Arial"/>
          <w:sz w:val="16"/>
          <w:szCs w:val="16"/>
          <w:color w:val="auto"/>
        </w:rPr>
      </w:pPr>
    </w:p>
    <w:p>
      <w:pPr>
        <w:ind w:left="652" w:hanging="328"/>
        <w:spacing w:after="0" w:line="300" w:lineRule="auto"/>
        <w:tabs>
          <w:tab w:leader="none" w:pos="652" w:val="left"/>
        </w:tabs>
        <w:numPr>
          <w:ilvl w:val="1"/>
          <w:numId w:val="151"/>
        </w:numPr>
        <w:rPr>
          <w:rFonts w:ascii="Arial" w:cs="Arial" w:eastAsia="Arial" w:hAnsi="Arial"/>
          <w:sz w:val="16"/>
          <w:szCs w:val="16"/>
          <w:color w:val="auto"/>
        </w:rPr>
      </w:pPr>
      <w:r>
        <w:rPr>
          <w:rFonts w:ascii="Arial" w:cs="Arial" w:eastAsia="Arial" w:hAnsi="Arial"/>
          <w:sz w:val="16"/>
          <w:szCs w:val="16"/>
          <w:b w:val="1"/>
          <w:bCs w:val="1"/>
          <w:color w:val="auto"/>
        </w:rPr>
        <w:t xml:space="preserve">Beneficiary. </w:t>
      </w:r>
      <w:r>
        <w:rPr>
          <w:rFonts w:ascii="Arial" w:cs="Arial" w:eastAsia="Arial" w:hAnsi="Arial"/>
          <w:sz w:val="16"/>
          <w:szCs w:val="16"/>
          <w:color w:val="auto"/>
        </w:rPr>
        <w:t>A Participant may file with the Committee a written designation of a beneficiary on such form as may be</w:t>
      </w:r>
      <w:r>
        <w:rPr>
          <w:rFonts w:ascii="Arial" w:cs="Arial" w:eastAsia="Arial" w:hAnsi="Arial"/>
          <w:sz w:val="16"/>
          <w:szCs w:val="16"/>
          <w:b w:val="1"/>
          <w:bCs w:val="1"/>
          <w:color w:val="auto"/>
        </w:rPr>
        <w:t xml:space="preserve"> </w:t>
      </w:r>
      <w:r>
        <w:rPr>
          <w:rFonts w:ascii="Arial" w:cs="Arial" w:eastAsia="Arial" w:hAnsi="Arial"/>
          <w:sz w:val="16"/>
          <w:szCs w:val="16"/>
          <w:color w:val="auto"/>
        </w:rPr>
        <w:t>prescribed by the Committee and may, from time to time, amend or revoke such designation. If no designated beneficiary survives the Participant, the executor or administrator of the Participant’s estate shall be deemed to be the Participant’s beneficiary.</w:t>
      </w:r>
    </w:p>
    <w:p>
      <w:pPr>
        <w:spacing w:after="0" w:line="92" w:lineRule="exact"/>
        <w:rPr>
          <w:rFonts w:ascii="Arial" w:cs="Arial" w:eastAsia="Arial" w:hAnsi="Arial"/>
          <w:sz w:val="16"/>
          <w:szCs w:val="16"/>
          <w:color w:val="auto"/>
        </w:rPr>
      </w:pPr>
    </w:p>
    <w:p>
      <w:pPr>
        <w:ind w:left="332" w:hanging="332"/>
        <w:spacing w:after="0"/>
        <w:tabs>
          <w:tab w:leader="none" w:pos="332" w:val="left"/>
        </w:tabs>
        <w:numPr>
          <w:ilvl w:val="0"/>
          <w:numId w:val="151"/>
        </w:numPr>
        <w:rPr>
          <w:rFonts w:ascii="Arial" w:cs="Arial" w:eastAsia="Arial" w:hAnsi="Arial"/>
          <w:sz w:val="16"/>
          <w:szCs w:val="16"/>
          <w:color w:val="auto"/>
        </w:rPr>
      </w:pPr>
      <w:r>
        <w:rPr>
          <w:rFonts w:ascii="Arial" w:cs="Arial" w:eastAsia="Arial" w:hAnsi="Arial"/>
          <w:sz w:val="16"/>
          <w:szCs w:val="16"/>
          <w:b w:val="1"/>
          <w:bCs w:val="1"/>
          <w:color w:val="auto"/>
        </w:rPr>
        <w:t>Miscellaneous.</w:t>
      </w:r>
    </w:p>
    <w:p>
      <w:pPr>
        <w:spacing w:after="0" w:line="180" w:lineRule="exact"/>
        <w:rPr>
          <w:rFonts w:ascii="Arial" w:cs="Arial" w:eastAsia="Arial" w:hAnsi="Arial"/>
          <w:sz w:val="16"/>
          <w:szCs w:val="16"/>
          <w:color w:val="auto"/>
        </w:rPr>
      </w:pPr>
    </w:p>
    <w:p>
      <w:pPr>
        <w:ind w:left="652" w:right="140" w:hanging="328"/>
        <w:spacing w:after="0" w:line="296" w:lineRule="auto"/>
        <w:tabs>
          <w:tab w:leader="none" w:pos="652" w:val="left"/>
        </w:tabs>
        <w:numPr>
          <w:ilvl w:val="1"/>
          <w:numId w:val="151"/>
        </w:numPr>
        <w:rPr>
          <w:rFonts w:ascii="Arial" w:cs="Arial" w:eastAsia="Arial" w:hAnsi="Arial"/>
          <w:sz w:val="16"/>
          <w:szCs w:val="16"/>
          <w:color w:val="auto"/>
        </w:rPr>
      </w:pPr>
      <w:r>
        <w:rPr>
          <w:rFonts w:ascii="Arial" w:cs="Arial" w:eastAsia="Arial" w:hAnsi="Arial"/>
          <w:sz w:val="16"/>
          <w:szCs w:val="16"/>
          <w:b w:val="1"/>
          <w:bCs w:val="1"/>
          <w:color w:val="auto"/>
        </w:rPr>
        <w:t xml:space="preserve">Notices. </w:t>
      </w:r>
      <w:r>
        <w:rPr>
          <w:rFonts w:ascii="Arial" w:cs="Arial" w:eastAsia="Arial" w:hAnsi="Arial"/>
          <w:sz w:val="16"/>
          <w:szCs w:val="16"/>
          <w:color w:val="auto"/>
        </w:rPr>
        <w:t>Any notice or document required to be filed with the Committee under the Plan will be properly filed if</w:t>
      </w:r>
      <w:r>
        <w:rPr>
          <w:rFonts w:ascii="Arial" w:cs="Arial" w:eastAsia="Arial" w:hAnsi="Arial"/>
          <w:sz w:val="16"/>
          <w:szCs w:val="16"/>
          <w:b w:val="1"/>
          <w:bCs w:val="1"/>
          <w:color w:val="auto"/>
        </w:rPr>
        <w:t xml:space="preserve"> </w:t>
      </w:r>
      <w:r>
        <w:rPr>
          <w:rFonts w:ascii="Arial" w:cs="Arial" w:eastAsia="Arial" w:hAnsi="Arial"/>
          <w:sz w:val="16"/>
          <w:szCs w:val="16"/>
          <w:color w:val="auto"/>
        </w:rPr>
        <w:t>delivered or mailed by registered mail, postage prepaid, to the Committee, in care of Huron at its principal executive offices. The Committee may, by advance written notice to affected persons, revise such notice procedure from time to time. Any notice required under the Plan (other than exercise notice) may be waived by the person entitled to notice.</w:t>
      </w:r>
    </w:p>
    <w:p>
      <w:pPr>
        <w:spacing w:after="0" w:line="107" w:lineRule="exact"/>
        <w:rPr>
          <w:rFonts w:ascii="Arial" w:cs="Arial" w:eastAsia="Arial" w:hAnsi="Arial"/>
          <w:sz w:val="16"/>
          <w:szCs w:val="16"/>
          <w:color w:val="auto"/>
        </w:rPr>
      </w:pPr>
    </w:p>
    <w:p>
      <w:pPr>
        <w:ind w:left="652" w:right="80" w:hanging="328"/>
        <w:spacing w:after="0" w:line="300" w:lineRule="auto"/>
        <w:tabs>
          <w:tab w:leader="none" w:pos="652" w:val="left"/>
        </w:tabs>
        <w:numPr>
          <w:ilvl w:val="1"/>
          <w:numId w:val="151"/>
        </w:numPr>
        <w:rPr>
          <w:rFonts w:ascii="Arial" w:cs="Arial" w:eastAsia="Arial" w:hAnsi="Arial"/>
          <w:sz w:val="16"/>
          <w:szCs w:val="16"/>
          <w:color w:val="auto"/>
        </w:rPr>
      </w:pPr>
      <w:r>
        <w:rPr>
          <w:rFonts w:ascii="Arial" w:cs="Arial" w:eastAsia="Arial" w:hAnsi="Arial"/>
          <w:sz w:val="16"/>
          <w:szCs w:val="16"/>
          <w:b w:val="1"/>
          <w:bCs w:val="1"/>
          <w:color w:val="auto"/>
        </w:rPr>
        <w:t xml:space="preserve">Form and Time of Elections. </w:t>
      </w:r>
      <w:r>
        <w:rPr>
          <w:rFonts w:ascii="Arial" w:cs="Arial" w:eastAsia="Arial" w:hAnsi="Arial"/>
          <w:sz w:val="16"/>
          <w:szCs w:val="16"/>
          <w:color w:val="auto"/>
        </w:rPr>
        <w:t>Unless otherwise specified herein, each election required or permitted to be made by</w:t>
      </w:r>
      <w:r>
        <w:rPr>
          <w:rFonts w:ascii="Arial" w:cs="Arial" w:eastAsia="Arial" w:hAnsi="Arial"/>
          <w:sz w:val="16"/>
          <w:szCs w:val="16"/>
          <w:b w:val="1"/>
          <w:bCs w:val="1"/>
          <w:color w:val="auto"/>
        </w:rPr>
        <w:t xml:space="preserve"> </w:t>
      </w:r>
      <w:r>
        <w:rPr>
          <w:rFonts w:ascii="Arial" w:cs="Arial" w:eastAsia="Arial" w:hAnsi="Arial"/>
          <w:sz w:val="16"/>
          <w:szCs w:val="16"/>
          <w:color w:val="auto"/>
        </w:rPr>
        <w:t>any Participant or other person entitled to benefits under the Plan, and any permitted modification or revocation thereof, shall be in writing filed with the applicable Committee at such times, in such form, and subject to such restrictions and limitations, not inconsistent with the terms of the Plan, as the Committee shall require.</w:t>
      </w:r>
    </w:p>
    <w:p>
      <w:pPr>
        <w:spacing w:after="0" w:line="92" w:lineRule="exact"/>
        <w:rPr>
          <w:rFonts w:ascii="Arial" w:cs="Arial" w:eastAsia="Arial" w:hAnsi="Arial"/>
          <w:sz w:val="16"/>
          <w:szCs w:val="16"/>
          <w:color w:val="auto"/>
        </w:rPr>
      </w:pPr>
    </w:p>
    <w:p>
      <w:pPr>
        <w:ind w:left="652" w:right="200" w:hanging="328"/>
        <w:spacing w:after="0" w:line="310" w:lineRule="auto"/>
        <w:tabs>
          <w:tab w:leader="none" w:pos="652" w:val="left"/>
        </w:tabs>
        <w:numPr>
          <w:ilvl w:val="1"/>
          <w:numId w:val="151"/>
        </w:numPr>
        <w:rPr>
          <w:rFonts w:ascii="Arial" w:cs="Arial" w:eastAsia="Arial" w:hAnsi="Arial"/>
          <w:sz w:val="16"/>
          <w:szCs w:val="16"/>
          <w:color w:val="auto"/>
        </w:rPr>
      </w:pPr>
      <w:r>
        <w:rPr>
          <w:rFonts w:ascii="Arial" w:cs="Arial" w:eastAsia="Arial" w:hAnsi="Arial"/>
          <w:sz w:val="16"/>
          <w:szCs w:val="16"/>
          <w:b w:val="1"/>
          <w:bCs w:val="1"/>
          <w:color w:val="auto"/>
        </w:rPr>
        <w:t xml:space="preserve">Agreement. </w:t>
      </w:r>
      <w:r>
        <w:rPr>
          <w:rFonts w:ascii="Arial" w:cs="Arial" w:eastAsia="Arial" w:hAnsi="Arial"/>
          <w:sz w:val="16"/>
          <w:szCs w:val="16"/>
          <w:color w:val="auto"/>
        </w:rPr>
        <w:t>The Committee may require a Participant to enter into an Agreement evidencing the Award, which</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shall contain such terms and conditions, not inconsistent with the Plan, as the Committee determines in its discretion.</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2"/>
        <w:spacing w:after="0"/>
        <w:tabs>
          <w:tab w:leader="none" w:pos="4372" w:val="left"/>
          <w:tab w:leader="none" w:pos="7752"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13"/>
          <w:szCs w:val="13"/>
          <w:b w:val="1"/>
          <w:bCs w:val="1"/>
          <w:color w:val="00558C"/>
        </w:rPr>
        <w:t>A-15</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wp:posOffset>
            </wp:positionH>
            <wp:positionV relativeFrom="paragraph">
              <wp:posOffset>351790</wp:posOffset>
            </wp:positionV>
            <wp:extent cx="6810375" cy="7620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10375" cy="762000"/>
                    </a:xfrm>
                    <a:prstGeom prst="rect">
                      <a:avLst/>
                    </a:prstGeom>
                    <a:noFill/>
                  </pic:spPr>
                </pic:pic>
              </a:graphicData>
            </a:graphic>
          </wp:anchor>
        </w:drawing>
      </w:r>
    </w:p>
    <w:p>
      <w:pPr>
        <w:sectPr>
          <w:pgSz w:w="11900" w:h="16838" w:orient="portrait"/>
          <w:cols w:equalWidth="0" w:num="1">
            <w:col w:w="9072"/>
          </w:cols>
          <w:pgMar w:left="1408" w:top="702" w:right="1419" w:bottom="6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52"/>
        <w:spacing w:after="0"/>
        <w:tabs>
          <w:tab w:leader="none" w:pos="1032" w:val="left"/>
          <w:tab w:leader="none" w:pos="1872" w:val="left"/>
          <w:tab w:leader="none" w:pos="2872" w:val="left"/>
          <w:tab w:leader="none" w:pos="3692" w:val="left"/>
          <w:tab w:leader="none" w:pos="4892" w:val="left"/>
          <w:tab w:leader="none" w:pos="5712" w:val="left"/>
          <w:tab w:leader="none" w:pos="6532" w:val="left"/>
          <w:tab w:leader="none" w:pos="7352" w:val="left"/>
          <w:tab w:leader="none" w:pos="8392" w:val="left"/>
        </w:tabs>
        <w:rPr>
          <w:sz w:val="20"/>
          <w:szCs w:val="20"/>
          <w:color w:val="auto"/>
        </w:rPr>
      </w:pPr>
      <w:r>
        <w:rPr>
          <w:rFonts w:ascii="Arial" w:cs="Arial" w:eastAsia="Arial" w:hAnsi="Arial"/>
          <w:sz w:val="13"/>
          <w:szCs w:val="13"/>
          <w:b w:val="1"/>
          <w:bCs w:val="1"/>
          <w:color w:val="B2B3B6"/>
        </w:rPr>
        <w:t>General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Corporate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Executive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Stockholder</w:t>
      </w:r>
      <w:r>
        <w:rPr>
          <w:sz w:val="20"/>
          <w:szCs w:val="20"/>
          <w:color w:val="auto"/>
        </w:rPr>
        <w:tab/>
      </w:r>
      <w:r>
        <w:rPr>
          <w:rFonts w:ascii="Arial" w:cs="Arial" w:eastAsia="Arial" w:hAnsi="Arial"/>
          <w:sz w:val="12"/>
          <w:szCs w:val="12"/>
          <w:b w:val="1"/>
          <w:bCs w:val="1"/>
          <w:color w:val="6AAA37"/>
        </w:rPr>
        <w:t>Other</w:t>
      </w:r>
    </w:p>
    <w:p>
      <w:pPr>
        <w:spacing w:after="0" w:line="11" w:lineRule="exact"/>
        <w:rPr>
          <w:sz w:val="20"/>
          <w:szCs w:val="20"/>
          <w:color w:val="auto"/>
        </w:rPr>
      </w:pPr>
    </w:p>
    <w:p>
      <w:pPr>
        <w:ind w:left="52"/>
        <w:spacing w:after="0"/>
        <w:tabs>
          <w:tab w:leader="none" w:pos="1032" w:val="left"/>
          <w:tab w:leader="none" w:pos="1872" w:val="left"/>
          <w:tab w:leader="none" w:pos="2872" w:val="left"/>
          <w:tab w:leader="none" w:pos="3692" w:val="left"/>
          <w:tab w:leader="none" w:pos="4892" w:val="left"/>
          <w:tab w:leader="none" w:pos="5712" w:val="left"/>
          <w:tab w:leader="none" w:pos="6532" w:val="left"/>
          <w:tab w:leader="none" w:pos="7352" w:val="left"/>
          <w:tab w:leader="none" w:pos="8392" w:val="left"/>
        </w:tabs>
        <w:rPr>
          <w:sz w:val="20"/>
          <w:szCs w:val="20"/>
          <w:color w:val="auto"/>
        </w:rPr>
      </w:pPr>
      <w:r>
        <w:rPr>
          <w:rFonts w:ascii="Arial" w:cs="Arial" w:eastAsia="Arial" w:hAnsi="Arial"/>
          <w:sz w:val="13"/>
          <w:szCs w:val="13"/>
          <w:b w:val="1"/>
          <w:bCs w:val="1"/>
          <w:color w:val="B2B3B6"/>
        </w:rPr>
        <w:t>Information</w:t>
      </w:r>
      <w:r>
        <w:rPr>
          <w:sz w:val="20"/>
          <w:szCs w:val="20"/>
          <w:color w:val="auto"/>
        </w:rPr>
        <w:tab/>
      </w:r>
      <w:r>
        <w:rPr>
          <w:rFonts w:ascii="Arial" w:cs="Arial" w:eastAsia="Arial" w:hAnsi="Arial"/>
          <w:sz w:val="13"/>
          <w:szCs w:val="13"/>
          <w:b w:val="1"/>
          <w:bCs w:val="1"/>
          <w:color w:val="B2B3B6"/>
        </w:rPr>
        <w:t>One</w:t>
      </w:r>
      <w:r>
        <w:rPr>
          <w:sz w:val="20"/>
          <w:szCs w:val="20"/>
          <w:color w:val="auto"/>
        </w:rPr>
        <w:tab/>
      </w:r>
      <w:r>
        <w:rPr>
          <w:rFonts w:ascii="Arial" w:cs="Arial" w:eastAsia="Arial" w:hAnsi="Arial"/>
          <w:sz w:val="13"/>
          <w:szCs w:val="13"/>
          <w:b w:val="1"/>
          <w:bCs w:val="1"/>
          <w:color w:val="B2B3B6"/>
        </w:rPr>
        <w:t>Governance</w:t>
      </w:r>
      <w:r>
        <w:rPr>
          <w:sz w:val="20"/>
          <w:szCs w:val="20"/>
          <w:color w:val="auto"/>
        </w:rPr>
        <w:tab/>
      </w:r>
      <w:r>
        <w:rPr>
          <w:rFonts w:ascii="Arial" w:cs="Arial" w:eastAsia="Arial" w:hAnsi="Arial"/>
          <w:sz w:val="13"/>
          <w:szCs w:val="13"/>
          <w:b w:val="1"/>
          <w:bCs w:val="1"/>
          <w:color w:val="B2B3B6"/>
        </w:rPr>
        <w:t>Two</w:t>
      </w:r>
      <w:r>
        <w:rPr>
          <w:sz w:val="20"/>
          <w:szCs w:val="20"/>
          <w:color w:val="auto"/>
        </w:rPr>
        <w:tab/>
      </w:r>
      <w:r>
        <w:rPr>
          <w:rFonts w:ascii="Arial" w:cs="Arial" w:eastAsia="Arial" w:hAnsi="Arial"/>
          <w:sz w:val="13"/>
          <w:szCs w:val="13"/>
          <w:b w:val="1"/>
          <w:bCs w:val="1"/>
          <w:color w:val="B2B3B6"/>
        </w:rPr>
        <w:t>Compensation</w:t>
      </w:r>
      <w:r>
        <w:rPr>
          <w:sz w:val="20"/>
          <w:szCs w:val="20"/>
          <w:color w:val="auto"/>
        </w:rPr>
        <w:tab/>
      </w:r>
      <w:r>
        <w:rPr>
          <w:rFonts w:ascii="Arial" w:cs="Arial" w:eastAsia="Arial" w:hAnsi="Arial"/>
          <w:sz w:val="13"/>
          <w:szCs w:val="13"/>
          <w:b w:val="1"/>
          <w:bCs w:val="1"/>
          <w:color w:val="B2B3B6"/>
        </w:rPr>
        <w:t>Three</w:t>
      </w:r>
      <w:r>
        <w:rPr>
          <w:sz w:val="20"/>
          <w:szCs w:val="20"/>
          <w:color w:val="auto"/>
        </w:rPr>
        <w:tab/>
      </w:r>
      <w:r>
        <w:rPr>
          <w:rFonts w:ascii="Arial" w:cs="Arial" w:eastAsia="Arial" w:hAnsi="Arial"/>
          <w:sz w:val="13"/>
          <w:szCs w:val="13"/>
          <w:b w:val="1"/>
          <w:bCs w:val="1"/>
          <w:color w:val="B2B3B6"/>
        </w:rPr>
        <w:t>Four</w:t>
      </w:r>
      <w:r>
        <w:rPr>
          <w:sz w:val="20"/>
          <w:szCs w:val="20"/>
          <w:color w:val="auto"/>
        </w:rPr>
        <w:tab/>
      </w:r>
      <w:r>
        <w:rPr>
          <w:rFonts w:ascii="Arial" w:cs="Arial" w:eastAsia="Arial" w:hAnsi="Arial"/>
          <w:sz w:val="13"/>
          <w:szCs w:val="13"/>
          <w:b w:val="1"/>
          <w:bCs w:val="1"/>
          <w:color w:val="B2B3B6"/>
        </w:rPr>
        <w:t>Five</w:t>
      </w:r>
      <w:r>
        <w:rPr>
          <w:sz w:val="20"/>
          <w:szCs w:val="20"/>
          <w:color w:val="auto"/>
        </w:rPr>
        <w:tab/>
      </w:r>
      <w:r>
        <w:rPr>
          <w:rFonts w:ascii="Arial" w:cs="Arial" w:eastAsia="Arial" w:hAnsi="Arial"/>
          <w:sz w:val="13"/>
          <w:szCs w:val="13"/>
          <w:b w:val="1"/>
          <w:bCs w:val="1"/>
          <w:color w:val="B2B3B6"/>
        </w:rPr>
        <w:t>Proposals</w:t>
      </w:r>
      <w:r>
        <w:rPr>
          <w:sz w:val="20"/>
          <w:szCs w:val="20"/>
          <w:color w:val="auto"/>
        </w:rPr>
        <w:tab/>
      </w:r>
      <w:r>
        <w:rPr>
          <w:rFonts w:ascii="Arial" w:cs="Arial" w:eastAsia="Arial" w:hAnsi="Arial"/>
          <w:sz w:val="12"/>
          <w:szCs w:val="12"/>
          <w:b w:val="1"/>
          <w:bCs w:val="1"/>
          <w:color w:val="6AAA37"/>
        </w:rPr>
        <w:t>Matters</w:t>
      </w:r>
    </w:p>
    <w:p>
      <w:pPr>
        <w:sectPr>
          <w:pgSz w:w="11900" w:h="16838" w:orient="portrait"/>
          <w:cols w:equalWidth="0" w:num="1">
            <w:col w:w="9072"/>
          </w:cols>
          <w:pgMar w:left="1408" w:top="702" w:right="1419" w:bottom="60" w:gutter="0" w:footer="0" w:header="0"/>
          <w:type w:val="continuous"/>
        </w:sectPr>
      </w:pPr>
    </w:p>
    <w:bookmarkStart w:id="97" w:name="page98"/>
    <w:bookmarkEnd w:id="97"/>
    <w:p>
      <w:pPr>
        <w:ind w:left="660" w:right="160" w:hanging="328"/>
        <w:spacing w:after="0" w:line="254" w:lineRule="auto"/>
        <w:tabs>
          <w:tab w:leader="none" w:pos="660" w:val="left"/>
        </w:tabs>
        <w:numPr>
          <w:ilvl w:val="1"/>
          <w:numId w:val="152"/>
        </w:numPr>
        <w:rPr>
          <w:rFonts w:ascii="Arial" w:cs="Arial" w:eastAsia="Arial" w:hAnsi="Arial"/>
          <w:sz w:val="16"/>
          <w:szCs w:val="16"/>
          <w:color w:val="auto"/>
        </w:rPr>
      </w:pPr>
      <w:r>
        <w:rPr>
          <w:rFonts w:ascii="Arial" w:cs="Arial" w:eastAsia="Arial" w:hAnsi="Arial"/>
          <w:sz w:val="16"/>
          <w:szCs w:val="16"/>
          <w:b w:val="1"/>
          <w:bCs w:val="1"/>
          <w:color w:val="auto"/>
        </w:rPr>
        <w:t xml:space="preserve">Liability for Cash Payments. </w:t>
      </w:r>
      <w:r>
        <w:rPr>
          <w:rFonts w:ascii="Arial" w:cs="Arial" w:eastAsia="Arial" w:hAnsi="Arial"/>
          <w:sz w:val="16"/>
          <w:szCs w:val="16"/>
          <w:color w:val="auto"/>
        </w:rPr>
        <w:t>Subject to the terms and conditions of the Plan, Huron and each Affiliate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liable for payment of cash due under the Plan with respect to any Participant to the extent that such benefits are attributable to the service rendered for Huron or the Affiliate, as applicable, by the Participant. Any disputes relating to the liability of Huron or an Affiliate for cash payments shall be resolved by the Committee.</w:t>
      </w:r>
    </w:p>
    <w:p>
      <w:pPr>
        <w:spacing w:after="0" w:line="139" w:lineRule="exact"/>
        <w:rPr>
          <w:rFonts w:ascii="Arial" w:cs="Arial" w:eastAsia="Arial" w:hAnsi="Arial"/>
          <w:sz w:val="16"/>
          <w:szCs w:val="16"/>
          <w:color w:val="auto"/>
        </w:rPr>
      </w:pPr>
    </w:p>
    <w:p>
      <w:pPr>
        <w:ind w:left="660" w:right="400" w:hanging="328"/>
        <w:spacing w:after="0" w:line="301" w:lineRule="auto"/>
        <w:tabs>
          <w:tab w:leader="none" w:pos="660" w:val="left"/>
        </w:tabs>
        <w:numPr>
          <w:ilvl w:val="1"/>
          <w:numId w:val="152"/>
        </w:numPr>
        <w:rPr>
          <w:rFonts w:ascii="Arial" w:cs="Arial" w:eastAsia="Arial" w:hAnsi="Arial"/>
          <w:sz w:val="16"/>
          <w:szCs w:val="16"/>
          <w:color w:val="auto"/>
        </w:rPr>
      </w:pPr>
      <w:r>
        <w:rPr>
          <w:rFonts w:ascii="Arial" w:cs="Arial" w:eastAsia="Arial" w:hAnsi="Arial"/>
          <w:sz w:val="16"/>
          <w:szCs w:val="16"/>
          <w:b w:val="1"/>
          <w:bCs w:val="1"/>
          <w:color w:val="auto"/>
        </w:rPr>
        <w:t xml:space="preserve">Evidence. </w:t>
      </w:r>
      <w:r>
        <w:rPr>
          <w:rFonts w:ascii="Arial" w:cs="Arial" w:eastAsia="Arial" w:hAnsi="Arial"/>
          <w:sz w:val="16"/>
          <w:szCs w:val="16"/>
          <w:color w:val="auto"/>
        </w:rPr>
        <w:t>Evidence required of anyone under the Plan may be by certificate, affidavit, document or other</w:t>
      </w:r>
      <w:r>
        <w:rPr>
          <w:rFonts w:ascii="Arial" w:cs="Arial" w:eastAsia="Arial" w:hAnsi="Arial"/>
          <w:sz w:val="16"/>
          <w:szCs w:val="16"/>
          <w:b w:val="1"/>
          <w:bCs w:val="1"/>
          <w:color w:val="auto"/>
        </w:rPr>
        <w:t xml:space="preserve"> </w:t>
      </w:r>
      <w:r>
        <w:rPr>
          <w:rFonts w:ascii="Arial" w:cs="Arial" w:eastAsia="Arial" w:hAnsi="Arial"/>
          <w:sz w:val="16"/>
          <w:szCs w:val="16"/>
          <w:color w:val="auto"/>
        </w:rPr>
        <w:t>information which the person acting on it considers pertinent and reliable, and signed, made or presented by the proper party or parties.</w:t>
      </w:r>
    </w:p>
    <w:p>
      <w:pPr>
        <w:spacing w:after="0" w:line="104" w:lineRule="exact"/>
        <w:rPr>
          <w:rFonts w:ascii="Arial" w:cs="Arial" w:eastAsia="Arial" w:hAnsi="Arial"/>
          <w:sz w:val="16"/>
          <w:szCs w:val="16"/>
          <w:color w:val="auto"/>
        </w:rPr>
      </w:pPr>
    </w:p>
    <w:p>
      <w:pPr>
        <w:ind w:left="660" w:right="180" w:hanging="328"/>
        <w:spacing w:after="0" w:line="339" w:lineRule="auto"/>
        <w:tabs>
          <w:tab w:leader="none" w:pos="660" w:val="left"/>
        </w:tabs>
        <w:numPr>
          <w:ilvl w:val="1"/>
          <w:numId w:val="152"/>
        </w:numPr>
        <w:rPr>
          <w:rFonts w:ascii="Arial" w:cs="Arial" w:eastAsia="Arial" w:hAnsi="Arial"/>
          <w:sz w:val="16"/>
          <w:szCs w:val="16"/>
          <w:color w:val="auto"/>
        </w:rPr>
      </w:pPr>
      <w:r>
        <w:rPr>
          <w:rFonts w:ascii="Arial" w:cs="Arial" w:eastAsia="Arial" w:hAnsi="Arial"/>
          <w:sz w:val="16"/>
          <w:szCs w:val="16"/>
          <w:b w:val="1"/>
          <w:bCs w:val="1"/>
          <w:color w:val="auto"/>
        </w:rPr>
        <w:t xml:space="preserve">Gender and Number. </w:t>
      </w:r>
      <w:r>
        <w:rPr>
          <w:rFonts w:ascii="Arial" w:cs="Arial" w:eastAsia="Arial" w:hAnsi="Arial"/>
          <w:sz w:val="16"/>
          <w:szCs w:val="16"/>
          <w:color w:val="auto"/>
        </w:rPr>
        <w:t>Where the context admits, words in any gender shall include any other gender, words in the</w:t>
      </w:r>
      <w:r>
        <w:rPr>
          <w:rFonts w:ascii="Arial" w:cs="Arial" w:eastAsia="Arial" w:hAnsi="Arial"/>
          <w:sz w:val="16"/>
          <w:szCs w:val="16"/>
          <w:b w:val="1"/>
          <w:bCs w:val="1"/>
          <w:color w:val="auto"/>
        </w:rPr>
        <w:t xml:space="preserve"> </w:t>
      </w:r>
      <w:r>
        <w:rPr>
          <w:rFonts w:ascii="Arial" w:cs="Arial" w:eastAsia="Arial" w:hAnsi="Arial"/>
          <w:sz w:val="16"/>
          <w:szCs w:val="16"/>
          <w:color w:val="auto"/>
        </w:rPr>
        <w:t>singular shall include the plural and the plural shall include the singular.</w:t>
      </w:r>
    </w:p>
    <w:p>
      <w:pPr>
        <w:spacing w:after="0" w:line="60" w:lineRule="exact"/>
        <w:rPr>
          <w:rFonts w:ascii="Arial" w:cs="Arial" w:eastAsia="Arial" w:hAnsi="Arial"/>
          <w:sz w:val="16"/>
          <w:szCs w:val="16"/>
          <w:color w:val="auto"/>
        </w:rPr>
      </w:pPr>
    </w:p>
    <w:p>
      <w:pPr>
        <w:ind w:left="660" w:right="340" w:hanging="328"/>
        <w:spacing w:after="0" w:line="339" w:lineRule="auto"/>
        <w:tabs>
          <w:tab w:leader="none" w:pos="660" w:val="left"/>
        </w:tabs>
        <w:numPr>
          <w:ilvl w:val="1"/>
          <w:numId w:val="152"/>
        </w:numPr>
        <w:rPr>
          <w:rFonts w:ascii="Arial" w:cs="Arial" w:eastAsia="Arial" w:hAnsi="Arial"/>
          <w:sz w:val="16"/>
          <w:szCs w:val="16"/>
          <w:color w:val="auto"/>
        </w:rPr>
      </w:pPr>
      <w:r>
        <w:rPr>
          <w:rFonts w:ascii="Arial" w:cs="Arial" w:eastAsia="Arial" w:hAnsi="Arial"/>
          <w:sz w:val="16"/>
          <w:szCs w:val="16"/>
          <w:b w:val="1"/>
          <w:bCs w:val="1"/>
          <w:color w:val="auto"/>
        </w:rPr>
        <w:t xml:space="preserve">Expenses and Receipts. </w:t>
      </w:r>
      <w:r>
        <w:rPr>
          <w:rFonts w:ascii="Arial" w:cs="Arial" w:eastAsia="Arial" w:hAnsi="Arial"/>
          <w:sz w:val="16"/>
          <w:szCs w:val="16"/>
          <w:color w:val="auto"/>
        </w:rPr>
        <w:t>The expenses of the Plan shall be paid by Huron. Any proceeds received by Huron in</w:t>
      </w:r>
      <w:r>
        <w:rPr>
          <w:rFonts w:ascii="Arial" w:cs="Arial" w:eastAsia="Arial" w:hAnsi="Arial"/>
          <w:sz w:val="16"/>
          <w:szCs w:val="16"/>
          <w:b w:val="1"/>
          <w:bCs w:val="1"/>
          <w:color w:val="auto"/>
        </w:rPr>
        <w:t xml:space="preserve"> </w:t>
      </w:r>
      <w:r>
        <w:rPr>
          <w:rFonts w:ascii="Arial" w:cs="Arial" w:eastAsia="Arial" w:hAnsi="Arial"/>
          <w:sz w:val="16"/>
          <w:szCs w:val="16"/>
          <w:color w:val="auto"/>
        </w:rPr>
        <w:t>connection with any Award may be used for general corporate purposes.</w:t>
      </w:r>
    </w:p>
    <w:p>
      <w:pPr>
        <w:spacing w:after="0" w:line="60" w:lineRule="exact"/>
        <w:rPr>
          <w:rFonts w:ascii="Arial" w:cs="Arial" w:eastAsia="Arial" w:hAnsi="Arial"/>
          <w:sz w:val="16"/>
          <w:szCs w:val="16"/>
          <w:color w:val="auto"/>
        </w:rPr>
      </w:pPr>
    </w:p>
    <w:p>
      <w:pPr>
        <w:ind w:left="660" w:hanging="328"/>
        <w:spacing w:after="0" w:line="310" w:lineRule="auto"/>
        <w:tabs>
          <w:tab w:leader="none" w:pos="660" w:val="left"/>
        </w:tabs>
        <w:numPr>
          <w:ilvl w:val="1"/>
          <w:numId w:val="152"/>
        </w:numPr>
        <w:rPr>
          <w:rFonts w:ascii="Arial" w:cs="Arial" w:eastAsia="Arial" w:hAnsi="Arial"/>
          <w:sz w:val="16"/>
          <w:szCs w:val="16"/>
          <w:color w:val="auto"/>
        </w:rPr>
      </w:pPr>
      <w:r>
        <w:rPr>
          <w:rFonts w:ascii="Arial" w:cs="Arial" w:eastAsia="Arial" w:hAnsi="Arial"/>
          <w:sz w:val="16"/>
          <w:szCs w:val="16"/>
          <w:b w:val="1"/>
          <w:bCs w:val="1"/>
          <w:color w:val="auto"/>
        </w:rPr>
        <w:t xml:space="preserve">Applicable Law, Venue. </w:t>
      </w:r>
      <w:r>
        <w:rPr>
          <w:rFonts w:ascii="Arial" w:cs="Arial" w:eastAsia="Arial" w:hAnsi="Arial"/>
          <w:sz w:val="16"/>
          <w:szCs w:val="16"/>
          <w:color w:val="auto"/>
        </w:rPr>
        <w:t>Except to the extent preempted by any applicable federal law, the Plan shall be construed</w:t>
      </w:r>
      <w:r>
        <w:rPr>
          <w:rFonts w:ascii="Arial" w:cs="Arial" w:eastAsia="Arial" w:hAnsi="Arial"/>
          <w:sz w:val="16"/>
          <w:szCs w:val="16"/>
          <w:b w:val="1"/>
          <w:bCs w:val="1"/>
          <w:color w:val="auto"/>
        </w:rPr>
        <w:t xml:space="preserve"> </w:t>
      </w:r>
      <w:r>
        <w:rPr>
          <w:rFonts w:ascii="Arial" w:cs="Arial" w:eastAsia="Arial" w:hAnsi="Arial"/>
          <w:sz w:val="16"/>
          <w:szCs w:val="16"/>
          <w:color w:val="auto"/>
        </w:rPr>
        <w:t>and administered in accordance with the laws of the State of Delaware without reference to its principles of conflicts of law. Any legal action related to this Plan shall be brought only in a federal or state court located in Chicago, Illinois.</w:t>
      </w:r>
    </w:p>
    <w:p>
      <w:pPr>
        <w:spacing w:after="0" w:line="97" w:lineRule="exact"/>
        <w:rPr>
          <w:rFonts w:ascii="Arial" w:cs="Arial" w:eastAsia="Arial" w:hAnsi="Arial"/>
          <w:sz w:val="16"/>
          <w:szCs w:val="16"/>
          <w:color w:val="auto"/>
        </w:rPr>
      </w:pPr>
    </w:p>
    <w:p>
      <w:pPr>
        <w:ind w:left="660" w:right="140" w:hanging="328"/>
        <w:spacing w:after="0" w:line="301" w:lineRule="auto"/>
        <w:tabs>
          <w:tab w:leader="none" w:pos="660" w:val="left"/>
        </w:tabs>
        <w:numPr>
          <w:ilvl w:val="1"/>
          <w:numId w:val="152"/>
        </w:numPr>
        <w:rPr>
          <w:rFonts w:ascii="Arial" w:cs="Arial" w:eastAsia="Arial" w:hAnsi="Arial"/>
          <w:sz w:val="16"/>
          <w:szCs w:val="16"/>
          <w:color w:val="auto"/>
        </w:rPr>
      </w:pPr>
      <w:r>
        <w:rPr>
          <w:rFonts w:ascii="Arial" w:cs="Arial" w:eastAsia="Arial" w:hAnsi="Arial"/>
          <w:sz w:val="16"/>
          <w:szCs w:val="16"/>
          <w:b w:val="1"/>
          <w:bCs w:val="1"/>
          <w:color w:val="auto"/>
        </w:rPr>
        <w:t xml:space="preserve">No Fractional Shares. </w:t>
      </w:r>
      <w:r>
        <w:rPr>
          <w:rFonts w:ascii="Arial" w:cs="Arial" w:eastAsia="Arial" w:hAnsi="Arial"/>
          <w:sz w:val="16"/>
          <w:szCs w:val="16"/>
          <w:color w:val="auto"/>
        </w:rPr>
        <w:t>No fractional shares of Common Stock shall be issued or delivered pursuant to the Plan.</w:t>
      </w:r>
      <w:r>
        <w:rPr>
          <w:rFonts w:ascii="Arial" w:cs="Arial" w:eastAsia="Arial" w:hAnsi="Arial"/>
          <w:sz w:val="16"/>
          <w:szCs w:val="16"/>
          <w:b w:val="1"/>
          <w:bCs w:val="1"/>
          <w:color w:val="auto"/>
        </w:rPr>
        <w:t xml:space="preserve"> </w:t>
      </w:r>
      <w:r>
        <w:rPr>
          <w:rFonts w:ascii="Arial" w:cs="Arial" w:eastAsia="Arial" w:hAnsi="Arial"/>
          <w:sz w:val="16"/>
          <w:szCs w:val="16"/>
          <w:color w:val="auto"/>
        </w:rPr>
        <w:t>The Committee shall determine whether cash, other Awards, or other property shall be issued or paid in lieu of such fractional shares or whether such fractional shares or any rights thereto shall be forfeited or otherwise eliminated.</w:t>
      </w:r>
    </w:p>
    <w:p>
      <w:pPr>
        <w:spacing w:after="0" w:line="104" w:lineRule="exact"/>
        <w:rPr>
          <w:rFonts w:ascii="Arial" w:cs="Arial" w:eastAsia="Arial" w:hAnsi="Arial"/>
          <w:sz w:val="16"/>
          <w:szCs w:val="16"/>
          <w:color w:val="auto"/>
        </w:rPr>
      </w:pPr>
    </w:p>
    <w:p>
      <w:pPr>
        <w:ind w:left="340" w:right="140" w:hanging="332"/>
        <w:spacing w:after="0" w:line="321" w:lineRule="auto"/>
        <w:tabs>
          <w:tab w:leader="none" w:pos="340" w:val="left"/>
        </w:tabs>
        <w:numPr>
          <w:ilvl w:val="0"/>
          <w:numId w:val="153"/>
        </w:numPr>
        <w:rPr>
          <w:rFonts w:ascii="Arial" w:cs="Arial" w:eastAsia="Arial" w:hAnsi="Arial"/>
          <w:sz w:val="16"/>
          <w:szCs w:val="16"/>
          <w:color w:val="auto"/>
        </w:rPr>
      </w:pPr>
      <w:r>
        <w:rPr>
          <w:rFonts w:ascii="Arial" w:cs="Arial" w:eastAsia="Arial" w:hAnsi="Arial"/>
          <w:sz w:val="16"/>
          <w:szCs w:val="16"/>
          <w:b w:val="1"/>
          <w:bCs w:val="1"/>
          <w:color w:val="auto"/>
        </w:rPr>
        <w:t xml:space="preserve">Severability. </w:t>
      </w:r>
      <w:r>
        <w:rPr>
          <w:rFonts w:ascii="Arial" w:cs="Arial" w:eastAsia="Arial" w:hAnsi="Arial"/>
          <w:sz w:val="16"/>
          <w:szCs w:val="16"/>
          <w:color w:val="auto"/>
        </w:rPr>
        <w:t>If any provision of the Plan is held to be invalid or unenforceable, the other provisions of the Plan shall not</w:t>
      </w:r>
      <w:r>
        <w:rPr>
          <w:rFonts w:ascii="Arial" w:cs="Arial" w:eastAsia="Arial" w:hAnsi="Arial"/>
          <w:sz w:val="16"/>
          <w:szCs w:val="16"/>
          <w:b w:val="1"/>
          <w:bCs w:val="1"/>
          <w:color w:val="auto"/>
        </w:rPr>
        <w:t xml:space="preserve"> </w:t>
      </w:r>
      <w:r>
        <w:rPr>
          <w:rFonts w:ascii="Arial" w:cs="Arial" w:eastAsia="Arial" w:hAnsi="Arial"/>
          <w:sz w:val="16"/>
          <w:szCs w:val="16"/>
          <w:color w:val="auto"/>
        </w:rPr>
        <w:t>be affected but shall be applied as if the invalid or unenforceable provision had not been included in the Plan.</w:t>
      </w:r>
    </w:p>
    <w:p>
      <w:pPr>
        <w:spacing w:after="0" w:line="88" w:lineRule="exact"/>
        <w:rPr>
          <w:rFonts w:ascii="Arial" w:cs="Arial" w:eastAsia="Arial" w:hAnsi="Arial"/>
          <w:sz w:val="16"/>
          <w:szCs w:val="16"/>
          <w:color w:val="auto"/>
        </w:rPr>
      </w:pPr>
    </w:p>
    <w:p>
      <w:pPr>
        <w:ind w:left="340" w:hanging="332"/>
        <w:spacing w:after="0" w:line="293" w:lineRule="auto"/>
        <w:tabs>
          <w:tab w:leader="none" w:pos="340" w:val="left"/>
        </w:tabs>
        <w:numPr>
          <w:ilvl w:val="0"/>
          <w:numId w:val="153"/>
        </w:numPr>
        <w:rPr>
          <w:rFonts w:ascii="Arial" w:cs="Arial" w:eastAsia="Arial" w:hAnsi="Arial"/>
          <w:sz w:val="16"/>
          <w:szCs w:val="16"/>
          <w:color w:val="auto"/>
        </w:rPr>
      </w:pPr>
      <w:r>
        <w:rPr>
          <w:rFonts w:ascii="Arial" w:cs="Arial" w:eastAsia="Arial" w:hAnsi="Arial"/>
          <w:sz w:val="16"/>
          <w:szCs w:val="16"/>
          <w:b w:val="1"/>
          <w:bCs w:val="1"/>
          <w:color w:val="auto"/>
        </w:rPr>
        <w:t xml:space="preserve">Foreign Employees. </w:t>
      </w:r>
      <w:r>
        <w:rPr>
          <w:rFonts w:ascii="Arial" w:cs="Arial" w:eastAsia="Arial" w:hAnsi="Arial"/>
          <w:sz w:val="16"/>
          <w:szCs w:val="16"/>
          <w:color w:val="auto"/>
        </w:rPr>
        <w:t>Notwithstanding any other provision of the Plan to the contrary, the Committee may grant Awards to</w:t>
      </w:r>
      <w:r>
        <w:rPr>
          <w:rFonts w:ascii="Arial" w:cs="Arial" w:eastAsia="Arial" w:hAnsi="Arial"/>
          <w:sz w:val="16"/>
          <w:szCs w:val="16"/>
          <w:b w:val="1"/>
          <w:bCs w:val="1"/>
          <w:color w:val="auto"/>
        </w:rPr>
        <w:t xml:space="preserve"> </w:t>
      </w:r>
      <w:r>
        <w:rPr>
          <w:rFonts w:ascii="Arial" w:cs="Arial" w:eastAsia="Arial" w:hAnsi="Arial"/>
          <w:sz w:val="16"/>
          <w:szCs w:val="16"/>
          <w:color w:val="auto"/>
        </w:rPr>
        <w:t>eligible persons who are foreign nationals on such terms and conditions different from those specified in the Plan as may, in the judgment of the Committee, be necessary or desirable to foster and promote achievement of the purposes of the Plan. In furtherance of such purposes, the Committee may make such modifications, amendments, procedures and subplans as may be necessary or advisable to comply with provisions of laws in other countries or jurisdictions in which Huron or an Affiliate operates or has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-4052570</wp:posOffset>
            </wp:positionV>
            <wp:extent cx="6810375" cy="80943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10375" cy="8094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60"/>
        <w:spacing w:after="0"/>
        <w:tabs>
          <w:tab w:leader="none" w:pos="438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13"/>
          <w:szCs w:val="13"/>
          <w:b w:val="1"/>
          <w:bCs w:val="1"/>
          <w:color w:val="00558C"/>
        </w:rPr>
        <w:t>A-16</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351790</wp:posOffset>
            </wp:positionV>
            <wp:extent cx="6810375" cy="23393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10375" cy="2339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540" w:val="left"/>
          <w:tab w:leader="none" w:pos="7360" w:val="left"/>
          <w:tab w:leader="none" w:pos="8400" w:val="left"/>
        </w:tabs>
        <w:rPr>
          <w:sz w:val="20"/>
          <w:szCs w:val="20"/>
          <w:color w:val="auto"/>
        </w:rPr>
      </w:pPr>
      <w:r>
        <w:rPr>
          <w:rFonts w:ascii="Arial" w:cs="Arial" w:eastAsia="Arial" w:hAnsi="Arial"/>
          <w:sz w:val="13"/>
          <w:szCs w:val="13"/>
          <w:b w:val="1"/>
          <w:bCs w:val="1"/>
          <w:color w:val="B2B3B6"/>
        </w:rPr>
        <w:t>General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Corporate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Executive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Stockholder</w:t>
      </w:r>
      <w:r>
        <w:rPr>
          <w:sz w:val="20"/>
          <w:szCs w:val="20"/>
          <w:color w:val="auto"/>
        </w:rPr>
        <w:tab/>
      </w:r>
      <w:r>
        <w:rPr>
          <w:rFonts w:ascii="Arial" w:cs="Arial" w:eastAsia="Arial" w:hAnsi="Arial"/>
          <w:sz w:val="12"/>
          <w:szCs w:val="12"/>
          <w:b w:val="1"/>
          <w:bCs w:val="1"/>
          <w:color w:val="6AAA37"/>
        </w:rPr>
        <w:t>Other</w:t>
      </w:r>
    </w:p>
    <w:p>
      <w:pPr>
        <w:spacing w:after="0" w:line="11"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540" w:val="left"/>
          <w:tab w:leader="none" w:pos="7360" w:val="left"/>
          <w:tab w:leader="none" w:pos="8400" w:val="left"/>
        </w:tabs>
        <w:rPr>
          <w:sz w:val="20"/>
          <w:szCs w:val="20"/>
          <w:color w:val="auto"/>
        </w:rPr>
      </w:pPr>
      <w:r>
        <w:rPr>
          <w:rFonts w:ascii="Arial" w:cs="Arial" w:eastAsia="Arial" w:hAnsi="Arial"/>
          <w:sz w:val="13"/>
          <w:szCs w:val="13"/>
          <w:b w:val="1"/>
          <w:bCs w:val="1"/>
          <w:color w:val="B2B3B6"/>
        </w:rPr>
        <w:t>Information</w:t>
      </w:r>
      <w:r>
        <w:rPr>
          <w:sz w:val="20"/>
          <w:szCs w:val="20"/>
          <w:color w:val="auto"/>
        </w:rPr>
        <w:tab/>
      </w:r>
      <w:r>
        <w:rPr>
          <w:rFonts w:ascii="Arial" w:cs="Arial" w:eastAsia="Arial" w:hAnsi="Arial"/>
          <w:sz w:val="13"/>
          <w:szCs w:val="13"/>
          <w:b w:val="1"/>
          <w:bCs w:val="1"/>
          <w:color w:val="B2B3B6"/>
        </w:rPr>
        <w:t>One</w:t>
      </w:r>
      <w:r>
        <w:rPr>
          <w:sz w:val="20"/>
          <w:szCs w:val="20"/>
          <w:color w:val="auto"/>
        </w:rPr>
        <w:tab/>
      </w:r>
      <w:r>
        <w:rPr>
          <w:rFonts w:ascii="Arial" w:cs="Arial" w:eastAsia="Arial" w:hAnsi="Arial"/>
          <w:sz w:val="13"/>
          <w:szCs w:val="13"/>
          <w:b w:val="1"/>
          <w:bCs w:val="1"/>
          <w:color w:val="B2B3B6"/>
        </w:rPr>
        <w:t>Governance</w:t>
      </w:r>
      <w:r>
        <w:rPr>
          <w:sz w:val="20"/>
          <w:szCs w:val="20"/>
          <w:color w:val="auto"/>
        </w:rPr>
        <w:tab/>
      </w:r>
      <w:r>
        <w:rPr>
          <w:rFonts w:ascii="Arial" w:cs="Arial" w:eastAsia="Arial" w:hAnsi="Arial"/>
          <w:sz w:val="13"/>
          <w:szCs w:val="13"/>
          <w:b w:val="1"/>
          <w:bCs w:val="1"/>
          <w:color w:val="B2B3B6"/>
        </w:rPr>
        <w:t>Two</w:t>
      </w:r>
      <w:r>
        <w:rPr>
          <w:sz w:val="20"/>
          <w:szCs w:val="20"/>
          <w:color w:val="auto"/>
        </w:rPr>
        <w:tab/>
      </w:r>
      <w:r>
        <w:rPr>
          <w:rFonts w:ascii="Arial" w:cs="Arial" w:eastAsia="Arial" w:hAnsi="Arial"/>
          <w:sz w:val="13"/>
          <w:szCs w:val="13"/>
          <w:b w:val="1"/>
          <w:bCs w:val="1"/>
          <w:color w:val="B2B3B6"/>
        </w:rPr>
        <w:t>Compensation</w:t>
      </w:r>
      <w:r>
        <w:rPr>
          <w:sz w:val="20"/>
          <w:szCs w:val="20"/>
          <w:color w:val="auto"/>
        </w:rPr>
        <w:tab/>
      </w:r>
      <w:r>
        <w:rPr>
          <w:rFonts w:ascii="Arial" w:cs="Arial" w:eastAsia="Arial" w:hAnsi="Arial"/>
          <w:sz w:val="13"/>
          <w:szCs w:val="13"/>
          <w:b w:val="1"/>
          <w:bCs w:val="1"/>
          <w:color w:val="B2B3B6"/>
        </w:rPr>
        <w:t>Three</w:t>
      </w:r>
      <w:r>
        <w:rPr>
          <w:sz w:val="20"/>
          <w:szCs w:val="20"/>
          <w:color w:val="auto"/>
        </w:rPr>
        <w:tab/>
      </w:r>
      <w:r>
        <w:rPr>
          <w:rFonts w:ascii="Arial" w:cs="Arial" w:eastAsia="Arial" w:hAnsi="Arial"/>
          <w:sz w:val="13"/>
          <w:szCs w:val="13"/>
          <w:b w:val="1"/>
          <w:bCs w:val="1"/>
          <w:color w:val="B2B3B6"/>
        </w:rPr>
        <w:t>Four</w:t>
      </w:r>
      <w:r>
        <w:rPr>
          <w:sz w:val="20"/>
          <w:szCs w:val="20"/>
          <w:color w:val="auto"/>
        </w:rPr>
        <w:tab/>
      </w:r>
      <w:r>
        <w:rPr>
          <w:rFonts w:ascii="Arial" w:cs="Arial" w:eastAsia="Arial" w:hAnsi="Arial"/>
          <w:sz w:val="13"/>
          <w:szCs w:val="13"/>
          <w:b w:val="1"/>
          <w:bCs w:val="1"/>
          <w:color w:val="B2B3B6"/>
        </w:rPr>
        <w:t>Five</w:t>
      </w:r>
      <w:r>
        <w:rPr>
          <w:sz w:val="20"/>
          <w:szCs w:val="20"/>
          <w:color w:val="auto"/>
        </w:rPr>
        <w:tab/>
      </w:r>
      <w:r>
        <w:rPr>
          <w:rFonts w:ascii="Arial" w:cs="Arial" w:eastAsia="Arial" w:hAnsi="Arial"/>
          <w:sz w:val="13"/>
          <w:szCs w:val="13"/>
          <w:b w:val="1"/>
          <w:bCs w:val="1"/>
          <w:color w:val="B2B3B6"/>
        </w:rPr>
        <w:t>Proposals</w:t>
      </w:r>
      <w:r>
        <w:rPr>
          <w:sz w:val="20"/>
          <w:szCs w:val="20"/>
          <w:color w:val="auto"/>
        </w:rPr>
        <w:tab/>
      </w:r>
      <w:r>
        <w:rPr>
          <w:rFonts w:ascii="Arial" w:cs="Arial" w:eastAsia="Arial" w:hAnsi="Arial"/>
          <w:sz w:val="12"/>
          <w:szCs w:val="12"/>
          <w:b w:val="1"/>
          <w:bCs w:val="1"/>
          <w:color w:val="6AAA37"/>
        </w:rPr>
        <w:t>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54"/>
          <w:szCs w:val="54"/>
          <w:color w:val="00558C"/>
        </w:rPr>
        <w:t>Appendix B</w:t>
      </w:r>
    </w:p>
    <w:p>
      <w:pPr>
        <w:sectPr>
          <w:pgSz w:w="11900" w:h="16838" w:orient="portrait"/>
          <w:cols w:equalWidth="0" w:num="1">
            <w:col w:w="9080"/>
          </w:cols>
          <w:pgMar w:left="1400" w:top="111" w:right="1419" w:bottom="0" w:gutter="0" w:footer="0" w:header="0"/>
        </w:sectPr>
      </w:pPr>
    </w:p>
    <w:p>
      <w:pPr>
        <w:spacing w:after="0" w:line="171" w:lineRule="exact"/>
        <w:rPr>
          <w:sz w:val="20"/>
          <w:szCs w:val="20"/>
          <w:color w:val="auto"/>
        </w:rPr>
      </w:pPr>
    </w:p>
    <w:p>
      <w:pPr>
        <w:spacing w:after="0"/>
        <w:rPr>
          <w:sz w:val="20"/>
          <w:szCs w:val="20"/>
          <w:color w:val="auto"/>
        </w:rPr>
      </w:pPr>
      <w:r>
        <w:rPr>
          <w:rFonts w:ascii="Arial" w:cs="Arial" w:eastAsia="Arial" w:hAnsi="Arial"/>
          <w:sz w:val="28"/>
          <w:szCs w:val="28"/>
          <w:b w:val="1"/>
          <w:bCs w:val="1"/>
          <w:color w:val="B2B3B6"/>
        </w:rPr>
        <w:t>AMENDMENT TO THE HURON CONSULTING GROUP INC.</w:t>
      </w:r>
    </w:p>
    <w:p>
      <w:pPr>
        <w:sectPr>
          <w:pgSz w:w="11900" w:h="16838" w:orient="portrait"/>
          <w:cols w:equalWidth="0" w:num="1">
            <w:col w:w="9080"/>
          </w:cols>
          <w:pgMar w:left="1400" w:top="111" w:right="1419" w:bottom="0" w:gutter="0" w:footer="0" w:header="0"/>
          <w:type w:val="continuous"/>
        </w:sectPr>
      </w:pPr>
    </w:p>
    <w:bookmarkStart w:id="98" w:name="page99"/>
    <w:bookmarkEnd w:id="98"/>
    <w:p>
      <w:pPr>
        <w:spacing w:after="0" w:line="58" w:lineRule="exact"/>
        <w:rPr>
          <w:sz w:val="20"/>
          <w:szCs w:val="20"/>
          <w:color w:val="auto"/>
        </w:rPr>
      </w:pPr>
    </w:p>
    <w:p>
      <w:pPr>
        <w:spacing w:after="0"/>
        <w:rPr>
          <w:sz w:val="20"/>
          <w:szCs w:val="20"/>
          <w:color w:val="auto"/>
        </w:rPr>
      </w:pPr>
      <w:r>
        <w:rPr>
          <w:rFonts w:ascii="Arial" w:cs="Arial" w:eastAsia="Arial" w:hAnsi="Arial"/>
          <w:sz w:val="29"/>
          <w:szCs w:val="29"/>
          <w:b w:val="1"/>
          <w:bCs w:val="1"/>
          <w:color w:val="B2B3B6"/>
        </w:rPr>
        <w:t>STOCK OWNERSHIP PARTICIPATION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-206375</wp:posOffset>
            </wp:positionV>
            <wp:extent cx="6810375" cy="651700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10375" cy="6517005"/>
                    </a:xfrm>
                    <a:prstGeom prst="rect">
                      <a:avLst/>
                    </a:prstGeom>
                    <a:noFill/>
                  </pic:spPr>
                </pic:pic>
              </a:graphicData>
            </a:graphic>
          </wp:anchor>
        </w:drawing>
      </w:r>
    </w:p>
    <w:p>
      <w:pPr>
        <w:spacing w:after="0" w:line="166"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THIS AMENDMENT (this "Amendment") to the Huron Consulting Group Inc. Stock Ownership Participation Program, (the "Plan") is adopted by the Board of Directors (the "Board") of Huron Consulting Group Inc., a Delaware corporation (the "Company"), on March 19, 2025, effective as of the date of the Company's Annual Meeting of Stockholders that occurs in 2025, provided that it is approved by the Company's stockholders on that date (the "Amendment Date"). Any capitalized terms used and not defined herein shall have the meaning set forth in the Plan.</w:t>
      </w:r>
    </w:p>
    <w:p>
      <w:pPr>
        <w:spacing w:after="0" w:line="107"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WHEREAS, pursuant to Section 16 of the Plan, the Board or Compensation Committee may at any time revise or amend the Plan, provided that no amendment to the Plan will be made without the approval of the Company's stockholders if such amendment would increase the aggregate number of shares of Common Stock that may be issued under the Plan; and</w:t>
      </w:r>
    </w:p>
    <w:p>
      <w:pPr>
        <w:spacing w:after="0" w:line="104" w:lineRule="exact"/>
        <w:rPr>
          <w:sz w:val="20"/>
          <w:szCs w:val="20"/>
          <w:color w:val="auto"/>
        </w:rPr>
      </w:pPr>
    </w:p>
    <w:p>
      <w:pPr>
        <w:ind w:right="880"/>
        <w:spacing w:after="0" w:line="321" w:lineRule="auto"/>
        <w:rPr>
          <w:sz w:val="20"/>
          <w:szCs w:val="20"/>
          <w:color w:val="auto"/>
        </w:rPr>
      </w:pPr>
      <w:r>
        <w:rPr>
          <w:rFonts w:ascii="Arial" w:cs="Arial" w:eastAsia="Arial" w:hAnsi="Arial"/>
          <w:sz w:val="16"/>
          <w:szCs w:val="16"/>
          <w:color w:val="auto"/>
        </w:rPr>
        <w:t>WHEREAS, the Board has determined to amend the Plan in the manner set forth below, subject to approval by the stockholders:</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NOW, THEREFORE, the Plan is hereby amended as follows, subject to approval by the stockholders:</w:t>
      </w:r>
    </w:p>
    <w:p>
      <w:pPr>
        <w:spacing w:after="0" w:line="181" w:lineRule="exact"/>
        <w:rPr>
          <w:sz w:val="20"/>
          <w:szCs w:val="20"/>
          <w:color w:val="auto"/>
        </w:rPr>
      </w:pPr>
    </w:p>
    <w:p>
      <w:pPr>
        <w:ind w:left="660" w:right="60" w:hanging="328"/>
        <w:spacing w:after="0" w:line="291" w:lineRule="auto"/>
        <w:tabs>
          <w:tab w:leader="none" w:pos="66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The first sentence of Section 13 (b) of the Plan is hereby amended and restated in its entirety as follows:“(b) Subject to adjustment upon changes in capitalization of the Company as provided in Section 15 hereof or as otherwise set forth herein, the maximum number of Shares which shall be made available for sale or issuance under the Plan shall be one million and fifty thousand (1,050,000) shares (comprised of: (i) the three hundred thousand (300,000) shares of Common Stock authorized under the Plan as originally adopted; (ii) an additional four hundred thousand (400,000) shares of Common Stock authorized in the amendment of the Plan effective May 8, 2020; (iii) an additional two hundred thousand (200,000) shares of Common Stock authorized in the amendment of the Plan effective May 3, 2024, and (iv) an additional one hundred and fifty thousand (150,000) shares of Common Stock authorized in the amendment of the Plan effective May 9, 2025.”</w:t>
      </w:r>
    </w:p>
    <w:p>
      <w:pPr>
        <w:spacing w:after="0" w:line="98" w:lineRule="exact"/>
        <w:rPr>
          <w:rFonts w:ascii="Arial" w:cs="Arial" w:eastAsia="Arial" w:hAnsi="Arial"/>
          <w:sz w:val="16"/>
          <w:szCs w:val="16"/>
          <w:color w:val="auto"/>
        </w:rPr>
      </w:pPr>
    </w:p>
    <w:p>
      <w:pPr>
        <w:ind w:left="660" w:hanging="328"/>
        <w:spacing w:after="0"/>
        <w:tabs>
          <w:tab w:leader="none" w:pos="66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This Amendment shall be and, as of the Amendment Date, is hereby incorporated in and forms a part of the Plan.</w:t>
      </w:r>
    </w:p>
    <w:p>
      <w:pPr>
        <w:spacing w:after="0" w:line="180" w:lineRule="exact"/>
        <w:rPr>
          <w:rFonts w:ascii="Arial" w:cs="Arial" w:eastAsia="Arial" w:hAnsi="Arial"/>
          <w:sz w:val="16"/>
          <w:szCs w:val="16"/>
          <w:color w:val="auto"/>
        </w:rPr>
      </w:pPr>
    </w:p>
    <w:p>
      <w:pPr>
        <w:ind w:left="660" w:hanging="328"/>
        <w:spacing w:after="0" w:line="339" w:lineRule="auto"/>
        <w:tabs>
          <w:tab w:leader="none" w:pos="66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This Amendment and all determinations made and actions taken pursuant hereto shall be governed by the laws of the State of Delaware without reference to its principles of conflicts of law.</w:t>
      </w:r>
    </w:p>
    <w:p>
      <w:pPr>
        <w:spacing w:after="0" w:line="60" w:lineRule="exact"/>
        <w:rPr>
          <w:rFonts w:ascii="Arial" w:cs="Arial" w:eastAsia="Arial" w:hAnsi="Arial"/>
          <w:sz w:val="16"/>
          <w:szCs w:val="16"/>
          <w:color w:val="auto"/>
        </w:rPr>
      </w:pPr>
    </w:p>
    <w:p>
      <w:pPr>
        <w:ind w:left="660" w:hanging="328"/>
        <w:spacing w:after="0"/>
        <w:tabs>
          <w:tab w:leader="none" w:pos="66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Except as amended above, the Plan shall remain in full force and effect.</w:t>
      </w:r>
    </w:p>
    <w:p>
      <w:pPr>
        <w:spacing w:after="0" w:line="242" w:lineRule="exact"/>
        <w:rPr>
          <w:sz w:val="20"/>
          <w:szCs w:val="20"/>
          <w:color w:val="auto"/>
        </w:rPr>
      </w:pPr>
    </w:p>
    <w:p>
      <w:pPr>
        <w:ind w:right="1320"/>
        <w:spacing w:after="0" w:line="270" w:lineRule="auto"/>
        <w:rPr>
          <w:sz w:val="20"/>
          <w:szCs w:val="20"/>
          <w:color w:val="auto"/>
        </w:rPr>
      </w:pPr>
      <w:r>
        <w:rPr>
          <w:rFonts w:ascii="Arial" w:cs="Arial" w:eastAsia="Arial" w:hAnsi="Arial"/>
          <w:sz w:val="29"/>
          <w:szCs w:val="29"/>
          <w:b w:val="1"/>
          <w:bCs w:val="1"/>
          <w:color w:val="B2B3B6"/>
        </w:rPr>
        <w:t>HURON CONSULTING GROUP INC. STOCK OWNERSHIP PARTICIPATION PROGRAM (AS AMENDED EFFECTIVE MARCH 22, 2024)</w:t>
      </w:r>
    </w:p>
    <w:p>
      <w:pPr>
        <w:spacing w:after="0" w:line="245" w:lineRule="exact"/>
        <w:rPr>
          <w:sz w:val="20"/>
          <w:szCs w:val="20"/>
          <w:color w:val="auto"/>
        </w:rPr>
      </w:pPr>
    </w:p>
    <w:p>
      <w:pPr>
        <w:ind w:left="340" w:hanging="332"/>
        <w:spacing w:after="0" w:line="300" w:lineRule="auto"/>
        <w:tabs>
          <w:tab w:leader="none" w:pos="340" w:val="left"/>
        </w:tabs>
        <w:numPr>
          <w:ilvl w:val="0"/>
          <w:numId w:val="155"/>
        </w:numPr>
        <w:rPr>
          <w:rFonts w:ascii="Arial" w:cs="Arial" w:eastAsia="Arial" w:hAnsi="Arial"/>
          <w:sz w:val="16"/>
          <w:szCs w:val="16"/>
          <w:color w:val="auto"/>
        </w:rPr>
      </w:pPr>
      <w:r>
        <w:rPr>
          <w:rFonts w:ascii="Arial" w:cs="Arial" w:eastAsia="Arial" w:hAnsi="Arial"/>
          <w:sz w:val="16"/>
          <w:szCs w:val="16"/>
          <w:b w:val="1"/>
          <w:bCs w:val="1"/>
          <w:color w:val="auto"/>
        </w:rPr>
        <w:t xml:space="preserve">Purpose and History. </w:t>
      </w:r>
      <w:r>
        <w:rPr>
          <w:rFonts w:ascii="Arial" w:cs="Arial" w:eastAsia="Arial" w:hAnsi="Arial"/>
          <w:sz w:val="16"/>
          <w:szCs w:val="16"/>
          <w:color w:val="auto"/>
        </w:rPr>
        <w:t>The purpose of the Huron Consulting Group Inc. (the “Company”) Stock Ownership Participation</w:t>
      </w:r>
      <w:r>
        <w:rPr>
          <w:rFonts w:ascii="Arial" w:cs="Arial" w:eastAsia="Arial" w:hAnsi="Arial"/>
          <w:sz w:val="16"/>
          <w:szCs w:val="16"/>
          <w:b w:val="1"/>
          <w:bCs w:val="1"/>
          <w:color w:val="auto"/>
        </w:rPr>
        <w:t xml:space="preserve"> </w:t>
      </w:r>
      <w:r>
        <w:rPr>
          <w:rFonts w:ascii="Arial" w:cs="Arial" w:eastAsia="Arial" w:hAnsi="Arial"/>
          <w:sz w:val="16"/>
          <w:szCs w:val="16"/>
          <w:color w:val="auto"/>
        </w:rPr>
        <w:t>Program (the “Plan”) is to provide eligible Employees of the Company and Participating Subsidiaries with an opportunity to purchase common stock of the Company through payroll deductions and, through such ownership, to promote alignment with the interests of stockholders of the Company, to stimulate their commitment to the business objectives of the</w:t>
      </w:r>
    </w:p>
    <w:p>
      <w:pPr>
        <w:spacing w:after="0" w:line="200" w:lineRule="exact"/>
        <w:rPr>
          <w:sz w:val="20"/>
          <w:szCs w:val="20"/>
          <w:color w:val="auto"/>
        </w:rPr>
      </w:pPr>
    </w:p>
    <w:p>
      <w:pPr>
        <w:spacing w:after="0" w:line="226" w:lineRule="exact"/>
        <w:rPr>
          <w:sz w:val="20"/>
          <w:szCs w:val="20"/>
          <w:color w:val="auto"/>
        </w:rPr>
      </w:pPr>
    </w:p>
    <w:p>
      <w:pPr>
        <w:ind w:left="60"/>
        <w:spacing w:after="0"/>
        <w:tabs>
          <w:tab w:leader="none" w:pos="442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13"/>
          <w:szCs w:val="13"/>
          <w:b w:val="1"/>
          <w:bCs w:val="1"/>
          <w:color w:val="00558C"/>
        </w:rPr>
        <w:t>B-1</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351790</wp:posOffset>
            </wp:positionV>
            <wp:extent cx="6810375" cy="391668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10375" cy="3916680"/>
                    </a:xfrm>
                    <a:prstGeom prst="rect">
                      <a:avLst/>
                    </a:prstGeom>
                    <a:noFill/>
                  </pic:spPr>
                </pic:pic>
              </a:graphicData>
            </a:graphic>
          </wp:anchor>
        </w:drawing>
      </w:r>
    </w:p>
    <w:p>
      <w:pPr>
        <w:sectPr>
          <w:pgSz w:w="11900" w:h="16897" w:orient="portrait"/>
          <w:cols w:equalWidth="0" w:num="1">
            <w:col w:w="9080"/>
          </w:cols>
          <w:pgMar w:left="1400" w:top="132" w:right="14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60"/>
        <w:spacing w:after="0" w:line="274" w:lineRule="auto"/>
        <w:rPr>
          <w:sz w:val="20"/>
          <w:szCs w:val="20"/>
          <w:color w:val="auto"/>
        </w:rPr>
      </w:pPr>
      <w:r>
        <w:rPr>
          <w:rFonts w:ascii="Arial" w:cs="Arial" w:eastAsia="Arial" w:hAnsi="Arial"/>
          <w:sz w:val="13"/>
          <w:szCs w:val="13"/>
          <w:b w:val="1"/>
          <w:bCs w:val="1"/>
          <w:color w:val="B2B3B6"/>
        </w:rPr>
        <w:t>General Proposal Information 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line="274" w:lineRule="auto"/>
        <w:rPr>
          <w:sz w:val="20"/>
          <w:szCs w:val="20"/>
          <w:color w:val="auto"/>
        </w:rPr>
      </w:pPr>
      <w:r>
        <w:rPr>
          <w:rFonts w:ascii="Arial" w:cs="Arial" w:eastAsia="Arial" w:hAnsi="Arial"/>
          <w:sz w:val="13"/>
          <w:szCs w:val="13"/>
          <w:b w:val="1"/>
          <w:bCs w:val="1"/>
          <w:color w:val="B2B3B6"/>
        </w:rPr>
        <w:t>Corporate Proposal Executive Governance Two 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200"/>
        <w:spacing w:after="0" w:line="274" w:lineRule="auto"/>
        <w:rPr>
          <w:sz w:val="20"/>
          <w:szCs w:val="20"/>
          <w:color w:val="auto"/>
        </w:rPr>
      </w:pPr>
      <w:r>
        <w:rPr>
          <w:rFonts w:ascii="Arial" w:cs="Arial" w:eastAsia="Arial" w:hAnsi="Arial"/>
          <w:sz w:val="13"/>
          <w:szCs w:val="13"/>
          <w:b w:val="1"/>
          <w:bCs w:val="1"/>
          <w:color w:val="B2B3B6"/>
        </w:rPr>
        <w:t xml:space="preserve">Proposal Proposal Proposal Stockholder </w:t>
      </w:r>
      <w:r>
        <w:rPr>
          <w:rFonts w:ascii="Arial" w:cs="Arial" w:eastAsia="Arial" w:hAnsi="Arial"/>
          <w:sz w:val="13"/>
          <w:szCs w:val="13"/>
          <w:b w:val="1"/>
          <w:bCs w:val="1"/>
          <w:color w:val="6AAA37"/>
        </w:rPr>
        <w:t>Other</w:t>
      </w:r>
      <w:r>
        <w:rPr>
          <w:rFonts w:ascii="Arial" w:cs="Arial" w:eastAsia="Arial" w:hAnsi="Arial"/>
          <w:sz w:val="13"/>
          <w:szCs w:val="13"/>
          <w:b w:val="1"/>
          <w:bCs w:val="1"/>
          <w:color w:val="B2B3B6"/>
        </w:rPr>
        <w:t xml:space="preserve"> Three Four Five Proposals </w:t>
      </w:r>
      <w:r>
        <w:rPr>
          <w:rFonts w:ascii="Arial" w:cs="Arial" w:eastAsia="Arial" w:hAnsi="Arial"/>
          <w:sz w:val="13"/>
          <w:szCs w:val="13"/>
          <w:b w:val="1"/>
          <w:bCs w:val="1"/>
          <w:color w:val="6AAA37"/>
        </w:rPr>
        <w:t>Matters</w:t>
      </w:r>
    </w:p>
    <w:p>
      <w:pPr>
        <w:spacing w:after="0" w:line="200" w:lineRule="exact"/>
        <w:rPr>
          <w:sz w:val="20"/>
          <w:szCs w:val="20"/>
          <w:color w:val="auto"/>
        </w:rPr>
      </w:pPr>
    </w:p>
    <w:p>
      <w:pPr>
        <w:sectPr>
          <w:pgSz w:w="11900" w:h="16897" w:orient="portrait"/>
          <w:cols w:equalWidth="0" w:num="3">
            <w:col w:w="1600" w:space="300"/>
            <w:col w:w="2700" w:space="320"/>
            <w:col w:w="4160"/>
          </w:cols>
          <w:pgMar w:left="1400" w:top="132" w:right="1419" w:bottom="0" w:gutter="0" w:footer="0" w:header="0"/>
          <w:type w:val="continuous"/>
        </w:sectPr>
      </w:pPr>
    </w:p>
    <w:p>
      <w:pPr>
        <w:spacing w:after="0" w:line="151" w:lineRule="exact"/>
        <w:rPr>
          <w:sz w:val="20"/>
          <w:szCs w:val="20"/>
          <w:color w:val="auto"/>
        </w:rPr>
      </w:pPr>
    </w:p>
    <w:p>
      <w:pPr>
        <w:ind w:left="340" w:right="100"/>
        <w:spacing w:after="0" w:line="301" w:lineRule="auto"/>
        <w:rPr>
          <w:sz w:val="20"/>
          <w:szCs w:val="20"/>
          <w:color w:val="auto"/>
        </w:rPr>
      </w:pPr>
      <w:r>
        <w:rPr>
          <w:rFonts w:ascii="Arial" w:cs="Arial" w:eastAsia="Arial" w:hAnsi="Arial"/>
          <w:sz w:val="16"/>
          <w:szCs w:val="16"/>
          <w:color w:val="auto"/>
        </w:rPr>
        <w:t>Company and to maintain their motivation through the opportunity to share in the growth of the Company. The Plan is not intended to qualify as an “Employee Stock Purchase Plan” under Section 423 of the Internal Revenue Code of 1986, as amended.</w:t>
      </w:r>
    </w:p>
    <w:p>
      <w:pPr>
        <w:spacing w:after="0" w:line="104" w:lineRule="exact"/>
        <w:rPr>
          <w:sz w:val="20"/>
          <w:szCs w:val="20"/>
          <w:color w:val="auto"/>
        </w:rPr>
      </w:pPr>
    </w:p>
    <w:p>
      <w:pPr>
        <w:ind w:left="340"/>
        <w:spacing w:after="0" w:line="288" w:lineRule="auto"/>
        <w:rPr>
          <w:sz w:val="20"/>
          <w:szCs w:val="20"/>
          <w:color w:val="auto"/>
        </w:rPr>
      </w:pPr>
      <w:r>
        <w:rPr>
          <w:rFonts w:ascii="Arial" w:cs="Arial" w:eastAsia="Arial" w:hAnsi="Arial"/>
          <w:sz w:val="16"/>
          <w:szCs w:val="16"/>
          <w:color w:val="auto"/>
        </w:rPr>
        <w:t>The Plan was originally adopted in 2005 as part of the Company’s Omnibus Incentive Plan, as amended, (the “Omnibus Plan”) to provide eligible Employees an annual opportunity to purchase common stock of the Company through deductions from Annual Incentive Bonuses. In 2011, the Plan was amended to provide eligible Employees additional quarterly opportunities to purchase common stock through regular payroll deductions and cash contributions. The Plan was further restated effective June 1, 2015 as a standalone plan; amended on May 8, 2020 to increase the shares available under the Plan; and amended on December 1, 2020 to reflect some administrative type changes. Common stock of the Company purchased or granted hereunder shall be subject to the terms and conditions of this Plan and, as applicable, the restricted share grant agreements issued hereunder. This document memorializes the terms of the Plan on and after November 23, 2022.</w:t>
      </w:r>
    </w:p>
    <w:p>
      <w:pPr>
        <w:spacing w:after="0" w:line="119" w:lineRule="exact"/>
        <w:rPr>
          <w:sz w:val="20"/>
          <w:szCs w:val="20"/>
          <w:color w:val="auto"/>
        </w:rPr>
      </w:pPr>
    </w:p>
    <w:p>
      <w:pPr>
        <w:ind w:left="340" w:right="300" w:hanging="332"/>
        <w:spacing w:after="0" w:line="339" w:lineRule="auto"/>
        <w:tabs>
          <w:tab w:leader="none" w:pos="340" w:val="left"/>
        </w:tabs>
        <w:numPr>
          <w:ilvl w:val="0"/>
          <w:numId w:val="156"/>
        </w:numPr>
        <w:rPr>
          <w:rFonts w:ascii="Arial" w:cs="Arial" w:eastAsia="Arial" w:hAnsi="Arial"/>
          <w:sz w:val="16"/>
          <w:szCs w:val="16"/>
          <w:color w:val="auto"/>
        </w:rPr>
      </w:pPr>
      <w:r>
        <w:rPr>
          <w:rFonts w:ascii="Arial" w:cs="Arial" w:eastAsia="Arial" w:hAnsi="Arial"/>
          <w:sz w:val="16"/>
          <w:szCs w:val="16"/>
          <w:b w:val="1"/>
          <w:bCs w:val="1"/>
          <w:color w:val="auto"/>
        </w:rPr>
        <w:t xml:space="preserve">Definitions. </w:t>
      </w:r>
      <w:r>
        <w:rPr>
          <w:rFonts w:ascii="Arial" w:cs="Arial" w:eastAsia="Arial" w:hAnsi="Arial"/>
          <w:sz w:val="16"/>
          <w:szCs w:val="16"/>
          <w:color w:val="auto"/>
        </w:rPr>
        <w:t>As used herein, the terms set forth below have the meanings assigned to them in this Section 2 and shall</w:t>
      </w:r>
      <w:r>
        <w:rPr>
          <w:rFonts w:ascii="Arial" w:cs="Arial" w:eastAsia="Arial" w:hAnsi="Arial"/>
          <w:sz w:val="16"/>
          <w:szCs w:val="16"/>
          <w:b w:val="1"/>
          <w:bCs w:val="1"/>
          <w:color w:val="auto"/>
        </w:rPr>
        <w:t xml:space="preserve"> </w:t>
      </w:r>
      <w:r>
        <w:rPr>
          <w:rFonts w:ascii="Arial" w:cs="Arial" w:eastAsia="Arial" w:hAnsi="Arial"/>
          <w:sz w:val="16"/>
          <w:szCs w:val="16"/>
          <w:color w:val="auto"/>
        </w:rPr>
        <w:t>include the plural as well as the singular.</w:t>
      </w:r>
    </w:p>
    <w:p>
      <w:pPr>
        <w:spacing w:after="0" w:line="60" w:lineRule="exact"/>
        <w:rPr>
          <w:rFonts w:ascii="Arial" w:cs="Arial" w:eastAsia="Arial" w:hAnsi="Arial"/>
          <w:sz w:val="16"/>
          <w:szCs w:val="16"/>
          <w:color w:val="auto"/>
        </w:rPr>
      </w:pPr>
    </w:p>
    <w:p>
      <w:pPr>
        <w:ind w:left="660" w:hanging="328"/>
        <w:spacing w:after="0"/>
        <w:tabs>
          <w:tab w:leader="none" w:pos="660" w:val="left"/>
        </w:tabs>
        <w:numPr>
          <w:ilvl w:val="1"/>
          <w:numId w:val="156"/>
        </w:numPr>
        <w:rPr>
          <w:rFonts w:ascii="Arial" w:cs="Arial" w:eastAsia="Arial" w:hAnsi="Arial"/>
          <w:sz w:val="16"/>
          <w:szCs w:val="16"/>
          <w:color w:val="auto"/>
        </w:rPr>
      </w:pPr>
      <w:r>
        <w:rPr>
          <w:rFonts w:ascii="Arial" w:cs="Arial" w:eastAsia="Arial" w:hAnsi="Arial"/>
          <w:sz w:val="16"/>
          <w:szCs w:val="16"/>
          <w:b w:val="1"/>
          <w:bCs w:val="1"/>
          <w:color w:val="auto"/>
        </w:rPr>
        <w:t xml:space="preserve">“1933 Act” </w:t>
      </w:r>
      <w:r>
        <w:rPr>
          <w:rFonts w:ascii="Arial" w:cs="Arial" w:eastAsia="Arial" w:hAnsi="Arial"/>
          <w:sz w:val="16"/>
          <w:szCs w:val="16"/>
          <w:color w:val="auto"/>
        </w:rPr>
        <w:t>means the Securities Act of 1933, as amended.</w:t>
      </w:r>
    </w:p>
    <w:p>
      <w:pPr>
        <w:spacing w:after="0" w:line="180" w:lineRule="exact"/>
        <w:rPr>
          <w:rFonts w:ascii="Arial" w:cs="Arial" w:eastAsia="Arial" w:hAnsi="Arial"/>
          <w:sz w:val="16"/>
          <w:szCs w:val="16"/>
          <w:color w:val="auto"/>
        </w:rPr>
      </w:pPr>
    </w:p>
    <w:p>
      <w:pPr>
        <w:ind w:left="660" w:hanging="328"/>
        <w:spacing w:after="0"/>
        <w:tabs>
          <w:tab w:leader="none" w:pos="660" w:val="left"/>
        </w:tabs>
        <w:numPr>
          <w:ilvl w:val="1"/>
          <w:numId w:val="156"/>
        </w:numPr>
        <w:rPr>
          <w:rFonts w:ascii="Arial" w:cs="Arial" w:eastAsia="Arial" w:hAnsi="Arial"/>
          <w:sz w:val="16"/>
          <w:szCs w:val="16"/>
          <w:color w:val="auto"/>
        </w:rPr>
      </w:pPr>
      <w:r>
        <w:rPr>
          <w:rFonts w:ascii="Arial" w:cs="Arial" w:eastAsia="Arial" w:hAnsi="Arial"/>
          <w:sz w:val="16"/>
          <w:szCs w:val="16"/>
          <w:b w:val="1"/>
          <w:bCs w:val="1"/>
          <w:color w:val="auto"/>
        </w:rPr>
        <w:t xml:space="preserve">“1934 Act” </w:t>
      </w:r>
      <w:r>
        <w:rPr>
          <w:rFonts w:ascii="Arial" w:cs="Arial" w:eastAsia="Arial" w:hAnsi="Arial"/>
          <w:sz w:val="16"/>
          <w:szCs w:val="16"/>
          <w:color w:val="auto"/>
        </w:rPr>
        <w:t>means the Securities Exchange Act of 1934, as amended.</w:t>
      </w:r>
    </w:p>
    <w:p>
      <w:pPr>
        <w:spacing w:after="0" w:line="180" w:lineRule="exact"/>
        <w:rPr>
          <w:rFonts w:ascii="Arial" w:cs="Arial" w:eastAsia="Arial" w:hAnsi="Arial"/>
          <w:sz w:val="16"/>
          <w:szCs w:val="16"/>
          <w:color w:val="auto"/>
        </w:rPr>
      </w:pPr>
    </w:p>
    <w:p>
      <w:pPr>
        <w:ind w:left="660" w:hanging="328"/>
        <w:spacing w:after="0"/>
        <w:tabs>
          <w:tab w:leader="none" w:pos="660" w:val="left"/>
        </w:tabs>
        <w:numPr>
          <w:ilvl w:val="1"/>
          <w:numId w:val="156"/>
        </w:numPr>
        <w:rPr>
          <w:rFonts w:ascii="Arial" w:cs="Arial" w:eastAsia="Arial" w:hAnsi="Arial"/>
          <w:sz w:val="16"/>
          <w:szCs w:val="16"/>
          <w:color w:val="auto"/>
        </w:rPr>
      </w:pPr>
      <w:r>
        <w:rPr>
          <w:rFonts w:ascii="Arial" w:cs="Arial" w:eastAsia="Arial" w:hAnsi="Arial"/>
          <w:sz w:val="16"/>
          <w:szCs w:val="16"/>
          <w:b w:val="1"/>
          <w:bCs w:val="1"/>
          <w:color w:val="auto"/>
        </w:rPr>
        <w:t>“Annual Incentive Bonus</w:t>
      </w:r>
      <w:r>
        <w:rPr>
          <w:rFonts w:ascii="Arial" w:cs="Arial" w:eastAsia="Arial" w:hAnsi="Arial"/>
          <w:sz w:val="16"/>
          <w:szCs w:val="16"/>
          <w:color w:val="auto"/>
        </w:rPr>
        <w:t>” means a Participant’s annual incentive bonus.</w:t>
      </w:r>
    </w:p>
    <w:p>
      <w:pPr>
        <w:spacing w:after="0" w:line="180" w:lineRule="exact"/>
        <w:rPr>
          <w:rFonts w:ascii="Arial" w:cs="Arial" w:eastAsia="Arial" w:hAnsi="Arial"/>
          <w:sz w:val="16"/>
          <w:szCs w:val="16"/>
          <w:color w:val="auto"/>
        </w:rPr>
      </w:pPr>
    </w:p>
    <w:p>
      <w:pPr>
        <w:ind w:left="660" w:right="200" w:hanging="328"/>
        <w:spacing w:after="0" w:line="321" w:lineRule="auto"/>
        <w:tabs>
          <w:tab w:leader="none" w:pos="660" w:val="left"/>
        </w:tabs>
        <w:numPr>
          <w:ilvl w:val="1"/>
          <w:numId w:val="156"/>
        </w:numPr>
        <w:rPr>
          <w:rFonts w:ascii="Arial" w:cs="Arial" w:eastAsia="Arial" w:hAnsi="Arial"/>
          <w:sz w:val="16"/>
          <w:szCs w:val="16"/>
          <w:color w:val="auto"/>
        </w:rPr>
      </w:pPr>
      <w:r>
        <w:rPr>
          <w:rFonts w:ascii="Arial" w:cs="Arial" w:eastAsia="Arial" w:hAnsi="Arial"/>
          <w:sz w:val="16"/>
          <w:szCs w:val="16"/>
          <w:b w:val="1"/>
          <w:bCs w:val="1"/>
          <w:color w:val="auto"/>
        </w:rPr>
        <w:t xml:space="preserve">“Base Salary” </w:t>
      </w:r>
      <w:r>
        <w:rPr>
          <w:rFonts w:ascii="Arial" w:cs="Arial" w:eastAsia="Arial" w:hAnsi="Arial"/>
          <w:sz w:val="16"/>
          <w:szCs w:val="16"/>
          <w:color w:val="auto"/>
        </w:rPr>
        <w:t>means regular earnings excluding payments for overtime, bonuses, and all other special payments,</w:t>
      </w:r>
      <w:r>
        <w:rPr>
          <w:rFonts w:ascii="Arial" w:cs="Arial" w:eastAsia="Arial" w:hAnsi="Arial"/>
          <w:sz w:val="16"/>
          <w:szCs w:val="16"/>
          <w:b w:val="1"/>
          <w:bCs w:val="1"/>
          <w:color w:val="auto"/>
        </w:rPr>
        <w:t xml:space="preserve"> </w:t>
      </w:r>
      <w:r>
        <w:rPr>
          <w:rFonts w:ascii="Arial" w:cs="Arial" w:eastAsia="Arial" w:hAnsi="Arial"/>
          <w:sz w:val="16"/>
          <w:szCs w:val="16"/>
          <w:color w:val="auto"/>
        </w:rPr>
        <w:t>commissions, and incentive payments.</w:t>
      </w:r>
    </w:p>
    <w:p>
      <w:pPr>
        <w:sectPr>
          <w:pgSz w:w="11900" w:h="16897" w:orient="portrait"/>
          <w:cols w:equalWidth="0" w:num="1">
            <w:col w:w="9080"/>
          </w:cols>
          <w:pgMar w:left="1400" w:top="132" w:right="1419" w:bottom="0" w:gutter="0" w:footer="0" w:header="0"/>
          <w:type w:val="continuous"/>
        </w:sectPr>
      </w:pPr>
    </w:p>
    <w:bookmarkStart w:id="99" w:name="page100"/>
    <w:bookmarkEnd w:id="99"/>
    <w:p>
      <w:pPr>
        <w:ind w:left="652" w:hanging="328"/>
        <w:spacing w:after="0"/>
        <w:tabs>
          <w:tab w:leader="none" w:pos="652" w:val="left"/>
        </w:tabs>
        <w:numPr>
          <w:ilvl w:val="0"/>
          <w:numId w:val="157"/>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493966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10375" cy="4939665"/>
                    </a:xfrm>
                    <a:prstGeom prst="rect">
                      <a:avLst/>
                    </a:prstGeom>
                    <a:noFill/>
                  </pic:spPr>
                </pic:pic>
              </a:graphicData>
            </a:graphic>
          </wp:anchor>
        </w:drawing>
        <w:t xml:space="preserve">“Board of Directors” or “Board” </w:t>
      </w:r>
      <w:r>
        <w:rPr>
          <w:rFonts w:ascii="Arial" w:cs="Arial" w:eastAsia="Arial" w:hAnsi="Arial"/>
          <w:sz w:val="16"/>
          <w:szCs w:val="16"/>
          <w:color w:val="auto"/>
        </w:rPr>
        <w:t>means the board of directors of Huron Consulting Group Inc.</w:t>
      </w:r>
    </w:p>
    <w:p>
      <w:pPr>
        <w:spacing w:after="0" w:line="180" w:lineRule="exact"/>
        <w:rPr>
          <w:rFonts w:ascii="Arial" w:cs="Arial" w:eastAsia="Arial" w:hAnsi="Arial"/>
          <w:sz w:val="16"/>
          <w:szCs w:val="16"/>
          <w:color w:val="auto"/>
        </w:rPr>
      </w:pPr>
    </w:p>
    <w:p>
      <w:pPr>
        <w:ind w:left="652" w:right="400" w:hanging="328"/>
        <w:spacing w:after="0" w:line="321" w:lineRule="auto"/>
        <w:tabs>
          <w:tab w:leader="none" w:pos="652" w:val="left"/>
        </w:tabs>
        <w:numPr>
          <w:ilvl w:val="0"/>
          <w:numId w:val="157"/>
        </w:numPr>
        <w:rPr>
          <w:rFonts w:ascii="Arial" w:cs="Arial" w:eastAsia="Arial" w:hAnsi="Arial"/>
          <w:sz w:val="16"/>
          <w:szCs w:val="16"/>
          <w:color w:val="auto"/>
        </w:rPr>
      </w:pPr>
      <w:r>
        <w:rPr>
          <w:rFonts w:ascii="Arial" w:cs="Arial" w:eastAsia="Arial" w:hAnsi="Arial"/>
          <w:sz w:val="16"/>
          <w:szCs w:val="16"/>
          <w:b w:val="1"/>
          <w:bCs w:val="1"/>
          <w:color w:val="auto"/>
        </w:rPr>
        <w:t xml:space="preserve">“Bonus Offering Period” </w:t>
      </w:r>
      <w:r>
        <w:rPr>
          <w:rFonts w:ascii="Arial" w:cs="Arial" w:eastAsia="Arial" w:hAnsi="Arial"/>
          <w:sz w:val="16"/>
          <w:szCs w:val="16"/>
          <w:color w:val="auto"/>
        </w:rPr>
        <w:t>means an annual offering of the Company’s Shares beginning and terminating on the</w:t>
      </w:r>
      <w:r>
        <w:rPr>
          <w:rFonts w:ascii="Arial" w:cs="Arial" w:eastAsia="Arial" w:hAnsi="Arial"/>
          <w:sz w:val="16"/>
          <w:szCs w:val="16"/>
          <w:b w:val="1"/>
          <w:bCs w:val="1"/>
          <w:color w:val="auto"/>
        </w:rPr>
        <w:t xml:space="preserve"> </w:t>
      </w:r>
      <w:r>
        <w:rPr>
          <w:rFonts w:ascii="Arial" w:cs="Arial" w:eastAsia="Arial" w:hAnsi="Arial"/>
          <w:sz w:val="16"/>
          <w:szCs w:val="16"/>
          <w:color w:val="auto"/>
        </w:rPr>
        <w:t>dates selected by the Company.</w:t>
      </w:r>
    </w:p>
    <w:p>
      <w:pPr>
        <w:spacing w:after="0" w:line="88" w:lineRule="exact"/>
        <w:rPr>
          <w:rFonts w:ascii="Arial" w:cs="Arial" w:eastAsia="Arial" w:hAnsi="Arial"/>
          <w:sz w:val="16"/>
          <w:szCs w:val="16"/>
          <w:color w:val="auto"/>
        </w:rPr>
      </w:pPr>
    </w:p>
    <w:p>
      <w:pPr>
        <w:ind w:left="652" w:right="280" w:hanging="328"/>
        <w:spacing w:after="0" w:line="321" w:lineRule="auto"/>
        <w:tabs>
          <w:tab w:leader="none" w:pos="652" w:val="left"/>
        </w:tabs>
        <w:numPr>
          <w:ilvl w:val="0"/>
          <w:numId w:val="157"/>
        </w:numPr>
        <w:rPr>
          <w:rFonts w:ascii="Arial" w:cs="Arial" w:eastAsia="Arial" w:hAnsi="Arial"/>
          <w:sz w:val="16"/>
          <w:szCs w:val="16"/>
          <w:color w:val="auto"/>
        </w:rPr>
      </w:pPr>
      <w:r>
        <w:rPr>
          <w:rFonts w:ascii="Arial" w:cs="Arial" w:eastAsia="Arial" w:hAnsi="Arial"/>
          <w:sz w:val="16"/>
          <w:szCs w:val="16"/>
          <w:b w:val="1"/>
          <w:bCs w:val="1"/>
          <w:color w:val="auto"/>
        </w:rPr>
        <w:t xml:space="preserve">“Broker” </w:t>
      </w:r>
      <w:r>
        <w:rPr>
          <w:rFonts w:ascii="Arial" w:cs="Arial" w:eastAsia="Arial" w:hAnsi="Arial"/>
          <w:sz w:val="16"/>
          <w:szCs w:val="16"/>
          <w:color w:val="auto"/>
        </w:rPr>
        <w:t>means the brokerage firm or financial institution retained to perform administrative services described in</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11(b).</w:t>
      </w:r>
    </w:p>
    <w:p>
      <w:pPr>
        <w:spacing w:after="0" w:line="88" w:lineRule="exact"/>
        <w:rPr>
          <w:rFonts w:ascii="Arial" w:cs="Arial" w:eastAsia="Arial" w:hAnsi="Arial"/>
          <w:sz w:val="16"/>
          <w:szCs w:val="16"/>
          <w:color w:val="auto"/>
        </w:rPr>
      </w:pPr>
    </w:p>
    <w:p>
      <w:pPr>
        <w:ind w:left="652" w:hanging="328"/>
        <w:spacing w:after="0"/>
        <w:tabs>
          <w:tab w:leader="none" w:pos="652" w:val="left"/>
        </w:tabs>
        <w:numPr>
          <w:ilvl w:val="0"/>
          <w:numId w:val="157"/>
        </w:numPr>
        <w:rPr>
          <w:rFonts w:ascii="Arial" w:cs="Arial" w:eastAsia="Arial" w:hAnsi="Arial"/>
          <w:sz w:val="16"/>
          <w:szCs w:val="16"/>
          <w:color w:val="auto"/>
        </w:rPr>
      </w:pPr>
      <w:r>
        <w:rPr>
          <w:rFonts w:ascii="Arial" w:cs="Arial" w:eastAsia="Arial" w:hAnsi="Arial"/>
          <w:sz w:val="16"/>
          <w:szCs w:val="16"/>
          <w:b w:val="1"/>
          <w:bCs w:val="1"/>
          <w:color w:val="auto"/>
        </w:rPr>
        <w:t xml:space="preserve">“Business Day” </w:t>
      </w:r>
      <w:r>
        <w:rPr>
          <w:rFonts w:ascii="Arial" w:cs="Arial" w:eastAsia="Arial" w:hAnsi="Arial"/>
          <w:sz w:val="16"/>
          <w:szCs w:val="16"/>
          <w:color w:val="auto"/>
        </w:rPr>
        <w:t>shall mean a day on which the Nasdaq Stock Market (“Nasdaq”) is open for trading.</w:t>
      </w:r>
    </w:p>
    <w:p>
      <w:pPr>
        <w:spacing w:after="0" w:line="180" w:lineRule="exact"/>
        <w:rPr>
          <w:rFonts w:ascii="Arial" w:cs="Arial" w:eastAsia="Arial" w:hAnsi="Arial"/>
          <w:sz w:val="16"/>
          <w:szCs w:val="16"/>
          <w:color w:val="auto"/>
        </w:rPr>
      </w:pPr>
    </w:p>
    <w:p>
      <w:pPr>
        <w:ind w:left="652" w:hanging="328"/>
        <w:spacing w:after="0"/>
        <w:tabs>
          <w:tab w:leader="none" w:pos="652" w:val="left"/>
        </w:tabs>
        <w:numPr>
          <w:ilvl w:val="0"/>
          <w:numId w:val="157"/>
        </w:numPr>
        <w:rPr>
          <w:rFonts w:ascii="Arial" w:cs="Arial" w:eastAsia="Arial" w:hAnsi="Arial"/>
          <w:sz w:val="16"/>
          <w:szCs w:val="16"/>
          <w:color w:val="auto"/>
        </w:rPr>
      </w:pPr>
      <w:r>
        <w:rPr>
          <w:rFonts w:ascii="Arial" w:cs="Arial" w:eastAsia="Arial" w:hAnsi="Arial"/>
          <w:sz w:val="16"/>
          <w:szCs w:val="16"/>
          <w:b w:val="1"/>
          <w:bCs w:val="1"/>
          <w:color w:val="auto"/>
        </w:rPr>
        <w:t xml:space="preserve">“Brokerage Account” </w:t>
      </w:r>
      <w:r>
        <w:rPr>
          <w:rFonts w:ascii="Arial" w:cs="Arial" w:eastAsia="Arial" w:hAnsi="Arial"/>
          <w:sz w:val="16"/>
          <w:szCs w:val="16"/>
          <w:color w:val="auto"/>
        </w:rPr>
        <w:t>means the account in which the Purchased Shares and Matched Shares are held.</w:t>
      </w:r>
    </w:p>
    <w:p>
      <w:pPr>
        <w:spacing w:after="0" w:line="180" w:lineRule="exact"/>
        <w:rPr>
          <w:rFonts w:ascii="Arial" w:cs="Arial" w:eastAsia="Arial" w:hAnsi="Arial"/>
          <w:sz w:val="16"/>
          <w:szCs w:val="16"/>
          <w:color w:val="auto"/>
        </w:rPr>
      </w:pPr>
    </w:p>
    <w:p>
      <w:pPr>
        <w:ind w:left="652" w:hanging="328"/>
        <w:spacing w:after="0"/>
        <w:tabs>
          <w:tab w:leader="none" w:pos="652" w:val="left"/>
        </w:tabs>
        <w:numPr>
          <w:ilvl w:val="0"/>
          <w:numId w:val="157"/>
        </w:numPr>
        <w:rPr>
          <w:rFonts w:ascii="Arial" w:cs="Arial" w:eastAsia="Arial" w:hAnsi="Arial"/>
          <w:sz w:val="16"/>
          <w:szCs w:val="16"/>
          <w:color w:val="auto"/>
        </w:rPr>
      </w:pPr>
      <w:r>
        <w:rPr>
          <w:rFonts w:ascii="Arial" w:cs="Arial" w:eastAsia="Arial" w:hAnsi="Arial"/>
          <w:sz w:val="16"/>
          <w:szCs w:val="16"/>
          <w:b w:val="1"/>
          <w:bCs w:val="1"/>
          <w:color w:val="auto"/>
        </w:rPr>
        <w:t xml:space="preserve">“Code” </w:t>
      </w:r>
      <w:r>
        <w:rPr>
          <w:rFonts w:ascii="Arial" w:cs="Arial" w:eastAsia="Arial" w:hAnsi="Arial"/>
          <w:sz w:val="16"/>
          <w:szCs w:val="16"/>
          <w:color w:val="auto"/>
        </w:rPr>
        <w:t>means the Internal Revenue Code of 1986, as amended from time to time.</w:t>
      </w:r>
    </w:p>
    <w:p>
      <w:pPr>
        <w:spacing w:after="0" w:line="180" w:lineRule="exact"/>
        <w:rPr>
          <w:rFonts w:ascii="Arial" w:cs="Arial" w:eastAsia="Arial" w:hAnsi="Arial"/>
          <w:sz w:val="16"/>
          <w:szCs w:val="16"/>
          <w:color w:val="auto"/>
        </w:rPr>
      </w:pPr>
    </w:p>
    <w:p>
      <w:pPr>
        <w:ind w:left="652" w:right="200" w:hanging="328"/>
        <w:spacing w:after="0" w:line="301" w:lineRule="auto"/>
        <w:tabs>
          <w:tab w:leader="none" w:pos="652" w:val="left"/>
        </w:tabs>
        <w:numPr>
          <w:ilvl w:val="0"/>
          <w:numId w:val="157"/>
        </w:numPr>
        <w:rPr>
          <w:rFonts w:ascii="Arial" w:cs="Arial" w:eastAsia="Arial" w:hAnsi="Arial"/>
          <w:sz w:val="16"/>
          <w:szCs w:val="16"/>
          <w:color w:val="auto"/>
        </w:rPr>
      </w:pPr>
      <w:r>
        <w:rPr>
          <w:rFonts w:ascii="Arial" w:cs="Arial" w:eastAsia="Arial" w:hAnsi="Arial"/>
          <w:sz w:val="16"/>
          <w:szCs w:val="16"/>
          <w:b w:val="1"/>
          <w:bCs w:val="1"/>
          <w:color w:val="auto"/>
        </w:rPr>
        <w:t xml:space="preserve">“Committee” </w:t>
      </w:r>
      <w:r>
        <w:rPr>
          <w:rFonts w:ascii="Arial" w:cs="Arial" w:eastAsia="Arial" w:hAnsi="Arial"/>
          <w:sz w:val="16"/>
          <w:szCs w:val="16"/>
          <w:color w:val="auto"/>
        </w:rPr>
        <w:t>means the Compensation Committee of the Board, or, to the extent the Compensation Committee of</w:t>
      </w:r>
      <w:r>
        <w:rPr>
          <w:rFonts w:ascii="Arial" w:cs="Arial" w:eastAsia="Arial" w:hAnsi="Arial"/>
          <w:sz w:val="16"/>
          <w:szCs w:val="16"/>
          <w:b w:val="1"/>
          <w:bCs w:val="1"/>
          <w:color w:val="auto"/>
        </w:rPr>
        <w:t xml:space="preserve"> </w:t>
      </w:r>
      <w:r>
        <w:rPr>
          <w:rFonts w:ascii="Arial" w:cs="Arial" w:eastAsia="Arial" w:hAnsi="Arial"/>
          <w:sz w:val="16"/>
          <w:szCs w:val="16"/>
          <w:color w:val="auto"/>
        </w:rPr>
        <w:t>the Board has delegated certain administrative authority over the Plan to the Internal Committee, then the Internal Committee.</w:t>
      </w:r>
    </w:p>
    <w:p>
      <w:pPr>
        <w:spacing w:after="0" w:line="104" w:lineRule="exact"/>
        <w:rPr>
          <w:rFonts w:ascii="Arial" w:cs="Arial" w:eastAsia="Arial" w:hAnsi="Arial"/>
          <w:sz w:val="16"/>
          <w:szCs w:val="16"/>
          <w:color w:val="auto"/>
        </w:rPr>
      </w:pPr>
    </w:p>
    <w:p>
      <w:pPr>
        <w:ind w:left="652" w:hanging="328"/>
        <w:spacing w:after="0"/>
        <w:tabs>
          <w:tab w:leader="none" w:pos="652" w:val="left"/>
        </w:tabs>
        <w:numPr>
          <w:ilvl w:val="0"/>
          <w:numId w:val="157"/>
        </w:numPr>
        <w:rPr>
          <w:rFonts w:ascii="Arial" w:cs="Arial" w:eastAsia="Arial" w:hAnsi="Arial"/>
          <w:sz w:val="16"/>
          <w:szCs w:val="16"/>
          <w:color w:val="auto"/>
        </w:rPr>
      </w:pPr>
      <w:r>
        <w:rPr>
          <w:rFonts w:ascii="Arial" w:cs="Arial" w:eastAsia="Arial" w:hAnsi="Arial"/>
          <w:sz w:val="16"/>
          <w:szCs w:val="16"/>
          <w:b w:val="1"/>
          <w:bCs w:val="1"/>
          <w:color w:val="auto"/>
        </w:rPr>
        <w:t xml:space="preserve">“Company” </w:t>
      </w:r>
      <w:r>
        <w:rPr>
          <w:rFonts w:ascii="Arial" w:cs="Arial" w:eastAsia="Arial" w:hAnsi="Arial"/>
          <w:sz w:val="16"/>
          <w:szCs w:val="16"/>
          <w:color w:val="auto"/>
        </w:rPr>
        <w:t>means Huron Consulting Group Inc.</w:t>
      </w:r>
    </w:p>
    <w:p>
      <w:pPr>
        <w:spacing w:after="0" w:line="180" w:lineRule="exact"/>
        <w:rPr>
          <w:rFonts w:ascii="Arial" w:cs="Arial" w:eastAsia="Arial" w:hAnsi="Arial"/>
          <w:sz w:val="16"/>
          <w:szCs w:val="16"/>
          <w:color w:val="auto"/>
        </w:rPr>
      </w:pPr>
    </w:p>
    <w:p>
      <w:pPr>
        <w:ind w:left="652" w:hanging="328"/>
        <w:spacing w:after="0"/>
        <w:tabs>
          <w:tab w:leader="none" w:pos="652" w:val="left"/>
        </w:tabs>
        <w:numPr>
          <w:ilvl w:val="0"/>
          <w:numId w:val="157"/>
        </w:numPr>
        <w:rPr>
          <w:rFonts w:ascii="Arial" w:cs="Arial" w:eastAsia="Arial" w:hAnsi="Arial"/>
          <w:sz w:val="16"/>
          <w:szCs w:val="16"/>
          <w:color w:val="auto"/>
        </w:rPr>
      </w:pPr>
      <w:r>
        <w:rPr>
          <w:rFonts w:ascii="Arial" w:cs="Arial" w:eastAsia="Arial" w:hAnsi="Arial"/>
          <w:sz w:val="16"/>
          <w:szCs w:val="16"/>
          <w:b w:val="1"/>
          <w:bCs w:val="1"/>
          <w:color w:val="auto"/>
        </w:rPr>
        <w:t xml:space="preserve">“Effective Date” </w:t>
      </w:r>
      <w:r>
        <w:rPr>
          <w:rFonts w:ascii="Arial" w:cs="Arial" w:eastAsia="Arial" w:hAnsi="Arial"/>
          <w:sz w:val="16"/>
          <w:szCs w:val="16"/>
          <w:color w:val="auto"/>
        </w:rPr>
        <w:t>means March 22, 2024.</w:t>
      </w:r>
    </w:p>
    <w:p>
      <w:pPr>
        <w:spacing w:after="0" w:line="180" w:lineRule="exact"/>
        <w:rPr>
          <w:rFonts w:ascii="Arial" w:cs="Arial" w:eastAsia="Arial" w:hAnsi="Arial"/>
          <w:sz w:val="16"/>
          <w:szCs w:val="16"/>
          <w:color w:val="auto"/>
        </w:rPr>
      </w:pPr>
    </w:p>
    <w:p>
      <w:pPr>
        <w:ind w:left="652" w:hanging="328"/>
        <w:spacing w:after="0" w:line="293" w:lineRule="auto"/>
        <w:tabs>
          <w:tab w:leader="none" w:pos="652" w:val="left"/>
        </w:tabs>
        <w:numPr>
          <w:ilvl w:val="0"/>
          <w:numId w:val="157"/>
        </w:numPr>
        <w:rPr>
          <w:rFonts w:ascii="Arial" w:cs="Arial" w:eastAsia="Arial" w:hAnsi="Arial"/>
          <w:sz w:val="16"/>
          <w:szCs w:val="16"/>
          <w:color w:val="auto"/>
        </w:rPr>
      </w:pPr>
      <w:r>
        <w:rPr>
          <w:rFonts w:ascii="Arial" w:cs="Arial" w:eastAsia="Arial" w:hAnsi="Arial"/>
          <w:sz w:val="16"/>
          <w:szCs w:val="16"/>
          <w:b w:val="1"/>
          <w:bCs w:val="1"/>
          <w:color w:val="auto"/>
        </w:rPr>
        <w:t xml:space="preserve">“Employee” </w:t>
      </w:r>
      <w:r>
        <w:rPr>
          <w:rFonts w:ascii="Arial" w:cs="Arial" w:eastAsia="Arial" w:hAnsi="Arial"/>
          <w:sz w:val="16"/>
          <w:szCs w:val="16"/>
          <w:color w:val="auto"/>
        </w:rPr>
        <w:t>means any individual who is an employee of the Company or any other Participating Subsidiary for tax</w:t>
      </w:r>
      <w:r>
        <w:rPr>
          <w:rFonts w:ascii="Arial" w:cs="Arial" w:eastAsia="Arial" w:hAnsi="Arial"/>
          <w:sz w:val="16"/>
          <w:szCs w:val="16"/>
          <w:b w:val="1"/>
          <w:bCs w:val="1"/>
          <w:color w:val="auto"/>
        </w:rPr>
        <w:t xml:space="preserve"> </w:t>
      </w:r>
      <w:r>
        <w:rPr>
          <w:rFonts w:ascii="Arial" w:cs="Arial" w:eastAsia="Arial" w:hAnsi="Arial"/>
          <w:sz w:val="16"/>
          <w:szCs w:val="16"/>
          <w:color w:val="auto"/>
        </w:rPr>
        <w:t>purposes and who is employed on a non-temporary basis; for the avoidance of doubt, employees who are deemed by the Company to be interns or temporary employees are not “Employees” for purposes of the Plan. For purposes of the Plan, the employment relationship shall be treated as continuing intact while the individual is on sick leave or other leave of absence approved by the Company or the Participating Subsidiary, as appropriate; provided, however, that payroll deductions pursuant to Section 5 shall cease during a Participant’s unpaid leave.</w:t>
      </w:r>
    </w:p>
    <w:p>
      <w:pPr>
        <w:spacing w:after="0" w:line="110" w:lineRule="exact"/>
        <w:rPr>
          <w:rFonts w:ascii="Arial" w:cs="Arial" w:eastAsia="Arial" w:hAnsi="Arial"/>
          <w:sz w:val="16"/>
          <w:szCs w:val="16"/>
          <w:color w:val="auto"/>
        </w:rPr>
      </w:pPr>
    </w:p>
    <w:p>
      <w:pPr>
        <w:ind w:left="652" w:hanging="328"/>
        <w:spacing w:after="0"/>
        <w:tabs>
          <w:tab w:leader="none" w:pos="652" w:val="left"/>
        </w:tabs>
        <w:numPr>
          <w:ilvl w:val="0"/>
          <w:numId w:val="157"/>
        </w:numPr>
        <w:rPr>
          <w:rFonts w:ascii="Arial" w:cs="Arial" w:eastAsia="Arial" w:hAnsi="Arial"/>
          <w:sz w:val="16"/>
          <w:szCs w:val="16"/>
          <w:color w:val="auto"/>
        </w:rPr>
      </w:pPr>
      <w:r>
        <w:rPr>
          <w:rFonts w:ascii="Arial" w:cs="Arial" w:eastAsia="Arial" w:hAnsi="Arial"/>
          <w:sz w:val="16"/>
          <w:szCs w:val="16"/>
          <w:b w:val="1"/>
          <w:bCs w:val="1"/>
          <w:color w:val="auto"/>
        </w:rPr>
        <w:t xml:space="preserve">“Enrollment Date” </w:t>
      </w:r>
      <w:r>
        <w:rPr>
          <w:rFonts w:ascii="Arial" w:cs="Arial" w:eastAsia="Arial" w:hAnsi="Arial"/>
          <w:sz w:val="16"/>
          <w:szCs w:val="16"/>
          <w:color w:val="auto"/>
        </w:rPr>
        <w:t>means the first Business Day of each Offering Period and Bonus Offering Period.</w:t>
      </w:r>
    </w:p>
    <w:p>
      <w:pPr>
        <w:spacing w:after="0" w:line="167" w:lineRule="exact"/>
        <w:rPr>
          <w:rFonts w:ascii="Arial" w:cs="Arial" w:eastAsia="Arial" w:hAnsi="Arial"/>
          <w:sz w:val="16"/>
          <w:szCs w:val="16"/>
          <w:color w:val="auto"/>
        </w:rPr>
      </w:pPr>
    </w:p>
    <w:p>
      <w:pPr>
        <w:ind w:left="652" w:right="180" w:hanging="328"/>
        <w:spacing w:after="0" w:line="339" w:lineRule="auto"/>
        <w:tabs>
          <w:tab w:leader="none" w:pos="652" w:val="left"/>
        </w:tabs>
        <w:numPr>
          <w:ilvl w:val="0"/>
          <w:numId w:val="157"/>
        </w:numPr>
        <w:rPr>
          <w:rFonts w:ascii="Arial" w:cs="Arial" w:eastAsia="Arial" w:hAnsi="Arial"/>
          <w:sz w:val="16"/>
          <w:szCs w:val="16"/>
          <w:color w:val="auto"/>
        </w:rPr>
      </w:pPr>
      <w:r>
        <w:rPr>
          <w:rFonts w:ascii="Arial" w:cs="Arial" w:eastAsia="Arial" w:hAnsi="Arial"/>
          <w:sz w:val="16"/>
          <w:szCs w:val="16"/>
          <w:b w:val="1"/>
          <w:bCs w:val="1"/>
          <w:color w:val="auto"/>
        </w:rPr>
        <w:t xml:space="preserve">“Internal Committee” </w:t>
      </w:r>
      <w:r>
        <w:rPr>
          <w:rFonts w:ascii="Arial" w:cs="Arial" w:eastAsia="Arial" w:hAnsi="Arial"/>
          <w:sz w:val="16"/>
          <w:szCs w:val="16"/>
          <w:color w:val="auto"/>
        </w:rPr>
        <w:t>means a committee comprised of the Company’s Chief Human Resources Officer and Chief</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Officer.</w:t>
      </w:r>
    </w:p>
    <w:p>
      <w:pPr>
        <w:spacing w:after="0" w:line="60" w:lineRule="exact"/>
        <w:rPr>
          <w:rFonts w:ascii="Arial" w:cs="Arial" w:eastAsia="Arial" w:hAnsi="Arial"/>
          <w:sz w:val="16"/>
          <w:szCs w:val="16"/>
          <w:color w:val="auto"/>
        </w:rPr>
      </w:pPr>
    </w:p>
    <w:p>
      <w:pPr>
        <w:ind w:left="652" w:hanging="328"/>
        <w:spacing w:after="0"/>
        <w:tabs>
          <w:tab w:leader="none" w:pos="652" w:val="left"/>
        </w:tabs>
        <w:numPr>
          <w:ilvl w:val="0"/>
          <w:numId w:val="157"/>
        </w:numPr>
        <w:rPr>
          <w:rFonts w:ascii="Arial" w:cs="Arial" w:eastAsia="Arial" w:hAnsi="Arial"/>
          <w:sz w:val="16"/>
          <w:szCs w:val="16"/>
          <w:color w:val="auto"/>
        </w:rPr>
      </w:pPr>
      <w:r>
        <w:rPr>
          <w:rFonts w:ascii="Arial" w:cs="Arial" w:eastAsia="Arial" w:hAnsi="Arial"/>
          <w:sz w:val="16"/>
          <w:szCs w:val="16"/>
          <w:b w:val="1"/>
          <w:bCs w:val="1"/>
          <w:color w:val="auto"/>
        </w:rPr>
        <w:t xml:space="preserve">“Matched Shares” </w:t>
      </w:r>
      <w:r>
        <w:rPr>
          <w:rFonts w:ascii="Arial" w:cs="Arial" w:eastAsia="Arial" w:hAnsi="Arial"/>
          <w:sz w:val="16"/>
          <w:szCs w:val="16"/>
          <w:color w:val="auto"/>
        </w:rPr>
        <w:t>means the restricted Shares issued pursuant to Section 8 of the Plan.</w:t>
      </w:r>
    </w:p>
    <w:p>
      <w:pPr>
        <w:spacing w:after="0" w:line="200" w:lineRule="exact"/>
        <w:rPr>
          <w:sz w:val="20"/>
          <w:szCs w:val="20"/>
          <w:color w:val="auto"/>
        </w:rPr>
      </w:pPr>
    </w:p>
    <w:p>
      <w:pPr>
        <w:spacing w:after="0" w:line="220" w:lineRule="exact"/>
        <w:rPr>
          <w:sz w:val="20"/>
          <w:szCs w:val="20"/>
          <w:color w:val="auto"/>
        </w:rPr>
      </w:pPr>
    </w:p>
    <w:p>
      <w:pPr>
        <w:ind w:left="52"/>
        <w:spacing w:after="0"/>
        <w:tabs>
          <w:tab w:leader="none" w:pos="4412" w:val="left"/>
          <w:tab w:leader="none" w:pos="7752"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13"/>
          <w:szCs w:val="13"/>
          <w:b w:val="1"/>
          <w:bCs w:val="1"/>
          <w:color w:val="00558C"/>
        </w:rPr>
        <w:t>B-2</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wp:posOffset>
            </wp:positionH>
            <wp:positionV relativeFrom="paragraph">
              <wp:posOffset>351790</wp:posOffset>
            </wp:positionV>
            <wp:extent cx="6810375" cy="549402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10375" cy="5494020"/>
                    </a:xfrm>
                    <a:prstGeom prst="rect">
                      <a:avLst/>
                    </a:prstGeom>
                    <a:noFill/>
                  </pic:spPr>
                </pic:pic>
              </a:graphicData>
            </a:graphic>
          </wp:anchor>
        </w:drawing>
      </w:r>
    </w:p>
    <w:p>
      <w:pPr>
        <w:sectPr>
          <w:pgSz w:w="11900" w:h="16838" w:orient="portrait"/>
          <w:cols w:equalWidth="0" w:num="1">
            <w:col w:w="9072"/>
          </w:cols>
          <w:pgMar w:left="1408" w:top="206" w:right="14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52"/>
        <w:spacing w:after="0" w:line="274" w:lineRule="auto"/>
        <w:rPr>
          <w:sz w:val="20"/>
          <w:szCs w:val="20"/>
          <w:color w:val="auto"/>
        </w:rPr>
      </w:pPr>
      <w:r>
        <w:rPr>
          <w:rFonts w:ascii="Arial" w:cs="Arial" w:eastAsia="Arial" w:hAnsi="Arial"/>
          <w:sz w:val="13"/>
          <w:szCs w:val="13"/>
          <w:b w:val="1"/>
          <w:bCs w:val="1"/>
          <w:color w:val="B2B3B6"/>
        </w:rPr>
        <w:t>General Proposal Information 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line="274" w:lineRule="auto"/>
        <w:rPr>
          <w:sz w:val="20"/>
          <w:szCs w:val="20"/>
          <w:color w:val="auto"/>
        </w:rPr>
      </w:pPr>
      <w:r>
        <w:rPr>
          <w:rFonts w:ascii="Arial" w:cs="Arial" w:eastAsia="Arial" w:hAnsi="Arial"/>
          <w:sz w:val="13"/>
          <w:szCs w:val="13"/>
          <w:b w:val="1"/>
          <w:bCs w:val="1"/>
          <w:color w:val="B2B3B6"/>
        </w:rPr>
        <w:t>Corporate Proposal Executive Governance Two 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200"/>
        <w:spacing w:after="0" w:line="274" w:lineRule="auto"/>
        <w:rPr>
          <w:sz w:val="20"/>
          <w:szCs w:val="20"/>
          <w:color w:val="auto"/>
        </w:rPr>
      </w:pPr>
      <w:r>
        <w:rPr>
          <w:rFonts w:ascii="Arial" w:cs="Arial" w:eastAsia="Arial" w:hAnsi="Arial"/>
          <w:sz w:val="13"/>
          <w:szCs w:val="13"/>
          <w:b w:val="1"/>
          <w:bCs w:val="1"/>
          <w:color w:val="B2B3B6"/>
        </w:rPr>
        <w:t xml:space="preserve">Proposal Proposal Proposal Stockholder </w:t>
      </w:r>
      <w:r>
        <w:rPr>
          <w:rFonts w:ascii="Arial" w:cs="Arial" w:eastAsia="Arial" w:hAnsi="Arial"/>
          <w:sz w:val="13"/>
          <w:szCs w:val="13"/>
          <w:b w:val="1"/>
          <w:bCs w:val="1"/>
          <w:color w:val="6AAA37"/>
        </w:rPr>
        <w:t>Other</w:t>
      </w:r>
      <w:r>
        <w:rPr>
          <w:rFonts w:ascii="Arial" w:cs="Arial" w:eastAsia="Arial" w:hAnsi="Arial"/>
          <w:sz w:val="13"/>
          <w:szCs w:val="13"/>
          <w:b w:val="1"/>
          <w:bCs w:val="1"/>
          <w:color w:val="B2B3B6"/>
        </w:rPr>
        <w:t xml:space="preserve"> Three Four Five Proposals </w:t>
      </w:r>
      <w:r>
        <w:rPr>
          <w:rFonts w:ascii="Arial" w:cs="Arial" w:eastAsia="Arial" w:hAnsi="Arial"/>
          <w:sz w:val="13"/>
          <w:szCs w:val="13"/>
          <w:b w:val="1"/>
          <w:bCs w:val="1"/>
          <w:color w:val="6AAA37"/>
        </w:rPr>
        <w:t>Matters</w:t>
      </w:r>
    </w:p>
    <w:p>
      <w:pPr>
        <w:spacing w:after="0" w:line="200" w:lineRule="exact"/>
        <w:rPr>
          <w:sz w:val="20"/>
          <w:szCs w:val="20"/>
          <w:color w:val="auto"/>
        </w:rPr>
      </w:pPr>
    </w:p>
    <w:p>
      <w:pPr>
        <w:sectPr>
          <w:pgSz w:w="11900" w:h="16838" w:orient="portrait"/>
          <w:cols w:equalWidth="0" w:num="3">
            <w:col w:w="1592" w:space="300"/>
            <w:col w:w="2700" w:space="320"/>
            <w:col w:w="4160"/>
          </w:cols>
          <w:pgMar w:left="1408" w:top="206" w:right="1419" w:bottom="0" w:gutter="0" w:footer="0" w:header="0"/>
          <w:type w:val="continuous"/>
        </w:sectPr>
      </w:pPr>
    </w:p>
    <w:p>
      <w:pPr>
        <w:spacing w:after="0" w:line="151" w:lineRule="exact"/>
        <w:rPr>
          <w:sz w:val="20"/>
          <w:szCs w:val="20"/>
          <w:color w:val="auto"/>
        </w:rPr>
      </w:pPr>
    </w:p>
    <w:p>
      <w:pPr>
        <w:ind w:left="652" w:right="120" w:hanging="328"/>
        <w:spacing w:after="0" w:line="301" w:lineRule="auto"/>
        <w:tabs>
          <w:tab w:leader="none" w:pos="652" w:val="left"/>
        </w:tabs>
        <w:numPr>
          <w:ilvl w:val="1"/>
          <w:numId w:val="158"/>
        </w:numPr>
        <w:rPr>
          <w:rFonts w:ascii="Arial" w:cs="Arial" w:eastAsia="Arial" w:hAnsi="Arial"/>
          <w:sz w:val="16"/>
          <w:szCs w:val="16"/>
          <w:color w:val="auto"/>
        </w:rPr>
      </w:pPr>
      <w:r>
        <w:rPr>
          <w:rFonts w:ascii="Arial" w:cs="Arial" w:eastAsia="Arial" w:hAnsi="Arial"/>
          <w:sz w:val="16"/>
          <w:szCs w:val="16"/>
          <w:b w:val="1"/>
          <w:bCs w:val="1"/>
          <w:color w:val="auto"/>
        </w:rPr>
        <w:t xml:space="preserve">“Offering Period” </w:t>
      </w:r>
      <w:r>
        <w:rPr>
          <w:rFonts w:ascii="Arial" w:cs="Arial" w:eastAsia="Arial" w:hAnsi="Arial"/>
          <w:sz w:val="16"/>
          <w:szCs w:val="16"/>
          <w:color w:val="auto"/>
        </w:rPr>
        <w:t>means the quarterly offerings of the Company’s Shares beginning on the first day of January, the</w:t>
      </w:r>
      <w:r>
        <w:rPr>
          <w:rFonts w:ascii="Arial" w:cs="Arial" w:eastAsia="Arial" w:hAnsi="Arial"/>
          <w:sz w:val="16"/>
          <w:szCs w:val="16"/>
          <w:b w:val="1"/>
          <w:bCs w:val="1"/>
          <w:color w:val="auto"/>
        </w:rPr>
        <w:t xml:space="preserve"> </w:t>
      </w:r>
      <w:r>
        <w:rPr>
          <w:rFonts w:ascii="Arial" w:cs="Arial" w:eastAsia="Arial" w:hAnsi="Arial"/>
          <w:sz w:val="16"/>
          <w:szCs w:val="16"/>
          <w:color w:val="auto"/>
        </w:rPr>
        <w:t>first day of April, the first day of July and the first day of October, and terminating, respectively, on the last day of March, the last day of June, the last day of September, and the last day of December.</w:t>
      </w:r>
    </w:p>
    <w:p>
      <w:pPr>
        <w:spacing w:after="0" w:line="104" w:lineRule="exact"/>
        <w:rPr>
          <w:rFonts w:ascii="Arial" w:cs="Arial" w:eastAsia="Arial" w:hAnsi="Arial"/>
          <w:sz w:val="16"/>
          <w:szCs w:val="16"/>
          <w:color w:val="auto"/>
        </w:rPr>
      </w:pPr>
    </w:p>
    <w:p>
      <w:pPr>
        <w:ind w:left="652" w:hanging="328"/>
        <w:spacing w:after="0"/>
        <w:tabs>
          <w:tab w:leader="none" w:pos="652" w:val="left"/>
        </w:tabs>
        <w:numPr>
          <w:ilvl w:val="1"/>
          <w:numId w:val="158"/>
        </w:numPr>
        <w:rPr>
          <w:rFonts w:ascii="Arial" w:cs="Arial" w:eastAsia="Arial" w:hAnsi="Arial"/>
          <w:sz w:val="16"/>
          <w:szCs w:val="16"/>
          <w:color w:val="auto"/>
        </w:rPr>
      </w:pPr>
      <w:r>
        <w:rPr>
          <w:rFonts w:ascii="Arial" w:cs="Arial" w:eastAsia="Arial" w:hAnsi="Arial"/>
          <w:sz w:val="16"/>
          <w:szCs w:val="16"/>
          <w:b w:val="1"/>
          <w:bCs w:val="1"/>
          <w:color w:val="auto"/>
        </w:rPr>
        <w:t xml:space="preserve">“Participant” </w:t>
      </w:r>
      <w:r>
        <w:rPr>
          <w:rFonts w:ascii="Arial" w:cs="Arial" w:eastAsia="Arial" w:hAnsi="Arial"/>
          <w:sz w:val="16"/>
          <w:szCs w:val="16"/>
          <w:color w:val="auto"/>
        </w:rPr>
        <w:t>means an Employee who satisfies the requirements of Sections 3 and 4 of the Plan.</w:t>
      </w:r>
    </w:p>
    <w:p>
      <w:pPr>
        <w:spacing w:after="0" w:line="180" w:lineRule="exact"/>
        <w:rPr>
          <w:rFonts w:ascii="Arial" w:cs="Arial" w:eastAsia="Arial" w:hAnsi="Arial"/>
          <w:sz w:val="16"/>
          <w:szCs w:val="16"/>
          <w:color w:val="auto"/>
        </w:rPr>
      </w:pPr>
    </w:p>
    <w:p>
      <w:pPr>
        <w:ind w:left="652" w:right="100" w:hanging="328"/>
        <w:spacing w:after="0" w:line="301" w:lineRule="auto"/>
        <w:tabs>
          <w:tab w:leader="none" w:pos="652" w:val="left"/>
        </w:tabs>
        <w:numPr>
          <w:ilvl w:val="1"/>
          <w:numId w:val="158"/>
        </w:numPr>
        <w:rPr>
          <w:rFonts w:ascii="Arial" w:cs="Arial" w:eastAsia="Arial" w:hAnsi="Arial"/>
          <w:sz w:val="16"/>
          <w:szCs w:val="16"/>
          <w:color w:val="auto"/>
        </w:rPr>
      </w:pPr>
      <w:r>
        <w:rPr>
          <w:rFonts w:ascii="Arial" w:cs="Arial" w:eastAsia="Arial" w:hAnsi="Arial"/>
          <w:sz w:val="16"/>
          <w:szCs w:val="16"/>
          <w:b w:val="1"/>
          <w:bCs w:val="1"/>
          <w:color w:val="auto"/>
        </w:rPr>
        <w:t xml:space="preserve">“Participating Subsidiary” </w:t>
      </w:r>
      <w:r>
        <w:rPr>
          <w:rFonts w:ascii="Arial" w:cs="Arial" w:eastAsia="Arial" w:hAnsi="Arial"/>
          <w:sz w:val="16"/>
          <w:szCs w:val="16"/>
          <w:color w:val="auto"/>
        </w:rPr>
        <w:t>means a Subsidiary that has been authorized by the Committee or the Board to extend</w:t>
      </w:r>
      <w:r>
        <w:rPr>
          <w:rFonts w:ascii="Arial" w:cs="Arial" w:eastAsia="Arial" w:hAnsi="Arial"/>
          <w:sz w:val="16"/>
          <w:szCs w:val="16"/>
          <w:b w:val="1"/>
          <w:bCs w:val="1"/>
          <w:color w:val="auto"/>
        </w:rPr>
        <w:t xml:space="preserve"> </w:t>
      </w:r>
      <w:r>
        <w:rPr>
          <w:rFonts w:ascii="Arial" w:cs="Arial" w:eastAsia="Arial" w:hAnsi="Arial"/>
          <w:sz w:val="16"/>
          <w:szCs w:val="16"/>
          <w:color w:val="auto"/>
        </w:rPr>
        <w:t>the benefits of the Plan to its Employees. The Committee or the Board may extend the Plan to a Subsidiary in the future.</w:t>
      </w:r>
    </w:p>
    <w:p>
      <w:pPr>
        <w:spacing w:after="0" w:line="104" w:lineRule="exact"/>
        <w:rPr>
          <w:rFonts w:ascii="Arial" w:cs="Arial" w:eastAsia="Arial" w:hAnsi="Arial"/>
          <w:sz w:val="16"/>
          <w:szCs w:val="16"/>
          <w:color w:val="auto"/>
        </w:rPr>
      </w:pPr>
    </w:p>
    <w:p>
      <w:pPr>
        <w:ind w:left="652" w:right="100" w:hanging="328"/>
        <w:spacing w:after="0" w:line="321" w:lineRule="auto"/>
        <w:tabs>
          <w:tab w:leader="none" w:pos="652" w:val="left"/>
        </w:tabs>
        <w:numPr>
          <w:ilvl w:val="1"/>
          <w:numId w:val="158"/>
        </w:numPr>
        <w:rPr>
          <w:rFonts w:ascii="Arial" w:cs="Arial" w:eastAsia="Arial" w:hAnsi="Arial"/>
          <w:sz w:val="16"/>
          <w:szCs w:val="16"/>
          <w:color w:val="auto"/>
        </w:rPr>
      </w:pPr>
      <w:r>
        <w:rPr>
          <w:rFonts w:ascii="Arial" w:cs="Arial" w:eastAsia="Arial" w:hAnsi="Arial"/>
          <w:sz w:val="16"/>
          <w:szCs w:val="16"/>
          <w:b w:val="1"/>
          <w:bCs w:val="1"/>
          <w:color w:val="auto"/>
        </w:rPr>
        <w:t xml:space="preserve">“Purchase Account” </w:t>
      </w:r>
      <w:r>
        <w:rPr>
          <w:rFonts w:ascii="Arial" w:cs="Arial" w:eastAsia="Arial" w:hAnsi="Arial"/>
          <w:sz w:val="16"/>
          <w:szCs w:val="16"/>
          <w:color w:val="auto"/>
        </w:rPr>
        <w:t>means the bookkeeping account used to track a Participant’s payroll deductions to be applied</w:t>
      </w:r>
      <w:r>
        <w:rPr>
          <w:rFonts w:ascii="Arial" w:cs="Arial" w:eastAsia="Arial" w:hAnsi="Arial"/>
          <w:sz w:val="16"/>
          <w:szCs w:val="16"/>
          <w:b w:val="1"/>
          <w:bCs w:val="1"/>
          <w:color w:val="auto"/>
        </w:rPr>
        <w:t xml:space="preserve"> </w:t>
      </w:r>
      <w:r>
        <w:rPr>
          <w:rFonts w:ascii="Arial" w:cs="Arial" w:eastAsia="Arial" w:hAnsi="Arial"/>
          <w:sz w:val="16"/>
          <w:szCs w:val="16"/>
          <w:color w:val="auto"/>
        </w:rPr>
        <w:t>to purchase Shares under the Plan.</w:t>
      </w:r>
    </w:p>
    <w:p>
      <w:pPr>
        <w:spacing w:after="0" w:line="88" w:lineRule="exact"/>
        <w:rPr>
          <w:rFonts w:ascii="Arial" w:cs="Arial" w:eastAsia="Arial" w:hAnsi="Arial"/>
          <w:sz w:val="16"/>
          <w:szCs w:val="16"/>
          <w:color w:val="auto"/>
        </w:rPr>
      </w:pPr>
    </w:p>
    <w:p>
      <w:pPr>
        <w:ind w:left="652" w:right="360" w:hanging="328"/>
        <w:spacing w:after="0" w:line="321" w:lineRule="auto"/>
        <w:tabs>
          <w:tab w:leader="none" w:pos="652" w:val="left"/>
        </w:tabs>
        <w:numPr>
          <w:ilvl w:val="1"/>
          <w:numId w:val="158"/>
        </w:numPr>
        <w:rPr>
          <w:rFonts w:ascii="Arial" w:cs="Arial" w:eastAsia="Arial" w:hAnsi="Arial"/>
          <w:sz w:val="16"/>
          <w:szCs w:val="16"/>
          <w:color w:val="auto"/>
        </w:rPr>
      </w:pPr>
      <w:r>
        <w:rPr>
          <w:rFonts w:ascii="Arial" w:cs="Arial" w:eastAsia="Arial" w:hAnsi="Arial"/>
          <w:sz w:val="16"/>
          <w:szCs w:val="16"/>
          <w:b w:val="1"/>
          <w:bCs w:val="1"/>
          <w:color w:val="auto"/>
        </w:rPr>
        <w:t xml:space="preserve">“Purchase Date” </w:t>
      </w:r>
      <w:r>
        <w:rPr>
          <w:rFonts w:ascii="Arial" w:cs="Arial" w:eastAsia="Arial" w:hAnsi="Arial"/>
          <w:sz w:val="16"/>
          <w:szCs w:val="16"/>
          <w:color w:val="auto"/>
        </w:rPr>
        <w:t>generally means the next Business Day following the last payroll date in the Offering Period or</w:t>
      </w:r>
      <w:r>
        <w:rPr>
          <w:rFonts w:ascii="Arial" w:cs="Arial" w:eastAsia="Arial" w:hAnsi="Arial"/>
          <w:sz w:val="16"/>
          <w:szCs w:val="16"/>
          <w:b w:val="1"/>
          <w:bCs w:val="1"/>
          <w:color w:val="auto"/>
        </w:rPr>
        <w:t xml:space="preserve"> </w:t>
      </w:r>
      <w:r>
        <w:rPr>
          <w:rFonts w:ascii="Arial" w:cs="Arial" w:eastAsia="Arial" w:hAnsi="Arial"/>
          <w:sz w:val="16"/>
          <w:szCs w:val="16"/>
          <w:color w:val="auto"/>
        </w:rPr>
        <w:t>Bonus Offering Period, or such other date as shall be established by the Internal Committee.</w:t>
      </w:r>
    </w:p>
    <w:p>
      <w:pPr>
        <w:spacing w:after="0" w:line="88" w:lineRule="exact"/>
        <w:rPr>
          <w:rFonts w:ascii="Arial" w:cs="Arial" w:eastAsia="Arial" w:hAnsi="Arial"/>
          <w:sz w:val="16"/>
          <w:szCs w:val="16"/>
          <w:color w:val="auto"/>
        </w:rPr>
      </w:pPr>
    </w:p>
    <w:p>
      <w:pPr>
        <w:ind w:left="652" w:hanging="328"/>
        <w:spacing w:after="0"/>
        <w:tabs>
          <w:tab w:leader="none" w:pos="652" w:val="left"/>
        </w:tabs>
        <w:numPr>
          <w:ilvl w:val="1"/>
          <w:numId w:val="158"/>
        </w:numPr>
        <w:rPr>
          <w:rFonts w:ascii="Arial" w:cs="Arial" w:eastAsia="Arial" w:hAnsi="Arial"/>
          <w:sz w:val="16"/>
          <w:szCs w:val="16"/>
          <w:color w:val="auto"/>
        </w:rPr>
      </w:pPr>
      <w:r>
        <w:rPr>
          <w:rFonts w:ascii="Arial" w:cs="Arial" w:eastAsia="Arial" w:hAnsi="Arial"/>
          <w:sz w:val="16"/>
          <w:szCs w:val="16"/>
          <w:b w:val="1"/>
          <w:bCs w:val="1"/>
          <w:color w:val="auto"/>
        </w:rPr>
        <w:t xml:space="preserve">“Purchase Price” </w:t>
      </w:r>
      <w:r>
        <w:rPr>
          <w:rFonts w:ascii="Arial" w:cs="Arial" w:eastAsia="Arial" w:hAnsi="Arial"/>
          <w:sz w:val="16"/>
          <w:szCs w:val="16"/>
          <w:color w:val="auto"/>
        </w:rPr>
        <w:t>means the average price of the Shares purchased for this Plan by the Broker on a Purchase Date.</w:t>
      </w:r>
    </w:p>
    <w:p>
      <w:pPr>
        <w:spacing w:after="0" w:line="180" w:lineRule="exact"/>
        <w:rPr>
          <w:rFonts w:ascii="Arial" w:cs="Arial" w:eastAsia="Arial" w:hAnsi="Arial"/>
          <w:sz w:val="16"/>
          <w:szCs w:val="16"/>
          <w:color w:val="auto"/>
        </w:rPr>
      </w:pPr>
    </w:p>
    <w:p>
      <w:pPr>
        <w:ind w:left="652" w:right="700" w:hanging="328"/>
        <w:spacing w:after="0" w:line="321" w:lineRule="auto"/>
        <w:tabs>
          <w:tab w:leader="none" w:pos="652" w:val="left"/>
        </w:tabs>
        <w:numPr>
          <w:ilvl w:val="1"/>
          <w:numId w:val="158"/>
        </w:numPr>
        <w:rPr>
          <w:rFonts w:ascii="Arial" w:cs="Arial" w:eastAsia="Arial" w:hAnsi="Arial"/>
          <w:sz w:val="16"/>
          <w:szCs w:val="16"/>
          <w:color w:val="auto"/>
        </w:rPr>
      </w:pPr>
      <w:r>
        <w:rPr>
          <w:rFonts w:ascii="Arial" w:cs="Arial" w:eastAsia="Arial" w:hAnsi="Arial"/>
          <w:sz w:val="16"/>
          <w:szCs w:val="16"/>
          <w:b w:val="1"/>
          <w:bCs w:val="1"/>
          <w:color w:val="auto"/>
        </w:rPr>
        <w:t xml:space="preserve">“Purchased Shares” </w:t>
      </w:r>
      <w:r>
        <w:rPr>
          <w:rFonts w:ascii="Arial" w:cs="Arial" w:eastAsia="Arial" w:hAnsi="Arial"/>
          <w:sz w:val="16"/>
          <w:szCs w:val="16"/>
          <w:color w:val="auto"/>
        </w:rPr>
        <w:t>means the full and fractional Shares added to a Participant’s Brokerage Account on a</w:t>
      </w:r>
      <w:r>
        <w:rPr>
          <w:rFonts w:ascii="Arial" w:cs="Arial" w:eastAsia="Arial" w:hAnsi="Arial"/>
          <w:sz w:val="16"/>
          <w:szCs w:val="16"/>
          <w:b w:val="1"/>
          <w:bCs w:val="1"/>
          <w:color w:val="auto"/>
        </w:rPr>
        <w:t xml:space="preserve"> </w:t>
      </w:r>
      <w:r>
        <w:rPr>
          <w:rFonts w:ascii="Arial" w:cs="Arial" w:eastAsia="Arial" w:hAnsi="Arial"/>
          <w:sz w:val="16"/>
          <w:szCs w:val="16"/>
          <w:color w:val="auto"/>
        </w:rPr>
        <w:t>Purchase Date.</w:t>
      </w:r>
    </w:p>
    <w:p>
      <w:pPr>
        <w:spacing w:after="0" w:line="88" w:lineRule="exact"/>
        <w:rPr>
          <w:rFonts w:ascii="Arial" w:cs="Arial" w:eastAsia="Arial" w:hAnsi="Arial"/>
          <w:sz w:val="16"/>
          <w:szCs w:val="16"/>
          <w:color w:val="auto"/>
        </w:rPr>
      </w:pPr>
    </w:p>
    <w:p>
      <w:pPr>
        <w:ind w:left="652" w:hanging="328"/>
        <w:spacing w:after="0"/>
        <w:tabs>
          <w:tab w:leader="none" w:pos="652" w:val="left"/>
        </w:tabs>
        <w:numPr>
          <w:ilvl w:val="1"/>
          <w:numId w:val="158"/>
        </w:numPr>
        <w:rPr>
          <w:rFonts w:ascii="Arial" w:cs="Arial" w:eastAsia="Arial" w:hAnsi="Arial"/>
          <w:sz w:val="16"/>
          <w:szCs w:val="16"/>
          <w:color w:val="auto"/>
        </w:rPr>
      </w:pPr>
      <w:r>
        <w:rPr>
          <w:rFonts w:ascii="Arial" w:cs="Arial" w:eastAsia="Arial" w:hAnsi="Arial"/>
          <w:sz w:val="16"/>
          <w:szCs w:val="16"/>
          <w:b w:val="1"/>
          <w:bCs w:val="1"/>
          <w:color w:val="auto"/>
        </w:rPr>
        <w:t xml:space="preserve">“Shares” </w:t>
      </w:r>
      <w:r>
        <w:rPr>
          <w:rFonts w:ascii="Arial" w:cs="Arial" w:eastAsia="Arial" w:hAnsi="Arial"/>
          <w:sz w:val="16"/>
          <w:szCs w:val="16"/>
          <w:color w:val="auto"/>
        </w:rPr>
        <w:t>means the common stock of the Company.</w:t>
      </w:r>
    </w:p>
    <w:p>
      <w:pPr>
        <w:spacing w:after="0" w:line="180" w:lineRule="exact"/>
        <w:rPr>
          <w:rFonts w:ascii="Arial" w:cs="Arial" w:eastAsia="Arial" w:hAnsi="Arial"/>
          <w:sz w:val="16"/>
          <w:szCs w:val="16"/>
          <w:color w:val="auto"/>
        </w:rPr>
      </w:pPr>
    </w:p>
    <w:p>
      <w:pPr>
        <w:ind w:left="652" w:right="360" w:hanging="328"/>
        <w:spacing w:after="0" w:line="301" w:lineRule="auto"/>
        <w:tabs>
          <w:tab w:leader="none" w:pos="652" w:val="left"/>
        </w:tabs>
        <w:numPr>
          <w:ilvl w:val="1"/>
          <w:numId w:val="158"/>
        </w:numPr>
        <w:rPr>
          <w:rFonts w:ascii="Arial" w:cs="Arial" w:eastAsia="Arial" w:hAnsi="Arial"/>
          <w:sz w:val="16"/>
          <w:szCs w:val="16"/>
          <w:color w:val="auto"/>
        </w:rPr>
      </w:pPr>
      <w:r>
        <w:rPr>
          <w:rFonts w:ascii="Arial" w:cs="Arial" w:eastAsia="Arial" w:hAnsi="Arial"/>
          <w:sz w:val="16"/>
          <w:szCs w:val="16"/>
          <w:b w:val="1"/>
          <w:bCs w:val="1"/>
          <w:color w:val="auto"/>
        </w:rPr>
        <w:t xml:space="preserve">“Subsidiary” </w:t>
      </w:r>
      <w:r>
        <w:rPr>
          <w:rFonts w:ascii="Arial" w:cs="Arial" w:eastAsia="Arial" w:hAnsi="Arial"/>
          <w:sz w:val="16"/>
          <w:szCs w:val="16"/>
          <w:color w:val="auto"/>
        </w:rPr>
        <w:t>means an entity, domestic or foreign, of which not less than 50% of the voting equity is held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or a Subsidiary, whether or not such entity now exists or is hereafter organized or acquired by the Company or a Subsidiary.</w:t>
      </w:r>
    </w:p>
    <w:p>
      <w:pPr>
        <w:spacing w:after="0" w:line="104" w:lineRule="exact"/>
        <w:rPr>
          <w:rFonts w:ascii="Arial" w:cs="Arial" w:eastAsia="Arial" w:hAnsi="Arial"/>
          <w:sz w:val="16"/>
          <w:szCs w:val="16"/>
          <w:color w:val="auto"/>
        </w:rPr>
      </w:pPr>
    </w:p>
    <w:p>
      <w:pPr>
        <w:ind w:left="332" w:hanging="332"/>
        <w:spacing w:after="0"/>
        <w:tabs>
          <w:tab w:leader="none" w:pos="332" w:val="left"/>
        </w:tabs>
        <w:numPr>
          <w:ilvl w:val="0"/>
          <w:numId w:val="159"/>
        </w:numPr>
        <w:rPr>
          <w:rFonts w:ascii="Arial" w:cs="Arial" w:eastAsia="Arial" w:hAnsi="Arial"/>
          <w:sz w:val="16"/>
          <w:szCs w:val="16"/>
          <w:color w:val="auto"/>
        </w:rPr>
      </w:pPr>
      <w:r>
        <w:rPr>
          <w:rFonts w:ascii="Arial" w:cs="Arial" w:eastAsia="Arial" w:hAnsi="Arial"/>
          <w:sz w:val="16"/>
          <w:szCs w:val="16"/>
          <w:b w:val="1"/>
          <w:bCs w:val="1"/>
          <w:color w:val="auto"/>
        </w:rPr>
        <w:t xml:space="preserve">Eligibility. </w:t>
      </w:r>
      <w:r>
        <w:rPr>
          <w:rFonts w:ascii="Arial" w:cs="Arial" w:eastAsia="Arial" w:hAnsi="Arial"/>
          <w:sz w:val="16"/>
          <w:szCs w:val="16"/>
          <w:color w:val="auto"/>
        </w:rPr>
        <w:t>Employees of the Company or a Participating Subsidiary who are: (i) below the Managing Director level, and</w:t>
      </w:r>
    </w:p>
    <w:p>
      <w:pPr>
        <w:spacing w:after="0" w:line="38" w:lineRule="exact"/>
        <w:rPr>
          <w:rFonts w:ascii="Arial" w:cs="Arial" w:eastAsia="Arial" w:hAnsi="Arial"/>
          <w:sz w:val="16"/>
          <w:szCs w:val="16"/>
          <w:color w:val="auto"/>
        </w:rPr>
      </w:pPr>
    </w:p>
    <w:p>
      <w:pPr>
        <w:ind w:left="552" w:hanging="228"/>
        <w:spacing w:after="0"/>
        <w:tabs>
          <w:tab w:leader="none" w:pos="552" w:val="left"/>
        </w:tabs>
        <w:numPr>
          <w:ilvl w:val="1"/>
          <w:numId w:val="159"/>
        </w:numPr>
        <w:rPr>
          <w:rFonts w:ascii="Arial" w:cs="Arial" w:eastAsia="Arial" w:hAnsi="Arial"/>
          <w:sz w:val="16"/>
          <w:szCs w:val="16"/>
          <w:color w:val="auto"/>
        </w:rPr>
      </w:pPr>
      <w:r>
        <w:rPr>
          <w:rFonts w:ascii="Arial" w:cs="Arial" w:eastAsia="Arial" w:hAnsi="Arial"/>
          <w:sz w:val="16"/>
          <w:szCs w:val="16"/>
          <w:color w:val="auto"/>
        </w:rPr>
        <w:t>employed in a position other than that of Project Consultant, shall be eligible to participate in the Plan.</w:t>
      </w:r>
    </w:p>
    <w:p>
      <w:pPr>
        <w:spacing w:after="0" w:line="173" w:lineRule="exact"/>
        <w:rPr>
          <w:rFonts w:ascii="Arial" w:cs="Arial" w:eastAsia="Arial" w:hAnsi="Arial"/>
          <w:sz w:val="16"/>
          <w:szCs w:val="16"/>
          <w:color w:val="auto"/>
        </w:rPr>
      </w:pPr>
    </w:p>
    <w:p>
      <w:pPr>
        <w:ind w:left="332" w:right="120" w:hanging="332"/>
        <w:spacing w:after="0" w:line="300" w:lineRule="auto"/>
        <w:tabs>
          <w:tab w:leader="none" w:pos="332" w:val="left"/>
        </w:tabs>
        <w:numPr>
          <w:ilvl w:val="0"/>
          <w:numId w:val="159"/>
        </w:numPr>
        <w:rPr>
          <w:rFonts w:ascii="Arial" w:cs="Arial" w:eastAsia="Arial" w:hAnsi="Arial"/>
          <w:sz w:val="16"/>
          <w:szCs w:val="16"/>
          <w:color w:val="auto"/>
        </w:rPr>
      </w:pPr>
      <w:r>
        <w:rPr>
          <w:rFonts w:ascii="Arial" w:cs="Arial" w:eastAsia="Arial" w:hAnsi="Arial"/>
          <w:sz w:val="16"/>
          <w:szCs w:val="16"/>
          <w:b w:val="1"/>
          <w:bCs w:val="1"/>
          <w:color w:val="auto"/>
        </w:rPr>
        <w:t xml:space="preserve">Participation. </w:t>
      </w:r>
      <w:r>
        <w:rPr>
          <w:rFonts w:ascii="Arial" w:cs="Arial" w:eastAsia="Arial" w:hAnsi="Arial"/>
          <w:sz w:val="16"/>
          <w:szCs w:val="16"/>
          <w:color w:val="auto"/>
        </w:rPr>
        <w:t>An eligible Employee may become a Participant in the Plan as of an Enrollment Date by making an online</w:t>
      </w:r>
      <w:r>
        <w:rPr>
          <w:rFonts w:ascii="Arial" w:cs="Arial" w:eastAsia="Arial" w:hAnsi="Arial"/>
          <w:sz w:val="16"/>
          <w:szCs w:val="16"/>
          <w:b w:val="1"/>
          <w:bCs w:val="1"/>
          <w:color w:val="auto"/>
        </w:rPr>
        <w:t xml:space="preserve"> </w:t>
      </w:r>
      <w:r>
        <w:rPr>
          <w:rFonts w:ascii="Arial" w:cs="Arial" w:eastAsia="Arial" w:hAnsi="Arial"/>
          <w:sz w:val="16"/>
          <w:szCs w:val="16"/>
          <w:color w:val="auto"/>
        </w:rPr>
        <w:t>election prior to the applicable Enrollment Date in accordance with the process established by the Internal Committee. The election shall set forth the amount of the Participant’s Base Salary or Annual Incentive Bonus, as applicable, to be subject to after-tax payroll deductions pursuant to the Plan.</w:t>
      </w:r>
    </w:p>
    <w:p>
      <w:pPr>
        <w:spacing w:after="0" w:line="106" w:lineRule="exact"/>
        <w:rPr>
          <w:rFonts w:ascii="Arial" w:cs="Arial" w:eastAsia="Arial" w:hAnsi="Arial"/>
          <w:sz w:val="16"/>
          <w:szCs w:val="16"/>
          <w:color w:val="auto"/>
        </w:rPr>
      </w:pPr>
    </w:p>
    <w:p>
      <w:pPr>
        <w:ind w:left="332" w:hanging="332"/>
        <w:spacing w:after="0"/>
        <w:tabs>
          <w:tab w:leader="none" w:pos="332" w:val="left"/>
        </w:tabs>
        <w:numPr>
          <w:ilvl w:val="0"/>
          <w:numId w:val="159"/>
        </w:numPr>
        <w:rPr>
          <w:rFonts w:ascii="Arial" w:cs="Arial" w:eastAsia="Arial" w:hAnsi="Arial"/>
          <w:sz w:val="16"/>
          <w:szCs w:val="16"/>
          <w:color w:val="auto"/>
        </w:rPr>
      </w:pPr>
      <w:r>
        <w:rPr>
          <w:rFonts w:ascii="Arial" w:cs="Arial" w:eastAsia="Arial" w:hAnsi="Arial"/>
          <w:sz w:val="16"/>
          <w:szCs w:val="16"/>
          <w:b w:val="1"/>
          <w:bCs w:val="1"/>
          <w:color w:val="auto"/>
        </w:rPr>
        <w:t>Payroll Deductions.</w:t>
      </w:r>
    </w:p>
    <w:p>
      <w:pPr>
        <w:spacing w:after="0" w:line="180" w:lineRule="exact"/>
        <w:rPr>
          <w:rFonts w:ascii="Arial" w:cs="Arial" w:eastAsia="Arial" w:hAnsi="Arial"/>
          <w:sz w:val="16"/>
          <w:szCs w:val="16"/>
          <w:color w:val="auto"/>
        </w:rPr>
      </w:pPr>
    </w:p>
    <w:p>
      <w:pPr>
        <w:ind w:left="652" w:hanging="328"/>
        <w:spacing w:after="0"/>
        <w:tabs>
          <w:tab w:leader="none" w:pos="652" w:val="left"/>
        </w:tabs>
        <w:numPr>
          <w:ilvl w:val="1"/>
          <w:numId w:val="160"/>
        </w:numPr>
        <w:rPr>
          <w:rFonts w:ascii="Arial" w:cs="Arial" w:eastAsia="Arial" w:hAnsi="Arial"/>
          <w:sz w:val="16"/>
          <w:szCs w:val="16"/>
          <w:color w:val="auto"/>
        </w:rPr>
      </w:pPr>
      <w:r>
        <w:rPr>
          <w:rFonts w:ascii="Arial" w:cs="Arial" w:eastAsia="Arial" w:hAnsi="Arial"/>
          <w:sz w:val="16"/>
          <w:szCs w:val="16"/>
          <w:color w:val="auto"/>
        </w:rPr>
        <w:t>Subject to the limits per Section 5(c) below, a Participant may elect to have after-tax payroll deductions from his or</w:t>
      </w:r>
    </w:p>
    <w:p>
      <w:pPr>
        <w:sectPr>
          <w:pgSz w:w="11900" w:h="16838" w:orient="portrait"/>
          <w:cols w:equalWidth="0" w:num="1">
            <w:col w:w="9072"/>
          </w:cols>
          <w:pgMar w:left="1408" w:top="206" w:right="1419" w:bottom="0" w:gutter="0" w:footer="0" w:header="0"/>
          <w:type w:val="continuous"/>
        </w:sectPr>
      </w:pPr>
    </w:p>
    <w:bookmarkStart w:id="100" w:name="page101"/>
    <w:bookmarkEnd w:id="100"/>
    <w:p>
      <w:pPr>
        <w:spacing w:after="0" w:line="104" w:lineRule="exact"/>
        <w:rPr>
          <w:sz w:val="20"/>
          <w:szCs w:val="20"/>
          <w:color w:val="auto"/>
        </w:rPr>
      </w:pPr>
    </w:p>
    <w:p>
      <w:pPr>
        <w:ind w:left="652" w:right="119"/>
        <w:spacing w:after="0" w:line="193" w:lineRule="auto"/>
        <w:rPr>
          <w:sz w:val="20"/>
          <w:szCs w:val="20"/>
          <w:color w:val="auto"/>
        </w:rPr>
      </w:pPr>
      <w:r>
        <w:rPr>
          <w:rFonts w:ascii="Arial" w:cs="Arial" w:eastAsia="Arial" w:hAnsi="Arial"/>
          <w:sz w:val="16"/>
          <w:szCs w:val="16"/>
          <w:color w:val="auto"/>
        </w:rPr>
        <w:t>her Base Salary during an Offering Period subject to a minimum and a maximum as set by the Committee from time to time. All payroll deductions made by a Participant shall be credited to his or her Purchase Account. Payroll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wp:posOffset>
            </wp:positionH>
            <wp:positionV relativeFrom="paragraph">
              <wp:posOffset>-169545</wp:posOffset>
            </wp:positionV>
            <wp:extent cx="6810375" cy="336232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10375" cy="3362325"/>
                    </a:xfrm>
                    <a:prstGeom prst="rect">
                      <a:avLst/>
                    </a:prstGeom>
                    <a:noFill/>
                  </pic:spPr>
                </pic:pic>
              </a:graphicData>
            </a:graphic>
          </wp:anchor>
        </w:drawing>
      </w:r>
    </w:p>
    <w:p>
      <w:pPr>
        <w:ind w:left="652" w:right="39"/>
        <w:spacing w:after="0" w:line="293" w:lineRule="auto"/>
        <w:rPr>
          <w:sz w:val="20"/>
          <w:szCs w:val="20"/>
          <w:color w:val="auto"/>
        </w:rPr>
      </w:pPr>
      <w:r>
        <w:rPr>
          <w:rFonts w:ascii="Arial" w:cs="Arial" w:eastAsia="Arial" w:hAnsi="Arial"/>
          <w:sz w:val="16"/>
          <w:szCs w:val="16"/>
          <w:color w:val="auto"/>
        </w:rPr>
        <w:t>deductions for a Participant shall commence on the first full payroll period following the Enrollment Date and shall continue for each payroll period thereafter during the Offering Period and each subsequent Offering Period unless: (i) changed in connection with a subsequent Enrollment Date; or (ii) terminated as provided in Section 10 of the Plan. For the avoidance of doubt, once an election has been made with respect an Offering Period, the election will remain in place for the duration of such Offering Period and may not be canceled or otherwise changed during such Offering Period.</w:t>
      </w:r>
    </w:p>
    <w:p>
      <w:pPr>
        <w:spacing w:after="0" w:line="110" w:lineRule="exact"/>
        <w:rPr>
          <w:sz w:val="20"/>
          <w:szCs w:val="20"/>
          <w:color w:val="auto"/>
        </w:rPr>
      </w:pPr>
    </w:p>
    <w:p>
      <w:pPr>
        <w:ind w:left="652" w:right="59" w:hanging="328"/>
        <w:spacing w:after="0" w:line="291" w:lineRule="auto"/>
        <w:tabs>
          <w:tab w:leader="none" w:pos="652" w:val="left"/>
        </w:tabs>
        <w:numPr>
          <w:ilvl w:val="0"/>
          <w:numId w:val="161"/>
        </w:numPr>
        <w:rPr>
          <w:rFonts w:ascii="Arial" w:cs="Arial" w:eastAsia="Arial" w:hAnsi="Arial"/>
          <w:sz w:val="16"/>
          <w:szCs w:val="16"/>
          <w:color w:val="auto"/>
        </w:rPr>
      </w:pPr>
      <w:r>
        <w:rPr>
          <w:rFonts w:ascii="Arial" w:cs="Arial" w:eastAsia="Arial" w:hAnsi="Arial"/>
          <w:sz w:val="16"/>
          <w:szCs w:val="16"/>
          <w:color w:val="auto"/>
        </w:rPr>
        <w:t>Subject to the limits per Section 5(c) below, a Participant may elect to have after-tax payroll deductions from his or her Annual Incentive Bonus made during the Bonus Offering Period subject to a minimum and a maximum as set by the Committee from time to time. Such after-tax payroll deduction shall be taken from the Participant’s Annual Incentive Bonus and credited to his or her Purchase Account. Following the Enrollment Date for each Bonus Offering Period, a Participant may not change his or her payroll deduction with respect to the Bonus Offering Period (subject to changes needed due to the minimum and maximum limitations per Section 5(c) below). A new after-tax payroll deduction election must be submitted by the Participant for each Bonus Offering Period.</w:t>
      </w:r>
    </w:p>
    <w:p>
      <w:pPr>
        <w:spacing w:after="0" w:line="112" w:lineRule="exact"/>
        <w:rPr>
          <w:rFonts w:ascii="Arial" w:cs="Arial" w:eastAsia="Arial" w:hAnsi="Arial"/>
          <w:sz w:val="16"/>
          <w:szCs w:val="16"/>
          <w:color w:val="auto"/>
        </w:rPr>
      </w:pPr>
    </w:p>
    <w:p>
      <w:pPr>
        <w:jc w:val="both"/>
        <w:ind w:left="652" w:right="119" w:hanging="328"/>
        <w:spacing w:after="0" w:line="310" w:lineRule="auto"/>
        <w:tabs>
          <w:tab w:leader="none" w:pos="652" w:val="left"/>
        </w:tabs>
        <w:numPr>
          <w:ilvl w:val="0"/>
          <w:numId w:val="161"/>
        </w:numPr>
        <w:rPr>
          <w:rFonts w:ascii="Arial" w:cs="Arial" w:eastAsia="Arial" w:hAnsi="Arial"/>
          <w:sz w:val="16"/>
          <w:szCs w:val="16"/>
          <w:color w:val="auto"/>
        </w:rPr>
      </w:pPr>
      <w:r>
        <w:rPr>
          <w:rFonts w:ascii="Arial" w:cs="Arial" w:eastAsia="Arial" w:hAnsi="Arial"/>
          <w:sz w:val="16"/>
          <w:szCs w:val="16"/>
          <w:color w:val="auto"/>
        </w:rPr>
        <w:t>The aggregate minimum contribution amounts per Participant from payroll deductions under Sections 5(a) and 5(b) shall be as set by the Committee from time to time. The aggregate calendar year maximum contribution amount per Participant from payroll deductions under Sections 5(a) and 5(b) shall be as set by the Committee from time to time.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2"/>
        <w:spacing w:after="0"/>
        <w:tabs>
          <w:tab w:leader="none" w:pos="4412" w:val="left"/>
          <w:tab w:leader="none" w:pos="7752"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13"/>
          <w:szCs w:val="13"/>
          <w:b w:val="1"/>
          <w:bCs w:val="1"/>
          <w:color w:val="00558C"/>
        </w:rPr>
        <w:t>B-3</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wp:posOffset>
            </wp:positionH>
            <wp:positionV relativeFrom="paragraph">
              <wp:posOffset>351790</wp:posOffset>
            </wp:positionV>
            <wp:extent cx="6810375" cy="707136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10375" cy="7071360"/>
                    </a:xfrm>
                    <a:prstGeom prst="rect">
                      <a:avLst/>
                    </a:prstGeom>
                    <a:noFill/>
                  </pic:spPr>
                </pic:pic>
              </a:graphicData>
            </a:graphic>
          </wp:anchor>
        </w:drawing>
      </w:r>
    </w:p>
    <w:p>
      <w:pPr>
        <w:sectPr>
          <w:pgSz w:w="11900" w:h="16942" w:orient="portrait"/>
          <w:cols w:equalWidth="0" w:num="1">
            <w:col w:w="9051"/>
          </w:cols>
          <w:pgMar w:left="1408"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52"/>
        <w:spacing w:after="0" w:line="274" w:lineRule="auto"/>
        <w:rPr>
          <w:sz w:val="20"/>
          <w:szCs w:val="20"/>
          <w:color w:val="auto"/>
        </w:rPr>
      </w:pPr>
      <w:r>
        <w:rPr>
          <w:rFonts w:ascii="Arial" w:cs="Arial" w:eastAsia="Arial" w:hAnsi="Arial"/>
          <w:sz w:val="13"/>
          <w:szCs w:val="13"/>
          <w:b w:val="1"/>
          <w:bCs w:val="1"/>
          <w:color w:val="B2B3B6"/>
        </w:rPr>
        <w:t>General Proposal Information 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line="274" w:lineRule="auto"/>
        <w:rPr>
          <w:sz w:val="20"/>
          <w:szCs w:val="20"/>
          <w:color w:val="auto"/>
        </w:rPr>
      </w:pPr>
      <w:r>
        <w:rPr>
          <w:rFonts w:ascii="Arial" w:cs="Arial" w:eastAsia="Arial" w:hAnsi="Arial"/>
          <w:sz w:val="13"/>
          <w:szCs w:val="13"/>
          <w:b w:val="1"/>
          <w:bCs w:val="1"/>
          <w:color w:val="B2B3B6"/>
        </w:rPr>
        <w:t>Corporate Proposal Executive Governance Two 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179"/>
        <w:spacing w:after="0" w:line="274" w:lineRule="auto"/>
        <w:rPr>
          <w:sz w:val="20"/>
          <w:szCs w:val="20"/>
          <w:color w:val="auto"/>
        </w:rPr>
      </w:pPr>
      <w:r>
        <w:rPr>
          <w:rFonts w:ascii="Arial" w:cs="Arial" w:eastAsia="Arial" w:hAnsi="Arial"/>
          <w:sz w:val="13"/>
          <w:szCs w:val="13"/>
          <w:b w:val="1"/>
          <w:bCs w:val="1"/>
          <w:color w:val="B2B3B6"/>
        </w:rPr>
        <w:t xml:space="preserve">Proposal Proposal Proposal Stockholder </w:t>
      </w:r>
      <w:r>
        <w:rPr>
          <w:rFonts w:ascii="Arial" w:cs="Arial" w:eastAsia="Arial" w:hAnsi="Arial"/>
          <w:sz w:val="13"/>
          <w:szCs w:val="13"/>
          <w:b w:val="1"/>
          <w:bCs w:val="1"/>
          <w:color w:val="6AAA37"/>
        </w:rPr>
        <w:t>Other</w:t>
      </w:r>
      <w:r>
        <w:rPr>
          <w:rFonts w:ascii="Arial" w:cs="Arial" w:eastAsia="Arial" w:hAnsi="Arial"/>
          <w:sz w:val="13"/>
          <w:szCs w:val="13"/>
          <w:b w:val="1"/>
          <w:bCs w:val="1"/>
          <w:color w:val="B2B3B6"/>
        </w:rPr>
        <w:t xml:space="preserve"> Three Four Five Proposals </w:t>
      </w:r>
      <w:r>
        <w:rPr>
          <w:rFonts w:ascii="Arial" w:cs="Arial" w:eastAsia="Arial" w:hAnsi="Arial"/>
          <w:sz w:val="13"/>
          <w:szCs w:val="13"/>
          <w:b w:val="1"/>
          <w:bCs w:val="1"/>
          <w:color w:val="6AAA37"/>
        </w:rPr>
        <w:t>Matters</w:t>
      </w:r>
    </w:p>
    <w:p>
      <w:pPr>
        <w:spacing w:after="0" w:line="200" w:lineRule="exact"/>
        <w:rPr>
          <w:sz w:val="20"/>
          <w:szCs w:val="20"/>
          <w:color w:val="auto"/>
        </w:rPr>
      </w:pPr>
    </w:p>
    <w:p>
      <w:pPr>
        <w:sectPr>
          <w:pgSz w:w="11900" w:h="16942" w:orient="portrait"/>
          <w:cols w:equalWidth="0" w:num="3">
            <w:col w:w="1592" w:space="300"/>
            <w:col w:w="2700" w:space="320"/>
            <w:col w:w="4139"/>
          </w:cols>
          <w:pgMar w:left="1408" w:top="111" w:right="1440" w:bottom="0" w:gutter="0" w:footer="0" w:header="0"/>
          <w:type w:val="continuous"/>
        </w:sectPr>
      </w:pPr>
    </w:p>
    <w:p>
      <w:pPr>
        <w:spacing w:after="0" w:line="151" w:lineRule="exact"/>
        <w:rPr>
          <w:sz w:val="20"/>
          <w:szCs w:val="20"/>
          <w:color w:val="auto"/>
        </w:rPr>
      </w:pPr>
    </w:p>
    <w:p>
      <w:pPr>
        <w:ind w:left="652" w:right="219" w:hanging="328"/>
        <w:spacing w:after="0" w:line="293" w:lineRule="auto"/>
        <w:tabs>
          <w:tab w:leader="none" w:pos="652" w:val="left"/>
        </w:tabs>
        <w:numPr>
          <w:ilvl w:val="1"/>
          <w:numId w:val="162"/>
        </w:numPr>
        <w:rPr>
          <w:rFonts w:ascii="Arial" w:cs="Arial" w:eastAsia="Arial" w:hAnsi="Arial"/>
          <w:sz w:val="16"/>
          <w:szCs w:val="16"/>
          <w:color w:val="auto"/>
        </w:rPr>
      </w:pPr>
      <w:r>
        <w:rPr>
          <w:rFonts w:ascii="Arial" w:cs="Arial" w:eastAsia="Arial" w:hAnsi="Arial"/>
          <w:sz w:val="16"/>
          <w:szCs w:val="16"/>
          <w:color w:val="auto"/>
        </w:rPr>
        <w:t>Any contribution elections made pursuant to Sections 5(a) and 5(b) will be deducted after all taxes, deductions pursuant to any Company-sponsored retirement and/or health and welfare plan, and any other legally required deductions have been made. If, after all other such deductions have been made, there are insufficient funds with which to effectuate contribution elections made pursuant to Section 5(a) or 5(b), as applicable, then the Internal Committee reserves the right to reduce such contribution elections to zero or take any other actions as the Internal Committee, in its sole discretion, deems appropriate.</w:t>
      </w:r>
    </w:p>
    <w:p>
      <w:pPr>
        <w:spacing w:after="0" w:line="96" w:lineRule="exact"/>
        <w:rPr>
          <w:rFonts w:ascii="Arial" w:cs="Arial" w:eastAsia="Arial" w:hAnsi="Arial"/>
          <w:sz w:val="16"/>
          <w:szCs w:val="16"/>
          <w:color w:val="auto"/>
        </w:rPr>
      </w:pPr>
    </w:p>
    <w:p>
      <w:pPr>
        <w:ind w:left="332" w:right="59" w:hanging="332"/>
        <w:spacing w:after="0" w:line="296" w:lineRule="auto"/>
        <w:tabs>
          <w:tab w:leader="none" w:pos="332" w:val="left"/>
        </w:tabs>
        <w:numPr>
          <w:ilvl w:val="0"/>
          <w:numId w:val="163"/>
        </w:numPr>
        <w:rPr>
          <w:rFonts w:ascii="Arial" w:cs="Arial" w:eastAsia="Arial" w:hAnsi="Arial"/>
          <w:sz w:val="16"/>
          <w:szCs w:val="16"/>
          <w:color w:val="auto"/>
        </w:rPr>
      </w:pPr>
      <w:r>
        <w:rPr>
          <w:rFonts w:ascii="Arial" w:cs="Arial" w:eastAsia="Arial" w:hAnsi="Arial"/>
          <w:sz w:val="16"/>
          <w:szCs w:val="16"/>
          <w:b w:val="1"/>
          <w:bCs w:val="1"/>
          <w:color w:val="auto"/>
        </w:rPr>
        <w:t xml:space="preserve">Purchase. </w:t>
      </w:r>
      <w:r>
        <w:rPr>
          <w:rFonts w:ascii="Arial" w:cs="Arial" w:eastAsia="Arial" w:hAnsi="Arial"/>
          <w:sz w:val="16"/>
          <w:szCs w:val="16"/>
          <w:color w:val="auto"/>
        </w:rPr>
        <w:t>On each Purchase Date, in exchange for the applicable proceeds in the Participant’s Purchase Account, a</w:t>
      </w:r>
      <w:r>
        <w:rPr>
          <w:rFonts w:ascii="Arial" w:cs="Arial" w:eastAsia="Arial" w:hAnsi="Arial"/>
          <w:sz w:val="16"/>
          <w:szCs w:val="16"/>
          <w:b w:val="1"/>
          <w:bCs w:val="1"/>
          <w:color w:val="auto"/>
        </w:rPr>
        <w:t xml:space="preserve"> </w:t>
      </w:r>
      <w:r>
        <w:rPr>
          <w:rFonts w:ascii="Arial" w:cs="Arial" w:eastAsia="Arial" w:hAnsi="Arial"/>
          <w:sz w:val="16"/>
          <w:szCs w:val="16"/>
          <w:color w:val="auto"/>
        </w:rPr>
        <w:t>number of full and fractional Shares shall be added to the Participant’s Brokerage Account, with such number determined by dividing (a) the applicable proceeds accumulated during the Offering Period or the Bonus Offering Period, as applicable, and in the Participant’s Purchase Account as of the Purchase Date, by (b) the applicable Purchase Price; provided, however, that such number of shares shall be subject to the limitations set forth in Section 13.</w:t>
      </w:r>
    </w:p>
    <w:p>
      <w:pPr>
        <w:spacing w:after="0" w:line="107" w:lineRule="exact"/>
        <w:rPr>
          <w:rFonts w:ascii="Arial" w:cs="Arial" w:eastAsia="Arial" w:hAnsi="Arial"/>
          <w:sz w:val="16"/>
          <w:szCs w:val="16"/>
          <w:color w:val="auto"/>
        </w:rPr>
      </w:pPr>
    </w:p>
    <w:p>
      <w:pPr>
        <w:ind w:left="332" w:right="19" w:hanging="332"/>
        <w:spacing w:after="0" w:line="286" w:lineRule="auto"/>
        <w:tabs>
          <w:tab w:leader="none" w:pos="332" w:val="left"/>
        </w:tabs>
        <w:numPr>
          <w:ilvl w:val="0"/>
          <w:numId w:val="163"/>
        </w:numPr>
        <w:rPr>
          <w:rFonts w:ascii="Arial" w:cs="Arial" w:eastAsia="Arial" w:hAnsi="Arial"/>
          <w:sz w:val="16"/>
          <w:szCs w:val="16"/>
          <w:color w:val="auto"/>
        </w:rPr>
      </w:pPr>
      <w:r>
        <w:rPr>
          <w:rFonts w:ascii="Arial" w:cs="Arial" w:eastAsia="Arial" w:hAnsi="Arial"/>
          <w:sz w:val="16"/>
          <w:szCs w:val="16"/>
          <w:b w:val="1"/>
          <w:bCs w:val="1"/>
          <w:color w:val="auto"/>
        </w:rPr>
        <w:t xml:space="preserve">Purchased Shares. </w:t>
      </w:r>
      <w:r>
        <w:rPr>
          <w:rFonts w:ascii="Arial" w:cs="Arial" w:eastAsia="Arial" w:hAnsi="Arial"/>
          <w:sz w:val="16"/>
          <w:szCs w:val="16"/>
          <w:color w:val="auto"/>
        </w:rPr>
        <w:t>Upon each Purchase Date, the Participant shall be deemed to have consented to the deposit of all of</w:t>
      </w:r>
      <w:r>
        <w:rPr>
          <w:rFonts w:ascii="Arial" w:cs="Arial" w:eastAsia="Arial" w:hAnsi="Arial"/>
          <w:sz w:val="16"/>
          <w:szCs w:val="16"/>
          <w:b w:val="1"/>
          <w:bCs w:val="1"/>
          <w:color w:val="auto"/>
        </w:rPr>
        <w:t xml:space="preserve"> </w:t>
      </w:r>
      <w:r>
        <w:rPr>
          <w:rFonts w:ascii="Arial" w:cs="Arial" w:eastAsia="Arial" w:hAnsi="Arial"/>
          <w:sz w:val="16"/>
          <w:szCs w:val="16"/>
          <w:color w:val="auto"/>
        </w:rPr>
        <w:t>his or her Purchased Shares in his or her Brokerage Account. A Participant (or if the Participant has died, his or her executor or personal representative) may instruct the Broker (either in writing or in accordance with such procedures as established by the Broker) to (i) sell the Participant’s Purchased Shares through the Brokerage Account at any time, and</w:t>
      </w:r>
    </w:p>
    <w:p>
      <w:pPr>
        <w:ind w:left="332" w:right="59" w:hanging="8"/>
        <w:spacing w:after="0" w:line="293" w:lineRule="auto"/>
        <w:tabs>
          <w:tab w:leader="none" w:pos="557" w:val="left"/>
        </w:tabs>
        <w:numPr>
          <w:ilvl w:val="1"/>
          <w:numId w:val="163"/>
        </w:numPr>
        <w:rPr>
          <w:rFonts w:ascii="Arial" w:cs="Arial" w:eastAsia="Arial" w:hAnsi="Arial"/>
          <w:sz w:val="16"/>
          <w:szCs w:val="16"/>
          <w:color w:val="auto"/>
        </w:rPr>
      </w:pPr>
      <w:r>
        <w:rPr>
          <w:rFonts w:ascii="Arial" w:cs="Arial" w:eastAsia="Arial" w:hAnsi="Arial"/>
          <w:sz w:val="16"/>
          <w:szCs w:val="16"/>
          <w:color w:val="auto"/>
        </w:rPr>
        <w:t>pay over to such Participant (or executor or personal representative) the proceeds (less any expenses, fees and withholding taxes, including, without limitation, wage and employment withholding taxes) of such sale. Any such sale is subject to the applicable Company policies including, without limitation, the Company’s Insider Trading Policy. In addition, a Participant (or executor or personal representative) may withdraw the Participant’s Purchased Shares at any time at his or her own expense; any withdrawn fractional Shares will be paid in cash. Such withdrawal shall be contingent on the Participant satisfying all income tax obligations.</w:t>
      </w:r>
    </w:p>
    <w:p>
      <w:pPr>
        <w:spacing w:after="0" w:line="110" w:lineRule="exact"/>
        <w:rPr>
          <w:rFonts w:ascii="Arial" w:cs="Arial" w:eastAsia="Arial" w:hAnsi="Arial"/>
          <w:sz w:val="16"/>
          <w:szCs w:val="16"/>
          <w:color w:val="auto"/>
        </w:rPr>
      </w:pPr>
    </w:p>
    <w:p>
      <w:pPr>
        <w:ind w:left="332" w:hanging="332"/>
        <w:spacing w:after="0"/>
        <w:tabs>
          <w:tab w:leader="none" w:pos="332" w:val="left"/>
        </w:tabs>
        <w:numPr>
          <w:ilvl w:val="0"/>
          <w:numId w:val="163"/>
        </w:numPr>
        <w:rPr>
          <w:rFonts w:ascii="Arial" w:cs="Arial" w:eastAsia="Arial" w:hAnsi="Arial"/>
          <w:sz w:val="16"/>
          <w:szCs w:val="16"/>
          <w:color w:val="auto"/>
        </w:rPr>
      </w:pPr>
      <w:r>
        <w:rPr>
          <w:rFonts w:ascii="Arial" w:cs="Arial" w:eastAsia="Arial" w:hAnsi="Arial"/>
          <w:sz w:val="16"/>
          <w:szCs w:val="16"/>
          <w:b w:val="1"/>
          <w:bCs w:val="1"/>
          <w:color w:val="auto"/>
        </w:rPr>
        <w:t>Matched Shares.</w:t>
      </w:r>
    </w:p>
    <w:p>
      <w:pPr>
        <w:spacing w:after="0" w:line="180" w:lineRule="exact"/>
        <w:rPr>
          <w:rFonts w:ascii="Arial" w:cs="Arial" w:eastAsia="Arial" w:hAnsi="Arial"/>
          <w:sz w:val="16"/>
          <w:szCs w:val="16"/>
          <w:color w:val="auto"/>
        </w:rPr>
      </w:pPr>
    </w:p>
    <w:p>
      <w:pPr>
        <w:ind w:left="652" w:right="19" w:hanging="328"/>
        <w:spacing w:after="0" w:line="289" w:lineRule="auto"/>
        <w:tabs>
          <w:tab w:leader="none" w:pos="652" w:val="left"/>
        </w:tabs>
        <w:numPr>
          <w:ilvl w:val="1"/>
          <w:numId w:val="164"/>
        </w:numPr>
        <w:rPr>
          <w:rFonts w:ascii="Arial" w:cs="Arial" w:eastAsia="Arial" w:hAnsi="Arial"/>
          <w:sz w:val="16"/>
          <w:szCs w:val="16"/>
          <w:color w:val="auto"/>
        </w:rPr>
      </w:pPr>
      <w:r>
        <w:rPr>
          <w:rFonts w:ascii="Arial" w:cs="Arial" w:eastAsia="Arial" w:hAnsi="Arial"/>
          <w:sz w:val="16"/>
          <w:szCs w:val="16"/>
          <w:color w:val="auto"/>
        </w:rPr>
        <w:t>Promptly after the Purchase Date, the Participant shall be granted a number of restricted Shares equal to twenty-five percent (25%) of the Participant’s Purchased Shares for the Offering Period or Bonus Offering Period (with such number rounded up to the nearest whole Share) (the “Matched Shares”). The terms of the Matched Shares, including the number of Shares granted and the vesting requirements, shall be set forth in a separate restricted Share grant agreement (“Grant Agreement”) delivered to the Participant at the time of the Matched Shares grant. Notwithstanding anything contained in the Grant Agreement, in the event of a Participant’s approved, unpaid leave of absence lasting more than thirty (30) days, the vesting date or dates for the Participant’s Matched Shares shall be extended by a number of days equal to the total length of the Participant’s approved, unpaid leave of absence.</w:t>
      </w:r>
    </w:p>
    <w:p>
      <w:pPr>
        <w:spacing w:after="0" w:line="117" w:lineRule="exact"/>
        <w:rPr>
          <w:rFonts w:ascii="Arial" w:cs="Arial" w:eastAsia="Arial" w:hAnsi="Arial"/>
          <w:sz w:val="16"/>
          <w:szCs w:val="16"/>
          <w:color w:val="auto"/>
        </w:rPr>
      </w:pPr>
    </w:p>
    <w:p>
      <w:pPr>
        <w:ind w:left="652" w:right="19" w:hanging="328"/>
        <w:spacing w:after="0" w:line="293" w:lineRule="auto"/>
        <w:tabs>
          <w:tab w:leader="none" w:pos="652" w:val="left"/>
        </w:tabs>
        <w:numPr>
          <w:ilvl w:val="1"/>
          <w:numId w:val="164"/>
        </w:numPr>
        <w:rPr>
          <w:rFonts w:ascii="Arial" w:cs="Arial" w:eastAsia="Arial" w:hAnsi="Arial"/>
          <w:sz w:val="16"/>
          <w:szCs w:val="16"/>
          <w:color w:val="auto"/>
        </w:rPr>
      </w:pPr>
      <w:r>
        <w:rPr>
          <w:rFonts w:ascii="Arial" w:cs="Arial" w:eastAsia="Arial" w:hAnsi="Arial"/>
          <w:sz w:val="16"/>
          <w:szCs w:val="16"/>
          <w:color w:val="auto"/>
        </w:rPr>
        <w:t>The Participant shall be solely responsible for paying to the Company all required federal, state, city and local income and employment taxes which arise upon vesting of the Matched Shares. Unless the Participant makes advance arrangements to make such payment in cash, the Company shall satisfy any withholding tax obligation by retaining a number of Matched Shares equal to the amount of the minimum withholding tax to be satisfied. Any Matched Shares retained to satisfy a tax withholding obligation shall be available again under the Plan to be Purchased Shares or Matched Shares.</w:t>
      </w:r>
    </w:p>
    <w:p>
      <w:pPr>
        <w:spacing w:after="0" w:line="110" w:lineRule="exact"/>
        <w:rPr>
          <w:rFonts w:ascii="Arial" w:cs="Arial" w:eastAsia="Arial" w:hAnsi="Arial"/>
          <w:sz w:val="16"/>
          <w:szCs w:val="16"/>
          <w:color w:val="auto"/>
        </w:rPr>
      </w:pPr>
    </w:p>
    <w:p>
      <w:pPr>
        <w:ind w:left="332" w:right="119" w:hanging="332"/>
        <w:spacing w:after="0" w:line="293" w:lineRule="auto"/>
        <w:tabs>
          <w:tab w:leader="none" w:pos="332" w:val="left"/>
        </w:tabs>
        <w:numPr>
          <w:ilvl w:val="0"/>
          <w:numId w:val="165"/>
        </w:numPr>
        <w:rPr>
          <w:rFonts w:ascii="Arial" w:cs="Arial" w:eastAsia="Arial" w:hAnsi="Arial"/>
          <w:sz w:val="16"/>
          <w:szCs w:val="16"/>
          <w:color w:val="auto"/>
        </w:rPr>
      </w:pPr>
      <w:r>
        <w:rPr>
          <w:rFonts w:ascii="Arial" w:cs="Arial" w:eastAsia="Arial" w:hAnsi="Arial"/>
          <w:sz w:val="16"/>
          <w:szCs w:val="16"/>
          <w:b w:val="1"/>
          <w:bCs w:val="1"/>
          <w:color w:val="auto"/>
        </w:rPr>
        <w:t xml:space="preserve">Withdrawal. </w:t>
      </w:r>
      <w:r>
        <w:rPr>
          <w:rFonts w:ascii="Arial" w:cs="Arial" w:eastAsia="Arial" w:hAnsi="Arial"/>
          <w:sz w:val="16"/>
          <w:szCs w:val="16"/>
          <w:color w:val="auto"/>
        </w:rPr>
        <w:t>A Participant may withdraw from the Plan by making an online withdrawal election prior to the applicable</w:t>
      </w:r>
      <w:r>
        <w:rPr>
          <w:rFonts w:ascii="Arial" w:cs="Arial" w:eastAsia="Arial" w:hAnsi="Arial"/>
          <w:sz w:val="16"/>
          <w:szCs w:val="16"/>
          <w:b w:val="1"/>
          <w:bCs w:val="1"/>
          <w:color w:val="auto"/>
        </w:rPr>
        <w:t xml:space="preserve"> </w:t>
      </w:r>
      <w:r>
        <w:rPr>
          <w:rFonts w:ascii="Arial" w:cs="Arial" w:eastAsia="Arial" w:hAnsi="Arial"/>
          <w:sz w:val="16"/>
          <w:szCs w:val="16"/>
          <w:color w:val="auto"/>
        </w:rPr>
        <w:t>Enrollment Date in accordance with the process established by the Internal Committee. Once a withdrawal becomes effective, no further payroll deductions for the purchase of Shares will be made under the Plan unless the Participant properly completes and submits new enrollment documents by the deadline prescribed by the Internal Committee. A Participant’s withdrawal will not have any effect upon his or her eligibility to participate in the Plan in subsequent Offering Periods or Bonus Offering Periods or in any similar plan that may be adopted by the Company.</w:t>
      </w:r>
    </w:p>
    <w:p>
      <w:pPr>
        <w:sectPr>
          <w:pgSz w:w="11900" w:h="16942" w:orient="portrait"/>
          <w:cols w:equalWidth="0" w:num="1">
            <w:col w:w="9051"/>
          </w:cols>
          <w:pgMar w:left="1408" w:top="111" w:right="1440" w:bottom="0" w:gutter="0" w:footer="0" w:header="0"/>
          <w:type w:val="continuous"/>
        </w:sectPr>
      </w:pPr>
    </w:p>
    <w:bookmarkStart w:id="101" w:name="page102"/>
    <w:bookmarkEnd w:id="101"/>
    <w:p>
      <w:pPr>
        <w:ind w:left="332" w:hanging="332"/>
        <w:spacing w:after="0"/>
        <w:tabs>
          <w:tab w:leader="none" w:pos="332" w:val="left"/>
        </w:tabs>
        <w:numPr>
          <w:ilvl w:val="0"/>
          <w:numId w:val="166"/>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178498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10375" cy="1784985"/>
                    </a:xfrm>
                    <a:prstGeom prst="rect">
                      <a:avLst/>
                    </a:prstGeom>
                    <a:noFill/>
                  </pic:spPr>
                </pic:pic>
              </a:graphicData>
            </a:graphic>
          </wp:anchor>
        </w:drawing>
        <w:t>Termination of Employment; Cessation of Eligibility.</w:t>
      </w:r>
    </w:p>
    <w:p>
      <w:pPr>
        <w:spacing w:after="0" w:line="180" w:lineRule="exact"/>
        <w:rPr>
          <w:rFonts w:ascii="Arial" w:cs="Arial" w:eastAsia="Arial" w:hAnsi="Arial"/>
          <w:sz w:val="16"/>
          <w:szCs w:val="16"/>
          <w:color w:val="auto"/>
        </w:rPr>
      </w:pPr>
    </w:p>
    <w:p>
      <w:pPr>
        <w:ind w:left="652" w:hanging="328"/>
        <w:spacing w:after="0" w:line="293" w:lineRule="auto"/>
        <w:tabs>
          <w:tab w:leader="none" w:pos="652" w:val="left"/>
        </w:tabs>
        <w:numPr>
          <w:ilvl w:val="1"/>
          <w:numId w:val="166"/>
        </w:numPr>
        <w:rPr>
          <w:rFonts w:ascii="Arial" w:cs="Arial" w:eastAsia="Arial" w:hAnsi="Arial"/>
          <w:sz w:val="16"/>
          <w:szCs w:val="16"/>
          <w:color w:val="auto"/>
        </w:rPr>
      </w:pPr>
      <w:r>
        <w:rPr>
          <w:rFonts w:ascii="Arial" w:cs="Arial" w:eastAsia="Arial" w:hAnsi="Arial"/>
          <w:sz w:val="16"/>
          <w:szCs w:val="16"/>
          <w:color w:val="auto"/>
        </w:rPr>
        <w:t>Upon termination of a Participant’s employment for any reason prior to a Purchase Date, whether voluntary or involuntary, including retirement, death, or as a result of liquidation, dissolution, sale, merger or a similar event affecting the Company or a Participating Subsidiary, or (ii) cessation of a Participant’s eligibility for the Plan, due to his or her promotion to the Managing Director level or above or transfer into the position of Project Consultant prior to a Purchase Date, the payroll deductions credited to the Participant’s Purchase Account will be returned to him or her and no further payroll deductions shall be credited to the Participant’s Purchase Account.</w:t>
      </w:r>
    </w:p>
    <w:p>
      <w:pPr>
        <w:spacing w:after="0" w:line="390" w:lineRule="exact"/>
        <w:rPr>
          <w:sz w:val="20"/>
          <w:szCs w:val="20"/>
          <w:color w:val="auto"/>
        </w:rPr>
      </w:pPr>
    </w:p>
    <w:p>
      <w:pPr>
        <w:ind w:left="52"/>
        <w:spacing w:after="0"/>
        <w:tabs>
          <w:tab w:leader="none" w:pos="4392" w:val="left"/>
          <w:tab w:leader="none" w:pos="7752"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13"/>
          <w:szCs w:val="13"/>
          <w:b w:val="1"/>
          <w:bCs w:val="1"/>
          <w:color w:val="00558C"/>
        </w:rPr>
        <w:t>B-4</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wp:posOffset>
            </wp:positionH>
            <wp:positionV relativeFrom="paragraph">
              <wp:posOffset>351790</wp:posOffset>
            </wp:positionV>
            <wp:extent cx="6810375" cy="86487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10375" cy="864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2"/>
        <w:spacing w:after="0"/>
        <w:tabs>
          <w:tab w:leader="none" w:pos="1032" w:val="left"/>
          <w:tab w:leader="none" w:pos="1872" w:val="left"/>
          <w:tab w:leader="none" w:pos="2872" w:val="left"/>
          <w:tab w:leader="none" w:pos="3692" w:val="left"/>
          <w:tab w:leader="none" w:pos="4892" w:val="left"/>
          <w:tab w:leader="none" w:pos="5712" w:val="left"/>
          <w:tab w:leader="none" w:pos="6532" w:val="left"/>
          <w:tab w:leader="none" w:pos="7352" w:val="left"/>
          <w:tab w:leader="none" w:pos="8392" w:val="left"/>
        </w:tabs>
        <w:rPr>
          <w:sz w:val="20"/>
          <w:szCs w:val="20"/>
          <w:color w:val="auto"/>
        </w:rPr>
      </w:pPr>
      <w:r>
        <w:rPr>
          <w:rFonts w:ascii="Arial" w:cs="Arial" w:eastAsia="Arial" w:hAnsi="Arial"/>
          <w:sz w:val="13"/>
          <w:szCs w:val="13"/>
          <w:b w:val="1"/>
          <w:bCs w:val="1"/>
          <w:color w:val="B2B3B6"/>
        </w:rPr>
        <w:t>General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Corporate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Executive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Stockholder</w:t>
      </w:r>
      <w:r>
        <w:rPr>
          <w:sz w:val="20"/>
          <w:szCs w:val="20"/>
          <w:color w:val="auto"/>
        </w:rPr>
        <w:tab/>
      </w:r>
      <w:r>
        <w:rPr>
          <w:rFonts w:ascii="Arial" w:cs="Arial" w:eastAsia="Arial" w:hAnsi="Arial"/>
          <w:sz w:val="12"/>
          <w:szCs w:val="12"/>
          <w:b w:val="1"/>
          <w:bCs w:val="1"/>
          <w:color w:val="6AAA37"/>
        </w:rPr>
        <w:t>Other</w:t>
      </w:r>
    </w:p>
    <w:p>
      <w:pPr>
        <w:spacing w:after="0" w:line="11" w:lineRule="exact"/>
        <w:rPr>
          <w:sz w:val="20"/>
          <w:szCs w:val="20"/>
          <w:color w:val="auto"/>
        </w:rPr>
      </w:pPr>
    </w:p>
    <w:p>
      <w:pPr>
        <w:ind w:left="52"/>
        <w:spacing w:after="0"/>
        <w:tabs>
          <w:tab w:leader="none" w:pos="1032" w:val="left"/>
          <w:tab w:leader="none" w:pos="1872" w:val="left"/>
          <w:tab w:leader="none" w:pos="2872" w:val="left"/>
          <w:tab w:leader="none" w:pos="3692" w:val="left"/>
          <w:tab w:leader="none" w:pos="4892" w:val="left"/>
          <w:tab w:leader="none" w:pos="5712" w:val="left"/>
          <w:tab w:leader="none" w:pos="6532" w:val="left"/>
          <w:tab w:leader="none" w:pos="7352" w:val="left"/>
          <w:tab w:leader="none" w:pos="8392" w:val="left"/>
        </w:tabs>
        <w:rPr>
          <w:sz w:val="20"/>
          <w:szCs w:val="20"/>
          <w:color w:val="auto"/>
        </w:rPr>
      </w:pPr>
      <w:r>
        <w:rPr>
          <w:rFonts w:ascii="Arial" w:cs="Arial" w:eastAsia="Arial" w:hAnsi="Arial"/>
          <w:sz w:val="13"/>
          <w:szCs w:val="13"/>
          <w:b w:val="1"/>
          <w:bCs w:val="1"/>
          <w:color w:val="B2B3B6"/>
        </w:rPr>
        <w:t>Information</w:t>
      </w:r>
      <w:r>
        <w:rPr>
          <w:sz w:val="20"/>
          <w:szCs w:val="20"/>
          <w:color w:val="auto"/>
        </w:rPr>
        <w:tab/>
      </w:r>
      <w:r>
        <w:rPr>
          <w:rFonts w:ascii="Arial" w:cs="Arial" w:eastAsia="Arial" w:hAnsi="Arial"/>
          <w:sz w:val="13"/>
          <w:szCs w:val="13"/>
          <w:b w:val="1"/>
          <w:bCs w:val="1"/>
          <w:color w:val="B2B3B6"/>
        </w:rPr>
        <w:t>One</w:t>
      </w:r>
      <w:r>
        <w:rPr>
          <w:sz w:val="20"/>
          <w:szCs w:val="20"/>
          <w:color w:val="auto"/>
        </w:rPr>
        <w:tab/>
      </w:r>
      <w:r>
        <w:rPr>
          <w:rFonts w:ascii="Arial" w:cs="Arial" w:eastAsia="Arial" w:hAnsi="Arial"/>
          <w:sz w:val="13"/>
          <w:szCs w:val="13"/>
          <w:b w:val="1"/>
          <w:bCs w:val="1"/>
          <w:color w:val="B2B3B6"/>
        </w:rPr>
        <w:t>Governance</w:t>
      </w:r>
      <w:r>
        <w:rPr>
          <w:sz w:val="20"/>
          <w:szCs w:val="20"/>
          <w:color w:val="auto"/>
        </w:rPr>
        <w:tab/>
      </w:r>
      <w:r>
        <w:rPr>
          <w:rFonts w:ascii="Arial" w:cs="Arial" w:eastAsia="Arial" w:hAnsi="Arial"/>
          <w:sz w:val="13"/>
          <w:szCs w:val="13"/>
          <w:b w:val="1"/>
          <w:bCs w:val="1"/>
          <w:color w:val="B2B3B6"/>
        </w:rPr>
        <w:t>Two</w:t>
      </w:r>
      <w:r>
        <w:rPr>
          <w:sz w:val="20"/>
          <w:szCs w:val="20"/>
          <w:color w:val="auto"/>
        </w:rPr>
        <w:tab/>
      </w:r>
      <w:r>
        <w:rPr>
          <w:rFonts w:ascii="Arial" w:cs="Arial" w:eastAsia="Arial" w:hAnsi="Arial"/>
          <w:sz w:val="13"/>
          <w:szCs w:val="13"/>
          <w:b w:val="1"/>
          <w:bCs w:val="1"/>
          <w:color w:val="B2B3B6"/>
        </w:rPr>
        <w:t>Compensation</w:t>
      </w:r>
      <w:r>
        <w:rPr>
          <w:sz w:val="20"/>
          <w:szCs w:val="20"/>
          <w:color w:val="auto"/>
        </w:rPr>
        <w:tab/>
      </w:r>
      <w:r>
        <w:rPr>
          <w:rFonts w:ascii="Arial" w:cs="Arial" w:eastAsia="Arial" w:hAnsi="Arial"/>
          <w:sz w:val="13"/>
          <w:szCs w:val="13"/>
          <w:b w:val="1"/>
          <w:bCs w:val="1"/>
          <w:color w:val="B2B3B6"/>
        </w:rPr>
        <w:t>Three</w:t>
      </w:r>
      <w:r>
        <w:rPr>
          <w:sz w:val="20"/>
          <w:szCs w:val="20"/>
          <w:color w:val="auto"/>
        </w:rPr>
        <w:tab/>
      </w:r>
      <w:r>
        <w:rPr>
          <w:rFonts w:ascii="Arial" w:cs="Arial" w:eastAsia="Arial" w:hAnsi="Arial"/>
          <w:sz w:val="13"/>
          <w:szCs w:val="13"/>
          <w:b w:val="1"/>
          <w:bCs w:val="1"/>
          <w:color w:val="B2B3B6"/>
        </w:rPr>
        <w:t>Four</w:t>
      </w:r>
      <w:r>
        <w:rPr>
          <w:sz w:val="20"/>
          <w:szCs w:val="20"/>
          <w:color w:val="auto"/>
        </w:rPr>
        <w:tab/>
      </w:r>
      <w:r>
        <w:rPr>
          <w:rFonts w:ascii="Arial" w:cs="Arial" w:eastAsia="Arial" w:hAnsi="Arial"/>
          <w:sz w:val="13"/>
          <w:szCs w:val="13"/>
          <w:b w:val="1"/>
          <w:bCs w:val="1"/>
          <w:color w:val="B2B3B6"/>
        </w:rPr>
        <w:t>Five</w:t>
      </w:r>
      <w:r>
        <w:rPr>
          <w:sz w:val="20"/>
          <w:szCs w:val="20"/>
          <w:color w:val="auto"/>
        </w:rPr>
        <w:tab/>
      </w:r>
      <w:r>
        <w:rPr>
          <w:rFonts w:ascii="Arial" w:cs="Arial" w:eastAsia="Arial" w:hAnsi="Arial"/>
          <w:sz w:val="13"/>
          <w:szCs w:val="13"/>
          <w:b w:val="1"/>
          <w:bCs w:val="1"/>
          <w:color w:val="B2B3B6"/>
        </w:rPr>
        <w:t>Proposals</w:t>
      </w:r>
      <w:r>
        <w:rPr>
          <w:sz w:val="20"/>
          <w:szCs w:val="20"/>
          <w:color w:val="auto"/>
        </w:rPr>
        <w:tab/>
      </w:r>
      <w:r>
        <w:rPr>
          <w:rFonts w:ascii="Arial" w:cs="Arial" w:eastAsia="Arial" w:hAnsi="Arial"/>
          <w:sz w:val="12"/>
          <w:szCs w:val="12"/>
          <w:b w:val="1"/>
          <w:bCs w:val="1"/>
          <w:color w:val="6AAA37"/>
        </w:rPr>
        <w:t>Matters</w:t>
      </w:r>
    </w:p>
    <w:p>
      <w:pPr>
        <w:spacing w:after="0" w:line="382" w:lineRule="exact"/>
        <w:rPr>
          <w:sz w:val="20"/>
          <w:szCs w:val="20"/>
          <w:color w:val="auto"/>
        </w:rPr>
      </w:pPr>
    </w:p>
    <w:p>
      <w:pPr>
        <w:ind w:left="652" w:right="200" w:hanging="328"/>
        <w:spacing w:after="0" w:line="295" w:lineRule="auto"/>
        <w:tabs>
          <w:tab w:leader="none" w:pos="652" w:val="left"/>
        </w:tabs>
        <w:numPr>
          <w:ilvl w:val="1"/>
          <w:numId w:val="167"/>
        </w:numPr>
        <w:rPr>
          <w:rFonts w:ascii="Arial" w:cs="Arial" w:eastAsia="Arial" w:hAnsi="Arial"/>
          <w:sz w:val="16"/>
          <w:szCs w:val="16"/>
          <w:color w:val="auto"/>
        </w:rPr>
      </w:pPr>
      <w:r>
        <w:rPr>
          <w:rFonts w:ascii="Arial" w:cs="Arial" w:eastAsia="Arial" w:hAnsi="Arial"/>
          <w:sz w:val="16"/>
          <w:szCs w:val="16"/>
          <w:color w:val="auto"/>
        </w:rPr>
        <w:t>Upon termination of a Participant’s employment due to (i) death or (ii) being Disabled, any then-unvested Matched Shares shall become fully vested on the date on which the Participant’s employment terminates due to the Participant’s death or as a result of the Participant’s being Disabled. "Disabled" shall mean permanently and totally disabled within the meaning of Section 22(e)(3) of the Internal Revenue Code.</w:t>
      </w:r>
    </w:p>
    <w:p>
      <w:pPr>
        <w:spacing w:after="0" w:line="107" w:lineRule="exact"/>
        <w:rPr>
          <w:rFonts w:ascii="Arial" w:cs="Arial" w:eastAsia="Arial" w:hAnsi="Arial"/>
          <w:sz w:val="16"/>
          <w:szCs w:val="16"/>
          <w:color w:val="auto"/>
        </w:rPr>
      </w:pPr>
    </w:p>
    <w:p>
      <w:pPr>
        <w:ind w:left="652" w:right="220" w:hanging="328"/>
        <w:spacing w:after="0" w:line="301" w:lineRule="auto"/>
        <w:tabs>
          <w:tab w:leader="none" w:pos="652" w:val="left"/>
        </w:tabs>
        <w:numPr>
          <w:ilvl w:val="1"/>
          <w:numId w:val="167"/>
        </w:numPr>
        <w:rPr>
          <w:rFonts w:ascii="Arial" w:cs="Arial" w:eastAsia="Arial" w:hAnsi="Arial"/>
          <w:sz w:val="16"/>
          <w:szCs w:val="16"/>
          <w:color w:val="auto"/>
        </w:rPr>
      </w:pPr>
      <w:r>
        <w:rPr>
          <w:rFonts w:ascii="Arial" w:cs="Arial" w:eastAsia="Arial" w:hAnsi="Arial"/>
          <w:sz w:val="16"/>
          <w:szCs w:val="16"/>
          <w:color w:val="auto"/>
        </w:rPr>
        <w:t>Upon termination of a Participant’s employment due to any reason other than (i) death or (ii) being Disabled, any then-unvested Matched Shares shall be forfeited. Any forfeited Matched Shares shall be available again under the Plan to be Purchased Shares or Matched Shares.</w:t>
      </w:r>
    </w:p>
    <w:p>
      <w:pPr>
        <w:spacing w:after="0" w:line="104" w:lineRule="exact"/>
        <w:rPr>
          <w:rFonts w:ascii="Arial" w:cs="Arial" w:eastAsia="Arial" w:hAnsi="Arial"/>
          <w:sz w:val="16"/>
          <w:szCs w:val="16"/>
          <w:color w:val="auto"/>
        </w:rPr>
      </w:pPr>
    </w:p>
    <w:p>
      <w:pPr>
        <w:ind w:left="332" w:hanging="332"/>
        <w:spacing w:after="0"/>
        <w:tabs>
          <w:tab w:leader="none" w:pos="332" w:val="left"/>
        </w:tabs>
        <w:numPr>
          <w:ilvl w:val="0"/>
          <w:numId w:val="168"/>
        </w:numPr>
        <w:rPr>
          <w:rFonts w:ascii="Arial" w:cs="Arial" w:eastAsia="Arial" w:hAnsi="Arial"/>
          <w:sz w:val="16"/>
          <w:szCs w:val="16"/>
          <w:color w:val="auto"/>
        </w:rPr>
      </w:pPr>
      <w:r>
        <w:rPr>
          <w:rFonts w:ascii="Arial" w:cs="Arial" w:eastAsia="Arial" w:hAnsi="Arial"/>
          <w:sz w:val="16"/>
          <w:szCs w:val="16"/>
          <w:b w:val="1"/>
          <w:bCs w:val="1"/>
          <w:color w:val="auto"/>
        </w:rPr>
        <w:t>Administration.</w:t>
      </w:r>
    </w:p>
    <w:p>
      <w:pPr>
        <w:spacing w:after="0" w:line="180" w:lineRule="exact"/>
        <w:rPr>
          <w:rFonts w:ascii="Arial" w:cs="Arial" w:eastAsia="Arial" w:hAnsi="Arial"/>
          <w:sz w:val="16"/>
          <w:szCs w:val="16"/>
          <w:color w:val="auto"/>
        </w:rPr>
      </w:pPr>
    </w:p>
    <w:p>
      <w:pPr>
        <w:ind w:left="652" w:right="100" w:hanging="328"/>
        <w:spacing w:after="0" w:line="300" w:lineRule="auto"/>
        <w:tabs>
          <w:tab w:leader="none" w:pos="652" w:val="left"/>
        </w:tabs>
        <w:numPr>
          <w:ilvl w:val="1"/>
          <w:numId w:val="168"/>
        </w:numPr>
        <w:rPr>
          <w:rFonts w:ascii="Arial" w:cs="Arial" w:eastAsia="Arial" w:hAnsi="Arial"/>
          <w:sz w:val="16"/>
          <w:szCs w:val="16"/>
          <w:color w:val="auto"/>
        </w:rPr>
      </w:pPr>
      <w:r>
        <w:rPr>
          <w:rFonts w:ascii="Arial" w:cs="Arial" w:eastAsia="Arial" w:hAnsi="Arial"/>
          <w:sz w:val="16"/>
          <w:szCs w:val="16"/>
          <w:color w:val="auto"/>
        </w:rPr>
        <w:t>The Committee shall have the discretionary authority to determine the time and frequency of Offering Periods and Bonus Offering Periods, the terms and conditions for the purchase of Shares and the receipt of Matched Shares, the percentage for Matched Shares, and any other term or feature of the Plan that affects the cost of the Plan to the Company.</w:t>
      </w:r>
    </w:p>
    <w:p>
      <w:pPr>
        <w:spacing w:after="0" w:line="106" w:lineRule="exact"/>
        <w:rPr>
          <w:rFonts w:ascii="Arial" w:cs="Arial" w:eastAsia="Arial" w:hAnsi="Arial"/>
          <w:sz w:val="16"/>
          <w:szCs w:val="16"/>
          <w:color w:val="auto"/>
        </w:rPr>
      </w:pPr>
    </w:p>
    <w:p>
      <w:pPr>
        <w:ind w:left="652" w:right="120" w:hanging="328"/>
        <w:spacing w:after="0" w:line="301" w:lineRule="auto"/>
        <w:tabs>
          <w:tab w:leader="none" w:pos="652" w:val="left"/>
        </w:tabs>
        <w:numPr>
          <w:ilvl w:val="1"/>
          <w:numId w:val="168"/>
        </w:numPr>
        <w:rPr>
          <w:rFonts w:ascii="Arial" w:cs="Arial" w:eastAsia="Arial" w:hAnsi="Arial"/>
          <w:sz w:val="16"/>
          <w:szCs w:val="16"/>
          <w:color w:val="auto"/>
        </w:rPr>
      </w:pPr>
      <w:r>
        <w:rPr>
          <w:rFonts w:ascii="Arial" w:cs="Arial" w:eastAsia="Arial" w:hAnsi="Arial"/>
          <w:sz w:val="16"/>
          <w:szCs w:val="16"/>
          <w:color w:val="auto"/>
        </w:rPr>
        <w:t>The Internal Committee shall have the discretionary authority to do everything necessary and appropriate to administer the operations of the Plan, including, without limitation, interpreting the provisions of the Plan, and setting and revising operational procedures from time to time.</w:t>
      </w:r>
    </w:p>
    <w:p>
      <w:pPr>
        <w:spacing w:after="0" w:line="104" w:lineRule="exact"/>
        <w:rPr>
          <w:rFonts w:ascii="Arial" w:cs="Arial" w:eastAsia="Arial" w:hAnsi="Arial"/>
          <w:sz w:val="16"/>
          <w:szCs w:val="16"/>
          <w:color w:val="auto"/>
        </w:rPr>
      </w:pPr>
    </w:p>
    <w:p>
      <w:pPr>
        <w:ind w:left="652" w:hanging="328"/>
        <w:spacing w:after="0" w:line="296" w:lineRule="auto"/>
        <w:tabs>
          <w:tab w:leader="none" w:pos="652" w:val="left"/>
        </w:tabs>
        <w:numPr>
          <w:ilvl w:val="1"/>
          <w:numId w:val="168"/>
        </w:numPr>
        <w:rPr>
          <w:rFonts w:ascii="Arial" w:cs="Arial" w:eastAsia="Arial" w:hAnsi="Arial"/>
          <w:sz w:val="16"/>
          <w:szCs w:val="16"/>
          <w:color w:val="auto"/>
        </w:rPr>
      </w:pPr>
      <w:r>
        <w:rPr>
          <w:rFonts w:ascii="Arial" w:cs="Arial" w:eastAsia="Arial" w:hAnsi="Arial"/>
          <w:sz w:val="16"/>
          <w:szCs w:val="16"/>
          <w:color w:val="auto"/>
        </w:rPr>
        <w:t>All actions, decisions and determinations of, and interpretations by, the Committee or the Internal Committee with respect to the Plan shall be final and binding upon all Participants and upon their executors, administrators, personal representatives, heirs and legatees. No member of the Board of Directors, the Compensation Committee of the Board of Directors, or the Internal Committee shall be liable for any action, decision, determination or interpretation made in good faith with respect to the Plan or any right granted hereunder.</w:t>
      </w:r>
    </w:p>
    <w:p>
      <w:pPr>
        <w:spacing w:after="0" w:line="107" w:lineRule="exact"/>
        <w:rPr>
          <w:rFonts w:ascii="Arial" w:cs="Arial" w:eastAsia="Arial" w:hAnsi="Arial"/>
          <w:sz w:val="16"/>
          <w:szCs w:val="16"/>
          <w:color w:val="auto"/>
        </w:rPr>
      </w:pPr>
    </w:p>
    <w:p>
      <w:pPr>
        <w:ind w:left="652" w:hanging="328"/>
        <w:spacing w:after="0" w:line="291" w:lineRule="auto"/>
        <w:tabs>
          <w:tab w:leader="none" w:pos="652" w:val="left"/>
        </w:tabs>
        <w:numPr>
          <w:ilvl w:val="1"/>
          <w:numId w:val="168"/>
        </w:numPr>
        <w:rPr>
          <w:rFonts w:ascii="Arial" w:cs="Arial" w:eastAsia="Arial" w:hAnsi="Arial"/>
          <w:sz w:val="16"/>
          <w:szCs w:val="16"/>
          <w:color w:val="auto"/>
        </w:rPr>
      </w:pPr>
      <w:r>
        <w:rPr>
          <w:rFonts w:ascii="Arial" w:cs="Arial" w:eastAsia="Arial" w:hAnsi="Arial"/>
          <w:sz w:val="16"/>
          <w:szCs w:val="16"/>
          <w:b w:val="1"/>
          <w:bCs w:val="1"/>
          <w:color w:val="auto"/>
        </w:rPr>
        <w:t xml:space="preserve">Broker. </w:t>
      </w:r>
      <w:r>
        <w:rPr>
          <w:rFonts w:ascii="Arial" w:cs="Arial" w:eastAsia="Arial" w:hAnsi="Arial"/>
          <w:sz w:val="16"/>
          <w:szCs w:val="16"/>
          <w:color w:val="auto"/>
        </w:rPr>
        <w:t>The Company, the Board, the Committee, or the Internal Committee shall engage the Broker to perform</w:t>
      </w:r>
      <w:r>
        <w:rPr>
          <w:rFonts w:ascii="Arial" w:cs="Arial" w:eastAsia="Arial" w:hAnsi="Arial"/>
          <w:sz w:val="16"/>
          <w:szCs w:val="16"/>
          <w:b w:val="1"/>
          <w:bCs w:val="1"/>
          <w:color w:val="auto"/>
        </w:rPr>
        <w:t xml:space="preserve"> </w:t>
      </w:r>
      <w:r>
        <w:rPr>
          <w:rFonts w:ascii="Arial" w:cs="Arial" w:eastAsia="Arial" w:hAnsi="Arial"/>
          <w:sz w:val="16"/>
          <w:szCs w:val="16"/>
          <w:color w:val="auto"/>
        </w:rPr>
        <w:t>certain ministerial and procedural duties under the Plan including, but not limited to, mailing and receiving notices contemplated under the Plan, determining the number of Purchased Shares for each Participant, maintaining or causing to be maintained the Purchase Account and the Brokerage Account, disbursing funds maintained in the Purchase Account or proceeds from the sale of Shares through the Brokerage Account, and filing with the appropriate tax authorities proper tax returns and forms (including information returns) and providing to each Participant statements as required by law or regulation.</w:t>
      </w:r>
    </w:p>
    <w:p>
      <w:pPr>
        <w:spacing w:after="0" w:line="112" w:lineRule="exact"/>
        <w:rPr>
          <w:rFonts w:ascii="Arial" w:cs="Arial" w:eastAsia="Arial" w:hAnsi="Arial"/>
          <w:sz w:val="16"/>
          <w:szCs w:val="16"/>
          <w:color w:val="auto"/>
        </w:rPr>
      </w:pPr>
    </w:p>
    <w:p>
      <w:pPr>
        <w:ind w:left="652" w:right="20" w:hanging="328"/>
        <w:spacing w:after="0" w:line="286" w:lineRule="auto"/>
        <w:tabs>
          <w:tab w:leader="none" w:pos="652" w:val="left"/>
        </w:tabs>
        <w:numPr>
          <w:ilvl w:val="1"/>
          <w:numId w:val="168"/>
        </w:numPr>
        <w:rPr>
          <w:rFonts w:ascii="Arial" w:cs="Arial" w:eastAsia="Arial" w:hAnsi="Arial"/>
          <w:sz w:val="16"/>
          <w:szCs w:val="16"/>
          <w:color w:val="auto"/>
        </w:rPr>
      </w:pPr>
      <w:r>
        <w:rPr>
          <w:rFonts w:ascii="Arial" w:cs="Arial" w:eastAsia="Arial" w:hAnsi="Arial"/>
          <w:sz w:val="16"/>
          <w:szCs w:val="16"/>
          <w:b w:val="1"/>
          <w:bCs w:val="1"/>
          <w:color w:val="auto"/>
        </w:rPr>
        <w:t xml:space="preserve">Claims Procedures. </w:t>
      </w:r>
      <w:r>
        <w:rPr>
          <w:rFonts w:ascii="Arial" w:cs="Arial" w:eastAsia="Arial" w:hAnsi="Arial"/>
          <w:sz w:val="16"/>
          <w:szCs w:val="16"/>
          <w:color w:val="auto"/>
        </w:rPr>
        <w:t>Any person claiming a benefit, or requesting an interpretation or ruling under the Plan, or</w:t>
      </w:r>
      <w:r>
        <w:rPr>
          <w:rFonts w:ascii="Arial" w:cs="Arial" w:eastAsia="Arial" w:hAnsi="Arial"/>
          <w:sz w:val="16"/>
          <w:szCs w:val="16"/>
          <w:b w:val="1"/>
          <w:bCs w:val="1"/>
          <w:color w:val="auto"/>
        </w:rPr>
        <w:t xml:space="preserve"> </w:t>
      </w:r>
      <w:r>
        <w:rPr>
          <w:rFonts w:ascii="Arial" w:cs="Arial" w:eastAsia="Arial" w:hAnsi="Arial"/>
          <w:sz w:val="16"/>
          <w:szCs w:val="16"/>
          <w:color w:val="auto"/>
        </w:rPr>
        <w:t>requesting information under the Plan, shall present his or her request in writing to the Internal Committee. Whenever a request for benefits under the Plan is wholly or partially denied, the Internal Committee shall notify the person claiming such benefits of its decision in writing. Such notification shall contain (1) specific reasons for the denial of the claim, (2) specific reference to pertinent Plan provisions, (3) a description of any additional material or information necessary for such person to perfect such claim and an explanation of why such material or information is necessary, and (4) information as to the steps to be taken if the person wishes to submit a request for review. Such notification shall be given within 90 days after the claim is received by the Internal Committee (or within 180 days, if special circumstances require an extension of time for processing the claim, and if written notice of such extension and circumstances is given to such person within the initial 90-day period). Within 60 days after the date on which a person receives a written notice of a denied claim, such person (or his or her duly authorized representative) may (1) file a written request with the Internal Committee for a review of his or her denied claim and of pertinent documents and (2) submit written issues and comments to the Internal Committee. The Internal Committee shall notify such person of its decision in writing. Such notification shall be written in a manner calculated to be understood by such person and shall contain specific reasons for the decision as well as specific references to pertinent Plan provisions. The decision on review shall be made within 60 days after the request for review is received by the Internal Committee (or within 120 days, if special circumstances require an extension of time for processing the request, such as an election by the Internal Committee to hold a hearing, and if written notice of such extension and circumstances is given to such person within the initial 60-day period). A Participant may not file a lawsuit until all administrative remedies under the Plan have been exhausted.</w:t>
      </w:r>
    </w:p>
    <w:p>
      <w:pPr>
        <w:spacing w:after="0" w:line="124" w:lineRule="exact"/>
        <w:rPr>
          <w:rFonts w:ascii="Arial" w:cs="Arial" w:eastAsia="Arial" w:hAnsi="Arial"/>
          <w:sz w:val="16"/>
          <w:szCs w:val="16"/>
          <w:color w:val="auto"/>
        </w:rPr>
      </w:pPr>
    </w:p>
    <w:p>
      <w:pPr>
        <w:jc w:val="both"/>
        <w:ind w:left="652" w:right="60" w:hanging="328"/>
        <w:spacing w:after="0" w:line="339" w:lineRule="auto"/>
        <w:tabs>
          <w:tab w:leader="none" w:pos="652" w:val="left"/>
        </w:tabs>
        <w:numPr>
          <w:ilvl w:val="1"/>
          <w:numId w:val="168"/>
        </w:numPr>
        <w:rPr>
          <w:rFonts w:ascii="Arial" w:cs="Arial" w:eastAsia="Arial" w:hAnsi="Arial"/>
          <w:sz w:val="16"/>
          <w:szCs w:val="16"/>
          <w:color w:val="auto"/>
        </w:rPr>
      </w:pPr>
      <w:r>
        <w:rPr>
          <w:rFonts w:ascii="Arial" w:cs="Arial" w:eastAsia="Arial" w:hAnsi="Arial"/>
          <w:sz w:val="16"/>
          <w:szCs w:val="16"/>
          <w:b w:val="1"/>
          <w:bCs w:val="1"/>
          <w:color w:val="auto"/>
        </w:rPr>
        <w:t xml:space="preserve">Indemnification. </w:t>
      </w:r>
      <w:r>
        <w:rPr>
          <w:rFonts w:ascii="Arial" w:cs="Arial" w:eastAsia="Arial" w:hAnsi="Arial"/>
          <w:sz w:val="16"/>
          <w:szCs w:val="16"/>
          <w:color w:val="auto"/>
        </w:rPr>
        <w:t>No member of the Board of Directors, the Committee, or the Internal Committee, nor any officer or</w:t>
      </w:r>
      <w:r>
        <w:rPr>
          <w:rFonts w:ascii="Arial" w:cs="Arial" w:eastAsia="Arial" w:hAnsi="Arial"/>
          <w:sz w:val="16"/>
          <w:szCs w:val="16"/>
          <w:b w:val="1"/>
          <w:bCs w:val="1"/>
          <w:color w:val="auto"/>
        </w:rPr>
        <w:t xml:space="preserve"> </w:t>
      </w:r>
      <w:r>
        <w:rPr>
          <w:rFonts w:ascii="Arial" w:cs="Arial" w:eastAsia="Arial" w:hAnsi="Arial"/>
          <w:sz w:val="16"/>
          <w:szCs w:val="16"/>
          <w:color w:val="auto"/>
        </w:rPr>
        <w:t>other employee of the Company acting on behalf of the Board of Directors, the Committee, or the Internal Committee</w:t>
      </w:r>
    </w:p>
    <w:p>
      <w:pPr>
        <w:sectPr>
          <w:pgSz w:w="11900" w:h="16838" w:orient="portrait"/>
          <w:cols w:equalWidth="0" w:num="1">
            <w:col w:w="9072"/>
          </w:cols>
          <w:pgMar w:left="1408" w:top="274" w:right="1419" w:bottom="0" w:gutter="0" w:footer="0" w:header="0"/>
        </w:sectPr>
      </w:pPr>
    </w:p>
    <w:p>
      <w:pPr>
        <w:spacing w:after="0" w:line="354" w:lineRule="exact"/>
        <w:rPr>
          <w:sz w:val="20"/>
          <w:szCs w:val="20"/>
          <w:color w:val="auto"/>
        </w:rPr>
      </w:pPr>
    </w:p>
    <w:p>
      <w:pPr>
        <w:ind w:left="52"/>
        <w:spacing w:after="0"/>
        <w:tabs>
          <w:tab w:leader="none" w:pos="4412" w:val="left"/>
          <w:tab w:leader="none" w:pos="7752"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13"/>
          <w:szCs w:val="13"/>
          <w:b w:val="1"/>
          <w:bCs w:val="1"/>
          <w:color w:val="00558C"/>
        </w:rPr>
        <w:t>B-5</w:t>
      </w:r>
      <w:r>
        <w:rPr>
          <w:sz w:val="20"/>
          <w:szCs w:val="20"/>
          <w:color w:val="auto"/>
        </w:rPr>
        <w:tab/>
      </w:r>
      <w:r>
        <w:rPr>
          <w:rFonts w:ascii="Arial" w:cs="Arial" w:eastAsia="Arial" w:hAnsi="Arial"/>
          <w:sz w:val="12"/>
          <w:szCs w:val="12"/>
          <w:color w:val="auto"/>
        </w:rPr>
        <w:t>2025 Proxy Statement</w:t>
      </w:r>
    </w:p>
    <w:p>
      <w:pPr>
        <w:sectPr>
          <w:pgSz w:w="11900" w:h="16838" w:orient="portrait"/>
          <w:cols w:equalWidth="0" w:num="1">
            <w:col w:w="9072"/>
          </w:cols>
          <w:pgMar w:left="1408" w:top="274" w:right="1419" w:bottom="0" w:gutter="0" w:footer="0" w:header="0"/>
          <w:type w:val="continuous"/>
        </w:sectPr>
      </w:pPr>
    </w:p>
    <w:bookmarkStart w:id="102" w:name="page103"/>
    <w:bookmarkEnd w:id="102"/>
    <w:p>
      <w:pPr>
        <w:spacing w:after="0" w:line="5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91573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10375" cy="9157335"/>
                    </a:xfrm>
                    <a:prstGeom prst="rect">
                      <a:avLst/>
                    </a:prstGeom>
                    <a:noFill/>
                  </pic:spPr>
                </pic:pic>
              </a:graphicData>
            </a:graphic>
          </wp:anchor>
        </w:drawing>
      </w:r>
    </w:p>
    <w:p>
      <w:pPr>
        <w:ind w:left="52" w:right="200"/>
        <w:spacing w:after="0" w:line="274" w:lineRule="auto"/>
        <w:rPr>
          <w:sz w:val="20"/>
          <w:szCs w:val="20"/>
          <w:color w:val="auto"/>
        </w:rPr>
      </w:pPr>
      <w:r>
        <w:rPr>
          <w:rFonts w:ascii="Arial" w:cs="Arial" w:eastAsia="Arial" w:hAnsi="Arial"/>
          <w:sz w:val="13"/>
          <w:szCs w:val="13"/>
          <w:b w:val="1"/>
          <w:bCs w:val="1"/>
          <w:color w:val="B2B3B6"/>
        </w:rPr>
        <w:t xml:space="preserve">General Proposal Corporate Proposal Executive Proposal Proposal Proposal Stockholder </w:t>
      </w:r>
      <w:r>
        <w:rPr>
          <w:rFonts w:ascii="Arial" w:cs="Arial" w:eastAsia="Arial" w:hAnsi="Arial"/>
          <w:sz w:val="13"/>
          <w:szCs w:val="13"/>
          <w:b w:val="1"/>
          <w:bCs w:val="1"/>
          <w:color w:val="6AAA37"/>
        </w:rPr>
        <w:t>Other</w:t>
      </w:r>
      <w:r>
        <w:rPr>
          <w:rFonts w:ascii="Arial" w:cs="Arial" w:eastAsia="Arial" w:hAnsi="Arial"/>
          <w:sz w:val="13"/>
          <w:szCs w:val="13"/>
          <w:b w:val="1"/>
          <w:bCs w:val="1"/>
          <w:color w:val="B2B3B6"/>
        </w:rPr>
        <w:t xml:space="preserve"> Information One Governance Two Compensation Three Four Five Proposals </w:t>
      </w:r>
      <w:r>
        <w:rPr>
          <w:rFonts w:ascii="Arial" w:cs="Arial" w:eastAsia="Arial" w:hAnsi="Arial"/>
          <w:sz w:val="13"/>
          <w:szCs w:val="13"/>
          <w:b w:val="1"/>
          <w:bCs w:val="1"/>
          <w:color w:val="6AAA37"/>
        </w:rPr>
        <w:t>Matters</w:t>
      </w:r>
    </w:p>
    <w:p>
      <w:pPr>
        <w:spacing w:after="0" w:line="351" w:lineRule="exact"/>
        <w:rPr>
          <w:sz w:val="20"/>
          <w:szCs w:val="20"/>
          <w:color w:val="auto"/>
        </w:rPr>
      </w:pPr>
    </w:p>
    <w:p>
      <w:pPr>
        <w:ind w:left="652"/>
        <w:spacing w:after="0" w:line="291" w:lineRule="auto"/>
        <w:rPr>
          <w:sz w:val="20"/>
          <w:szCs w:val="20"/>
          <w:color w:val="auto"/>
        </w:rPr>
      </w:pPr>
      <w:r>
        <w:rPr>
          <w:rFonts w:ascii="Arial" w:cs="Arial" w:eastAsia="Arial" w:hAnsi="Arial"/>
          <w:sz w:val="16"/>
          <w:szCs w:val="16"/>
          <w:color w:val="auto"/>
        </w:rPr>
        <w:t>shall be personally liable for any action, determination, or interpretation taken or made in good faith with respect to the Plan, and all members of the Board of Directors, the Committee, and the Internal Committee, each officer of the Company and each employee of the Company acting on behalf of the Board of Directors, the Committee, of the Internal Committee shall, to the extent permitted by law, be fully indemnified and protected by the Company in respect of any such action, determination, or interpretation.</w:t>
      </w:r>
    </w:p>
    <w:p>
      <w:pPr>
        <w:spacing w:after="0" w:line="113" w:lineRule="exact"/>
        <w:rPr>
          <w:sz w:val="20"/>
          <w:szCs w:val="20"/>
          <w:color w:val="auto"/>
        </w:rPr>
      </w:pPr>
    </w:p>
    <w:p>
      <w:pPr>
        <w:jc w:val="both"/>
        <w:ind w:left="332" w:right="380" w:hanging="332"/>
        <w:spacing w:after="0" w:line="310" w:lineRule="auto"/>
        <w:tabs>
          <w:tab w:leader="none" w:pos="332" w:val="left"/>
        </w:tabs>
        <w:numPr>
          <w:ilvl w:val="0"/>
          <w:numId w:val="169"/>
        </w:numPr>
        <w:rPr>
          <w:rFonts w:ascii="Arial" w:cs="Arial" w:eastAsia="Arial" w:hAnsi="Arial"/>
          <w:sz w:val="16"/>
          <w:szCs w:val="16"/>
          <w:color w:val="auto"/>
        </w:rPr>
      </w:pPr>
      <w:r>
        <w:rPr>
          <w:rFonts w:ascii="Arial" w:cs="Arial" w:eastAsia="Arial" w:hAnsi="Arial"/>
          <w:sz w:val="16"/>
          <w:szCs w:val="16"/>
          <w:b w:val="1"/>
          <w:bCs w:val="1"/>
          <w:color w:val="auto"/>
        </w:rPr>
        <w:t xml:space="preserve">Interest; Use of Funds. </w:t>
      </w:r>
      <w:r>
        <w:rPr>
          <w:rFonts w:ascii="Arial" w:cs="Arial" w:eastAsia="Arial" w:hAnsi="Arial"/>
          <w:sz w:val="16"/>
          <w:szCs w:val="16"/>
          <w:color w:val="auto"/>
        </w:rPr>
        <w:t>No interest shall accrue on the payroll deductions of a Participant to the Plan. All Participant</w:t>
      </w:r>
      <w:r>
        <w:rPr>
          <w:rFonts w:ascii="Arial" w:cs="Arial" w:eastAsia="Arial" w:hAnsi="Arial"/>
          <w:sz w:val="16"/>
          <w:szCs w:val="16"/>
          <w:b w:val="1"/>
          <w:bCs w:val="1"/>
          <w:color w:val="auto"/>
        </w:rPr>
        <w:t xml:space="preserve"> </w:t>
      </w:r>
      <w:r>
        <w:rPr>
          <w:rFonts w:ascii="Arial" w:cs="Arial" w:eastAsia="Arial" w:hAnsi="Arial"/>
          <w:sz w:val="16"/>
          <w:szCs w:val="16"/>
          <w:color w:val="auto"/>
        </w:rPr>
        <w:t>payroll deductions received or held by the Company under this Plan may be used by the Company for any corporate purpose and the Company shall not be obligated to segregate such Participant payroll deductions.</w:t>
      </w:r>
    </w:p>
    <w:p>
      <w:pPr>
        <w:spacing w:after="0" w:line="97" w:lineRule="exact"/>
        <w:rPr>
          <w:rFonts w:ascii="Arial" w:cs="Arial" w:eastAsia="Arial" w:hAnsi="Arial"/>
          <w:sz w:val="16"/>
          <w:szCs w:val="16"/>
          <w:color w:val="auto"/>
        </w:rPr>
      </w:pPr>
    </w:p>
    <w:p>
      <w:pPr>
        <w:ind w:left="332" w:hanging="332"/>
        <w:spacing w:after="0"/>
        <w:tabs>
          <w:tab w:leader="none" w:pos="332" w:val="left"/>
        </w:tabs>
        <w:numPr>
          <w:ilvl w:val="0"/>
          <w:numId w:val="169"/>
        </w:numPr>
        <w:rPr>
          <w:rFonts w:ascii="Arial" w:cs="Arial" w:eastAsia="Arial" w:hAnsi="Arial"/>
          <w:sz w:val="16"/>
          <w:szCs w:val="16"/>
          <w:color w:val="auto"/>
        </w:rPr>
      </w:pPr>
      <w:r>
        <w:rPr>
          <w:rFonts w:ascii="Arial" w:cs="Arial" w:eastAsia="Arial" w:hAnsi="Arial"/>
          <w:sz w:val="16"/>
          <w:szCs w:val="16"/>
          <w:b w:val="1"/>
          <w:bCs w:val="1"/>
          <w:color w:val="auto"/>
        </w:rPr>
        <w:t>Stock.</w:t>
      </w:r>
    </w:p>
    <w:p>
      <w:pPr>
        <w:spacing w:after="0" w:line="167" w:lineRule="exact"/>
        <w:rPr>
          <w:rFonts w:ascii="Arial" w:cs="Arial" w:eastAsia="Arial" w:hAnsi="Arial"/>
          <w:sz w:val="16"/>
          <w:szCs w:val="16"/>
          <w:color w:val="auto"/>
        </w:rPr>
      </w:pPr>
    </w:p>
    <w:p>
      <w:pPr>
        <w:ind w:left="652" w:right="320" w:hanging="328"/>
        <w:spacing w:after="0" w:line="300" w:lineRule="auto"/>
        <w:tabs>
          <w:tab w:leader="none" w:pos="652" w:val="left"/>
        </w:tabs>
        <w:numPr>
          <w:ilvl w:val="1"/>
          <w:numId w:val="169"/>
        </w:numPr>
        <w:rPr>
          <w:rFonts w:ascii="Arial" w:cs="Arial" w:eastAsia="Arial" w:hAnsi="Arial"/>
          <w:sz w:val="16"/>
          <w:szCs w:val="16"/>
          <w:color w:val="auto"/>
        </w:rPr>
      </w:pPr>
      <w:r>
        <w:rPr>
          <w:rFonts w:ascii="Arial" w:cs="Arial" w:eastAsia="Arial" w:hAnsi="Arial"/>
          <w:sz w:val="16"/>
          <w:szCs w:val="16"/>
          <w:color w:val="auto"/>
        </w:rPr>
        <w:t>The Shares placed into the Brokerage Accounts via this Plan shall be: (i) common stock of the Company; (ii) registered securities as required under the 1933 Act and the 1934 Act; (iii) listed on the Nasdaq or on such other exchange as the Shares may be listed; and (iv) either authorized but unissued shares, treasury shares, or shares purchased by the Company on the open market.</w:t>
      </w:r>
    </w:p>
    <w:p>
      <w:pPr>
        <w:spacing w:after="0" w:line="106" w:lineRule="exact"/>
        <w:rPr>
          <w:rFonts w:ascii="Arial" w:cs="Arial" w:eastAsia="Arial" w:hAnsi="Arial"/>
          <w:sz w:val="16"/>
          <w:szCs w:val="16"/>
          <w:color w:val="auto"/>
        </w:rPr>
      </w:pPr>
    </w:p>
    <w:p>
      <w:pPr>
        <w:ind w:left="652" w:right="140" w:hanging="328"/>
        <w:spacing w:after="0" w:line="288" w:lineRule="auto"/>
        <w:tabs>
          <w:tab w:leader="none" w:pos="652" w:val="left"/>
        </w:tabs>
        <w:numPr>
          <w:ilvl w:val="1"/>
          <w:numId w:val="169"/>
        </w:numPr>
        <w:rPr>
          <w:rFonts w:ascii="Arial" w:cs="Arial" w:eastAsia="Arial" w:hAnsi="Arial"/>
          <w:sz w:val="16"/>
          <w:szCs w:val="16"/>
          <w:color w:val="auto"/>
        </w:rPr>
      </w:pPr>
      <w:r>
        <w:rPr>
          <w:rFonts w:ascii="Arial" w:cs="Arial" w:eastAsia="Arial" w:hAnsi="Arial"/>
          <w:sz w:val="16"/>
          <w:szCs w:val="16"/>
          <w:color w:val="auto"/>
        </w:rPr>
        <w:t>Subject to adjustment upon changes in capitalization of the Company as provided in Section 15, the maximum number of Shares made available for sale or issuance under the Plan shall be nine hundred thousand (900,000) shares (comprised of: (i) the three hundred thousand (300,000) shares of Common Stock authorized under the Plan as originally adopted; (ii) an additional four hundred thousand (400,000) shares of Common Stock authorized in the amendment of the Plan effective May 8, 2020; and (iii) an additional two hundred thousand (200,000) shares of Common Stock authorized in the amendment of the Plan effective May 3, 2024.) If, on a given Purchase Date, the number of Shares to be allocated to Participants’ Brokerage Accounts and the corresponding Matched Shares exceed the number of Shares then available under the Plan, a pro rata allocation of the Shares remaining available shall be made in as uniform a manner as shall be practicable and as shall be determined to be equitable.</w:t>
      </w:r>
    </w:p>
    <w:p>
      <w:pPr>
        <w:spacing w:after="0" w:line="118" w:lineRule="exact"/>
        <w:rPr>
          <w:rFonts w:ascii="Arial" w:cs="Arial" w:eastAsia="Arial" w:hAnsi="Arial"/>
          <w:sz w:val="16"/>
          <w:szCs w:val="16"/>
          <w:color w:val="auto"/>
        </w:rPr>
      </w:pPr>
    </w:p>
    <w:p>
      <w:pPr>
        <w:jc w:val="both"/>
        <w:ind w:left="652" w:right="40" w:hanging="328"/>
        <w:spacing w:after="0" w:line="310" w:lineRule="auto"/>
        <w:tabs>
          <w:tab w:leader="none" w:pos="652" w:val="left"/>
        </w:tabs>
        <w:numPr>
          <w:ilvl w:val="1"/>
          <w:numId w:val="169"/>
        </w:numPr>
        <w:rPr>
          <w:rFonts w:ascii="Arial" w:cs="Arial" w:eastAsia="Arial" w:hAnsi="Arial"/>
          <w:sz w:val="16"/>
          <w:szCs w:val="16"/>
          <w:color w:val="auto"/>
        </w:rPr>
      </w:pPr>
      <w:r>
        <w:rPr>
          <w:rFonts w:ascii="Arial" w:cs="Arial" w:eastAsia="Arial" w:hAnsi="Arial"/>
          <w:sz w:val="16"/>
          <w:szCs w:val="16"/>
          <w:color w:val="auto"/>
        </w:rPr>
        <w:t>The Participant agrees that the right to vote any Matched Shares which have not vested will be held by the Company and the Participant shall be required to execute an irrevocable proxy in favor of the Company for the Matched Shares in the form supplied by the Company.</w:t>
      </w:r>
    </w:p>
    <w:p>
      <w:pPr>
        <w:spacing w:after="0" w:line="97" w:lineRule="exact"/>
        <w:rPr>
          <w:rFonts w:ascii="Arial" w:cs="Arial" w:eastAsia="Arial" w:hAnsi="Arial"/>
          <w:sz w:val="16"/>
          <w:szCs w:val="16"/>
          <w:color w:val="auto"/>
        </w:rPr>
      </w:pPr>
    </w:p>
    <w:p>
      <w:pPr>
        <w:ind w:left="332" w:right="40" w:hanging="332"/>
        <w:spacing w:after="0" w:line="291" w:lineRule="auto"/>
        <w:tabs>
          <w:tab w:leader="none" w:pos="332" w:val="left"/>
        </w:tabs>
        <w:numPr>
          <w:ilvl w:val="0"/>
          <w:numId w:val="169"/>
        </w:numPr>
        <w:rPr>
          <w:rFonts w:ascii="Arial" w:cs="Arial" w:eastAsia="Arial" w:hAnsi="Arial"/>
          <w:sz w:val="16"/>
          <w:szCs w:val="16"/>
          <w:color w:val="auto"/>
        </w:rPr>
      </w:pPr>
      <w:r>
        <w:rPr>
          <w:rFonts w:ascii="Arial" w:cs="Arial" w:eastAsia="Arial" w:hAnsi="Arial"/>
          <w:sz w:val="16"/>
          <w:szCs w:val="16"/>
          <w:b w:val="1"/>
          <w:bCs w:val="1"/>
          <w:color w:val="auto"/>
        </w:rPr>
        <w:t xml:space="preserve">Assignability. </w:t>
      </w:r>
      <w:r>
        <w:rPr>
          <w:rFonts w:ascii="Arial" w:cs="Arial" w:eastAsia="Arial" w:hAnsi="Arial"/>
          <w:sz w:val="16"/>
          <w:szCs w:val="16"/>
          <w:color w:val="auto"/>
        </w:rPr>
        <w:t>Neither the payroll deductions credited to a Participant’s Purchase Account, nor any rights to receive</w:t>
      </w:r>
      <w:r>
        <w:rPr>
          <w:rFonts w:ascii="Arial" w:cs="Arial" w:eastAsia="Arial" w:hAnsi="Arial"/>
          <w:sz w:val="16"/>
          <w:szCs w:val="16"/>
          <w:b w:val="1"/>
          <w:bCs w:val="1"/>
          <w:color w:val="auto"/>
        </w:rPr>
        <w:t xml:space="preserve"> </w:t>
      </w:r>
      <w:r>
        <w:rPr>
          <w:rFonts w:ascii="Arial" w:cs="Arial" w:eastAsia="Arial" w:hAnsi="Arial"/>
          <w:sz w:val="16"/>
          <w:szCs w:val="16"/>
          <w:color w:val="auto"/>
        </w:rPr>
        <w:t>Shares under the Plan, may be assigned, transferred, pledged or otherwise disposed of in any way (other than by will and the laws of descent and distribution) by the Participant. Any such attempt at assignment, transfer, pledge or other disposition shall be without effect, except that the Internal Committee may treat such act as an election to withdraw in accordance with Section 9 hereof.</w:t>
      </w:r>
    </w:p>
    <w:p>
      <w:pPr>
        <w:spacing w:after="0" w:line="113" w:lineRule="exact"/>
        <w:rPr>
          <w:rFonts w:ascii="Arial" w:cs="Arial" w:eastAsia="Arial" w:hAnsi="Arial"/>
          <w:sz w:val="16"/>
          <w:szCs w:val="16"/>
          <w:color w:val="auto"/>
        </w:rPr>
      </w:pPr>
    </w:p>
    <w:p>
      <w:pPr>
        <w:ind w:left="332" w:hanging="332"/>
        <w:spacing w:after="0"/>
        <w:tabs>
          <w:tab w:leader="none" w:pos="332" w:val="left"/>
        </w:tabs>
        <w:numPr>
          <w:ilvl w:val="0"/>
          <w:numId w:val="169"/>
        </w:numPr>
        <w:rPr>
          <w:rFonts w:ascii="Arial" w:cs="Arial" w:eastAsia="Arial" w:hAnsi="Arial"/>
          <w:sz w:val="16"/>
          <w:szCs w:val="16"/>
          <w:color w:val="auto"/>
        </w:rPr>
      </w:pPr>
      <w:r>
        <w:rPr>
          <w:rFonts w:ascii="Arial" w:cs="Arial" w:eastAsia="Arial" w:hAnsi="Arial"/>
          <w:sz w:val="16"/>
          <w:szCs w:val="16"/>
          <w:b w:val="1"/>
          <w:bCs w:val="1"/>
          <w:color w:val="auto"/>
        </w:rPr>
        <w:t>Adjustment to Number of Shares.</w:t>
      </w:r>
    </w:p>
    <w:p>
      <w:pPr>
        <w:spacing w:after="0" w:line="180" w:lineRule="exact"/>
        <w:rPr>
          <w:rFonts w:ascii="Arial" w:cs="Arial" w:eastAsia="Arial" w:hAnsi="Arial"/>
          <w:sz w:val="16"/>
          <w:szCs w:val="16"/>
          <w:color w:val="auto"/>
        </w:rPr>
      </w:pPr>
    </w:p>
    <w:p>
      <w:pPr>
        <w:ind w:left="652" w:right="60" w:hanging="328"/>
        <w:spacing w:after="0" w:line="289" w:lineRule="auto"/>
        <w:tabs>
          <w:tab w:leader="none" w:pos="652" w:val="left"/>
        </w:tabs>
        <w:numPr>
          <w:ilvl w:val="1"/>
          <w:numId w:val="169"/>
        </w:numPr>
        <w:rPr>
          <w:rFonts w:ascii="Arial" w:cs="Arial" w:eastAsia="Arial" w:hAnsi="Arial"/>
          <w:sz w:val="16"/>
          <w:szCs w:val="16"/>
          <w:color w:val="auto"/>
        </w:rPr>
      </w:pPr>
      <w:r>
        <w:rPr>
          <w:rFonts w:ascii="Arial" w:cs="Arial" w:eastAsia="Arial" w:hAnsi="Arial"/>
          <w:sz w:val="16"/>
          <w:szCs w:val="16"/>
          <w:b w:val="1"/>
          <w:bCs w:val="1"/>
          <w:color w:val="auto"/>
        </w:rPr>
        <w:t xml:space="preserve">Adjustment. </w:t>
      </w:r>
      <w:r>
        <w:rPr>
          <w:rFonts w:ascii="Arial" w:cs="Arial" w:eastAsia="Arial" w:hAnsi="Arial"/>
          <w:sz w:val="16"/>
          <w:szCs w:val="16"/>
          <w:color w:val="auto"/>
        </w:rPr>
        <w:t>Subject to any required action by the stockholders of the Company, the number of Shares each</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 may acquire per Offering Period or Bonus Offering Period, as well as the price per Share, shall be proportionately adjusted for any increase or decrease in the number of issued Shares resulting from a stock split, reverse stock split, stock dividend, combination or reclassification of the common stock of the Company, or any other increase or decrease in the number of Shares effected without receipt of consideration by the Company; provided, however, that conversion of any convertible securities of the Company shall not be deemed to have been “effected without receipt of consideration.” Such adjustment shall be made by the Board or the Committee, whose determination in that respect shall be final, binding and conclusive. Except as expressly provided herein, no issuance by the Company of shares of stock of any class, or securities convertible into shares of stock of any class, shall affect, and no adjustment by reason thereof shall be made with respect to, the number or price of Shares to be credited to a Participant’s Brokerage Account on a Purchase Date.</w:t>
      </w:r>
    </w:p>
    <w:p>
      <w:pPr>
        <w:spacing w:after="0" w:line="114" w:lineRule="exact"/>
        <w:rPr>
          <w:rFonts w:ascii="Arial" w:cs="Arial" w:eastAsia="Arial" w:hAnsi="Arial"/>
          <w:sz w:val="16"/>
          <w:szCs w:val="16"/>
          <w:color w:val="auto"/>
        </w:rPr>
      </w:pPr>
    </w:p>
    <w:p>
      <w:pPr>
        <w:ind w:left="652" w:right="80" w:hanging="328"/>
        <w:spacing w:after="0" w:line="296" w:lineRule="auto"/>
        <w:tabs>
          <w:tab w:leader="none" w:pos="652" w:val="left"/>
        </w:tabs>
        <w:numPr>
          <w:ilvl w:val="1"/>
          <w:numId w:val="169"/>
        </w:numPr>
        <w:rPr>
          <w:rFonts w:ascii="Arial" w:cs="Arial" w:eastAsia="Arial" w:hAnsi="Arial"/>
          <w:sz w:val="16"/>
          <w:szCs w:val="16"/>
          <w:color w:val="auto"/>
        </w:rPr>
      </w:pPr>
      <w:r>
        <w:rPr>
          <w:rFonts w:ascii="Arial" w:cs="Arial" w:eastAsia="Arial" w:hAnsi="Arial"/>
          <w:sz w:val="16"/>
          <w:szCs w:val="16"/>
          <w:b w:val="1"/>
          <w:bCs w:val="1"/>
          <w:color w:val="auto"/>
        </w:rPr>
        <w:t xml:space="preserve">Merger or Asset Sale. </w:t>
      </w:r>
      <w:r>
        <w:rPr>
          <w:rFonts w:ascii="Arial" w:cs="Arial" w:eastAsia="Arial" w:hAnsi="Arial"/>
          <w:sz w:val="16"/>
          <w:szCs w:val="16"/>
          <w:color w:val="auto"/>
        </w:rPr>
        <w:t>In the event of a proposed sale of all or substantially all of the assets of the Company, or the</w:t>
      </w:r>
      <w:r>
        <w:rPr>
          <w:rFonts w:ascii="Arial" w:cs="Arial" w:eastAsia="Arial" w:hAnsi="Arial"/>
          <w:sz w:val="16"/>
          <w:szCs w:val="16"/>
          <w:b w:val="1"/>
          <w:bCs w:val="1"/>
          <w:color w:val="auto"/>
        </w:rPr>
        <w:t xml:space="preserve"> </w:t>
      </w:r>
      <w:r>
        <w:rPr>
          <w:rFonts w:ascii="Arial" w:cs="Arial" w:eastAsia="Arial" w:hAnsi="Arial"/>
          <w:sz w:val="16"/>
          <w:szCs w:val="16"/>
          <w:color w:val="auto"/>
        </w:rPr>
        <w:t>merger of the Company with or into another corporation, the terms and conditions of the then-outstanding Offering Period and Bonus Offering Period shall be assumed or an equivalent option substituted by the successor corporation or a parent or subsidiary of the successor corporation. In the event that the successor corporation refuses to so assume or substitute, then either, in the discretion of the Committee: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2"/>
        <w:spacing w:after="0"/>
        <w:tabs>
          <w:tab w:leader="none" w:pos="4412" w:val="left"/>
          <w:tab w:leader="none" w:pos="7752"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13"/>
          <w:szCs w:val="13"/>
          <w:b w:val="1"/>
          <w:bCs w:val="1"/>
          <w:color w:val="00558C"/>
        </w:rPr>
        <w:t>B-6</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wp:posOffset>
            </wp:positionH>
            <wp:positionV relativeFrom="paragraph">
              <wp:posOffset>351790</wp:posOffset>
            </wp:positionV>
            <wp:extent cx="6810375" cy="12763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10375" cy="1276350"/>
                    </a:xfrm>
                    <a:prstGeom prst="rect">
                      <a:avLst/>
                    </a:prstGeom>
                    <a:noFill/>
                  </pic:spPr>
                </pic:pic>
              </a:graphicData>
            </a:graphic>
          </wp:anchor>
        </w:drawing>
      </w:r>
    </w:p>
    <w:p>
      <w:pPr>
        <w:sectPr>
          <w:pgSz w:w="11900" w:h="16890" w:orient="portrait"/>
          <w:cols w:equalWidth="0" w:num="1">
            <w:col w:w="9072"/>
          </w:cols>
          <w:pgMar w:left="1408" w:top="999" w:right="14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52"/>
        <w:spacing w:after="0" w:line="274" w:lineRule="auto"/>
        <w:rPr>
          <w:sz w:val="20"/>
          <w:szCs w:val="20"/>
          <w:color w:val="auto"/>
        </w:rPr>
      </w:pPr>
      <w:r>
        <w:rPr>
          <w:rFonts w:ascii="Arial" w:cs="Arial" w:eastAsia="Arial" w:hAnsi="Arial"/>
          <w:sz w:val="13"/>
          <w:szCs w:val="13"/>
          <w:b w:val="1"/>
          <w:bCs w:val="1"/>
          <w:color w:val="B2B3B6"/>
        </w:rPr>
        <w:t>General Proposal Information 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line="274" w:lineRule="auto"/>
        <w:rPr>
          <w:sz w:val="20"/>
          <w:szCs w:val="20"/>
          <w:color w:val="auto"/>
        </w:rPr>
      </w:pPr>
      <w:r>
        <w:rPr>
          <w:rFonts w:ascii="Arial" w:cs="Arial" w:eastAsia="Arial" w:hAnsi="Arial"/>
          <w:sz w:val="13"/>
          <w:szCs w:val="13"/>
          <w:b w:val="1"/>
          <w:bCs w:val="1"/>
          <w:color w:val="B2B3B6"/>
        </w:rPr>
        <w:t>Corporate Proposal Executive Governance Two 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2"/>
          <w:szCs w:val="12"/>
          <w:b w:val="1"/>
          <w:bCs w:val="1"/>
          <w:color w:val="B2B3B6"/>
        </w:rPr>
        <w:t>Proposal</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b w:val="1"/>
          <w:bCs w:val="1"/>
          <w:color w:val="B2B3B6"/>
        </w:rPr>
        <w:t>Three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200"/>
        <w:spacing w:after="0" w:line="274" w:lineRule="auto"/>
        <w:rPr>
          <w:sz w:val="20"/>
          <w:szCs w:val="20"/>
          <w:color w:val="auto"/>
        </w:rPr>
      </w:pPr>
      <w:r>
        <w:rPr>
          <w:rFonts w:ascii="Arial" w:cs="Arial" w:eastAsia="Arial" w:hAnsi="Arial"/>
          <w:sz w:val="13"/>
          <w:szCs w:val="13"/>
          <w:b w:val="1"/>
          <w:bCs w:val="1"/>
          <w:color w:val="B2B3B6"/>
        </w:rPr>
        <w:t xml:space="preserve">Proposal Proposal Stockholder </w:t>
      </w:r>
      <w:r>
        <w:rPr>
          <w:rFonts w:ascii="Arial" w:cs="Arial" w:eastAsia="Arial" w:hAnsi="Arial"/>
          <w:sz w:val="13"/>
          <w:szCs w:val="13"/>
          <w:b w:val="1"/>
          <w:bCs w:val="1"/>
          <w:color w:val="6AAA37"/>
        </w:rPr>
        <w:t>Other</w:t>
      </w:r>
      <w:r>
        <w:rPr>
          <w:rFonts w:ascii="Arial" w:cs="Arial" w:eastAsia="Arial" w:hAnsi="Arial"/>
          <w:sz w:val="13"/>
          <w:szCs w:val="13"/>
          <w:b w:val="1"/>
          <w:bCs w:val="1"/>
          <w:color w:val="B2B3B6"/>
        </w:rPr>
        <w:t xml:space="preserve"> Four Five Proposals </w:t>
      </w:r>
      <w:r>
        <w:rPr>
          <w:rFonts w:ascii="Arial" w:cs="Arial" w:eastAsia="Arial" w:hAnsi="Arial"/>
          <w:sz w:val="13"/>
          <w:szCs w:val="13"/>
          <w:b w:val="1"/>
          <w:bCs w:val="1"/>
          <w:color w:val="6AAA37"/>
        </w:rPr>
        <w:t>Matters</w:t>
      </w:r>
    </w:p>
    <w:p>
      <w:pPr>
        <w:spacing w:after="0" w:line="200" w:lineRule="exact"/>
        <w:rPr>
          <w:sz w:val="20"/>
          <w:szCs w:val="20"/>
          <w:color w:val="auto"/>
        </w:rPr>
      </w:pPr>
    </w:p>
    <w:p>
      <w:pPr>
        <w:sectPr>
          <w:pgSz w:w="11900" w:h="16890" w:orient="portrait"/>
          <w:cols w:equalWidth="0" w:num="4">
            <w:col w:w="1592" w:space="300"/>
            <w:col w:w="2700" w:space="320"/>
            <w:col w:w="540" w:space="280"/>
            <w:col w:w="3340"/>
          </w:cols>
          <w:pgMar w:left="1408" w:top="999" w:right="1419" w:bottom="0" w:gutter="0" w:footer="0" w:header="0"/>
          <w:type w:val="continuous"/>
        </w:sectPr>
      </w:pPr>
    </w:p>
    <w:p>
      <w:pPr>
        <w:spacing w:after="0" w:line="151" w:lineRule="exact"/>
        <w:rPr>
          <w:sz w:val="20"/>
          <w:szCs w:val="20"/>
          <w:color w:val="auto"/>
        </w:rPr>
      </w:pPr>
    </w:p>
    <w:p>
      <w:pPr>
        <w:ind w:left="1292" w:hanging="464"/>
        <w:spacing w:after="0" w:line="295" w:lineRule="auto"/>
        <w:tabs>
          <w:tab w:leader="none" w:pos="1337" w:val="left"/>
        </w:tabs>
        <w:numPr>
          <w:ilvl w:val="0"/>
          <w:numId w:val="170"/>
        </w:numPr>
        <w:rPr>
          <w:rFonts w:ascii="Arial" w:cs="Arial" w:eastAsia="Arial" w:hAnsi="Arial"/>
          <w:sz w:val="16"/>
          <w:szCs w:val="16"/>
          <w:color w:val="auto"/>
        </w:rPr>
      </w:pPr>
      <w:r>
        <w:rPr>
          <w:rFonts w:ascii="Arial" w:cs="Arial" w:eastAsia="Arial" w:hAnsi="Arial"/>
          <w:sz w:val="16"/>
          <w:szCs w:val="16"/>
          <w:color w:val="auto"/>
        </w:rPr>
        <w:t>The Offering Period and/or Bonus Offering Period then in progress shall be shortened by setting a new Purchase Date (the “New Purchase Date”). The New Purchase Date shall be before the date of the Company’s proposed sale or merger. Each Participant shall be notified in writing, as soon as administratively practicable prior to the New Purchase Date, that the Purchase Date has been changed to the New Purchase</w:t>
      </w:r>
    </w:p>
    <w:p>
      <w:pPr>
        <w:sectPr>
          <w:pgSz w:w="11900" w:h="16890" w:orient="portrait"/>
          <w:cols w:equalWidth="0" w:num="1">
            <w:col w:w="9072"/>
          </w:cols>
          <w:pgMar w:left="1408" w:top="999" w:right="1419" w:bottom="0" w:gutter="0" w:footer="0" w:header="0"/>
          <w:type w:val="continuous"/>
        </w:sectPr>
      </w:pPr>
    </w:p>
    <w:bookmarkStart w:id="103" w:name="page104"/>
    <w:bookmarkEnd w:id="103"/>
    <w:p>
      <w:pPr>
        <w:ind w:left="1292"/>
        <w:spacing w:after="0" w:line="264" w:lineRule="auto"/>
        <w:rPr>
          <w:sz w:val="20"/>
          <w:szCs w:val="20"/>
          <w:color w:val="auto"/>
        </w:rPr>
      </w:pPr>
      <w:r>
        <w:rPr>
          <w:rFonts w:ascii="Arial" w:cs="Arial" w:eastAsia="Arial" w:hAnsi="Arial"/>
          <w:sz w:val="16"/>
          <w:szCs w:val="16"/>
          <w:color w:val="auto"/>
        </w:rPr>
        <w:t>Date and that the stock shall be allocated to the Participant’s Brokerage Account on the New Purchase Date, except to the extent that, prior to such date, the Participant withdraws from the Offering Period as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wp:posOffset>
            </wp:positionH>
            <wp:positionV relativeFrom="paragraph">
              <wp:posOffset>-238760</wp:posOffset>
            </wp:positionV>
            <wp:extent cx="6810375" cy="757999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10375" cy="7579995"/>
                    </a:xfrm>
                    <a:prstGeom prst="rect">
                      <a:avLst/>
                    </a:prstGeom>
                    <a:noFill/>
                  </pic:spPr>
                </pic:pic>
              </a:graphicData>
            </a:graphic>
          </wp:anchor>
        </w:drawing>
      </w:r>
    </w:p>
    <w:p>
      <w:pPr>
        <w:ind w:left="1292"/>
        <w:spacing w:after="0"/>
        <w:rPr>
          <w:sz w:val="20"/>
          <w:szCs w:val="20"/>
          <w:color w:val="auto"/>
        </w:rPr>
      </w:pPr>
      <w:r>
        <w:rPr>
          <w:rFonts w:ascii="Arial" w:cs="Arial" w:eastAsia="Arial" w:hAnsi="Arial"/>
          <w:sz w:val="16"/>
          <w:szCs w:val="16"/>
          <w:color w:val="auto"/>
        </w:rPr>
        <w:t>in Section 9 hereof; or</w:t>
      </w:r>
    </w:p>
    <w:p>
      <w:pPr>
        <w:spacing w:after="0" w:line="181" w:lineRule="exact"/>
        <w:rPr>
          <w:sz w:val="20"/>
          <w:szCs w:val="20"/>
          <w:color w:val="auto"/>
        </w:rPr>
      </w:pPr>
    </w:p>
    <w:p>
      <w:pPr>
        <w:ind w:left="1292" w:right="420" w:hanging="499"/>
        <w:spacing w:after="0" w:line="321" w:lineRule="auto"/>
        <w:tabs>
          <w:tab w:leader="none" w:pos="1292" w:val="left"/>
        </w:tabs>
        <w:numPr>
          <w:ilvl w:val="2"/>
          <w:numId w:val="171"/>
        </w:numPr>
        <w:rPr>
          <w:rFonts w:ascii="Arial" w:cs="Arial" w:eastAsia="Arial" w:hAnsi="Arial"/>
          <w:sz w:val="16"/>
          <w:szCs w:val="16"/>
          <w:color w:val="auto"/>
        </w:rPr>
      </w:pPr>
      <w:r>
        <w:rPr>
          <w:rFonts w:ascii="Arial" w:cs="Arial" w:eastAsia="Arial" w:hAnsi="Arial"/>
          <w:sz w:val="16"/>
          <w:szCs w:val="16"/>
          <w:color w:val="auto"/>
        </w:rPr>
        <w:t>The Offering Period and/or Bonus Offering Period then in progress shall be cancelled and any amounts accumulated in the Purchase Share Account shall be returned to the Participant.</w:t>
      </w:r>
    </w:p>
    <w:p>
      <w:pPr>
        <w:spacing w:after="0" w:line="88" w:lineRule="exact"/>
        <w:rPr>
          <w:rFonts w:ascii="Arial" w:cs="Arial" w:eastAsia="Arial" w:hAnsi="Arial"/>
          <w:sz w:val="16"/>
          <w:szCs w:val="16"/>
          <w:color w:val="auto"/>
        </w:rPr>
      </w:pPr>
    </w:p>
    <w:p>
      <w:pPr>
        <w:ind w:left="332" w:hanging="332"/>
        <w:spacing w:after="0"/>
        <w:tabs>
          <w:tab w:leader="none" w:pos="332" w:val="left"/>
        </w:tabs>
        <w:numPr>
          <w:ilvl w:val="0"/>
          <w:numId w:val="172"/>
        </w:numPr>
        <w:rPr>
          <w:rFonts w:ascii="Arial" w:cs="Arial" w:eastAsia="Arial" w:hAnsi="Arial"/>
          <w:sz w:val="16"/>
          <w:szCs w:val="16"/>
          <w:color w:val="auto"/>
        </w:rPr>
      </w:pPr>
      <w:r>
        <w:rPr>
          <w:rFonts w:ascii="Arial" w:cs="Arial" w:eastAsia="Arial" w:hAnsi="Arial"/>
          <w:sz w:val="16"/>
          <w:szCs w:val="16"/>
          <w:b w:val="1"/>
          <w:bCs w:val="1"/>
          <w:color w:val="auto"/>
        </w:rPr>
        <w:t>Amendments or Termination of the Plan.</w:t>
      </w:r>
    </w:p>
    <w:p>
      <w:pPr>
        <w:spacing w:after="0" w:line="180" w:lineRule="exact"/>
        <w:rPr>
          <w:rFonts w:ascii="Arial" w:cs="Arial" w:eastAsia="Arial" w:hAnsi="Arial"/>
          <w:sz w:val="16"/>
          <w:szCs w:val="16"/>
          <w:color w:val="auto"/>
        </w:rPr>
      </w:pPr>
    </w:p>
    <w:p>
      <w:pPr>
        <w:ind w:left="652" w:right="180" w:hanging="328"/>
        <w:spacing w:after="0" w:line="291" w:lineRule="auto"/>
        <w:tabs>
          <w:tab w:leader="none" w:pos="652" w:val="left"/>
        </w:tabs>
        <w:numPr>
          <w:ilvl w:val="1"/>
          <w:numId w:val="172"/>
        </w:numPr>
        <w:rPr>
          <w:rFonts w:ascii="Arial" w:cs="Arial" w:eastAsia="Arial" w:hAnsi="Arial"/>
          <w:sz w:val="16"/>
          <w:szCs w:val="16"/>
          <w:color w:val="auto"/>
        </w:rPr>
      </w:pPr>
      <w:r>
        <w:rPr>
          <w:rFonts w:ascii="Arial" w:cs="Arial" w:eastAsia="Arial" w:hAnsi="Arial"/>
          <w:sz w:val="16"/>
          <w:szCs w:val="16"/>
          <w:color w:val="auto"/>
        </w:rPr>
        <w:t>Subject to Section 16(b) below: (i) the Board of Directors or the Committee may at any time and for any reason terminate or discontinue the Plan without notice, and (ii) the Committee may at any time and for any reason amend, modify, or suspend the Plan without notice. To the extent necessary to comply with any applicable law, regulation or stock exchange rule, the Company shall obtain stockholder approval in such a manner and to such a degree as required.</w:t>
      </w:r>
    </w:p>
    <w:p>
      <w:pPr>
        <w:spacing w:after="0" w:line="113" w:lineRule="exact"/>
        <w:rPr>
          <w:rFonts w:ascii="Arial" w:cs="Arial" w:eastAsia="Arial" w:hAnsi="Arial"/>
          <w:sz w:val="16"/>
          <w:szCs w:val="16"/>
          <w:color w:val="auto"/>
        </w:rPr>
      </w:pPr>
    </w:p>
    <w:p>
      <w:pPr>
        <w:ind w:left="652" w:right="100" w:hanging="328"/>
        <w:spacing w:after="0" w:line="300" w:lineRule="auto"/>
        <w:tabs>
          <w:tab w:leader="none" w:pos="652" w:val="left"/>
        </w:tabs>
        <w:numPr>
          <w:ilvl w:val="1"/>
          <w:numId w:val="172"/>
        </w:numPr>
        <w:rPr>
          <w:rFonts w:ascii="Arial" w:cs="Arial" w:eastAsia="Arial" w:hAnsi="Arial"/>
          <w:sz w:val="16"/>
          <w:szCs w:val="16"/>
          <w:color w:val="auto"/>
        </w:rPr>
      </w:pPr>
      <w:r>
        <w:rPr>
          <w:rFonts w:ascii="Arial" w:cs="Arial" w:eastAsia="Arial" w:hAnsi="Arial"/>
          <w:sz w:val="16"/>
          <w:szCs w:val="16"/>
          <w:color w:val="auto"/>
        </w:rPr>
        <w:t>No Participant’s existing rights in respect of a current Offering Period or Bonus Offering Period may be adversely affected by an action taken per Section 16(a) above, and, upon any such amendment or modification, all Participants shall continue to have the same rights and privileges in respect of a current Offering Period and a current Bonus Offering Period.</w:t>
      </w:r>
    </w:p>
    <w:p>
      <w:pPr>
        <w:spacing w:after="0" w:line="106" w:lineRule="exact"/>
        <w:rPr>
          <w:rFonts w:ascii="Arial" w:cs="Arial" w:eastAsia="Arial" w:hAnsi="Arial"/>
          <w:sz w:val="16"/>
          <w:szCs w:val="16"/>
          <w:color w:val="auto"/>
        </w:rPr>
      </w:pPr>
    </w:p>
    <w:p>
      <w:pPr>
        <w:ind w:left="652" w:right="60" w:hanging="328"/>
        <w:spacing w:after="0" w:line="288" w:lineRule="auto"/>
        <w:tabs>
          <w:tab w:leader="none" w:pos="652" w:val="left"/>
        </w:tabs>
        <w:numPr>
          <w:ilvl w:val="1"/>
          <w:numId w:val="172"/>
        </w:numPr>
        <w:rPr>
          <w:rFonts w:ascii="Arial" w:cs="Arial" w:eastAsia="Arial" w:hAnsi="Arial"/>
          <w:sz w:val="16"/>
          <w:szCs w:val="16"/>
          <w:color w:val="auto"/>
        </w:rPr>
      </w:pPr>
      <w:r>
        <w:rPr>
          <w:rFonts w:ascii="Arial" w:cs="Arial" w:eastAsia="Arial" w:hAnsi="Arial"/>
          <w:sz w:val="16"/>
          <w:szCs w:val="16"/>
          <w:color w:val="auto"/>
        </w:rPr>
        <w:t>Without stockholder consent and without regard to whether any Participant rights may be considered to have been “adversely affected”: (i) the Committee shall be entitled to change the Offering Periods or Bonus Offering Periods, alter the frequency and/or number of changes in the amount withheld during an Offering Period or Bonus Offering Period; and (ii) the Internal Committee shall be entitled to permit payroll withholding in excess of the amount designated by a Participant in order to adjust for delays or mistakes in the Company’s processing of properly completed withholding elections, establish reasonable waiting and adjustment periods and/or accounting and crediting procedures to ensure that amounts applied toward the purchase of Shares for each Participant properly correspond with amounts withheld from each such Participant’s compensation, and establish such other limitations or procedures as the Internal Committee determines in its sole discretion advisable which are consistent with the Plan. Notwithstanding the forgoing, changes to (x) the Offering Period or Bonus Offering Period, or (y) the maximum amount of Base Salary or Annual Incentive Bonus that may be deducted pursuant to Section 5(a) or 5(b) shall not be effective until communicated to Participants in a reasonable manner, with the determination of such reasonable manner in the discretion of the Internal Committee.</w:t>
      </w:r>
    </w:p>
    <w:p>
      <w:pPr>
        <w:spacing w:after="0" w:line="113" w:lineRule="exact"/>
        <w:rPr>
          <w:rFonts w:ascii="Arial" w:cs="Arial" w:eastAsia="Arial" w:hAnsi="Arial"/>
          <w:sz w:val="16"/>
          <w:szCs w:val="16"/>
          <w:color w:val="auto"/>
        </w:rPr>
      </w:pPr>
    </w:p>
    <w:p>
      <w:pPr>
        <w:ind w:left="332" w:right="560" w:hanging="332"/>
        <w:spacing w:after="0" w:line="321" w:lineRule="auto"/>
        <w:tabs>
          <w:tab w:leader="none" w:pos="332" w:val="left"/>
        </w:tabs>
        <w:numPr>
          <w:ilvl w:val="0"/>
          <w:numId w:val="172"/>
        </w:numPr>
        <w:rPr>
          <w:rFonts w:ascii="Arial" w:cs="Arial" w:eastAsia="Arial" w:hAnsi="Arial"/>
          <w:sz w:val="16"/>
          <w:szCs w:val="16"/>
          <w:color w:val="auto"/>
        </w:rPr>
      </w:pPr>
      <w:r>
        <w:rPr>
          <w:rFonts w:ascii="Arial" w:cs="Arial" w:eastAsia="Arial" w:hAnsi="Arial"/>
          <w:sz w:val="16"/>
          <w:szCs w:val="16"/>
          <w:b w:val="1"/>
          <w:bCs w:val="1"/>
          <w:color w:val="auto"/>
        </w:rPr>
        <w:t xml:space="preserve">No Other Obligations. </w:t>
      </w:r>
      <w:r>
        <w:rPr>
          <w:rFonts w:ascii="Arial" w:cs="Arial" w:eastAsia="Arial" w:hAnsi="Arial"/>
          <w:sz w:val="16"/>
          <w:szCs w:val="16"/>
          <w:color w:val="auto"/>
        </w:rPr>
        <w:t>Participation in the Plan does not constitute an agreement or an understanding, express or</w:t>
      </w:r>
      <w:r>
        <w:rPr>
          <w:rFonts w:ascii="Arial" w:cs="Arial" w:eastAsia="Arial" w:hAnsi="Arial"/>
          <w:sz w:val="16"/>
          <w:szCs w:val="16"/>
          <w:b w:val="1"/>
          <w:bCs w:val="1"/>
          <w:color w:val="auto"/>
        </w:rPr>
        <w:t xml:space="preserve"> </w:t>
      </w:r>
      <w:r>
        <w:rPr>
          <w:rFonts w:ascii="Arial" w:cs="Arial" w:eastAsia="Arial" w:hAnsi="Arial"/>
          <w:sz w:val="16"/>
          <w:szCs w:val="16"/>
          <w:color w:val="auto"/>
        </w:rPr>
        <w:t>implied, on the part of the Company to employ the Participant for any specified period.</w:t>
      </w:r>
    </w:p>
    <w:p>
      <w:pPr>
        <w:spacing w:after="0" w:line="88" w:lineRule="exact"/>
        <w:rPr>
          <w:rFonts w:ascii="Arial" w:cs="Arial" w:eastAsia="Arial" w:hAnsi="Arial"/>
          <w:sz w:val="16"/>
          <w:szCs w:val="16"/>
          <w:color w:val="auto"/>
        </w:rPr>
      </w:pPr>
    </w:p>
    <w:p>
      <w:pPr>
        <w:ind w:left="332" w:right="100" w:hanging="332"/>
        <w:spacing w:after="0" w:line="300" w:lineRule="auto"/>
        <w:tabs>
          <w:tab w:leader="none" w:pos="332" w:val="left"/>
        </w:tabs>
        <w:numPr>
          <w:ilvl w:val="0"/>
          <w:numId w:val="172"/>
        </w:numPr>
        <w:rPr>
          <w:rFonts w:ascii="Arial" w:cs="Arial" w:eastAsia="Arial" w:hAnsi="Arial"/>
          <w:sz w:val="16"/>
          <w:szCs w:val="16"/>
          <w:color w:val="auto"/>
        </w:rPr>
      </w:pPr>
      <w:r>
        <w:rPr>
          <w:rFonts w:ascii="Arial" w:cs="Arial" w:eastAsia="Arial" w:hAnsi="Arial"/>
          <w:sz w:val="16"/>
          <w:szCs w:val="16"/>
          <w:b w:val="1"/>
          <w:bCs w:val="1"/>
          <w:color w:val="auto"/>
        </w:rPr>
        <w:t xml:space="preserve">Notices. </w:t>
      </w:r>
      <w:r>
        <w:rPr>
          <w:rFonts w:ascii="Arial" w:cs="Arial" w:eastAsia="Arial" w:hAnsi="Arial"/>
          <w:sz w:val="16"/>
          <w:szCs w:val="16"/>
          <w:color w:val="auto"/>
        </w:rPr>
        <w:t>Any notice which the Company or any Participant may be required or permitted to give to the other shall be in</w:t>
      </w:r>
      <w:r>
        <w:rPr>
          <w:rFonts w:ascii="Arial" w:cs="Arial" w:eastAsia="Arial" w:hAnsi="Arial"/>
          <w:sz w:val="16"/>
          <w:szCs w:val="16"/>
          <w:b w:val="1"/>
          <w:bCs w:val="1"/>
          <w:color w:val="auto"/>
        </w:rPr>
        <w:t xml:space="preserve"> </w:t>
      </w:r>
      <w:r>
        <w:rPr>
          <w:rFonts w:ascii="Arial" w:cs="Arial" w:eastAsia="Arial" w:hAnsi="Arial"/>
          <w:sz w:val="16"/>
          <w:szCs w:val="16"/>
          <w:color w:val="auto"/>
        </w:rPr>
        <w:t>writing and may be delivered personally or by mail, postage prepaid, addressed: if to the Company, to such address as the Internal Committee, by notice to such Participant, may designate in writing from time to time; and, if to the Participant, at his or her address as shown on the payroll records of the Company.</w:t>
      </w:r>
    </w:p>
    <w:p>
      <w:pPr>
        <w:spacing w:after="0" w:line="106" w:lineRule="exact"/>
        <w:rPr>
          <w:rFonts w:ascii="Arial" w:cs="Arial" w:eastAsia="Arial" w:hAnsi="Arial"/>
          <w:sz w:val="16"/>
          <w:szCs w:val="16"/>
          <w:color w:val="auto"/>
        </w:rPr>
      </w:pPr>
    </w:p>
    <w:p>
      <w:pPr>
        <w:ind w:left="332" w:hanging="332"/>
        <w:spacing w:after="0"/>
        <w:tabs>
          <w:tab w:leader="none" w:pos="332" w:val="left"/>
        </w:tabs>
        <w:numPr>
          <w:ilvl w:val="0"/>
          <w:numId w:val="172"/>
        </w:numPr>
        <w:rPr>
          <w:rFonts w:ascii="Arial" w:cs="Arial" w:eastAsia="Arial" w:hAnsi="Arial"/>
          <w:sz w:val="16"/>
          <w:szCs w:val="16"/>
          <w:color w:val="auto"/>
        </w:rPr>
      </w:pPr>
      <w:r>
        <w:rPr>
          <w:rFonts w:ascii="Arial" w:cs="Arial" w:eastAsia="Arial" w:hAnsi="Arial"/>
          <w:sz w:val="16"/>
          <w:szCs w:val="16"/>
          <w:b w:val="1"/>
          <w:bCs w:val="1"/>
          <w:color w:val="auto"/>
        </w:rPr>
        <w:t>Conditions Upon Issuance of Shares.</w:t>
      </w:r>
    </w:p>
    <w:p>
      <w:pPr>
        <w:spacing w:after="0" w:line="167" w:lineRule="exact"/>
        <w:rPr>
          <w:rFonts w:ascii="Arial" w:cs="Arial" w:eastAsia="Arial" w:hAnsi="Arial"/>
          <w:sz w:val="16"/>
          <w:szCs w:val="16"/>
          <w:color w:val="auto"/>
        </w:rPr>
      </w:pPr>
    </w:p>
    <w:p>
      <w:pPr>
        <w:ind w:left="652" w:right="160" w:hanging="328"/>
        <w:spacing w:after="0" w:line="296" w:lineRule="auto"/>
        <w:tabs>
          <w:tab w:leader="none" w:pos="652" w:val="left"/>
        </w:tabs>
        <w:numPr>
          <w:ilvl w:val="1"/>
          <w:numId w:val="172"/>
        </w:numPr>
        <w:rPr>
          <w:rFonts w:ascii="Arial" w:cs="Arial" w:eastAsia="Arial" w:hAnsi="Arial"/>
          <w:sz w:val="16"/>
          <w:szCs w:val="16"/>
          <w:color w:val="auto"/>
        </w:rPr>
      </w:pPr>
      <w:r>
        <w:rPr>
          <w:rFonts w:ascii="Arial" w:cs="Arial" w:eastAsia="Arial" w:hAnsi="Arial"/>
          <w:sz w:val="16"/>
          <w:szCs w:val="16"/>
          <w:color w:val="auto"/>
        </w:rPr>
        <w:t>Shares shall not be placed in a Brokerage Account unless the purchase of such Shares and the issuance and delivery of such Shares pursuant thereto shall comply with all applicable provisions of law, domestic or foreign, including, without limitation, the 1933 Act, the 1934 Act and the rules and regulations promulgated under such Acts, and the requirements of any stock exchange upon which the Shares may then be listed, and shall be further subject to the approval of counsel for the Company with respect to such compliance.</w:t>
      </w:r>
    </w:p>
    <w:p>
      <w:pPr>
        <w:spacing w:after="0" w:line="107" w:lineRule="exact"/>
        <w:rPr>
          <w:rFonts w:ascii="Arial" w:cs="Arial" w:eastAsia="Arial" w:hAnsi="Arial"/>
          <w:sz w:val="16"/>
          <w:szCs w:val="16"/>
          <w:color w:val="auto"/>
        </w:rPr>
      </w:pPr>
    </w:p>
    <w:p>
      <w:pPr>
        <w:ind w:left="652" w:right="140" w:hanging="328"/>
        <w:spacing w:after="0" w:line="321" w:lineRule="auto"/>
        <w:tabs>
          <w:tab w:leader="none" w:pos="652" w:val="left"/>
        </w:tabs>
        <w:numPr>
          <w:ilvl w:val="1"/>
          <w:numId w:val="172"/>
        </w:numPr>
        <w:rPr>
          <w:rFonts w:ascii="Arial" w:cs="Arial" w:eastAsia="Arial" w:hAnsi="Arial"/>
          <w:sz w:val="16"/>
          <w:szCs w:val="16"/>
          <w:color w:val="auto"/>
        </w:rPr>
      </w:pPr>
      <w:r>
        <w:rPr>
          <w:rFonts w:ascii="Arial" w:cs="Arial" w:eastAsia="Arial" w:hAnsi="Arial"/>
          <w:sz w:val="16"/>
          <w:szCs w:val="16"/>
          <w:color w:val="auto"/>
        </w:rPr>
        <w:t>As a condition to receive Shares, the Internal Committee may require the person receiving such Shares to represent and warrant at the time of any such receipt that the Shares are being acquired only for investment and without any</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2"/>
        <w:spacing w:after="0"/>
        <w:tabs>
          <w:tab w:leader="none" w:pos="4412" w:val="left"/>
          <w:tab w:leader="none" w:pos="7752"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13"/>
          <w:szCs w:val="13"/>
          <w:b w:val="1"/>
          <w:bCs w:val="1"/>
          <w:color w:val="00558C"/>
        </w:rPr>
        <w:t>B-7</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wp:posOffset>
            </wp:positionH>
            <wp:positionV relativeFrom="paragraph">
              <wp:posOffset>351790</wp:posOffset>
            </wp:positionV>
            <wp:extent cx="6810375" cy="28536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10375" cy="2853690"/>
                    </a:xfrm>
                    <a:prstGeom prst="rect">
                      <a:avLst/>
                    </a:prstGeom>
                    <a:noFill/>
                  </pic:spPr>
                </pic:pic>
              </a:graphicData>
            </a:graphic>
          </wp:anchor>
        </w:drawing>
      </w:r>
    </w:p>
    <w:p>
      <w:pPr>
        <w:sectPr>
          <w:pgSz w:w="11900" w:h="16838" w:orient="portrait"/>
          <w:cols w:equalWidth="0" w:num="1">
            <w:col w:w="9092"/>
          </w:cols>
          <w:pgMar w:left="1408" w:top="111" w:right="1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52"/>
        <w:spacing w:after="0" w:line="274" w:lineRule="auto"/>
        <w:rPr>
          <w:sz w:val="20"/>
          <w:szCs w:val="20"/>
          <w:color w:val="auto"/>
        </w:rPr>
      </w:pPr>
      <w:r>
        <w:rPr>
          <w:rFonts w:ascii="Arial" w:cs="Arial" w:eastAsia="Arial" w:hAnsi="Arial"/>
          <w:sz w:val="13"/>
          <w:szCs w:val="13"/>
          <w:b w:val="1"/>
          <w:bCs w:val="1"/>
          <w:color w:val="B2B3B6"/>
        </w:rPr>
        <w:t>General Proposal Information 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line="274" w:lineRule="auto"/>
        <w:rPr>
          <w:sz w:val="20"/>
          <w:szCs w:val="20"/>
          <w:color w:val="auto"/>
        </w:rPr>
      </w:pPr>
      <w:r>
        <w:rPr>
          <w:rFonts w:ascii="Arial" w:cs="Arial" w:eastAsia="Arial" w:hAnsi="Arial"/>
          <w:sz w:val="13"/>
          <w:szCs w:val="13"/>
          <w:b w:val="1"/>
          <w:bCs w:val="1"/>
          <w:color w:val="B2B3B6"/>
        </w:rPr>
        <w:t>Corporate Proposal Executive Governance Two 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220"/>
        <w:spacing w:after="0" w:line="274" w:lineRule="auto"/>
        <w:rPr>
          <w:sz w:val="20"/>
          <w:szCs w:val="20"/>
          <w:color w:val="auto"/>
        </w:rPr>
      </w:pPr>
      <w:r>
        <w:rPr>
          <w:rFonts w:ascii="Arial" w:cs="Arial" w:eastAsia="Arial" w:hAnsi="Arial"/>
          <w:sz w:val="13"/>
          <w:szCs w:val="13"/>
          <w:b w:val="1"/>
          <w:bCs w:val="1"/>
          <w:color w:val="B2B3B6"/>
        </w:rPr>
        <w:t xml:space="preserve">Proposal Proposal Proposal Stockholder </w:t>
      </w:r>
      <w:r>
        <w:rPr>
          <w:rFonts w:ascii="Arial" w:cs="Arial" w:eastAsia="Arial" w:hAnsi="Arial"/>
          <w:sz w:val="13"/>
          <w:szCs w:val="13"/>
          <w:b w:val="1"/>
          <w:bCs w:val="1"/>
          <w:color w:val="6AAA37"/>
        </w:rPr>
        <w:t>Other</w:t>
      </w:r>
      <w:r>
        <w:rPr>
          <w:rFonts w:ascii="Arial" w:cs="Arial" w:eastAsia="Arial" w:hAnsi="Arial"/>
          <w:sz w:val="13"/>
          <w:szCs w:val="13"/>
          <w:b w:val="1"/>
          <w:bCs w:val="1"/>
          <w:color w:val="B2B3B6"/>
        </w:rPr>
        <w:t xml:space="preserve"> Three Four Five Proposals </w:t>
      </w:r>
      <w:r>
        <w:rPr>
          <w:rFonts w:ascii="Arial" w:cs="Arial" w:eastAsia="Arial" w:hAnsi="Arial"/>
          <w:sz w:val="13"/>
          <w:szCs w:val="13"/>
          <w:b w:val="1"/>
          <w:bCs w:val="1"/>
          <w:color w:val="6AAA37"/>
        </w:rPr>
        <w:t>Matters</w:t>
      </w:r>
    </w:p>
    <w:p>
      <w:pPr>
        <w:spacing w:after="0" w:line="200" w:lineRule="exact"/>
        <w:rPr>
          <w:sz w:val="20"/>
          <w:szCs w:val="20"/>
          <w:color w:val="auto"/>
        </w:rPr>
      </w:pPr>
    </w:p>
    <w:p>
      <w:pPr>
        <w:sectPr>
          <w:pgSz w:w="11900" w:h="16838" w:orient="portrait"/>
          <w:cols w:equalWidth="0" w:num="3">
            <w:col w:w="1592" w:space="300"/>
            <w:col w:w="2700" w:space="320"/>
            <w:col w:w="4180"/>
          </w:cols>
          <w:pgMar w:left="1408" w:top="111" w:right="1399" w:bottom="0" w:gutter="0" w:footer="0" w:header="0"/>
          <w:type w:val="continuous"/>
        </w:sectPr>
      </w:pPr>
    </w:p>
    <w:p>
      <w:pPr>
        <w:spacing w:after="0" w:line="151" w:lineRule="exact"/>
        <w:rPr>
          <w:sz w:val="20"/>
          <w:szCs w:val="20"/>
          <w:color w:val="auto"/>
        </w:rPr>
      </w:pPr>
    </w:p>
    <w:p>
      <w:pPr>
        <w:ind w:left="652" w:right="100"/>
        <w:spacing w:after="0" w:line="321" w:lineRule="auto"/>
        <w:rPr>
          <w:sz w:val="20"/>
          <w:szCs w:val="20"/>
          <w:color w:val="auto"/>
        </w:rPr>
      </w:pPr>
      <w:r>
        <w:rPr>
          <w:rFonts w:ascii="Arial" w:cs="Arial" w:eastAsia="Arial" w:hAnsi="Arial"/>
          <w:sz w:val="16"/>
          <w:szCs w:val="16"/>
          <w:color w:val="auto"/>
        </w:rPr>
        <w:t>present intention to sell or distribute such Shares if, in the opinion of counsel for the Company, such a representation is required by any of the aforementioned applicable provisions of law.</w:t>
      </w:r>
    </w:p>
    <w:p>
      <w:pPr>
        <w:spacing w:after="0" w:line="88" w:lineRule="exact"/>
        <w:rPr>
          <w:sz w:val="20"/>
          <w:szCs w:val="20"/>
          <w:color w:val="auto"/>
        </w:rPr>
      </w:pPr>
    </w:p>
    <w:p>
      <w:pPr>
        <w:ind w:left="652" w:right="40" w:hanging="328"/>
        <w:spacing w:after="0" w:line="295" w:lineRule="auto"/>
        <w:tabs>
          <w:tab w:leader="none" w:pos="652" w:val="left"/>
        </w:tabs>
        <w:numPr>
          <w:ilvl w:val="1"/>
          <w:numId w:val="173"/>
        </w:numPr>
        <w:rPr>
          <w:rFonts w:ascii="Arial" w:cs="Arial" w:eastAsia="Arial" w:hAnsi="Arial"/>
          <w:sz w:val="16"/>
          <w:szCs w:val="16"/>
          <w:color w:val="auto"/>
        </w:rPr>
      </w:pPr>
      <w:r>
        <w:rPr>
          <w:rFonts w:ascii="Arial" w:cs="Arial" w:eastAsia="Arial" w:hAnsi="Arial"/>
          <w:sz w:val="16"/>
          <w:szCs w:val="16"/>
          <w:color w:val="auto"/>
        </w:rPr>
        <w:t>With respect to Employees who are citizens or residents of a foreign jurisdiction (“International Employees”), the Internal Committee may amend the terms of the Plan for such Participants in order to conform such terms with the provisions of local law, and the Internal Committee may, where appropriate, establish one or more sub-plans to reflect such amended or varied provisions, not otherwise inconsistent with the purposes of the Plan (each a “Sub-Plan”).</w:t>
      </w:r>
    </w:p>
    <w:p>
      <w:pPr>
        <w:spacing w:after="0" w:line="107" w:lineRule="exact"/>
        <w:rPr>
          <w:rFonts w:ascii="Arial" w:cs="Arial" w:eastAsia="Arial" w:hAnsi="Arial"/>
          <w:sz w:val="16"/>
          <w:szCs w:val="16"/>
          <w:color w:val="auto"/>
        </w:rPr>
      </w:pPr>
    </w:p>
    <w:p>
      <w:pPr>
        <w:ind w:left="332" w:right="240" w:hanging="332"/>
        <w:spacing w:after="0" w:line="321" w:lineRule="auto"/>
        <w:tabs>
          <w:tab w:leader="none" w:pos="332" w:val="left"/>
        </w:tabs>
        <w:numPr>
          <w:ilvl w:val="0"/>
          <w:numId w:val="174"/>
        </w:numPr>
        <w:rPr>
          <w:rFonts w:ascii="Arial" w:cs="Arial" w:eastAsia="Arial" w:hAnsi="Arial"/>
          <w:sz w:val="16"/>
          <w:szCs w:val="16"/>
          <w:color w:val="auto"/>
        </w:rPr>
      </w:pPr>
      <w:r>
        <w:rPr>
          <w:rFonts w:ascii="Arial" w:cs="Arial" w:eastAsia="Arial" w:hAnsi="Arial"/>
          <w:sz w:val="16"/>
          <w:szCs w:val="16"/>
          <w:b w:val="1"/>
          <w:bCs w:val="1"/>
          <w:color w:val="auto"/>
        </w:rPr>
        <w:t xml:space="preserve">General Compliance. </w:t>
      </w:r>
      <w:r>
        <w:rPr>
          <w:rFonts w:ascii="Arial" w:cs="Arial" w:eastAsia="Arial" w:hAnsi="Arial"/>
          <w:sz w:val="16"/>
          <w:szCs w:val="16"/>
          <w:color w:val="auto"/>
        </w:rPr>
        <w:t>The Plan will be administered in compliance with the 1933 Act, 1934 Act and all other applicable</w:t>
      </w:r>
      <w:r>
        <w:rPr>
          <w:rFonts w:ascii="Arial" w:cs="Arial" w:eastAsia="Arial" w:hAnsi="Arial"/>
          <w:sz w:val="16"/>
          <w:szCs w:val="16"/>
          <w:b w:val="1"/>
          <w:bCs w:val="1"/>
          <w:color w:val="auto"/>
        </w:rPr>
        <w:t xml:space="preserve"> </w:t>
      </w:r>
      <w:r>
        <w:rPr>
          <w:rFonts w:ascii="Arial" w:cs="Arial" w:eastAsia="Arial" w:hAnsi="Arial"/>
          <w:sz w:val="16"/>
          <w:szCs w:val="16"/>
          <w:color w:val="auto"/>
        </w:rPr>
        <w:t>securities laws and Company policies, including without limitation, the Company’s Insider Trading Policy.</w:t>
      </w:r>
    </w:p>
    <w:p>
      <w:pPr>
        <w:spacing w:after="0" w:line="88" w:lineRule="exact"/>
        <w:rPr>
          <w:rFonts w:ascii="Arial" w:cs="Arial" w:eastAsia="Arial" w:hAnsi="Arial"/>
          <w:sz w:val="16"/>
          <w:szCs w:val="16"/>
          <w:color w:val="auto"/>
        </w:rPr>
      </w:pPr>
    </w:p>
    <w:p>
      <w:pPr>
        <w:ind w:left="332" w:hanging="332"/>
        <w:spacing w:after="0"/>
        <w:tabs>
          <w:tab w:leader="none" w:pos="332" w:val="left"/>
        </w:tabs>
        <w:numPr>
          <w:ilvl w:val="0"/>
          <w:numId w:val="174"/>
        </w:numPr>
        <w:rPr>
          <w:rFonts w:ascii="Arial" w:cs="Arial" w:eastAsia="Arial" w:hAnsi="Arial"/>
          <w:sz w:val="16"/>
          <w:szCs w:val="16"/>
          <w:color w:val="auto"/>
        </w:rPr>
      </w:pPr>
      <w:r>
        <w:rPr>
          <w:rFonts w:ascii="Arial" w:cs="Arial" w:eastAsia="Arial" w:hAnsi="Arial"/>
          <w:sz w:val="16"/>
          <w:szCs w:val="16"/>
          <w:b w:val="1"/>
          <w:bCs w:val="1"/>
          <w:color w:val="auto"/>
        </w:rPr>
        <w:t xml:space="preserve">Term of the Plan. </w:t>
      </w:r>
      <w:r>
        <w:rPr>
          <w:rFonts w:ascii="Arial" w:cs="Arial" w:eastAsia="Arial" w:hAnsi="Arial"/>
          <w:sz w:val="16"/>
          <w:szCs w:val="16"/>
          <w:color w:val="auto"/>
        </w:rPr>
        <w:t>The Plan shall continue in effect until May 3, 2034, unless sooner terminated under Section 16.</w:t>
      </w:r>
    </w:p>
    <w:p>
      <w:pPr>
        <w:spacing w:after="0" w:line="180" w:lineRule="exact"/>
        <w:rPr>
          <w:rFonts w:ascii="Arial" w:cs="Arial" w:eastAsia="Arial" w:hAnsi="Arial"/>
          <w:sz w:val="16"/>
          <w:szCs w:val="16"/>
          <w:color w:val="auto"/>
        </w:rPr>
      </w:pPr>
    </w:p>
    <w:p>
      <w:pPr>
        <w:ind w:left="332" w:right="260" w:hanging="332"/>
        <w:spacing w:after="0" w:line="321" w:lineRule="auto"/>
        <w:tabs>
          <w:tab w:leader="none" w:pos="332" w:val="left"/>
        </w:tabs>
        <w:numPr>
          <w:ilvl w:val="0"/>
          <w:numId w:val="174"/>
        </w:numPr>
        <w:rPr>
          <w:rFonts w:ascii="Arial" w:cs="Arial" w:eastAsia="Arial" w:hAnsi="Arial"/>
          <w:sz w:val="16"/>
          <w:szCs w:val="16"/>
          <w:color w:val="auto"/>
        </w:rPr>
      </w:pPr>
      <w:r>
        <w:rPr>
          <w:rFonts w:ascii="Arial" w:cs="Arial" w:eastAsia="Arial" w:hAnsi="Arial"/>
          <w:sz w:val="16"/>
          <w:szCs w:val="16"/>
          <w:b w:val="1"/>
          <w:bCs w:val="1"/>
          <w:color w:val="auto"/>
        </w:rPr>
        <w:t xml:space="preserve">Governing Law. </w:t>
      </w:r>
      <w:r>
        <w:rPr>
          <w:rFonts w:ascii="Arial" w:cs="Arial" w:eastAsia="Arial" w:hAnsi="Arial"/>
          <w:sz w:val="16"/>
          <w:szCs w:val="16"/>
          <w:color w:val="auto"/>
        </w:rPr>
        <w:t>The Plan and all rights granted hereunder shall be construed in accordance with and governed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laws of the State of Illinois without reference to choice of law principles.</w:t>
      </w:r>
    </w:p>
    <w:p>
      <w:pPr>
        <w:sectPr>
          <w:pgSz w:w="11900" w:h="16838" w:orient="portrait"/>
          <w:cols w:equalWidth="0" w:num="1">
            <w:col w:w="9092"/>
          </w:cols>
          <w:pgMar w:left="1408" w:top="111" w:right="1399" w:bottom="0" w:gutter="0" w:footer="0" w:header="0"/>
          <w:type w:val="continuous"/>
        </w:sectPr>
      </w:pPr>
    </w:p>
    <w:bookmarkStart w:id="104" w:name="page105"/>
    <w:bookmarkEnd w:id="104"/>
    <w:p>
      <w:pPr>
        <w:jc w:val="center"/>
        <w:ind w:right="-1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60026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10375" cy="6002655"/>
                    </a:xfrm>
                    <a:prstGeom prst="rect">
                      <a:avLst/>
                    </a:prstGeom>
                    <a:noFill/>
                  </pic:spPr>
                </pic:pic>
              </a:graphicData>
            </a:graphic>
          </wp:anchor>
        </w:drawing>
        <w:t>SCHEDULE A</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u w:val="single" w:color="auto"/>
          <w:color w:val="auto"/>
        </w:rPr>
        <w:t>Subsidiaries Participating in the Plan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Huron Consulting Services LLC,</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Huron Advisors Canada Limited / Conseillers Huron Canada Limitée,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and, of the below-listed companies, each effective as of the applicable acquisition date: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Innosight Consulting, LLC</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Huron Managed Services LLC</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Huron Consulting Services U.K. Limited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Huron Eurasia India Private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spacing w:after="0"/>
        <w:tabs>
          <w:tab w:leader="none" w:pos="440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13"/>
          <w:szCs w:val="13"/>
          <w:b w:val="1"/>
          <w:bCs w:val="1"/>
          <w:color w:val="00558C"/>
        </w:rPr>
        <w:t>B-8</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351790</wp:posOffset>
            </wp:positionV>
            <wp:extent cx="6810375" cy="443103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10375" cy="4431030"/>
                    </a:xfrm>
                    <a:prstGeom prst="rect">
                      <a:avLst/>
                    </a:prstGeom>
                    <a:noFill/>
                  </pic:spPr>
                </pic:pic>
              </a:graphicData>
            </a:graphic>
          </wp:anchor>
        </w:drawing>
      </w:r>
    </w:p>
    <w:p>
      <w:pPr>
        <w:sectPr>
          <w:pgSz w:w="11900" w:h="16838" w:orient="portrait"/>
          <w:cols w:equalWidth="0" w:num="1">
            <w:col w:w="9080"/>
          </w:cols>
          <w:pgMar w:left="1400" w:top="206" w:right="14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60"/>
        <w:spacing w:after="0" w:line="274" w:lineRule="auto"/>
        <w:rPr>
          <w:sz w:val="20"/>
          <w:szCs w:val="20"/>
          <w:color w:val="auto"/>
        </w:rPr>
      </w:pPr>
      <w:r>
        <w:rPr>
          <w:rFonts w:ascii="Arial" w:cs="Arial" w:eastAsia="Arial" w:hAnsi="Arial"/>
          <w:sz w:val="13"/>
          <w:szCs w:val="13"/>
          <w:b w:val="1"/>
          <w:bCs w:val="1"/>
          <w:color w:val="B2B3B6"/>
        </w:rPr>
        <w:t>General Proposal Information 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line="274" w:lineRule="auto"/>
        <w:rPr>
          <w:sz w:val="20"/>
          <w:szCs w:val="20"/>
          <w:color w:val="auto"/>
        </w:rPr>
      </w:pPr>
      <w:r>
        <w:rPr>
          <w:rFonts w:ascii="Arial" w:cs="Arial" w:eastAsia="Arial" w:hAnsi="Arial"/>
          <w:sz w:val="13"/>
          <w:szCs w:val="13"/>
          <w:b w:val="1"/>
          <w:bCs w:val="1"/>
          <w:color w:val="B2B3B6"/>
        </w:rPr>
        <w:t>Corporate Proposal Executive Governance Two 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200"/>
        <w:spacing w:after="0" w:line="274" w:lineRule="auto"/>
        <w:rPr>
          <w:sz w:val="20"/>
          <w:szCs w:val="20"/>
          <w:color w:val="auto"/>
        </w:rPr>
      </w:pPr>
      <w:r>
        <w:rPr>
          <w:rFonts w:ascii="Arial" w:cs="Arial" w:eastAsia="Arial" w:hAnsi="Arial"/>
          <w:sz w:val="13"/>
          <w:szCs w:val="13"/>
          <w:b w:val="1"/>
          <w:bCs w:val="1"/>
          <w:color w:val="B2B3B6"/>
        </w:rPr>
        <w:t xml:space="preserve">Proposal Proposal Proposal Stockholder </w:t>
      </w:r>
      <w:r>
        <w:rPr>
          <w:rFonts w:ascii="Arial" w:cs="Arial" w:eastAsia="Arial" w:hAnsi="Arial"/>
          <w:sz w:val="13"/>
          <w:szCs w:val="13"/>
          <w:b w:val="1"/>
          <w:bCs w:val="1"/>
          <w:color w:val="6AAA37"/>
        </w:rPr>
        <w:t>Other</w:t>
      </w:r>
      <w:r>
        <w:rPr>
          <w:rFonts w:ascii="Arial" w:cs="Arial" w:eastAsia="Arial" w:hAnsi="Arial"/>
          <w:sz w:val="13"/>
          <w:szCs w:val="13"/>
          <w:b w:val="1"/>
          <w:bCs w:val="1"/>
          <w:color w:val="B2B3B6"/>
        </w:rPr>
        <w:t xml:space="preserve"> Three Four Five Proposals </w:t>
      </w:r>
      <w:r>
        <w:rPr>
          <w:rFonts w:ascii="Arial" w:cs="Arial" w:eastAsia="Arial" w:hAnsi="Arial"/>
          <w:sz w:val="13"/>
          <w:szCs w:val="13"/>
          <w:b w:val="1"/>
          <w:bCs w:val="1"/>
          <w:color w:val="6AAA37"/>
        </w:rPr>
        <w:t>Matters</w:t>
      </w:r>
    </w:p>
    <w:p>
      <w:pPr>
        <w:spacing w:after="0" w:line="200" w:lineRule="exact"/>
        <w:rPr>
          <w:sz w:val="20"/>
          <w:szCs w:val="20"/>
          <w:color w:val="auto"/>
        </w:rPr>
      </w:pPr>
    </w:p>
    <w:p>
      <w:pPr>
        <w:sectPr>
          <w:pgSz w:w="11900" w:h="16838" w:orient="portrait"/>
          <w:cols w:equalWidth="0" w:num="3">
            <w:col w:w="1600" w:space="300"/>
            <w:col w:w="2700" w:space="320"/>
            <w:col w:w="4160"/>
          </w:cols>
          <w:pgMar w:left="1400" w:top="206" w:right="141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54"/>
          <w:szCs w:val="54"/>
          <w:color w:val="00558C"/>
        </w:rPr>
        <w:t>Appendix C</w:t>
      </w:r>
    </w:p>
    <w:p>
      <w:pPr>
        <w:spacing w:after="0" w:line="171" w:lineRule="exact"/>
        <w:rPr>
          <w:sz w:val="20"/>
          <w:szCs w:val="20"/>
          <w:color w:val="auto"/>
        </w:rPr>
      </w:pPr>
    </w:p>
    <w:p>
      <w:pPr>
        <w:spacing w:after="0"/>
        <w:rPr>
          <w:sz w:val="20"/>
          <w:szCs w:val="20"/>
          <w:color w:val="auto"/>
        </w:rPr>
      </w:pPr>
      <w:r>
        <w:rPr>
          <w:rFonts w:ascii="Arial" w:cs="Arial" w:eastAsia="Arial" w:hAnsi="Arial"/>
          <w:sz w:val="29"/>
          <w:szCs w:val="29"/>
          <w:b w:val="1"/>
          <w:bCs w:val="1"/>
          <w:color w:val="B2B3B6"/>
        </w:rPr>
        <w:t>NON-GAAP FINANCIAL MEASURES</w:t>
      </w:r>
    </w:p>
    <w:p>
      <w:pPr>
        <w:spacing w:after="0" w:line="36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assess our results of operations and calculate our executives’ annual and long-term incentive pay, in part, using the following non-GAAP financial measures: earnings before interest, taxes, depreciation and amortization (“EBITDA”), adjusted EBITDA, adjusted EBITDA as a percentage of revenues before reimbursable expenses, adjusted net income, adjusted diluted earnings per share, free cash flow and organic revenues. These non-GAAP financial measures differ from GAAP because they exclude a number of items required by GAAP, each discussed below. These non-GAAP financial measures should be considered in addition to, and not as a substitute for or superior to, any measure of performance, cash flows, or liquidity prepared in accordance with GAAP. Our non-GAAP financial measures may be defined differently from time to time and may be defined differently than similar terms used by other companies, and accordingly, care should be exercised in understanding how we define our non-GAAP financial measures.</w:t>
      </w:r>
    </w:p>
    <w:p>
      <w:pPr>
        <w:spacing w:after="0" w:line="119" w:lineRule="exact"/>
        <w:rPr>
          <w:sz w:val="20"/>
          <w:szCs w:val="20"/>
          <w:color w:val="auto"/>
        </w:rPr>
      </w:pPr>
    </w:p>
    <w:p>
      <w:pPr>
        <w:spacing w:after="0" w:line="300" w:lineRule="auto"/>
        <w:rPr>
          <w:sz w:val="20"/>
          <w:szCs w:val="20"/>
          <w:color w:val="auto"/>
        </w:rPr>
      </w:pPr>
      <w:r>
        <w:rPr>
          <w:rFonts w:ascii="Arial" w:cs="Arial" w:eastAsia="Arial" w:hAnsi="Arial"/>
          <w:sz w:val="16"/>
          <w:szCs w:val="16"/>
          <w:color w:val="auto"/>
        </w:rPr>
        <w:t>Our management uses the non-GAAP financial measures to gain an understanding of our comparative operating performance, for example when comparing such results with previous periods or forecasts. These non-GAAP financial measures are used by management in their financial and operating decision making because management believes they reflect our ongoing business in a manner that allows for meaningful period-to-period comparisons. Management also uses these non-GAAP</w:t>
      </w:r>
    </w:p>
    <w:p>
      <w:pPr>
        <w:sectPr>
          <w:pgSz w:w="11900" w:h="16838" w:orient="portrait"/>
          <w:cols w:equalWidth="0" w:num="1">
            <w:col w:w="9080"/>
          </w:cols>
          <w:pgMar w:left="1400" w:top="206" w:right="1419" w:bottom="0" w:gutter="0" w:footer="0" w:header="0"/>
          <w:type w:val="continuous"/>
        </w:sectPr>
      </w:pPr>
    </w:p>
    <w:bookmarkStart w:id="105" w:name="page106"/>
    <w:bookmarkEnd w:id="105"/>
    <w:p>
      <w:pPr>
        <w:ind w:right="540"/>
        <w:spacing w:after="0" w:line="210" w:lineRule="auto"/>
        <w:rPr>
          <w:sz w:val="20"/>
          <w:szCs w:val="20"/>
          <w:color w:val="auto"/>
        </w:rPr>
      </w:pPr>
      <w:r>
        <w:rPr>
          <w:rFonts w:ascii="Arial" w:cs="Arial" w:eastAsia="Arial" w:hAnsi="Arial"/>
          <w:sz w:val="16"/>
          <w:szCs w:val="16"/>
          <w:color w:val="auto"/>
        </w:rPr>
        <w:t>financial measures when publicly providing our business outlook, for internal management purposes, and as a basis for evaluating potential acquisitions and dispositions. We believe that these non-GAAP financial measures provide useful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-186055</wp:posOffset>
            </wp:positionV>
            <wp:extent cx="6810375" cy="44253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10375" cy="4425315"/>
                    </a:xfrm>
                    <a:prstGeom prst="rect">
                      <a:avLst/>
                    </a:prstGeom>
                    <a:noFill/>
                  </pic:spPr>
                </pic:pic>
              </a:graphicData>
            </a:graphic>
          </wp:anchor>
        </w:drawing>
      </w:r>
    </w:p>
    <w:p>
      <w:pPr>
        <w:ind w:right="20"/>
        <w:spacing w:after="0" w:line="300" w:lineRule="auto"/>
        <w:rPr>
          <w:sz w:val="20"/>
          <w:szCs w:val="20"/>
          <w:color w:val="auto"/>
        </w:rPr>
      </w:pPr>
      <w:r>
        <w:rPr>
          <w:rFonts w:ascii="Arial" w:cs="Arial" w:eastAsia="Arial" w:hAnsi="Arial"/>
          <w:sz w:val="16"/>
          <w:szCs w:val="16"/>
          <w:color w:val="auto"/>
        </w:rPr>
        <w:t>information to investors and others in understanding and evaluating Huron’s current operating performance and future prospects in the same manner as management does and in comparing in a consistent manner Huron’s current financial results with Huron’s past financial results. Additionally, the Compensation Committee uses these metrics, in part, to determine annual and long-term incentive pay under the executive compensation program.</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These non-GAAP financial measures include adjustments for the following items:</w:t>
      </w:r>
    </w:p>
    <w:p>
      <w:pPr>
        <w:spacing w:after="0" w:line="181" w:lineRule="exact"/>
        <w:rPr>
          <w:sz w:val="20"/>
          <w:szCs w:val="20"/>
          <w:color w:val="auto"/>
        </w:rPr>
      </w:pPr>
    </w:p>
    <w:p>
      <w:pPr>
        <w:spacing w:after="0" w:line="321" w:lineRule="auto"/>
        <w:rPr>
          <w:sz w:val="20"/>
          <w:szCs w:val="20"/>
          <w:color w:val="auto"/>
        </w:rPr>
      </w:pPr>
      <w:r>
        <w:rPr>
          <w:rFonts w:ascii="Arial" w:cs="Arial" w:eastAsia="Arial" w:hAnsi="Arial"/>
          <w:sz w:val="16"/>
          <w:szCs w:val="16"/>
          <w:i w:val="1"/>
          <w:iCs w:val="1"/>
          <w:color w:val="auto"/>
        </w:rPr>
        <w:t xml:space="preserve">Amortization of intangible assets: </w:t>
      </w:r>
      <w:r>
        <w:rPr>
          <w:rFonts w:ascii="Arial" w:cs="Arial" w:eastAsia="Arial" w:hAnsi="Arial"/>
          <w:sz w:val="16"/>
          <w:szCs w:val="16"/>
          <w:color w:val="auto"/>
        </w:rPr>
        <w:t>We exclude the effect of amortization of intangible assets from the calculation of adjusted net</w:t>
      </w:r>
      <w:r>
        <w:rPr>
          <w:rFonts w:ascii="Arial" w:cs="Arial" w:eastAsia="Arial" w:hAnsi="Arial"/>
          <w:sz w:val="16"/>
          <w:szCs w:val="16"/>
          <w:i w:val="1"/>
          <w:iCs w:val="1"/>
          <w:color w:val="auto"/>
        </w:rPr>
        <w:t xml:space="preserve"> </w:t>
      </w:r>
      <w:r>
        <w:rPr>
          <w:rFonts w:ascii="Arial" w:cs="Arial" w:eastAsia="Arial" w:hAnsi="Arial"/>
          <w:sz w:val="16"/>
          <w:szCs w:val="16"/>
          <w:color w:val="auto"/>
        </w:rPr>
        <w:t>income, as it is inconsistent in its amount and frequency and is significantly affected by the timing and size of our acquisitions.</w:t>
      </w:r>
    </w:p>
    <w:p>
      <w:pPr>
        <w:spacing w:after="0" w:line="88"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 xml:space="preserve">Restructuring charges: </w:t>
      </w:r>
      <w:r>
        <w:rPr>
          <w:rFonts w:ascii="Arial" w:cs="Arial" w:eastAsia="Arial" w:hAnsi="Arial"/>
          <w:sz w:val="16"/>
          <w:szCs w:val="16"/>
          <w:color w:val="auto"/>
        </w:rPr>
        <w:t>We have incurred charges due to restructuring various parts of our business. These restructuring</w:t>
      </w:r>
      <w:r>
        <w:rPr>
          <w:rFonts w:ascii="Arial" w:cs="Arial" w:eastAsia="Arial" w:hAnsi="Arial"/>
          <w:sz w:val="16"/>
          <w:szCs w:val="16"/>
          <w:i w:val="1"/>
          <w:iCs w:val="1"/>
          <w:color w:val="auto"/>
        </w:rPr>
        <w:t xml:space="preserve"> </w:t>
      </w:r>
      <w:r>
        <w:rPr>
          <w:rFonts w:ascii="Arial" w:cs="Arial" w:eastAsia="Arial" w:hAnsi="Arial"/>
          <w:sz w:val="16"/>
          <w:szCs w:val="16"/>
          <w:color w:val="auto"/>
        </w:rPr>
        <w:t>charges have primarily consisted of costs associated with office space consolidations, including lease impairment charges and accelerated depreciation on lease-related property and equipment, and employee severance charges. We exclude the effect of the restructuring charges from our non-GAAP measures to permit comparability with periods that were not impacted by these items. We do not include normal, recurring, cash operating expenses in our restructuring charges.</w:t>
      </w:r>
    </w:p>
    <w:p>
      <w:pPr>
        <w:spacing w:after="0" w:line="11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i w:val="1"/>
          <w:iCs w:val="1"/>
          <w:color w:val="auto"/>
        </w:rPr>
        <w:t xml:space="preserve">2024 litigation settlement gain: </w:t>
      </w:r>
      <w:r>
        <w:rPr>
          <w:rFonts w:ascii="Arial" w:cs="Arial" w:eastAsia="Arial" w:hAnsi="Arial"/>
          <w:sz w:val="16"/>
          <w:szCs w:val="16"/>
          <w:color w:val="auto"/>
        </w:rPr>
        <w:t>In the second quarter of 2024, we settled a litigation matter in which Huron was the plaintiff for</w:t>
      </w:r>
      <w:r>
        <w:rPr>
          <w:rFonts w:ascii="Arial" w:cs="Arial" w:eastAsia="Arial" w:hAnsi="Arial"/>
          <w:sz w:val="16"/>
          <w:szCs w:val="16"/>
          <w:i w:val="1"/>
          <w:iCs w:val="1"/>
          <w:color w:val="auto"/>
        </w:rPr>
        <w:t xml:space="preserve"> </w:t>
      </w:r>
      <w:r>
        <w:rPr>
          <w:rFonts w:ascii="Arial" w:cs="Arial" w:eastAsia="Arial" w:hAnsi="Arial"/>
          <w:sz w:val="16"/>
          <w:szCs w:val="16"/>
          <w:color w:val="auto"/>
        </w:rPr>
        <w:t>$15.0 million, on a pre-tax basis. This $15.0 million settlement gain was recorded as a component of other gains, net on our consolidated statement of operations. We have excluded from our non-GAAP measures $11.7 million, which is the value of the settlement gain that exceeds the third-party legal costs of $3.3 million incurred during 2024 specific to this litigation matter, as this net gain is not indicative of the ongoing performance of our business. Third-party legal costs incurred for this litigation matter in 2023 were $4.0 million. Our third-party legal expenses are recorded as a component of selling, general and administrative expenses on our statement of operations.</w:t>
      </w:r>
    </w:p>
    <w:p>
      <w:pPr>
        <w:spacing w:after="0" w:line="112" w:lineRule="exact"/>
        <w:rPr>
          <w:sz w:val="20"/>
          <w:szCs w:val="20"/>
          <w:color w:val="auto"/>
        </w:rPr>
      </w:pPr>
    </w:p>
    <w:p>
      <w:pPr>
        <w:ind w:right="100"/>
        <w:spacing w:after="0" w:line="310" w:lineRule="auto"/>
        <w:rPr>
          <w:sz w:val="20"/>
          <w:szCs w:val="20"/>
          <w:color w:val="auto"/>
        </w:rPr>
      </w:pPr>
      <w:r>
        <w:rPr>
          <w:rFonts w:ascii="Arial" w:cs="Arial" w:eastAsia="Arial" w:hAnsi="Arial"/>
          <w:sz w:val="16"/>
          <w:szCs w:val="16"/>
          <w:i w:val="1"/>
          <w:iCs w:val="1"/>
          <w:color w:val="auto"/>
        </w:rPr>
        <w:t xml:space="preserve">Other losses (gains), net: </w:t>
      </w:r>
      <w:r>
        <w:rPr>
          <w:rFonts w:ascii="Arial" w:cs="Arial" w:eastAsia="Arial" w:hAnsi="Arial"/>
          <w:sz w:val="16"/>
          <w:szCs w:val="16"/>
          <w:color w:val="auto"/>
        </w:rPr>
        <w:t>We exclude the effects of other losses and gains, which primarily relate to changes in the estimated</w:t>
      </w:r>
      <w:r>
        <w:rPr>
          <w:rFonts w:ascii="Arial" w:cs="Arial" w:eastAsia="Arial" w:hAnsi="Arial"/>
          <w:sz w:val="16"/>
          <w:szCs w:val="16"/>
          <w:i w:val="1"/>
          <w:iCs w:val="1"/>
          <w:color w:val="auto"/>
        </w:rPr>
        <w:t xml:space="preserve"> </w:t>
      </w:r>
      <w:r>
        <w:rPr>
          <w:rFonts w:ascii="Arial" w:cs="Arial" w:eastAsia="Arial" w:hAnsi="Arial"/>
          <w:sz w:val="16"/>
          <w:szCs w:val="16"/>
          <w:color w:val="auto"/>
        </w:rPr>
        <w:t>fair value of our liabilities for contingent consideration related to business acquisitions and litigation settlement losses and gains, excluding the 2024 litigation settlement gain presented separately, to permit comparability with periods that are not</w:t>
      </w:r>
    </w:p>
    <w:p>
      <w:pPr>
        <w:spacing w:after="0" w:line="200" w:lineRule="exact"/>
        <w:rPr>
          <w:sz w:val="20"/>
          <w:szCs w:val="20"/>
          <w:color w:val="auto"/>
        </w:rPr>
      </w:pPr>
    </w:p>
    <w:p>
      <w:pPr>
        <w:spacing w:after="0" w:line="312" w:lineRule="exact"/>
        <w:rPr>
          <w:sz w:val="20"/>
          <w:szCs w:val="20"/>
          <w:color w:val="auto"/>
        </w:rPr>
      </w:pPr>
    </w:p>
    <w:p>
      <w:pPr>
        <w:ind w:left="60"/>
        <w:spacing w:after="0"/>
        <w:tabs>
          <w:tab w:leader="none" w:pos="442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13"/>
          <w:szCs w:val="13"/>
          <w:b w:val="1"/>
          <w:bCs w:val="1"/>
          <w:color w:val="00558C"/>
        </w:rPr>
        <w:t>C-1</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351790</wp:posOffset>
            </wp:positionV>
            <wp:extent cx="6810375" cy="600837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10375" cy="6008370"/>
                    </a:xfrm>
                    <a:prstGeom prst="rect">
                      <a:avLst/>
                    </a:prstGeom>
                    <a:noFill/>
                  </pic:spPr>
                </pic:pic>
              </a:graphicData>
            </a:graphic>
          </wp:anchor>
        </w:drawing>
      </w:r>
    </w:p>
    <w:p>
      <w:pPr>
        <w:sectPr>
          <w:pgSz w:w="11900" w:h="16838" w:orient="portrait"/>
          <w:cols w:equalWidth="0" w:num="1">
            <w:col w:w="9080"/>
          </w:cols>
          <w:pgMar w:left="1400" w:top="111" w:right="14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60"/>
        <w:spacing w:after="0" w:line="274" w:lineRule="auto"/>
        <w:rPr>
          <w:sz w:val="20"/>
          <w:szCs w:val="20"/>
          <w:color w:val="auto"/>
        </w:rPr>
      </w:pPr>
      <w:r>
        <w:rPr>
          <w:rFonts w:ascii="Arial" w:cs="Arial" w:eastAsia="Arial" w:hAnsi="Arial"/>
          <w:sz w:val="13"/>
          <w:szCs w:val="13"/>
          <w:b w:val="1"/>
          <w:bCs w:val="1"/>
          <w:color w:val="B2B3B6"/>
        </w:rPr>
        <w:t>General Proposal Information 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line="274" w:lineRule="auto"/>
        <w:rPr>
          <w:sz w:val="20"/>
          <w:szCs w:val="20"/>
          <w:color w:val="auto"/>
        </w:rPr>
      </w:pPr>
      <w:r>
        <w:rPr>
          <w:rFonts w:ascii="Arial" w:cs="Arial" w:eastAsia="Arial" w:hAnsi="Arial"/>
          <w:sz w:val="13"/>
          <w:szCs w:val="13"/>
          <w:b w:val="1"/>
          <w:bCs w:val="1"/>
          <w:color w:val="B2B3B6"/>
        </w:rPr>
        <w:t>Corporate Proposal Executive Governance Two 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200"/>
        <w:spacing w:after="0" w:line="274" w:lineRule="auto"/>
        <w:rPr>
          <w:sz w:val="20"/>
          <w:szCs w:val="20"/>
          <w:color w:val="auto"/>
        </w:rPr>
      </w:pPr>
      <w:r>
        <w:rPr>
          <w:rFonts w:ascii="Arial" w:cs="Arial" w:eastAsia="Arial" w:hAnsi="Arial"/>
          <w:sz w:val="13"/>
          <w:szCs w:val="13"/>
          <w:b w:val="1"/>
          <w:bCs w:val="1"/>
          <w:color w:val="B2B3B6"/>
        </w:rPr>
        <w:t xml:space="preserve">Proposal Proposal Proposal Stockholder </w:t>
      </w:r>
      <w:r>
        <w:rPr>
          <w:rFonts w:ascii="Arial" w:cs="Arial" w:eastAsia="Arial" w:hAnsi="Arial"/>
          <w:sz w:val="13"/>
          <w:szCs w:val="13"/>
          <w:b w:val="1"/>
          <w:bCs w:val="1"/>
          <w:color w:val="6AAA37"/>
        </w:rPr>
        <w:t>Other</w:t>
      </w:r>
      <w:r>
        <w:rPr>
          <w:rFonts w:ascii="Arial" w:cs="Arial" w:eastAsia="Arial" w:hAnsi="Arial"/>
          <w:sz w:val="13"/>
          <w:szCs w:val="13"/>
          <w:b w:val="1"/>
          <w:bCs w:val="1"/>
          <w:color w:val="B2B3B6"/>
        </w:rPr>
        <w:t xml:space="preserve"> Three Four Five Proposals </w:t>
      </w:r>
      <w:r>
        <w:rPr>
          <w:rFonts w:ascii="Arial" w:cs="Arial" w:eastAsia="Arial" w:hAnsi="Arial"/>
          <w:sz w:val="13"/>
          <w:szCs w:val="13"/>
          <w:b w:val="1"/>
          <w:bCs w:val="1"/>
          <w:color w:val="6AAA37"/>
        </w:rPr>
        <w:t>Matters</w:t>
      </w:r>
    </w:p>
    <w:p>
      <w:pPr>
        <w:spacing w:after="0" w:line="200" w:lineRule="exact"/>
        <w:rPr>
          <w:sz w:val="20"/>
          <w:szCs w:val="20"/>
          <w:color w:val="auto"/>
        </w:rPr>
      </w:pPr>
    </w:p>
    <w:p>
      <w:pPr>
        <w:sectPr>
          <w:pgSz w:w="11900" w:h="16838" w:orient="portrait"/>
          <w:cols w:equalWidth="0" w:num="3">
            <w:col w:w="1600" w:space="300"/>
            <w:col w:w="2700" w:space="320"/>
            <w:col w:w="4160"/>
          </w:cols>
          <w:pgMar w:left="1400" w:top="111" w:right="1419" w:bottom="0" w:gutter="0" w:footer="0" w:header="0"/>
          <w:type w:val="continuous"/>
        </w:sectPr>
      </w:pPr>
    </w:p>
    <w:p>
      <w:pPr>
        <w:spacing w:after="0" w:line="151" w:lineRule="exact"/>
        <w:rPr>
          <w:sz w:val="20"/>
          <w:szCs w:val="20"/>
          <w:color w:val="auto"/>
        </w:rPr>
      </w:pPr>
    </w:p>
    <w:p>
      <w:pPr>
        <w:ind w:right="460"/>
        <w:spacing w:after="0" w:line="321" w:lineRule="auto"/>
        <w:rPr>
          <w:sz w:val="20"/>
          <w:szCs w:val="20"/>
          <w:color w:val="auto"/>
        </w:rPr>
      </w:pPr>
      <w:r>
        <w:rPr>
          <w:rFonts w:ascii="Arial" w:cs="Arial" w:eastAsia="Arial" w:hAnsi="Arial"/>
          <w:sz w:val="16"/>
          <w:szCs w:val="16"/>
          <w:color w:val="auto"/>
        </w:rPr>
        <w:t>impacted by these items. These items are recorded as a component of other gains, net on our consolidated statement of operations.</w:t>
      </w:r>
    </w:p>
    <w:p>
      <w:pPr>
        <w:spacing w:after="0" w:line="88"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i w:val="1"/>
          <w:iCs w:val="1"/>
          <w:color w:val="auto"/>
        </w:rPr>
        <w:t xml:space="preserve">Transaction-related expenses: </w:t>
      </w:r>
      <w:r>
        <w:rPr>
          <w:rFonts w:ascii="Arial" w:cs="Arial" w:eastAsia="Arial" w:hAnsi="Arial"/>
          <w:sz w:val="16"/>
          <w:szCs w:val="16"/>
          <w:color w:val="auto"/>
        </w:rPr>
        <w:t>To permit comparability with prior periods, we exclude the impact of third-party advisory, legal,</w:t>
      </w:r>
      <w:r>
        <w:rPr>
          <w:rFonts w:ascii="Arial" w:cs="Arial" w:eastAsia="Arial" w:hAnsi="Arial"/>
          <w:sz w:val="16"/>
          <w:szCs w:val="16"/>
          <w:i w:val="1"/>
          <w:iCs w:val="1"/>
          <w:color w:val="auto"/>
        </w:rPr>
        <w:t xml:space="preserve"> </w:t>
      </w:r>
      <w:r>
        <w:rPr>
          <w:rFonts w:ascii="Arial" w:cs="Arial" w:eastAsia="Arial" w:hAnsi="Arial"/>
          <w:sz w:val="16"/>
          <w:szCs w:val="16"/>
          <w:color w:val="auto"/>
        </w:rPr>
        <w:t>and accounting fees and other corporate costs incurred directly related to the evaluation and/or consummation of business acquisitions.</w:t>
      </w:r>
    </w:p>
    <w:p>
      <w:pPr>
        <w:spacing w:after="0" w:line="104"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i w:val="1"/>
          <w:iCs w:val="1"/>
          <w:color w:val="auto"/>
        </w:rPr>
        <w:t xml:space="preserve">Unrealized losses (gains) on preferred stock investment: </w:t>
      </w:r>
      <w:r>
        <w:rPr>
          <w:rFonts w:ascii="Arial" w:cs="Arial" w:eastAsia="Arial" w:hAnsi="Arial"/>
          <w:sz w:val="16"/>
          <w:szCs w:val="16"/>
          <w:color w:val="auto"/>
        </w:rPr>
        <w:t>We exclude the effect of unrealized losses and gains related to</w:t>
      </w:r>
      <w:r>
        <w:rPr>
          <w:rFonts w:ascii="Arial" w:cs="Arial" w:eastAsia="Arial" w:hAnsi="Arial"/>
          <w:sz w:val="16"/>
          <w:szCs w:val="16"/>
          <w:i w:val="1"/>
          <w:iCs w:val="1"/>
          <w:color w:val="auto"/>
        </w:rPr>
        <w:t xml:space="preserve"> </w:t>
      </w:r>
      <w:r>
        <w:rPr>
          <w:rFonts w:ascii="Arial" w:cs="Arial" w:eastAsia="Arial" w:hAnsi="Arial"/>
          <w:sz w:val="16"/>
          <w:szCs w:val="16"/>
          <w:color w:val="auto"/>
        </w:rPr>
        <w:t>changes in the fair value of our preferred stock investment in a hospital-at-home company arising from observable price changes or impairment losses. These unrealized losses and gains are included as a component of other income (expense), net. We believe that these unrealized losses and gains are not indicative of the ongoing performance of our business and their exclusion permits comparability with prior periods.</w:t>
      </w:r>
    </w:p>
    <w:p>
      <w:pPr>
        <w:spacing w:after="0" w:line="107"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i w:val="1"/>
          <w:iCs w:val="1"/>
          <w:color w:val="auto"/>
        </w:rPr>
        <w:t xml:space="preserve">Losses (gains) on sale of business: </w:t>
      </w:r>
      <w:r>
        <w:rPr>
          <w:rFonts w:ascii="Arial" w:cs="Arial" w:eastAsia="Arial" w:hAnsi="Arial"/>
          <w:sz w:val="16"/>
          <w:szCs w:val="16"/>
          <w:color w:val="auto"/>
        </w:rPr>
        <w:t>We exclude the effect of non-operating losses and gains recognized as a result of sales of</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businesses as they are infrequent, management believes that these items are not indicative of the ongoing performance of our business, and their exclusion permits comparability with periods that were not impacted by such items. The 2024 gain relates to the divestiture of our Studer Education practice in the fourth quarter of 2024.</w:t>
      </w:r>
    </w:p>
    <w:p>
      <w:pPr>
        <w:spacing w:after="0" w:line="108"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i w:val="1"/>
          <w:iCs w:val="1"/>
          <w:color w:val="auto"/>
        </w:rPr>
        <w:t xml:space="preserve">Foreign currency transaction losses (gains), net: </w:t>
      </w:r>
      <w:r>
        <w:rPr>
          <w:rFonts w:ascii="Arial" w:cs="Arial" w:eastAsia="Arial" w:hAnsi="Arial"/>
          <w:sz w:val="16"/>
          <w:szCs w:val="16"/>
          <w:color w:val="auto"/>
        </w:rPr>
        <w:t>We exclude the effect of foreign currency transaction losses and gains from</w:t>
      </w:r>
      <w:r>
        <w:rPr>
          <w:rFonts w:ascii="Arial" w:cs="Arial" w:eastAsia="Arial" w:hAnsi="Arial"/>
          <w:sz w:val="16"/>
          <w:szCs w:val="16"/>
          <w:i w:val="1"/>
          <w:iCs w:val="1"/>
          <w:color w:val="auto"/>
        </w:rPr>
        <w:t xml:space="preserve"> </w:t>
      </w:r>
      <w:r>
        <w:rPr>
          <w:rFonts w:ascii="Arial" w:cs="Arial" w:eastAsia="Arial" w:hAnsi="Arial"/>
          <w:sz w:val="16"/>
          <w:szCs w:val="16"/>
          <w:color w:val="auto"/>
        </w:rPr>
        <w:t>the calculation of adjusted EBITDA because the amount of each loss or gain is significantly affected by changes in foreign exchange rates.</w:t>
      </w:r>
    </w:p>
    <w:p>
      <w:pPr>
        <w:spacing w:after="0" w:line="104" w:lineRule="exact"/>
        <w:rPr>
          <w:sz w:val="20"/>
          <w:szCs w:val="20"/>
          <w:color w:val="auto"/>
        </w:rPr>
      </w:pPr>
    </w:p>
    <w:p>
      <w:pPr>
        <w:ind w:right="320"/>
        <w:spacing w:after="0" w:line="339" w:lineRule="auto"/>
        <w:rPr>
          <w:sz w:val="20"/>
          <w:szCs w:val="20"/>
          <w:color w:val="auto"/>
        </w:rPr>
      </w:pPr>
      <w:r>
        <w:rPr>
          <w:rFonts w:ascii="Arial" w:cs="Arial" w:eastAsia="Arial" w:hAnsi="Arial"/>
          <w:sz w:val="16"/>
          <w:szCs w:val="16"/>
          <w:i w:val="1"/>
          <w:iCs w:val="1"/>
          <w:color w:val="auto"/>
        </w:rPr>
        <w:t xml:space="preserve">Tax effect of adjustments: </w:t>
      </w:r>
      <w:r>
        <w:rPr>
          <w:rFonts w:ascii="Arial" w:cs="Arial" w:eastAsia="Arial" w:hAnsi="Arial"/>
          <w:sz w:val="16"/>
          <w:szCs w:val="16"/>
          <w:color w:val="auto"/>
        </w:rPr>
        <w:t>The non-GAAP income tax adjustment reflects the incremental tax impact applicable to the non-GAAP adjustments.</w:t>
      </w:r>
    </w:p>
    <w:p>
      <w:pPr>
        <w:spacing w:after="0" w:line="6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i w:val="1"/>
          <w:iCs w:val="1"/>
          <w:color w:val="auto"/>
        </w:rPr>
        <w:t xml:space="preserve">Income tax expense, interest expense, net of interest income, depreciation and amortization: </w:t>
      </w:r>
      <w:r>
        <w:rPr>
          <w:rFonts w:ascii="Arial" w:cs="Arial" w:eastAsia="Arial" w:hAnsi="Arial"/>
          <w:sz w:val="16"/>
          <w:szCs w:val="16"/>
          <w:color w:val="auto"/>
        </w:rPr>
        <w:t>We exclude the effects of income</w:t>
      </w:r>
      <w:r>
        <w:rPr>
          <w:rFonts w:ascii="Arial" w:cs="Arial" w:eastAsia="Arial" w:hAnsi="Arial"/>
          <w:sz w:val="16"/>
          <w:szCs w:val="16"/>
          <w:i w:val="1"/>
          <w:iCs w:val="1"/>
          <w:color w:val="auto"/>
        </w:rPr>
        <w:t xml:space="preserve"> </w:t>
      </w:r>
      <w:r>
        <w:rPr>
          <w:rFonts w:ascii="Arial" w:cs="Arial" w:eastAsia="Arial" w:hAnsi="Arial"/>
          <w:sz w:val="16"/>
          <w:szCs w:val="16"/>
          <w:color w:val="auto"/>
        </w:rPr>
        <w:t>tax expense, interest expense, net of interest income, and depreciation and amortization in the calculation of EBITDA, as these are customary exclusions as defined by the calculation of EBITDA to arrive at meaningful earnings from core operations excluding the effect of such items. We include, within the depreciation and amortization adjustment, the amortization of capitalized implementation costs of our ERP and other related software, which is included within selling, general and administrative expenses in our consolidated statements of operations.</w:t>
      </w:r>
    </w:p>
    <w:p>
      <w:pPr>
        <w:spacing w:after="0" w:line="110" w:lineRule="exact"/>
        <w:rPr>
          <w:sz w:val="20"/>
          <w:szCs w:val="20"/>
          <w:color w:val="auto"/>
        </w:rPr>
      </w:pPr>
    </w:p>
    <w:p>
      <w:pPr>
        <w:jc w:val="both"/>
        <w:ind w:right="380"/>
        <w:spacing w:after="0" w:line="310" w:lineRule="auto"/>
        <w:rPr>
          <w:sz w:val="20"/>
          <w:szCs w:val="20"/>
          <w:color w:val="auto"/>
        </w:rPr>
      </w:pPr>
      <w:r>
        <w:rPr>
          <w:rFonts w:ascii="Arial" w:cs="Arial" w:eastAsia="Arial" w:hAnsi="Arial"/>
          <w:sz w:val="16"/>
          <w:szCs w:val="16"/>
          <w:i w:val="1"/>
          <w:iCs w:val="1"/>
          <w:color w:val="auto"/>
        </w:rPr>
        <w:t xml:space="preserve">Purchases of property and equipment and Capitalization of internally developed software costs: </w:t>
      </w:r>
      <w:r>
        <w:rPr>
          <w:rFonts w:ascii="Arial" w:cs="Arial" w:eastAsia="Arial" w:hAnsi="Arial"/>
          <w:sz w:val="16"/>
          <w:szCs w:val="16"/>
          <w:color w:val="auto"/>
        </w:rPr>
        <w:t>We subtract purchases of</w:t>
      </w:r>
      <w:r>
        <w:rPr>
          <w:rFonts w:ascii="Arial" w:cs="Arial" w:eastAsia="Arial" w:hAnsi="Arial"/>
          <w:sz w:val="16"/>
          <w:szCs w:val="16"/>
          <w:i w:val="1"/>
          <w:iCs w:val="1"/>
          <w:color w:val="auto"/>
        </w:rPr>
        <w:t xml:space="preserve"> </w:t>
      </w:r>
      <w:r>
        <w:rPr>
          <w:rFonts w:ascii="Arial" w:cs="Arial" w:eastAsia="Arial" w:hAnsi="Arial"/>
          <w:sz w:val="16"/>
          <w:szCs w:val="16"/>
          <w:color w:val="auto"/>
        </w:rPr>
        <w:t>property and equipment and capitalization of internally developed software costs from operating cash flows, as these are customary exclusions in the calculation of free cash flows.</w:t>
      </w:r>
    </w:p>
    <w:p>
      <w:pPr>
        <w:spacing w:after="0" w:line="97" w:lineRule="exact"/>
        <w:rPr>
          <w:sz w:val="20"/>
          <w:szCs w:val="20"/>
          <w:color w:val="auto"/>
        </w:rPr>
      </w:pPr>
    </w:p>
    <w:p>
      <w:pPr>
        <w:ind w:right="240"/>
        <w:spacing w:after="0" w:line="295" w:lineRule="auto"/>
        <w:rPr>
          <w:sz w:val="20"/>
          <w:szCs w:val="20"/>
          <w:color w:val="auto"/>
        </w:rPr>
      </w:pPr>
      <w:r>
        <w:rPr>
          <w:rFonts w:ascii="Arial" w:cs="Arial" w:eastAsia="Arial" w:hAnsi="Arial"/>
          <w:sz w:val="16"/>
          <w:szCs w:val="16"/>
          <w:i w:val="1"/>
          <w:iCs w:val="1"/>
          <w:color w:val="auto"/>
        </w:rPr>
        <w:t xml:space="preserve">Reimbursable expenses: </w:t>
      </w:r>
      <w:r>
        <w:rPr>
          <w:rFonts w:ascii="Arial" w:cs="Arial" w:eastAsia="Arial" w:hAnsi="Arial"/>
          <w:sz w:val="16"/>
          <w:szCs w:val="16"/>
          <w:color w:val="auto"/>
        </w:rPr>
        <w:t>Reimbursable expenses that are billed to clients, primarily relating to travel and out-of-pocket</w:t>
      </w:r>
      <w:r>
        <w:rPr>
          <w:rFonts w:ascii="Arial" w:cs="Arial" w:eastAsia="Arial" w:hAnsi="Arial"/>
          <w:sz w:val="16"/>
          <w:szCs w:val="16"/>
          <w:i w:val="1"/>
          <w:iCs w:val="1"/>
          <w:color w:val="auto"/>
        </w:rPr>
        <w:t xml:space="preserve"> </w:t>
      </w:r>
      <w:r>
        <w:rPr>
          <w:rFonts w:ascii="Arial" w:cs="Arial" w:eastAsia="Arial" w:hAnsi="Arial"/>
          <w:sz w:val="16"/>
          <w:szCs w:val="16"/>
          <w:color w:val="auto"/>
        </w:rPr>
        <w:t>expenses incurred in connection with client engagements, are excluded from the calculation of organic revenue growth. We manage our business on the basis of revenues before reimbursable expenses, which we believe is the most accurate reflection of our services because it eliminates the effect of reimbursable expenses that we bill to our clients at cost.</w:t>
      </w:r>
    </w:p>
    <w:p>
      <w:pPr>
        <w:sectPr>
          <w:pgSz w:w="11900" w:h="16838" w:orient="portrait"/>
          <w:cols w:equalWidth="0" w:num="1">
            <w:col w:w="9080"/>
          </w:cols>
          <w:pgMar w:left="1400" w:top="111" w:right="1419" w:bottom="0" w:gutter="0" w:footer="0" w:header="0"/>
          <w:type w:val="continuous"/>
        </w:sectPr>
      </w:pPr>
    </w:p>
    <w:bookmarkStart w:id="106" w:name="page107"/>
    <w:bookmarkEnd w:id="106"/>
    <w:p>
      <w:pPr>
        <w:ind w:right="460"/>
        <w:spacing w:after="0" w:line="237" w:lineRule="auto"/>
        <w:rPr>
          <w:sz w:val="20"/>
          <w:szCs w:val="20"/>
          <w:color w:val="auto"/>
        </w:rPr>
      </w:pPr>
      <w:r>
        <w:rPr>
          <w:rFonts w:ascii="Arial" w:cs="Arial" w:eastAsia="Arial" w:hAnsi="Arial"/>
          <w:sz w:val="16"/>
          <w:szCs w:val="16"/>
          <w:i w:val="1"/>
          <w:iCs w:val="1"/>
          <w:color w:val="auto"/>
        </w:rPr>
        <w:t xml:space="preserve">Revenues generated by acquired businesses: </w:t>
      </w:r>
      <w:r>
        <w:rPr>
          <w:rFonts w:ascii="Arial" w:cs="Arial" w:eastAsia="Arial" w:hAnsi="Arial"/>
          <w:sz w:val="16"/>
          <w:szCs w:val="16"/>
          <w:color w:val="auto"/>
        </w:rPr>
        <w:t>We exclude from the calculation of organic revenue growth the effect of</w:t>
      </w:r>
      <w:r>
        <w:rPr>
          <w:rFonts w:ascii="Arial" w:cs="Arial" w:eastAsia="Arial" w:hAnsi="Arial"/>
          <w:sz w:val="16"/>
          <w:szCs w:val="16"/>
          <w:i w:val="1"/>
          <w:iCs w:val="1"/>
          <w:color w:val="auto"/>
        </w:rPr>
        <w:t xml:space="preserve"> </w:t>
      </w:r>
      <w:r>
        <w:rPr>
          <w:rFonts w:ascii="Arial" w:cs="Arial" w:eastAsia="Arial" w:hAnsi="Arial"/>
          <w:sz w:val="16"/>
          <w:szCs w:val="16"/>
          <w:color w:val="auto"/>
        </w:rPr>
        <w:t>revenues generated by acquired businesses that are incremental to the acquisition revenues contemplated in the annual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-212090</wp:posOffset>
            </wp:positionV>
            <wp:extent cx="6810375" cy="284797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10375" cy="2847975"/>
                    </a:xfrm>
                    <a:prstGeom prst="rect">
                      <a:avLst/>
                    </a:prstGeom>
                    <a:noFill/>
                  </pic:spPr>
                </pic:pic>
              </a:graphicData>
            </a:graphic>
          </wp:anchor>
        </w:drawing>
      </w:r>
    </w:p>
    <w:p>
      <w:pPr>
        <w:ind w:right="160"/>
        <w:spacing w:after="0" w:line="339" w:lineRule="auto"/>
        <w:rPr>
          <w:sz w:val="20"/>
          <w:szCs w:val="20"/>
          <w:color w:val="auto"/>
        </w:rPr>
      </w:pPr>
      <w:r>
        <w:rPr>
          <w:rFonts w:ascii="Arial" w:cs="Arial" w:eastAsia="Arial" w:hAnsi="Arial"/>
          <w:sz w:val="16"/>
          <w:szCs w:val="16"/>
          <w:color w:val="auto"/>
        </w:rPr>
        <w:t>incentive goals approved by the Compensation Committee, to arrive at meaningful revenues generated from core operations over the performance period.</w:t>
      </w:r>
    </w:p>
    <w:p>
      <w:pPr>
        <w:spacing w:after="0" w:line="61" w:lineRule="exact"/>
        <w:rPr>
          <w:sz w:val="20"/>
          <w:szCs w:val="20"/>
          <w:color w:val="auto"/>
        </w:rPr>
      </w:pPr>
    </w:p>
    <w:p>
      <w:pPr>
        <w:ind w:right="720"/>
        <w:spacing w:after="0" w:line="339" w:lineRule="auto"/>
        <w:rPr>
          <w:sz w:val="20"/>
          <w:szCs w:val="20"/>
          <w:color w:val="auto"/>
        </w:rPr>
      </w:pPr>
      <w:r>
        <w:rPr>
          <w:rFonts w:ascii="Arial" w:cs="Arial" w:eastAsia="Arial" w:hAnsi="Arial"/>
          <w:sz w:val="16"/>
          <w:szCs w:val="16"/>
          <w:color w:val="auto"/>
        </w:rPr>
        <w:t>The tables below reconcile these non-GAAP financial measures to the most comparable GAAP financial measure (in thousands, except per share and percentage amounts):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Net Income to EBITDA and Adjusted EBITDA</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280" w:type="dxa"/>
            <w:vAlign w:val="bottom"/>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Year Ended December 31</w:t>
            </w:r>
          </w:p>
        </w:tc>
        <w:tc>
          <w:tcPr>
            <w:tcW w:w="15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280" w:type="dxa"/>
            <w:vAlign w:val="bottom"/>
            <w:tcBorders>
              <w:bottom w:val="single" w:sz="8" w:color="F2F3F2"/>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980" w:type="dxa"/>
            <w:vAlign w:val="bottom"/>
            <w:tcBorders>
              <w:bottom w:val="single" w:sz="8" w:color="auto"/>
            </w:tcBorders>
          </w:tcPr>
          <w:p>
            <w:pPr>
              <w:spacing w:after="0"/>
              <w:rPr>
                <w:sz w:val="20"/>
                <w:szCs w:val="20"/>
                <w:color w:val="auto"/>
              </w:rPr>
            </w:pPr>
          </w:p>
        </w:tc>
        <w:tc>
          <w:tcPr>
            <w:tcW w:w="60" w:type="dxa"/>
            <w:vAlign w:val="bottom"/>
            <w:tcBorders>
              <w:bottom w:val="single" w:sz="8" w:color="F2F3F2"/>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970"/>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56"/>
        </w:trPr>
        <w:tc>
          <w:tcPr>
            <w:tcW w:w="4280" w:type="dxa"/>
            <w:vAlign w:val="bottom"/>
            <w:shd w:val="clear" w:color="auto" w:fill="F2F3F2"/>
          </w:tcPr>
          <w:p>
            <w:pPr>
              <w:ind w:left="140"/>
              <w:spacing w:after="0"/>
              <w:rPr>
                <w:sz w:val="20"/>
                <w:szCs w:val="20"/>
                <w:color w:val="auto"/>
              </w:rPr>
            </w:pPr>
            <w:r>
              <w:rPr>
                <w:rFonts w:ascii="Arial" w:cs="Arial" w:eastAsia="Arial" w:hAnsi="Arial"/>
                <w:sz w:val="14"/>
                <w:szCs w:val="14"/>
                <w:b w:val="1"/>
                <w:bCs w:val="1"/>
                <w:color w:val="auto"/>
              </w:rPr>
              <w:t>Revenues before reimbursable expenses</w:t>
            </w:r>
          </w:p>
        </w:tc>
        <w:tc>
          <w:tcPr>
            <w:tcW w:w="1380" w:type="dxa"/>
            <w:vAlign w:val="bottom"/>
            <w:shd w:val="clear" w:color="auto" w:fill="F2F3F2"/>
          </w:tcPr>
          <w:p>
            <w:pPr>
              <w:jc w:val="right"/>
              <w:ind w:right="1190"/>
              <w:spacing w:after="0"/>
              <w:rPr>
                <w:sz w:val="20"/>
                <w:szCs w:val="20"/>
                <w:color w:val="auto"/>
              </w:rPr>
            </w:pPr>
            <w:r>
              <w:rPr>
                <w:rFonts w:ascii="Arial" w:cs="Arial" w:eastAsia="Arial" w:hAnsi="Arial"/>
                <w:sz w:val="14"/>
                <w:szCs w:val="14"/>
                <w:color w:val="auto"/>
              </w:rPr>
              <w:t>$</w:t>
            </w:r>
          </w:p>
        </w:tc>
        <w:tc>
          <w:tcPr>
            <w:tcW w:w="980" w:type="dxa"/>
            <w:vAlign w:val="bottom"/>
            <w:shd w:val="clear" w:color="auto" w:fill="F2F3F2"/>
          </w:tcPr>
          <w:p>
            <w:pPr>
              <w:jc w:val="right"/>
              <w:ind w:right="108"/>
              <w:spacing w:after="0"/>
              <w:rPr>
                <w:sz w:val="20"/>
                <w:szCs w:val="20"/>
                <w:color w:val="auto"/>
              </w:rPr>
            </w:pPr>
            <w:r>
              <w:rPr>
                <w:rFonts w:ascii="Arial" w:cs="Arial" w:eastAsia="Arial" w:hAnsi="Arial"/>
                <w:sz w:val="14"/>
                <w:szCs w:val="14"/>
                <w:color w:val="auto"/>
              </w:rPr>
              <w:t>1,486,085</w:t>
            </w:r>
          </w:p>
        </w:tc>
        <w:tc>
          <w:tcPr>
            <w:tcW w:w="60" w:type="dxa"/>
            <w:vAlign w:val="bottom"/>
            <w:shd w:val="clear" w:color="auto" w:fill="F2F3F2"/>
          </w:tcPr>
          <w:p>
            <w:pPr>
              <w:spacing w:after="0"/>
              <w:rPr>
                <w:sz w:val="22"/>
                <w:szCs w:val="22"/>
                <w:color w:val="auto"/>
              </w:rPr>
            </w:pPr>
          </w:p>
        </w:tc>
        <w:tc>
          <w:tcPr>
            <w:tcW w:w="880" w:type="dxa"/>
            <w:vAlign w:val="bottom"/>
            <w:shd w:val="clear" w:color="auto" w:fill="F2F3F2"/>
          </w:tcPr>
          <w:p>
            <w:pPr>
              <w:jc w:val="right"/>
              <w:ind w:right="668"/>
              <w:spacing w:after="0"/>
              <w:rPr>
                <w:sz w:val="20"/>
                <w:szCs w:val="20"/>
                <w:color w:val="auto"/>
              </w:rPr>
            </w:pPr>
            <w:r>
              <w:rPr>
                <w:rFonts w:ascii="Arial" w:cs="Arial" w:eastAsia="Arial" w:hAnsi="Arial"/>
                <w:sz w:val="14"/>
                <w:szCs w:val="14"/>
                <w:color w:val="auto"/>
              </w:rPr>
              <w:t>$</w:t>
            </w:r>
          </w:p>
        </w:tc>
        <w:tc>
          <w:tcPr>
            <w:tcW w:w="1500" w:type="dxa"/>
            <w:vAlign w:val="bottom"/>
            <w:shd w:val="clear" w:color="auto" w:fill="F2F3F2"/>
          </w:tcPr>
          <w:p>
            <w:pPr>
              <w:jc w:val="right"/>
              <w:ind w:right="110"/>
              <w:spacing w:after="0"/>
              <w:rPr>
                <w:sz w:val="20"/>
                <w:szCs w:val="20"/>
                <w:color w:val="auto"/>
              </w:rPr>
            </w:pPr>
            <w:r>
              <w:rPr>
                <w:rFonts w:ascii="Arial" w:cs="Arial" w:eastAsia="Arial" w:hAnsi="Arial"/>
                <w:sz w:val="14"/>
                <w:szCs w:val="14"/>
                <w:color w:val="auto"/>
              </w:rPr>
              <w:t>1,362,060</w:t>
            </w:r>
          </w:p>
        </w:tc>
        <w:tc>
          <w:tcPr>
            <w:tcW w:w="0" w:type="dxa"/>
            <w:vAlign w:val="bottom"/>
          </w:tcPr>
          <w:p>
            <w:pPr>
              <w:spacing w:after="0"/>
              <w:rPr>
                <w:sz w:val="1"/>
                <w:szCs w:val="1"/>
                <w:color w:val="auto"/>
              </w:rPr>
            </w:pPr>
          </w:p>
        </w:tc>
      </w:tr>
      <w:tr>
        <w:trPr>
          <w:trHeight w:val="270"/>
        </w:trPr>
        <w:tc>
          <w:tcPr>
            <w:tcW w:w="4280" w:type="dxa"/>
            <w:vAlign w:val="bottom"/>
            <w:tcBorders>
              <w:bottom w:val="single" w:sz="8" w:color="F2F3F2"/>
            </w:tcBorders>
          </w:tcPr>
          <w:p>
            <w:pPr>
              <w:ind w:left="140"/>
              <w:spacing w:after="0"/>
              <w:rPr>
                <w:sz w:val="20"/>
                <w:szCs w:val="20"/>
                <w:color w:val="auto"/>
              </w:rPr>
            </w:pPr>
            <w:r>
              <w:rPr>
                <w:rFonts w:ascii="Arial" w:cs="Arial" w:eastAsia="Arial" w:hAnsi="Arial"/>
                <w:sz w:val="14"/>
                <w:szCs w:val="14"/>
                <w:b w:val="1"/>
                <w:bCs w:val="1"/>
                <w:color w:val="auto"/>
              </w:rPr>
              <w:t>Reimbursable expenses</w:t>
            </w:r>
          </w:p>
        </w:tc>
        <w:tc>
          <w:tcPr>
            <w:tcW w:w="13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35,720</w:t>
            </w:r>
          </w:p>
        </w:tc>
        <w:tc>
          <w:tcPr>
            <w:tcW w:w="60" w:type="dxa"/>
            <w:vAlign w:val="bottom"/>
            <w:tcBorders>
              <w:bottom w:val="single" w:sz="8" w:color="F2F3F2"/>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36,695</w:t>
            </w:r>
          </w:p>
        </w:tc>
        <w:tc>
          <w:tcPr>
            <w:tcW w:w="0" w:type="dxa"/>
            <w:vAlign w:val="bottom"/>
          </w:tcPr>
          <w:p>
            <w:pPr>
              <w:spacing w:after="0"/>
              <w:rPr>
                <w:sz w:val="1"/>
                <w:szCs w:val="1"/>
                <w:color w:val="auto"/>
              </w:rPr>
            </w:pPr>
          </w:p>
        </w:tc>
      </w:tr>
      <w:tr>
        <w:trPr>
          <w:trHeight w:val="248"/>
        </w:trPr>
        <w:tc>
          <w:tcPr>
            <w:tcW w:w="4280" w:type="dxa"/>
            <w:vAlign w:val="bottom"/>
            <w:tcBorders>
              <w:bottom w:val="single" w:sz="8" w:color="F2F3F2"/>
            </w:tcBorders>
            <w:shd w:val="clear" w:color="auto" w:fill="F2F3F2"/>
          </w:tcPr>
          <w:p>
            <w:pPr>
              <w:ind w:left="380"/>
              <w:spacing w:after="0"/>
              <w:rPr>
                <w:sz w:val="20"/>
                <w:szCs w:val="20"/>
                <w:color w:val="auto"/>
              </w:rPr>
            </w:pPr>
            <w:r>
              <w:rPr>
                <w:rFonts w:ascii="Arial" w:cs="Arial" w:eastAsia="Arial" w:hAnsi="Arial"/>
                <w:sz w:val="14"/>
                <w:szCs w:val="14"/>
                <w:b w:val="1"/>
                <w:bCs w:val="1"/>
                <w:color w:val="auto"/>
              </w:rPr>
              <w:t>Total revenues</w:t>
            </w:r>
          </w:p>
        </w:tc>
        <w:tc>
          <w:tcPr>
            <w:tcW w:w="1380" w:type="dxa"/>
            <w:vAlign w:val="bottom"/>
            <w:tcBorders>
              <w:bottom w:val="single" w:sz="8" w:color="auto"/>
            </w:tcBorders>
            <w:shd w:val="clear" w:color="auto" w:fill="F2F3F2"/>
          </w:tcPr>
          <w:p>
            <w:pPr>
              <w:jc w:val="right"/>
              <w:ind w:right="119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F2F3F2"/>
          </w:tcPr>
          <w:p>
            <w:pPr>
              <w:jc w:val="right"/>
              <w:ind w:right="108"/>
              <w:spacing w:after="0"/>
              <w:rPr>
                <w:sz w:val="20"/>
                <w:szCs w:val="20"/>
                <w:color w:val="auto"/>
              </w:rPr>
            </w:pPr>
            <w:r>
              <w:rPr>
                <w:rFonts w:ascii="Arial" w:cs="Arial" w:eastAsia="Arial" w:hAnsi="Arial"/>
                <w:sz w:val="14"/>
                <w:szCs w:val="14"/>
                <w:color w:val="auto"/>
              </w:rPr>
              <w:t>1,521,805</w:t>
            </w:r>
          </w:p>
        </w:tc>
        <w:tc>
          <w:tcPr>
            <w:tcW w:w="60" w:type="dxa"/>
            <w:vAlign w:val="bottom"/>
            <w:tcBorders>
              <w:bottom w:val="single" w:sz="8" w:color="F2F3F2"/>
            </w:tcBorders>
            <w:shd w:val="clear" w:color="auto" w:fill="F2F3F2"/>
          </w:tcPr>
          <w:p>
            <w:pPr>
              <w:spacing w:after="0"/>
              <w:rPr>
                <w:sz w:val="21"/>
                <w:szCs w:val="21"/>
                <w:color w:val="auto"/>
              </w:rPr>
            </w:pPr>
          </w:p>
        </w:tc>
        <w:tc>
          <w:tcPr>
            <w:tcW w:w="880" w:type="dxa"/>
            <w:vAlign w:val="bottom"/>
            <w:tcBorders>
              <w:bottom w:val="single" w:sz="8" w:color="auto"/>
            </w:tcBorders>
            <w:shd w:val="clear" w:color="auto" w:fill="F2F3F2"/>
          </w:tcPr>
          <w:p>
            <w:pPr>
              <w:jc w:val="right"/>
              <w:ind w:right="66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shd w:val="clear" w:color="auto" w:fill="F2F3F2"/>
          </w:tcPr>
          <w:p>
            <w:pPr>
              <w:jc w:val="right"/>
              <w:ind w:right="110"/>
              <w:spacing w:after="0"/>
              <w:rPr>
                <w:sz w:val="20"/>
                <w:szCs w:val="20"/>
                <w:color w:val="auto"/>
              </w:rPr>
            </w:pPr>
            <w:r>
              <w:rPr>
                <w:rFonts w:ascii="Arial" w:cs="Arial" w:eastAsia="Arial" w:hAnsi="Arial"/>
                <w:sz w:val="14"/>
                <w:szCs w:val="14"/>
                <w:color w:val="auto"/>
              </w:rPr>
              <w:t>1,398,755</w:t>
            </w:r>
          </w:p>
        </w:tc>
        <w:tc>
          <w:tcPr>
            <w:tcW w:w="0" w:type="dxa"/>
            <w:vAlign w:val="bottom"/>
          </w:tcPr>
          <w:p>
            <w:pPr>
              <w:spacing w:after="0"/>
              <w:rPr>
                <w:sz w:val="1"/>
                <w:szCs w:val="1"/>
                <w:color w:val="auto"/>
              </w:rPr>
            </w:pPr>
          </w:p>
        </w:tc>
      </w:tr>
      <w:tr>
        <w:trPr>
          <w:trHeight w:val="20"/>
        </w:trPr>
        <w:tc>
          <w:tcPr>
            <w:tcW w:w="4280" w:type="dxa"/>
            <w:vAlign w:val="bottom"/>
            <w:tcBorders>
              <w:top w:val="single" w:sz="8" w:color="F2F3F2"/>
              <w:bottom w:val="single" w:sz="8" w:color="F2F3F2"/>
            </w:tcBorders>
            <w:vMerge w:val="restart"/>
          </w:tcPr>
          <w:p>
            <w:pPr>
              <w:ind w:left="140"/>
              <w:spacing w:after="0"/>
              <w:rPr>
                <w:sz w:val="20"/>
                <w:szCs w:val="20"/>
                <w:color w:val="auto"/>
              </w:rPr>
            </w:pPr>
            <w:r>
              <w:rPr>
                <w:rFonts w:ascii="Arial" w:cs="Arial" w:eastAsia="Arial" w:hAnsi="Arial"/>
                <w:sz w:val="14"/>
                <w:szCs w:val="14"/>
                <w:b w:val="1"/>
                <w:bCs w:val="1"/>
                <w:color w:val="auto"/>
              </w:rPr>
              <w:t>Net income</w:t>
            </w:r>
          </w:p>
        </w:tc>
        <w:tc>
          <w:tcPr>
            <w:tcW w:w="1380" w:type="dxa"/>
            <w:vAlign w:val="bottom"/>
            <w:tcBorders>
              <w:top w:val="single" w:sz="8" w:color="F2F3F2"/>
              <w:bottom w:val="single" w:sz="8" w:color="auto"/>
            </w:tcBorders>
          </w:tcPr>
          <w:p>
            <w:pPr>
              <w:spacing w:after="0" w:line="20" w:lineRule="exact"/>
              <w:rPr>
                <w:sz w:val="1"/>
                <w:szCs w:val="1"/>
                <w:color w:val="auto"/>
              </w:rPr>
            </w:pPr>
          </w:p>
        </w:tc>
        <w:tc>
          <w:tcPr>
            <w:tcW w:w="980" w:type="dxa"/>
            <w:vAlign w:val="bottom"/>
            <w:tcBorders>
              <w:top w:val="single" w:sz="8" w:color="F2F3F2"/>
              <w:bottom w:val="single" w:sz="8" w:color="auto"/>
            </w:tcBorders>
          </w:tcPr>
          <w:p>
            <w:pPr>
              <w:spacing w:after="0" w:line="20" w:lineRule="exact"/>
              <w:rPr>
                <w:sz w:val="1"/>
                <w:szCs w:val="1"/>
                <w:color w:val="auto"/>
              </w:rPr>
            </w:pPr>
          </w:p>
        </w:tc>
        <w:tc>
          <w:tcPr>
            <w:tcW w:w="60" w:type="dxa"/>
            <w:vAlign w:val="bottom"/>
            <w:tcBorders>
              <w:top w:val="single" w:sz="8" w:color="F2F3F2"/>
            </w:tcBorders>
          </w:tcPr>
          <w:p>
            <w:pPr>
              <w:spacing w:after="0" w:line="20" w:lineRule="exact"/>
              <w:rPr>
                <w:sz w:val="1"/>
                <w:szCs w:val="1"/>
                <w:color w:val="auto"/>
              </w:rPr>
            </w:pPr>
          </w:p>
        </w:tc>
        <w:tc>
          <w:tcPr>
            <w:tcW w:w="880" w:type="dxa"/>
            <w:vAlign w:val="bottom"/>
            <w:tcBorders>
              <w:top w:val="single" w:sz="8" w:color="F2F3F2"/>
              <w:bottom w:val="single" w:sz="8" w:color="auto"/>
            </w:tcBorders>
          </w:tcPr>
          <w:p>
            <w:pPr>
              <w:spacing w:after="0" w:line="20" w:lineRule="exact"/>
              <w:rPr>
                <w:sz w:val="1"/>
                <w:szCs w:val="1"/>
                <w:color w:val="auto"/>
              </w:rPr>
            </w:pPr>
          </w:p>
        </w:tc>
        <w:tc>
          <w:tcPr>
            <w:tcW w:w="1500" w:type="dxa"/>
            <w:vAlign w:val="bottom"/>
            <w:tcBorders>
              <w:top w:val="single" w:sz="8" w:color="F2F3F2"/>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280" w:type="dxa"/>
            <w:vAlign w:val="bottom"/>
            <w:vMerge w:val="continue"/>
          </w:tcPr>
          <w:p>
            <w:pPr>
              <w:spacing w:after="0"/>
              <w:rPr>
                <w:sz w:val="16"/>
                <w:szCs w:val="16"/>
                <w:color w:val="auto"/>
              </w:rPr>
            </w:pPr>
          </w:p>
        </w:tc>
        <w:tc>
          <w:tcPr>
            <w:tcW w:w="1380" w:type="dxa"/>
            <w:vAlign w:val="bottom"/>
            <w:tcBorders>
              <w:bottom w:val="single" w:sz="8" w:color="auto"/>
            </w:tcBorders>
          </w:tcPr>
          <w:p>
            <w:pPr>
              <w:jc w:val="right"/>
              <w:ind w:right="119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116,626</w:t>
            </w:r>
          </w:p>
        </w:tc>
        <w:tc>
          <w:tcPr>
            <w:tcW w:w="60" w:type="dxa"/>
            <w:vAlign w:val="bottom"/>
          </w:tcPr>
          <w:p>
            <w:pPr>
              <w:spacing w:after="0"/>
              <w:rPr>
                <w:sz w:val="16"/>
                <w:szCs w:val="16"/>
                <w:color w:val="auto"/>
              </w:rPr>
            </w:pPr>
          </w:p>
        </w:tc>
        <w:tc>
          <w:tcPr>
            <w:tcW w:w="88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62,479</w:t>
            </w:r>
          </w:p>
        </w:tc>
        <w:tc>
          <w:tcPr>
            <w:tcW w:w="0" w:type="dxa"/>
            <w:vAlign w:val="bottom"/>
          </w:tcPr>
          <w:p>
            <w:pPr>
              <w:spacing w:after="0"/>
              <w:rPr>
                <w:sz w:val="1"/>
                <w:szCs w:val="1"/>
                <w:color w:val="auto"/>
              </w:rPr>
            </w:pPr>
          </w:p>
        </w:tc>
      </w:tr>
      <w:tr>
        <w:trPr>
          <w:trHeight w:val="21"/>
        </w:trPr>
        <w:tc>
          <w:tcPr>
            <w:tcW w:w="4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4"/>
        </w:trPr>
        <w:tc>
          <w:tcPr>
            <w:tcW w:w="4280" w:type="dxa"/>
            <w:vAlign w:val="bottom"/>
            <w:tcBorders>
              <w:bottom w:val="single" w:sz="8" w:color="B2B3B6"/>
            </w:tcBorders>
          </w:tcPr>
          <w:p>
            <w:pPr>
              <w:spacing w:after="0"/>
              <w:rPr>
                <w:sz w:val="24"/>
                <w:szCs w:val="24"/>
                <w:color w:val="auto"/>
              </w:rPr>
            </w:pPr>
          </w:p>
        </w:tc>
        <w:tc>
          <w:tcPr>
            <w:tcW w:w="1380" w:type="dxa"/>
            <w:vAlign w:val="bottom"/>
            <w:tcBorders>
              <w:bottom w:val="single" w:sz="8" w:color="B2B3B6"/>
            </w:tcBorders>
          </w:tcPr>
          <w:p>
            <w:pPr>
              <w:spacing w:after="0"/>
              <w:rPr>
                <w:sz w:val="24"/>
                <w:szCs w:val="24"/>
                <w:color w:val="auto"/>
              </w:rPr>
            </w:pPr>
          </w:p>
        </w:tc>
        <w:tc>
          <w:tcPr>
            <w:tcW w:w="980" w:type="dxa"/>
            <w:vAlign w:val="bottom"/>
            <w:tcBorders>
              <w:bottom w:val="single" w:sz="8" w:color="B2B3B6"/>
            </w:tcBorders>
          </w:tcPr>
          <w:p>
            <w:pPr>
              <w:spacing w:after="0"/>
              <w:rPr>
                <w:sz w:val="24"/>
                <w:szCs w:val="24"/>
                <w:color w:val="auto"/>
              </w:rPr>
            </w:pPr>
          </w:p>
        </w:tc>
        <w:tc>
          <w:tcPr>
            <w:tcW w:w="60" w:type="dxa"/>
            <w:vAlign w:val="bottom"/>
            <w:tcBorders>
              <w:bottom w:val="single" w:sz="8" w:color="B2B3B6"/>
            </w:tcBorders>
          </w:tcPr>
          <w:p>
            <w:pPr>
              <w:spacing w:after="0"/>
              <w:rPr>
                <w:sz w:val="24"/>
                <w:szCs w:val="24"/>
                <w:color w:val="auto"/>
              </w:rPr>
            </w:pPr>
          </w:p>
        </w:tc>
        <w:tc>
          <w:tcPr>
            <w:tcW w:w="880" w:type="dxa"/>
            <w:vAlign w:val="bottom"/>
            <w:tcBorders>
              <w:bottom w:val="single" w:sz="8" w:color="B2B3B6"/>
            </w:tcBorders>
          </w:tcPr>
          <w:p>
            <w:pPr>
              <w:spacing w:after="0"/>
              <w:rPr>
                <w:sz w:val="24"/>
                <w:szCs w:val="24"/>
                <w:color w:val="auto"/>
              </w:rPr>
            </w:pPr>
          </w:p>
        </w:tc>
        <w:tc>
          <w:tcPr>
            <w:tcW w:w="1500" w:type="dxa"/>
            <w:vAlign w:val="bottom"/>
            <w:tcBorders>
              <w:bottom w:val="single" w:sz="8" w:color="B2B3B6"/>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280" w:type="dxa"/>
            <w:vAlign w:val="bottom"/>
          </w:tcPr>
          <w:p>
            <w:pPr>
              <w:ind w:left="60"/>
              <w:spacing w:after="0"/>
              <w:rPr>
                <w:sz w:val="20"/>
                <w:szCs w:val="20"/>
                <w:color w:val="auto"/>
              </w:rPr>
            </w:pPr>
            <w:r>
              <w:rPr>
                <w:rFonts w:ascii="Arial" w:cs="Arial" w:eastAsia="Arial" w:hAnsi="Arial"/>
                <w:sz w:val="13"/>
                <w:szCs w:val="13"/>
                <w:color w:val="auto"/>
              </w:rPr>
              <w:t>Huron Consulting Group Inc.</w:t>
            </w:r>
          </w:p>
        </w:tc>
        <w:tc>
          <w:tcPr>
            <w:tcW w:w="1380" w:type="dxa"/>
            <w:vAlign w:val="bottom"/>
          </w:tcPr>
          <w:p>
            <w:pPr>
              <w:jc w:val="right"/>
              <w:ind w:right="950"/>
              <w:spacing w:after="0"/>
              <w:rPr>
                <w:sz w:val="20"/>
                <w:szCs w:val="20"/>
                <w:color w:val="auto"/>
              </w:rPr>
            </w:pPr>
            <w:r>
              <w:rPr>
                <w:rFonts w:ascii="Arial" w:cs="Arial" w:eastAsia="Arial" w:hAnsi="Arial"/>
                <w:sz w:val="13"/>
                <w:szCs w:val="13"/>
                <w:b w:val="1"/>
                <w:bCs w:val="1"/>
                <w:color w:val="00558C"/>
              </w:rPr>
              <w:t>C-2</w:t>
            </w: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2025 Proxy Statement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328930</wp:posOffset>
            </wp:positionV>
            <wp:extent cx="6810375" cy="758571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10375" cy="7585710"/>
                    </a:xfrm>
                    <a:prstGeom prst="rect">
                      <a:avLst/>
                    </a:prstGeom>
                    <a:noFill/>
                  </pic:spPr>
                </pic:pic>
              </a:graphicData>
            </a:graphic>
          </wp:anchor>
        </w:drawing>
      </w:r>
    </w:p>
    <w:p>
      <w:pPr>
        <w:sectPr>
          <w:pgSz w:w="11900" w:h="16838" w:orient="portrait"/>
          <w:cols w:equalWidth="0" w:num="1">
            <w:col w:w="9080"/>
          </w:cols>
          <w:pgMar w:left="1400" w:top="111" w:right="1419" w:bottom="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0"/>
        <w:spacing w:after="0" w:line="274" w:lineRule="auto"/>
        <w:rPr>
          <w:sz w:val="20"/>
          <w:szCs w:val="20"/>
          <w:color w:val="auto"/>
        </w:rPr>
      </w:pPr>
      <w:r>
        <w:rPr>
          <w:rFonts w:ascii="Arial" w:cs="Arial" w:eastAsia="Arial" w:hAnsi="Arial"/>
          <w:sz w:val="13"/>
          <w:szCs w:val="13"/>
          <w:b w:val="1"/>
          <w:bCs w:val="1"/>
          <w:color w:val="B2B3B6"/>
        </w:rPr>
        <w:t>General Proposal Information 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line="274" w:lineRule="auto"/>
        <w:rPr>
          <w:sz w:val="20"/>
          <w:szCs w:val="20"/>
          <w:color w:val="auto"/>
        </w:rPr>
      </w:pPr>
      <w:r>
        <w:rPr>
          <w:rFonts w:ascii="Arial" w:cs="Arial" w:eastAsia="Arial" w:hAnsi="Arial"/>
          <w:sz w:val="13"/>
          <w:szCs w:val="13"/>
          <w:b w:val="1"/>
          <w:bCs w:val="1"/>
          <w:color w:val="B2B3B6"/>
        </w:rPr>
        <w:t>Corporate Proposal Executive Governance Two 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200"/>
        <w:spacing w:after="0" w:line="274" w:lineRule="auto"/>
        <w:rPr>
          <w:sz w:val="20"/>
          <w:szCs w:val="20"/>
          <w:color w:val="auto"/>
        </w:rPr>
      </w:pPr>
      <w:r>
        <w:rPr>
          <w:rFonts w:ascii="Arial" w:cs="Arial" w:eastAsia="Arial" w:hAnsi="Arial"/>
          <w:sz w:val="13"/>
          <w:szCs w:val="13"/>
          <w:b w:val="1"/>
          <w:bCs w:val="1"/>
          <w:color w:val="B2B3B6"/>
        </w:rPr>
        <w:t xml:space="preserve">Proposal Proposal Proposal Stockholder </w:t>
      </w:r>
      <w:r>
        <w:rPr>
          <w:rFonts w:ascii="Arial" w:cs="Arial" w:eastAsia="Arial" w:hAnsi="Arial"/>
          <w:sz w:val="13"/>
          <w:szCs w:val="13"/>
          <w:b w:val="1"/>
          <w:bCs w:val="1"/>
          <w:color w:val="6AAA37"/>
        </w:rPr>
        <w:t>Other</w:t>
      </w:r>
      <w:r>
        <w:rPr>
          <w:rFonts w:ascii="Arial" w:cs="Arial" w:eastAsia="Arial" w:hAnsi="Arial"/>
          <w:sz w:val="13"/>
          <w:szCs w:val="13"/>
          <w:b w:val="1"/>
          <w:bCs w:val="1"/>
          <w:color w:val="B2B3B6"/>
        </w:rPr>
        <w:t xml:space="preserve"> Three Four Five Proposals </w:t>
      </w:r>
      <w:r>
        <w:rPr>
          <w:rFonts w:ascii="Arial" w:cs="Arial" w:eastAsia="Arial" w:hAnsi="Arial"/>
          <w:sz w:val="13"/>
          <w:szCs w:val="13"/>
          <w:b w:val="1"/>
          <w:bCs w:val="1"/>
          <w:color w:val="6AAA37"/>
        </w:rPr>
        <w:t>Matters</w:t>
      </w:r>
    </w:p>
    <w:p>
      <w:pPr>
        <w:spacing w:after="0" w:line="200" w:lineRule="exact"/>
        <w:rPr>
          <w:sz w:val="20"/>
          <w:szCs w:val="20"/>
          <w:color w:val="auto"/>
        </w:rPr>
      </w:pPr>
    </w:p>
    <w:p>
      <w:pPr>
        <w:sectPr>
          <w:pgSz w:w="11900" w:h="16838" w:orient="portrait"/>
          <w:cols w:equalWidth="0" w:num="3">
            <w:col w:w="1600" w:space="300"/>
            <w:col w:w="2700" w:space="320"/>
            <w:col w:w="4160"/>
          </w:cols>
          <w:pgMar w:left="1400" w:top="111" w:right="1419" w:bottom="69" w:gutter="0" w:footer="0" w:header="0"/>
          <w:type w:val="continuous"/>
        </w:sectPr>
      </w:pP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280" w:type="dxa"/>
            <w:vAlign w:val="bottom"/>
            <w:tcBorders>
              <w:bottom w:val="single" w:sz="8" w:color="F2F3F2"/>
            </w:tcBorders>
          </w:tcPr>
          <w:p>
            <w:pPr>
              <w:spacing w:after="0"/>
              <w:rPr>
                <w:sz w:val="3"/>
                <w:szCs w:val="3"/>
                <w:color w:val="auto"/>
              </w:rPr>
            </w:pPr>
          </w:p>
        </w:tc>
        <w:tc>
          <w:tcPr>
            <w:tcW w:w="900" w:type="dxa"/>
            <w:vAlign w:val="bottom"/>
            <w:tcBorders>
              <w:top w:val="single" w:sz="8" w:color="auto"/>
              <w:bottom w:val="single" w:sz="8" w:color="auto"/>
            </w:tcBorders>
          </w:tcPr>
          <w:p>
            <w:pPr>
              <w:spacing w:after="0"/>
              <w:rPr>
                <w:sz w:val="3"/>
                <w:szCs w:val="3"/>
                <w:color w:val="auto"/>
              </w:rPr>
            </w:pPr>
          </w:p>
        </w:tc>
        <w:tc>
          <w:tcPr>
            <w:tcW w:w="1460" w:type="dxa"/>
            <w:vAlign w:val="bottom"/>
            <w:tcBorders>
              <w:top w:val="single" w:sz="8" w:color="auto"/>
              <w:bottom w:val="single" w:sz="8" w:color="auto"/>
            </w:tcBorders>
          </w:tcPr>
          <w:p>
            <w:pPr>
              <w:spacing w:after="0"/>
              <w:rPr>
                <w:sz w:val="3"/>
                <w:szCs w:val="3"/>
                <w:color w:val="auto"/>
              </w:rPr>
            </w:pPr>
          </w:p>
        </w:tc>
        <w:tc>
          <w:tcPr>
            <w:tcW w:w="60" w:type="dxa"/>
            <w:vAlign w:val="bottom"/>
            <w:tcBorders>
              <w:bottom w:val="single" w:sz="8" w:color="F2F3F2"/>
            </w:tcBorders>
          </w:tcPr>
          <w:p>
            <w:pPr>
              <w:spacing w:after="0"/>
              <w:rPr>
                <w:sz w:val="3"/>
                <w:szCs w:val="3"/>
                <w:color w:val="auto"/>
              </w:rPr>
            </w:pPr>
          </w:p>
        </w:tc>
        <w:tc>
          <w:tcPr>
            <w:tcW w:w="900" w:type="dxa"/>
            <w:vAlign w:val="bottom"/>
            <w:tcBorders>
              <w:top w:val="single" w:sz="8" w:color="auto"/>
              <w:bottom w:val="single" w:sz="8" w:color="auto"/>
            </w:tcBorders>
          </w:tcPr>
          <w:p>
            <w:pPr>
              <w:spacing w:after="0"/>
              <w:rPr>
                <w:sz w:val="3"/>
                <w:szCs w:val="3"/>
                <w:color w:val="auto"/>
              </w:rPr>
            </w:pPr>
          </w:p>
        </w:tc>
        <w:tc>
          <w:tcPr>
            <w:tcW w:w="148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4280" w:type="dxa"/>
            <w:vAlign w:val="bottom"/>
            <w:tcBorders>
              <w:bottom w:val="single" w:sz="8" w:color="F2F3F2"/>
            </w:tcBorders>
            <w:shd w:val="clear" w:color="auto" w:fill="F2F3F2"/>
          </w:tcPr>
          <w:p>
            <w:pPr>
              <w:ind w:left="140"/>
              <w:spacing w:after="0"/>
              <w:rPr>
                <w:sz w:val="20"/>
                <w:szCs w:val="20"/>
                <w:color w:val="auto"/>
              </w:rPr>
            </w:pPr>
            <w:r>
              <w:rPr>
                <w:rFonts w:ascii="Arial" w:cs="Arial" w:eastAsia="Arial" w:hAnsi="Arial"/>
                <w:sz w:val="14"/>
                <w:szCs w:val="14"/>
                <w:b w:val="1"/>
                <w:bCs w:val="1"/>
                <w:color w:val="auto"/>
              </w:rPr>
              <w:t>Net income as a percentage of total revenues</w:t>
            </w:r>
          </w:p>
        </w:tc>
        <w:tc>
          <w:tcPr>
            <w:tcW w:w="900" w:type="dxa"/>
            <w:vAlign w:val="bottom"/>
            <w:tcBorders>
              <w:bottom w:val="single" w:sz="8" w:color="auto"/>
            </w:tcBorders>
            <w:shd w:val="clear" w:color="auto" w:fill="F2F3F2"/>
          </w:tcPr>
          <w:p>
            <w:pPr>
              <w:spacing w:after="0"/>
              <w:rPr>
                <w:sz w:val="20"/>
                <w:szCs w:val="20"/>
                <w:color w:val="auto"/>
              </w:rPr>
            </w:pPr>
          </w:p>
        </w:tc>
        <w:tc>
          <w:tcPr>
            <w:tcW w:w="1460" w:type="dxa"/>
            <w:vAlign w:val="bottom"/>
            <w:tcBorders>
              <w:bottom w:val="single" w:sz="8" w:color="auto"/>
            </w:tcBorders>
            <w:shd w:val="clear" w:color="auto" w:fill="F2F3F2"/>
          </w:tcPr>
          <w:p>
            <w:pPr>
              <w:jc w:val="right"/>
              <w:spacing w:after="0"/>
              <w:rPr>
                <w:sz w:val="20"/>
                <w:szCs w:val="20"/>
                <w:color w:val="auto"/>
              </w:rPr>
            </w:pPr>
            <w:r>
              <w:rPr>
                <w:rFonts w:ascii="Arial" w:cs="Arial" w:eastAsia="Arial" w:hAnsi="Arial"/>
                <w:sz w:val="14"/>
                <w:szCs w:val="14"/>
                <w:color w:val="auto"/>
              </w:rPr>
              <w:t>7.7 %</w:t>
            </w:r>
          </w:p>
        </w:tc>
        <w:tc>
          <w:tcPr>
            <w:tcW w:w="60" w:type="dxa"/>
            <w:vAlign w:val="bottom"/>
            <w:tcBorders>
              <w:bottom w:val="single" w:sz="8" w:color="F2F3F2"/>
            </w:tcBorders>
            <w:shd w:val="clear" w:color="auto" w:fill="F2F3F2"/>
          </w:tcPr>
          <w:p>
            <w:pPr>
              <w:spacing w:after="0"/>
              <w:rPr>
                <w:sz w:val="20"/>
                <w:szCs w:val="20"/>
                <w:color w:val="auto"/>
              </w:rPr>
            </w:pPr>
          </w:p>
        </w:tc>
        <w:tc>
          <w:tcPr>
            <w:tcW w:w="900" w:type="dxa"/>
            <w:vAlign w:val="bottom"/>
            <w:tcBorders>
              <w:bottom w:val="single" w:sz="8" w:color="auto"/>
            </w:tcBorders>
            <w:shd w:val="clear" w:color="auto" w:fill="F2F3F2"/>
          </w:tcPr>
          <w:p>
            <w:pPr>
              <w:spacing w:after="0"/>
              <w:rPr>
                <w:sz w:val="20"/>
                <w:szCs w:val="20"/>
                <w:color w:val="auto"/>
              </w:rPr>
            </w:pPr>
          </w:p>
        </w:tc>
        <w:tc>
          <w:tcPr>
            <w:tcW w:w="1480" w:type="dxa"/>
            <w:vAlign w:val="bottom"/>
            <w:tcBorders>
              <w:bottom w:val="single" w:sz="8" w:color="auto"/>
            </w:tcBorders>
            <w:shd w:val="clear" w:color="auto" w:fill="F2F3F2"/>
          </w:tcPr>
          <w:p>
            <w:pPr>
              <w:jc w:val="right"/>
              <w:spacing w:after="0"/>
              <w:rPr>
                <w:sz w:val="20"/>
                <w:szCs w:val="20"/>
                <w:color w:val="auto"/>
              </w:rPr>
            </w:pPr>
            <w:r>
              <w:rPr>
                <w:rFonts w:ascii="Arial" w:cs="Arial" w:eastAsia="Arial" w:hAnsi="Arial"/>
                <w:sz w:val="14"/>
                <w:szCs w:val="14"/>
                <w:color w:val="auto"/>
              </w:rPr>
              <w:t>4.5 %</w:t>
            </w:r>
          </w:p>
        </w:tc>
        <w:tc>
          <w:tcPr>
            <w:tcW w:w="0" w:type="dxa"/>
            <w:vAlign w:val="bottom"/>
          </w:tcPr>
          <w:p>
            <w:pPr>
              <w:spacing w:after="0"/>
              <w:rPr>
                <w:sz w:val="1"/>
                <w:szCs w:val="1"/>
                <w:color w:val="auto"/>
              </w:rPr>
            </w:pPr>
          </w:p>
        </w:tc>
      </w:tr>
      <w:tr>
        <w:trPr>
          <w:trHeight w:val="20"/>
        </w:trPr>
        <w:tc>
          <w:tcPr>
            <w:tcW w:w="4280" w:type="dxa"/>
            <w:vAlign w:val="bottom"/>
            <w:tcBorders>
              <w:top w:val="single" w:sz="8" w:color="F2F3F2"/>
              <w:bottom w:val="single" w:sz="8" w:color="F2F3F2"/>
            </w:tcBorders>
            <w:vMerge w:val="restart"/>
          </w:tcPr>
          <w:p>
            <w:pPr>
              <w:ind w:left="140"/>
              <w:spacing w:after="0"/>
              <w:rPr>
                <w:sz w:val="20"/>
                <w:szCs w:val="20"/>
                <w:color w:val="auto"/>
              </w:rPr>
            </w:pPr>
            <w:r>
              <w:rPr>
                <w:rFonts w:ascii="Arial" w:cs="Arial" w:eastAsia="Arial" w:hAnsi="Arial"/>
                <w:sz w:val="14"/>
                <w:szCs w:val="14"/>
                <w:color w:val="auto"/>
              </w:rPr>
              <w:t>Add back:</w:t>
            </w:r>
          </w:p>
        </w:tc>
        <w:tc>
          <w:tcPr>
            <w:tcW w:w="900" w:type="dxa"/>
            <w:vAlign w:val="bottom"/>
            <w:tcBorders>
              <w:top w:val="single" w:sz="8" w:color="F2F3F2"/>
              <w:bottom w:val="single" w:sz="8" w:color="auto"/>
            </w:tcBorders>
          </w:tcPr>
          <w:p>
            <w:pPr>
              <w:spacing w:after="0" w:line="20" w:lineRule="exact"/>
              <w:rPr>
                <w:sz w:val="1"/>
                <w:szCs w:val="1"/>
                <w:color w:val="auto"/>
              </w:rPr>
            </w:pPr>
          </w:p>
        </w:tc>
        <w:tc>
          <w:tcPr>
            <w:tcW w:w="1460" w:type="dxa"/>
            <w:vAlign w:val="bottom"/>
            <w:tcBorders>
              <w:top w:val="single" w:sz="8" w:color="F2F3F2"/>
              <w:bottom w:val="single" w:sz="8" w:color="auto"/>
            </w:tcBorders>
          </w:tcPr>
          <w:p>
            <w:pPr>
              <w:spacing w:after="0" w:line="20" w:lineRule="exact"/>
              <w:rPr>
                <w:sz w:val="1"/>
                <w:szCs w:val="1"/>
                <w:color w:val="auto"/>
              </w:rPr>
            </w:pPr>
          </w:p>
        </w:tc>
        <w:tc>
          <w:tcPr>
            <w:tcW w:w="60" w:type="dxa"/>
            <w:vAlign w:val="bottom"/>
            <w:tcBorders>
              <w:top w:val="single" w:sz="8" w:color="F2F3F2"/>
            </w:tcBorders>
          </w:tcPr>
          <w:p>
            <w:pPr>
              <w:spacing w:after="0" w:line="20" w:lineRule="exact"/>
              <w:rPr>
                <w:sz w:val="1"/>
                <w:szCs w:val="1"/>
                <w:color w:val="auto"/>
              </w:rPr>
            </w:pPr>
          </w:p>
        </w:tc>
        <w:tc>
          <w:tcPr>
            <w:tcW w:w="900" w:type="dxa"/>
            <w:vAlign w:val="bottom"/>
            <w:tcBorders>
              <w:top w:val="single" w:sz="8" w:color="F2F3F2"/>
              <w:bottom w:val="single" w:sz="8" w:color="auto"/>
            </w:tcBorders>
          </w:tcPr>
          <w:p>
            <w:pPr>
              <w:spacing w:after="0" w:line="20" w:lineRule="exact"/>
              <w:rPr>
                <w:sz w:val="1"/>
                <w:szCs w:val="1"/>
                <w:color w:val="auto"/>
              </w:rPr>
            </w:pPr>
          </w:p>
        </w:tc>
        <w:tc>
          <w:tcPr>
            <w:tcW w:w="1480" w:type="dxa"/>
            <w:vAlign w:val="bottom"/>
            <w:tcBorders>
              <w:top w:val="single" w:sz="8" w:color="F2F3F2"/>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280" w:type="dxa"/>
            <w:vAlign w:val="bottom"/>
            <w:vMerge w:val="continue"/>
          </w:tcPr>
          <w:p>
            <w:pPr>
              <w:spacing w:after="0"/>
              <w:rPr>
                <w:sz w:val="13"/>
                <w:szCs w:val="13"/>
                <w:color w:val="auto"/>
              </w:rPr>
            </w:pPr>
          </w:p>
        </w:tc>
        <w:tc>
          <w:tcPr>
            <w:tcW w:w="9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42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60" w:type="dxa"/>
            <w:vAlign w:val="bottom"/>
          </w:tcPr>
          <w:p>
            <w:pPr>
              <w:spacing w:after="0"/>
              <w:rPr>
                <w:sz w:val="5"/>
                <w:szCs w:val="5"/>
                <w:color w:val="auto"/>
              </w:rPr>
            </w:pPr>
          </w:p>
        </w:tc>
        <w:tc>
          <w:tcPr>
            <w:tcW w:w="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4280" w:type="dxa"/>
            <w:vAlign w:val="bottom"/>
            <w:tcBorders>
              <w:bottom w:val="single" w:sz="8" w:color="F2F3F2"/>
            </w:tcBorders>
            <w:shd w:val="clear" w:color="auto" w:fill="F2F3F2"/>
          </w:tcPr>
          <w:p>
            <w:pPr>
              <w:ind w:left="380"/>
              <w:spacing w:after="0"/>
              <w:rPr>
                <w:sz w:val="20"/>
                <w:szCs w:val="20"/>
                <w:color w:val="auto"/>
              </w:rPr>
            </w:pPr>
            <w:r>
              <w:rPr>
                <w:rFonts w:ascii="Arial" w:cs="Arial" w:eastAsia="Arial" w:hAnsi="Arial"/>
                <w:sz w:val="14"/>
                <w:szCs w:val="14"/>
                <w:color w:val="auto"/>
              </w:rPr>
              <w:t>Income tax expense</w:t>
            </w:r>
          </w:p>
        </w:tc>
        <w:tc>
          <w:tcPr>
            <w:tcW w:w="900" w:type="dxa"/>
            <w:vAlign w:val="bottom"/>
            <w:tcBorders>
              <w:bottom w:val="single" w:sz="8" w:color="F2F3F2"/>
            </w:tcBorders>
            <w:shd w:val="clear" w:color="auto" w:fill="F2F3F2"/>
          </w:tcPr>
          <w:p>
            <w:pPr>
              <w:spacing w:after="0"/>
              <w:rPr>
                <w:sz w:val="21"/>
                <w:szCs w:val="21"/>
                <w:color w:val="auto"/>
              </w:rPr>
            </w:pPr>
          </w:p>
        </w:tc>
        <w:tc>
          <w:tcPr>
            <w:tcW w:w="1460" w:type="dxa"/>
            <w:vAlign w:val="bottom"/>
            <w:tcBorders>
              <w:bottom w:val="single" w:sz="8" w:color="F2F3F2"/>
            </w:tcBorders>
            <w:shd w:val="clear" w:color="auto" w:fill="F2F3F2"/>
          </w:tcPr>
          <w:p>
            <w:pPr>
              <w:jc w:val="right"/>
              <w:ind w:right="108"/>
              <w:spacing w:after="0"/>
              <w:rPr>
                <w:sz w:val="20"/>
                <w:szCs w:val="20"/>
                <w:color w:val="auto"/>
              </w:rPr>
            </w:pPr>
            <w:r>
              <w:rPr>
                <w:rFonts w:ascii="Arial" w:cs="Arial" w:eastAsia="Arial" w:hAnsi="Arial"/>
                <w:sz w:val="14"/>
                <w:szCs w:val="14"/>
                <w:color w:val="auto"/>
              </w:rPr>
              <w:t>37,390</w:t>
            </w:r>
          </w:p>
        </w:tc>
        <w:tc>
          <w:tcPr>
            <w:tcW w:w="60" w:type="dxa"/>
            <w:vAlign w:val="bottom"/>
            <w:tcBorders>
              <w:bottom w:val="single" w:sz="8" w:color="F2F3F2"/>
            </w:tcBorders>
            <w:shd w:val="clear" w:color="auto" w:fill="F2F3F2"/>
          </w:tcPr>
          <w:p>
            <w:pPr>
              <w:spacing w:after="0"/>
              <w:rPr>
                <w:sz w:val="21"/>
                <w:szCs w:val="21"/>
                <w:color w:val="auto"/>
              </w:rPr>
            </w:pPr>
          </w:p>
        </w:tc>
        <w:tc>
          <w:tcPr>
            <w:tcW w:w="900" w:type="dxa"/>
            <w:vAlign w:val="bottom"/>
            <w:tcBorders>
              <w:bottom w:val="single" w:sz="8" w:color="F2F3F2"/>
            </w:tcBorders>
            <w:shd w:val="clear" w:color="auto" w:fill="F2F3F2"/>
          </w:tcPr>
          <w:p>
            <w:pPr>
              <w:spacing w:after="0"/>
              <w:rPr>
                <w:sz w:val="21"/>
                <w:szCs w:val="21"/>
                <w:color w:val="auto"/>
              </w:rPr>
            </w:pPr>
          </w:p>
        </w:tc>
        <w:tc>
          <w:tcPr>
            <w:tcW w:w="1480" w:type="dxa"/>
            <w:vAlign w:val="bottom"/>
            <w:tcBorders>
              <w:bottom w:val="single" w:sz="8" w:color="F2F3F2"/>
            </w:tcBorders>
            <w:shd w:val="clear" w:color="auto" w:fill="F2F3F2"/>
          </w:tcPr>
          <w:p>
            <w:pPr>
              <w:jc w:val="right"/>
              <w:ind w:right="108"/>
              <w:spacing w:after="0"/>
              <w:rPr>
                <w:sz w:val="20"/>
                <w:szCs w:val="20"/>
                <w:color w:val="auto"/>
              </w:rPr>
            </w:pPr>
            <w:r>
              <w:rPr>
                <w:rFonts w:ascii="Arial" w:cs="Arial" w:eastAsia="Arial" w:hAnsi="Arial"/>
                <w:sz w:val="14"/>
                <w:szCs w:val="14"/>
                <w:color w:val="auto"/>
              </w:rPr>
              <w:t>21,416</w:t>
            </w:r>
          </w:p>
        </w:tc>
        <w:tc>
          <w:tcPr>
            <w:tcW w:w="0" w:type="dxa"/>
            <w:vAlign w:val="bottom"/>
          </w:tcPr>
          <w:p>
            <w:pPr>
              <w:spacing w:after="0"/>
              <w:rPr>
                <w:sz w:val="1"/>
                <w:szCs w:val="1"/>
                <w:color w:val="auto"/>
              </w:rPr>
            </w:pPr>
          </w:p>
        </w:tc>
      </w:tr>
      <w:tr>
        <w:trPr>
          <w:trHeight w:val="248"/>
        </w:trPr>
        <w:tc>
          <w:tcPr>
            <w:tcW w:w="4280" w:type="dxa"/>
            <w:vAlign w:val="bottom"/>
          </w:tcPr>
          <w:p>
            <w:pPr>
              <w:ind w:left="380"/>
              <w:spacing w:after="0"/>
              <w:rPr>
                <w:sz w:val="20"/>
                <w:szCs w:val="20"/>
                <w:color w:val="auto"/>
              </w:rPr>
            </w:pPr>
            <w:r>
              <w:rPr>
                <w:rFonts w:ascii="Arial" w:cs="Arial" w:eastAsia="Arial" w:hAnsi="Arial"/>
                <w:sz w:val="14"/>
                <w:szCs w:val="14"/>
                <w:color w:val="auto"/>
              </w:rPr>
              <w:t>Interest expense, net of interest income</w:t>
            </w:r>
          </w:p>
        </w:tc>
        <w:tc>
          <w:tcPr>
            <w:tcW w:w="900" w:type="dxa"/>
            <w:vAlign w:val="bottom"/>
          </w:tcPr>
          <w:p>
            <w:pPr>
              <w:spacing w:after="0"/>
              <w:rPr>
                <w:sz w:val="21"/>
                <w:szCs w:val="21"/>
                <w:color w:val="auto"/>
              </w:rPr>
            </w:pPr>
          </w:p>
        </w:tc>
        <w:tc>
          <w:tcPr>
            <w:tcW w:w="1460" w:type="dxa"/>
            <w:vAlign w:val="bottom"/>
          </w:tcPr>
          <w:p>
            <w:pPr>
              <w:jc w:val="right"/>
              <w:ind w:right="108"/>
              <w:spacing w:after="0"/>
              <w:rPr>
                <w:sz w:val="20"/>
                <w:szCs w:val="20"/>
                <w:color w:val="auto"/>
              </w:rPr>
            </w:pPr>
            <w:r>
              <w:rPr>
                <w:rFonts w:ascii="Arial" w:cs="Arial" w:eastAsia="Arial" w:hAnsi="Arial"/>
                <w:sz w:val="14"/>
                <w:szCs w:val="14"/>
                <w:color w:val="auto"/>
              </w:rPr>
              <w:t>25,347</w:t>
            </w: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80" w:type="dxa"/>
            <w:vAlign w:val="bottom"/>
          </w:tcPr>
          <w:p>
            <w:pPr>
              <w:jc w:val="right"/>
              <w:ind w:right="108"/>
              <w:spacing w:after="0"/>
              <w:rPr>
                <w:sz w:val="20"/>
                <w:szCs w:val="20"/>
                <w:color w:val="auto"/>
              </w:rPr>
            </w:pPr>
            <w:r>
              <w:rPr>
                <w:rFonts w:ascii="Arial" w:cs="Arial" w:eastAsia="Arial" w:hAnsi="Arial"/>
                <w:sz w:val="14"/>
                <w:szCs w:val="14"/>
                <w:color w:val="auto"/>
              </w:rPr>
              <w:t>19,573</w:t>
            </w:r>
          </w:p>
        </w:tc>
        <w:tc>
          <w:tcPr>
            <w:tcW w:w="0" w:type="dxa"/>
            <w:vAlign w:val="bottom"/>
          </w:tcPr>
          <w:p>
            <w:pPr>
              <w:spacing w:after="0"/>
              <w:rPr>
                <w:sz w:val="1"/>
                <w:szCs w:val="1"/>
                <w:color w:val="auto"/>
              </w:rPr>
            </w:pPr>
          </w:p>
        </w:tc>
      </w:tr>
      <w:tr>
        <w:trPr>
          <w:trHeight w:val="22"/>
        </w:trPr>
        <w:tc>
          <w:tcPr>
            <w:tcW w:w="4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4280" w:type="dxa"/>
            <w:vAlign w:val="bottom"/>
            <w:tcBorders>
              <w:bottom w:val="single" w:sz="8" w:color="F2F3F2"/>
            </w:tcBorders>
            <w:shd w:val="clear" w:color="auto" w:fill="F2F3F2"/>
          </w:tcPr>
          <w:p>
            <w:pPr>
              <w:ind w:left="380"/>
              <w:spacing w:after="0"/>
              <w:rPr>
                <w:sz w:val="20"/>
                <w:szCs w:val="20"/>
                <w:color w:val="auto"/>
              </w:rPr>
            </w:pPr>
            <w:r>
              <w:rPr>
                <w:rFonts w:ascii="Arial" w:cs="Arial" w:eastAsia="Arial" w:hAnsi="Arial"/>
                <w:sz w:val="14"/>
                <w:szCs w:val="14"/>
                <w:color w:val="auto"/>
              </w:rPr>
              <w:t>Depreciation and amortization</w:t>
            </w:r>
          </w:p>
        </w:tc>
        <w:tc>
          <w:tcPr>
            <w:tcW w:w="900" w:type="dxa"/>
            <w:vAlign w:val="bottom"/>
            <w:tcBorders>
              <w:bottom w:val="single" w:sz="8" w:color="F2F3F2"/>
            </w:tcBorders>
            <w:shd w:val="clear" w:color="auto" w:fill="F2F3F2"/>
          </w:tcPr>
          <w:p>
            <w:pPr>
              <w:spacing w:after="0"/>
              <w:rPr>
                <w:sz w:val="23"/>
                <w:szCs w:val="23"/>
                <w:color w:val="auto"/>
              </w:rPr>
            </w:pPr>
          </w:p>
        </w:tc>
        <w:tc>
          <w:tcPr>
            <w:tcW w:w="1460" w:type="dxa"/>
            <w:vAlign w:val="bottom"/>
            <w:tcBorders>
              <w:bottom w:val="single" w:sz="8" w:color="F2F3F2"/>
            </w:tcBorders>
            <w:shd w:val="clear" w:color="auto" w:fill="F2F3F2"/>
          </w:tcPr>
          <w:p>
            <w:pPr>
              <w:jc w:val="right"/>
              <w:ind w:right="108"/>
              <w:spacing w:after="0"/>
              <w:rPr>
                <w:sz w:val="20"/>
                <w:szCs w:val="20"/>
                <w:color w:val="auto"/>
              </w:rPr>
            </w:pPr>
            <w:r>
              <w:rPr>
                <w:rFonts w:ascii="Arial" w:cs="Arial" w:eastAsia="Arial" w:hAnsi="Arial"/>
                <w:sz w:val="14"/>
                <w:szCs w:val="14"/>
                <w:color w:val="auto"/>
              </w:rPr>
              <w:t>25,663</w:t>
            </w:r>
          </w:p>
        </w:tc>
        <w:tc>
          <w:tcPr>
            <w:tcW w:w="60" w:type="dxa"/>
            <w:vAlign w:val="bottom"/>
            <w:tcBorders>
              <w:bottom w:val="single" w:sz="8" w:color="F2F3F2"/>
            </w:tcBorders>
            <w:shd w:val="clear" w:color="auto" w:fill="F2F3F2"/>
          </w:tcPr>
          <w:p>
            <w:pPr>
              <w:spacing w:after="0"/>
              <w:rPr>
                <w:sz w:val="23"/>
                <w:szCs w:val="23"/>
                <w:color w:val="auto"/>
              </w:rPr>
            </w:pPr>
          </w:p>
        </w:tc>
        <w:tc>
          <w:tcPr>
            <w:tcW w:w="900" w:type="dxa"/>
            <w:vAlign w:val="bottom"/>
            <w:tcBorders>
              <w:bottom w:val="single" w:sz="8" w:color="F2F3F2"/>
            </w:tcBorders>
            <w:shd w:val="clear" w:color="auto" w:fill="F2F3F2"/>
          </w:tcPr>
          <w:p>
            <w:pPr>
              <w:spacing w:after="0"/>
              <w:rPr>
                <w:sz w:val="23"/>
                <w:szCs w:val="23"/>
                <w:color w:val="auto"/>
              </w:rPr>
            </w:pPr>
          </w:p>
        </w:tc>
        <w:tc>
          <w:tcPr>
            <w:tcW w:w="1480" w:type="dxa"/>
            <w:vAlign w:val="bottom"/>
            <w:tcBorders>
              <w:bottom w:val="single" w:sz="8" w:color="F2F3F2"/>
            </w:tcBorders>
            <w:shd w:val="clear" w:color="auto" w:fill="F2F3F2"/>
          </w:tcPr>
          <w:p>
            <w:pPr>
              <w:jc w:val="right"/>
              <w:ind w:right="108"/>
              <w:spacing w:after="0"/>
              <w:rPr>
                <w:sz w:val="20"/>
                <w:szCs w:val="20"/>
                <w:color w:val="auto"/>
              </w:rPr>
            </w:pPr>
            <w:r>
              <w:rPr>
                <w:rFonts w:ascii="Arial" w:cs="Arial" w:eastAsia="Arial" w:hAnsi="Arial"/>
                <w:sz w:val="14"/>
                <w:szCs w:val="14"/>
                <w:color w:val="auto"/>
              </w:rPr>
              <w:t>25,672</w:t>
            </w:r>
          </w:p>
        </w:tc>
        <w:tc>
          <w:tcPr>
            <w:tcW w:w="0" w:type="dxa"/>
            <w:vAlign w:val="bottom"/>
          </w:tcPr>
          <w:p>
            <w:pPr>
              <w:spacing w:after="0"/>
              <w:rPr>
                <w:sz w:val="1"/>
                <w:szCs w:val="1"/>
                <w:color w:val="auto"/>
              </w:rPr>
            </w:pPr>
          </w:p>
        </w:tc>
      </w:tr>
      <w:tr>
        <w:trPr>
          <w:trHeight w:val="228"/>
        </w:trPr>
        <w:tc>
          <w:tcPr>
            <w:tcW w:w="4280" w:type="dxa"/>
            <w:vAlign w:val="bottom"/>
          </w:tcPr>
          <w:p>
            <w:pPr>
              <w:ind w:left="140"/>
              <w:spacing w:after="0"/>
              <w:rPr>
                <w:sz w:val="20"/>
                <w:szCs w:val="20"/>
                <w:color w:val="auto"/>
              </w:rPr>
            </w:pPr>
            <w:r>
              <w:rPr>
                <w:rFonts w:ascii="Arial" w:cs="Arial" w:eastAsia="Arial" w:hAnsi="Arial"/>
                <w:sz w:val="14"/>
                <w:szCs w:val="14"/>
                <w:b w:val="1"/>
                <w:bCs w:val="1"/>
                <w:color w:val="auto"/>
              </w:rPr>
              <w:t>EBITDA</w:t>
            </w:r>
          </w:p>
        </w:tc>
        <w:tc>
          <w:tcPr>
            <w:tcW w:w="90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205,026</w:t>
            </w:r>
          </w:p>
        </w:tc>
        <w:tc>
          <w:tcPr>
            <w:tcW w:w="6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129,140</w:t>
            </w:r>
          </w:p>
        </w:tc>
        <w:tc>
          <w:tcPr>
            <w:tcW w:w="0" w:type="dxa"/>
            <w:vAlign w:val="bottom"/>
          </w:tcPr>
          <w:p>
            <w:pPr>
              <w:spacing w:after="0"/>
              <w:rPr>
                <w:sz w:val="1"/>
                <w:szCs w:val="1"/>
                <w:color w:val="auto"/>
              </w:rPr>
            </w:pPr>
          </w:p>
        </w:tc>
      </w:tr>
      <w:tr>
        <w:trPr>
          <w:trHeight w:val="22"/>
        </w:trPr>
        <w:tc>
          <w:tcPr>
            <w:tcW w:w="4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280" w:type="dxa"/>
            <w:vAlign w:val="bottom"/>
            <w:shd w:val="clear" w:color="auto" w:fill="F2F3F2"/>
          </w:tcPr>
          <w:p>
            <w:pPr>
              <w:ind w:left="140"/>
              <w:spacing w:after="0"/>
              <w:rPr>
                <w:sz w:val="20"/>
                <w:szCs w:val="20"/>
                <w:color w:val="auto"/>
              </w:rPr>
            </w:pPr>
            <w:r>
              <w:rPr>
                <w:rFonts w:ascii="Arial" w:cs="Arial" w:eastAsia="Arial" w:hAnsi="Arial"/>
                <w:sz w:val="14"/>
                <w:szCs w:val="14"/>
                <w:color w:val="auto"/>
              </w:rPr>
              <w:t>Add back:</w:t>
            </w:r>
          </w:p>
        </w:tc>
        <w:tc>
          <w:tcPr>
            <w:tcW w:w="900" w:type="dxa"/>
            <w:vAlign w:val="bottom"/>
            <w:shd w:val="clear" w:color="auto" w:fill="F2F3F2"/>
          </w:tcPr>
          <w:p>
            <w:pPr>
              <w:spacing w:after="0"/>
              <w:rPr>
                <w:sz w:val="18"/>
                <w:szCs w:val="18"/>
                <w:color w:val="auto"/>
              </w:rPr>
            </w:pPr>
          </w:p>
        </w:tc>
        <w:tc>
          <w:tcPr>
            <w:tcW w:w="1460" w:type="dxa"/>
            <w:vAlign w:val="bottom"/>
            <w:shd w:val="clear" w:color="auto" w:fill="F2F3F2"/>
          </w:tcPr>
          <w:p>
            <w:pPr>
              <w:spacing w:after="0"/>
              <w:rPr>
                <w:sz w:val="18"/>
                <w:szCs w:val="18"/>
                <w:color w:val="auto"/>
              </w:rPr>
            </w:pPr>
          </w:p>
        </w:tc>
        <w:tc>
          <w:tcPr>
            <w:tcW w:w="60" w:type="dxa"/>
            <w:vAlign w:val="bottom"/>
            <w:shd w:val="clear" w:color="auto" w:fill="F2F3F2"/>
          </w:tcPr>
          <w:p>
            <w:pPr>
              <w:spacing w:after="0"/>
              <w:rPr>
                <w:sz w:val="18"/>
                <w:szCs w:val="18"/>
                <w:color w:val="auto"/>
              </w:rPr>
            </w:pPr>
          </w:p>
        </w:tc>
        <w:tc>
          <w:tcPr>
            <w:tcW w:w="900" w:type="dxa"/>
            <w:vAlign w:val="bottom"/>
            <w:shd w:val="clear" w:color="auto" w:fill="F2F3F2"/>
          </w:tcPr>
          <w:p>
            <w:pPr>
              <w:spacing w:after="0"/>
              <w:rPr>
                <w:sz w:val="18"/>
                <w:szCs w:val="18"/>
                <w:color w:val="auto"/>
              </w:rPr>
            </w:pPr>
          </w:p>
        </w:tc>
        <w:tc>
          <w:tcPr>
            <w:tcW w:w="1480" w:type="dxa"/>
            <w:vAlign w:val="bottom"/>
            <w:shd w:val="clear" w:color="auto" w:fill="F2F3F2"/>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4280" w:type="dxa"/>
            <w:vAlign w:val="bottom"/>
            <w:shd w:val="clear" w:color="auto" w:fill="F2F3F2"/>
          </w:tcPr>
          <w:p>
            <w:pPr>
              <w:spacing w:after="0"/>
              <w:rPr>
                <w:sz w:val="5"/>
                <w:szCs w:val="5"/>
                <w:color w:val="auto"/>
              </w:rPr>
            </w:pPr>
          </w:p>
        </w:tc>
        <w:tc>
          <w:tcPr>
            <w:tcW w:w="900" w:type="dxa"/>
            <w:vAlign w:val="bottom"/>
            <w:shd w:val="clear" w:color="auto" w:fill="F2F3F2"/>
          </w:tcPr>
          <w:p>
            <w:pPr>
              <w:spacing w:after="0"/>
              <w:rPr>
                <w:sz w:val="5"/>
                <w:szCs w:val="5"/>
                <w:color w:val="auto"/>
              </w:rPr>
            </w:pPr>
          </w:p>
        </w:tc>
        <w:tc>
          <w:tcPr>
            <w:tcW w:w="1460" w:type="dxa"/>
            <w:vAlign w:val="bottom"/>
            <w:shd w:val="clear" w:color="auto" w:fill="F2F3F2"/>
          </w:tcPr>
          <w:p>
            <w:pPr>
              <w:spacing w:after="0"/>
              <w:rPr>
                <w:sz w:val="5"/>
                <w:szCs w:val="5"/>
                <w:color w:val="auto"/>
              </w:rPr>
            </w:pPr>
          </w:p>
        </w:tc>
        <w:tc>
          <w:tcPr>
            <w:tcW w:w="60" w:type="dxa"/>
            <w:vAlign w:val="bottom"/>
            <w:shd w:val="clear" w:color="auto" w:fill="F2F3F2"/>
          </w:tcPr>
          <w:p>
            <w:pPr>
              <w:spacing w:after="0"/>
              <w:rPr>
                <w:sz w:val="5"/>
                <w:szCs w:val="5"/>
                <w:color w:val="auto"/>
              </w:rPr>
            </w:pPr>
          </w:p>
        </w:tc>
        <w:tc>
          <w:tcPr>
            <w:tcW w:w="900" w:type="dxa"/>
            <w:vAlign w:val="bottom"/>
            <w:shd w:val="clear" w:color="auto" w:fill="F2F3F2"/>
          </w:tcPr>
          <w:p>
            <w:pPr>
              <w:spacing w:after="0"/>
              <w:rPr>
                <w:sz w:val="5"/>
                <w:szCs w:val="5"/>
                <w:color w:val="auto"/>
              </w:rPr>
            </w:pPr>
          </w:p>
        </w:tc>
        <w:tc>
          <w:tcPr>
            <w:tcW w:w="1480" w:type="dxa"/>
            <w:vAlign w:val="bottom"/>
            <w:shd w:val="clear" w:color="auto" w:fill="F2F3F2"/>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4280" w:type="dxa"/>
            <w:vAlign w:val="bottom"/>
          </w:tcPr>
          <w:p>
            <w:pPr>
              <w:ind w:left="380"/>
              <w:spacing w:after="0"/>
              <w:rPr>
                <w:sz w:val="20"/>
                <w:szCs w:val="20"/>
                <w:color w:val="auto"/>
              </w:rPr>
            </w:pPr>
            <w:r>
              <w:rPr>
                <w:rFonts w:ascii="Arial" w:cs="Arial" w:eastAsia="Arial" w:hAnsi="Arial"/>
                <w:sz w:val="14"/>
                <w:szCs w:val="14"/>
                <w:color w:val="auto"/>
              </w:rPr>
              <w:t>Restructuring charges</w:t>
            </w:r>
          </w:p>
        </w:tc>
        <w:tc>
          <w:tcPr>
            <w:tcW w:w="900" w:type="dxa"/>
            <w:vAlign w:val="bottom"/>
          </w:tcPr>
          <w:p>
            <w:pPr>
              <w:spacing w:after="0"/>
              <w:rPr>
                <w:sz w:val="21"/>
                <w:szCs w:val="21"/>
                <w:color w:val="auto"/>
              </w:rPr>
            </w:pPr>
          </w:p>
        </w:tc>
        <w:tc>
          <w:tcPr>
            <w:tcW w:w="1460" w:type="dxa"/>
            <w:vAlign w:val="bottom"/>
          </w:tcPr>
          <w:p>
            <w:pPr>
              <w:jc w:val="right"/>
              <w:ind w:right="108"/>
              <w:spacing w:after="0"/>
              <w:rPr>
                <w:sz w:val="20"/>
                <w:szCs w:val="20"/>
                <w:color w:val="auto"/>
              </w:rPr>
            </w:pPr>
            <w:r>
              <w:rPr>
                <w:rFonts w:ascii="Arial" w:cs="Arial" w:eastAsia="Arial" w:hAnsi="Arial"/>
                <w:sz w:val="14"/>
                <w:szCs w:val="14"/>
                <w:color w:val="auto"/>
              </w:rPr>
              <w:t>9,913</w:t>
            </w: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80" w:type="dxa"/>
            <w:vAlign w:val="bottom"/>
          </w:tcPr>
          <w:p>
            <w:pPr>
              <w:jc w:val="right"/>
              <w:ind w:right="128"/>
              <w:spacing w:after="0"/>
              <w:rPr>
                <w:sz w:val="20"/>
                <w:szCs w:val="20"/>
                <w:color w:val="auto"/>
              </w:rPr>
            </w:pPr>
            <w:r>
              <w:rPr>
                <w:rFonts w:ascii="Arial" w:cs="Arial" w:eastAsia="Arial" w:hAnsi="Arial"/>
                <w:sz w:val="14"/>
                <w:szCs w:val="14"/>
                <w:color w:val="auto"/>
              </w:rPr>
              <w:t>11,550</w:t>
            </w:r>
          </w:p>
        </w:tc>
        <w:tc>
          <w:tcPr>
            <w:tcW w:w="0" w:type="dxa"/>
            <w:vAlign w:val="bottom"/>
          </w:tcPr>
          <w:p>
            <w:pPr>
              <w:spacing w:after="0"/>
              <w:rPr>
                <w:sz w:val="1"/>
                <w:szCs w:val="1"/>
                <w:color w:val="auto"/>
              </w:rPr>
            </w:pPr>
          </w:p>
        </w:tc>
      </w:tr>
      <w:tr>
        <w:trPr>
          <w:trHeight w:val="22"/>
        </w:trPr>
        <w:tc>
          <w:tcPr>
            <w:tcW w:w="4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F2F3F2"/>
            </w:tcBorders>
            <w:shd w:val="clear" w:color="auto" w:fill="F2F3F2"/>
          </w:tcPr>
          <w:p>
            <w:pPr>
              <w:ind w:left="380"/>
              <w:spacing w:after="0"/>
              <w:rPr>
                <w:sz w:val="20"/>
                <w:szCs w:val="20"/>
                <w:color w:val="auto"/>
              </w:rPr>
            </w:pPr>
            <w:r>
              <w:rPr>
                <w:rFonts w:ascii="Arial" w:cs="Arial" w:eastAsia="Arial" w:hAnsi="Arial"/>
                <w:sz w:val="14"/>
                <w:szCs w:val="14"/>
                <w:color w:val="auto"/>
              </w:rPr>
              <w:t>2024 litigation settlement gain</w:t>
            </w:r>
          </w:p>
        </w:tc>
        <w:tc>
          <w:tcPr>
            <w:tcW w:w="900" w:type="dxa"/>
            <w:vAlign w:val="bottom"/>
            <w:tcBorders>
              <w:bottom w:val="single" w:sz="8" w:color="F2F3F2"/>
            </w:tcBorders>
            <w:shd w:val="clear" w:color="auto" w:fill="F2F3F2"/>
          </w:tcPr>
          <w:p>
            <w:pPr>
              <w:spacing w:after="0"/>
              <w:rPr>
                <w:sz w:val="21"/>
                <w:szCs w:val="21"/>
                <w:color w:val="auto"/>
              </w:rPr>
            </w:pPr>
          </w:p>
        </w:tc>
        <w:tc>
          <w:tcPr>
            <w:tcW w:w="1460" w:type="dxa"/>
            <w:vAlign w:val="bottom"/>
            <w:tcBorders>
              <w:bottom w:val="single" w:sz="8" w:color="F2F3F2"/>
            </w:tcBorders>
            <w:shd w:val="clear" w:color="auto" w:fill="F2F3F2"/>
          </w:tcPr>
          <w:p>
            <w:pPr>
              <w:jc w:val="right"/>
              <w:ind w:right="68"/>
              <w:spacing w:after="0"/>
              <w:rPr>
                <w:sz w:val="20"/>
                <w:szCs w:val="20"/>
                <w:color w:val="auto"/>
              </w:rPr>
            </w:pPr>
            <w:r>
              <w:rPr>
                <w:rFonts w:ascii="Arial" w:cs="Arial" w:eastAsia="Arial" w:hAnsi="Arial"/>
                <w:sz w:val="14"/>
                <w:szCs w:val="14"/>
                <w:color w:val="auto"/>
              </w:rPr>
              <w:t>(11,701)</w:t>
            </w:r>
          </w:p>
        </w:tc>
        <w:tc>
          <w:tcPr>
            <w:tcW w:w="60" w:type="dxa"/>
            <w:vAlign w:val="bottom"/>
            <w:tcBorders>
              <w:bottom w:val="single" w:sz="8" w:color="F2F3F2"/>
            </w:tcBorders>
            <w:shd w:val="clear" w:color="auto" w:fill="F2F3F2"/>
          </w:tcPr>
          <w:p>
            <w:pPr>
              <w:spacing w:after="0"/>
              <w:rPr>
                <w:sz w:val="21"/>
                <w:szCs w:val="21"/>
                <w:color w:val="auto"/>
              </w:rPr>
            </w:pPr>
          </w:p>
        </w:tc>
        <w:tc>
          <w:tcPr>
            <w:tcW w:w="900" w:type="dxa"/>
            <w:vAlign w:val="bottom"/>
            <w:tcBorders>
              <w:bottom w:val="single" w:sz="8" w:color="F2F3F2"/>
            </w:tcBorders>
            <w:shd w:val="clear" w:color="auto" w:fill="F2F3F2"/>
          </w:tcPr>
          <w:p>
            <w:pPr>
              <w:spacing w:after="0"/>
              <w:rPr>
                <w:sz w:val="21"/>
                <w:szCs w:val="21"/>
                <w:color w:val="auto"/>
              </w:rPr>
            </w:pPr>
          </w:p>
        </w:tc>
        <w:tc>
          <w:tcPr>
            <w:tcW w:w="1480" w:type="dxa"/>
            <w:vAlign w:val="bottom"/>
            <w:tcBorders>
              <w:bottom w:val="single" w:sz="8" w:color="F2F3F2"/>
            </w:tcBorders>
            <w:shd w:val="clear" w:color="auto" w:fill="F2F3F2"/>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8"/>
        </w:trPr>
        <w:tc>
          <w:tcPr>
            <w:tcW w:w="4280" w:type="dxa"/>
            <w:vAlign w:val="bottom"/>
          </w:tcPr>
          <w:p>
            <w:pPr>
              <w:ind w:left="380"/>
              <w:spacing w:after="0"/>
              <w:rPr>
                <w:sz w:val="20"/>
                <w:szCs w:val="20"/>
                <w:color w:val="auto"/>
              </w:rPr>
            </w:pPr>
            <w:r>
              <w:rPr>
                <w:rFonts w:ascii="Arial" w:cs="Arial" w:eastAsia="Arial" w:hAnsi="Arial"/>
                <w:sz w:val="14"/>
                <w:szCs w:val="14"/>
                <w:color w:val="auto"/>
              </w:rPr>
              <w:t>Other losses (gains), net</w:t>
            </w:r>
          </w:p>
        </w:tc>
        <w:tc>
          <w:tcPr>
            <w:tcW w:w="900" w:type="dxa"/>
            <w:vAlign w:val="bottom"/>
          </w:tcPr>
          <w:p>
            <w:pPr>
              <w:spacing w:after="0"/>
              <w:rPr>
                <w:sz w:val="21"/>
                <w:szCs w:val="21"/>
                <w:color w:val="auto"/>
              </w:rPr>
            </w:pPr>
          </w:p>
        </w:tc>
        <w:tc>
          <w:tcPr>
            <w:tcW w:w="1460" w:type="dxa"/>
            <w:vAlign w:val="bottom"/>
          </w:tcPr>
          <w:p>
            <w:pPr>
              <w:jc w:val="right"/>
              <w:ind w:right="108"/>
              <w:spacing w:after="0"/>
              <w:rPr>
                <w:sz w:val="20"/>
                <w:szCs w:val="20"/>
                <w:color w:val="auto"/>
              </w:rPr>
            </w:pPr>
            <w:r>
              <w:rPr>
                <w:rFonts w:ascii="Arial" w:cs="Arial" w:eastAsia="Arial" w:hAnsi="Arial"/>
                <w:sz w:val="14"/>
                <w:szCs w:val="14"/>
                <w:color w:val="auto"/>
              </w:rPr>
              <w:t>804</w:t>
            </w: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80" w:type="dxa"/>
            <w:vAlign w:val="bottom"/>
          </w:tcPr>
          <w:p>
            <w:pPr>
              <w:jc w:val="right"/>
              <w:ind w:right="68"/>
              <w:spacing w:after="0"/>
              <w:rPr>
                <w:sz w:val="20"/>
                <w:szCs w:val="20"/>
                <w:color w:val="auto"/>
              </w:rPr>
            </w:pPr>
            <w:r>
              <w:rPr>
                <w:rFonts w:ascii="Arial" w:cs="Arial" w:eastAsia="Arial" w:hAnsi="Arial"/>
                <w:sz w:val="14"/>
                <w:szCs w:val="14"/>
                <w:color w:val="auto"/>
              </w:rPr>
              <w:t>(444)</w:t>
            </w:r>
          </w:p>
        </w:tc>
        <w:tc>
          <w:tcPr>
            <w:tcW w:w="0" w:type="dxa"/>
            <w:vAlign w:val="bottom"/>
          </w:tcPr>
          <w:p>
            <w:pPr>
              <w:spacing w:after="0"/>
              <w:rPr>
                <w:sz w:val="1"/>
                <w:szCs w:val="1"/>
                <w:color w:val="auto"/>
              </w:rPr>
            </w:pPr>
          </w:p>
        </w:tc>
      </w:tr>
      <w:tr>
        <w:trPr>
          <w:trHeight w:val="22"/>
        </w:trPr>
        <w:tc>
          <w:tcPr>
            <w:tcW w:w="4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F2F3F2"/>
            </w:tcBorders>
            <w:shd w:val="clear" w:color="auto" w:fill="F2F3F2"/>
          </w:tcPr>
          <w:p>
            <w:pPr>
              <w:ind w:left="380"/>
              <w:spacing w:after="0"/>
              <w:rPr>
                <w:sz w:val="20"/>
                <w:szCs w:val="20"/>
                <w:color w:val="auto"/>
              </w:rPr>
            </w:pPr>
            <w:r>
              <w:rPr>
                <w:rFonts w:ascii="Arial" w:cs="Arial" w:eastAsia="Arial" w:hAnsi="Arial"/>
                <w:sz w:val="14"/>
                <w:szCs w:val="14"/>
                <w:color w:val="auto"/>
              </w:rPr>
              <w:t>Transaction-related expenses</w:t>
            </w:r>
          </w:p>
        </w:tc>
        <w:tc>
          <w:tcPr>
            <w:tcW w:w="900" w:type="dxa"/>
            <w:vAlign w:val="bottom"/>
            <w:tcBorders>
              <w:bottom w:val="single" w:sz="8" w:color="F2F3F2"/>
            </w:tcBorders>
            <w:shd w:val="clear" w:color="auto" w:fill="F2F3F2"/>
          </w:tcPr>
          <w:p>
            <w:pPr>
              <w:spacing w:after="0"/>
              <w:rPr>
                <w:sz w:val="21"/>
                <w:szCs w:val="21"/>
                <w:color w:val="auto"/>
              </w:rPr>
            </w:pPr>
          </w:p>
        </w:tc>
        <w:tc>
          <w:tcPr>
            <w:tcW w:w="1460" w:type="dxa"/>
            <w:vAlign w:val="bottom"/>
            <w:tcBorders>
              <w:bottom w:val="single" w:sz="8" w:color="F2F3F2"/>
            </w:tcBorders>
            <w:shd w:val="clear" w:color="auto" w:fill="F2F3F2"/>
          </w:tcPr>
          <w:p>
            <w:pPr>
              <w:jc w:val="right"/>
              <w:ind w:right="108"/>
              <w:spacing w:after="0"/>
              <w:rPr>
                <w:sz w:val="20"/>
                <w:szCs w:val="20"/>
                <w:color w:val="auto"/>
              </w:rPr>
            </w:pPr>
            <w:r>
              <w:rPr>
                <w:rFonts w:ascii="Arial" w:cs="Arial" w:eastAsia="Arial" w:hAnsi="Arial"/>
                <w:sz w:val="14"/>
                <w:szCs w:val="14"/>
                <w:color w:val="auto"/>
              </w:rPr>
              <w:t>2,861</w:t>
            </w:r>
          </w:p>
        </w:tc>
        <w:tc>
          <w:tcPr>
            <w:tcW w:w="60" w:type="dxa"/>
            <w:vAlign w:val="bottom"/>
            <w:tcBorders>
              <w:bottom w:val="single" w:sz="8" w:color="F2F3F2"/>
            </w:tcBorders>
            <w:shd w:val="clear" w:color="auto" w:fill="F2F3F2"/>
          </w:tcPr>
          <w:p>
            <w:pPr>
              <w:spacing w:after="0"/>
              <w:rPr>
                <w:sz w:val="21"/>
                <w:szCs w:val="21"/>
                <w:color w:val="auto"/>
              </w:rPr>
            </w:pPr>
          </w:p>
        </w:tc>
        <w:tc>
          <w:tcPr>
            <w:tcW w:w="900" w:type="dxa"/>
            <w:vAlign w:val="bottom"/>
            <w:tcBorders>
              <w:bottom w:val="single" w:sz="8" w:color="F2F3F2"/>
            </w:tcBorders>
            <w:shd w:val="clear" w:color="auto" w:fill="F2F3F2"/>
          </w:tcPr>
          <w:p>
            <w:pPr>
              <w:spacing w:after="0"/>
              <w:rPr>
                <w:sz w:val="21"/>
                <w:szCs w:val="21"/>
                <w:color w:val="auto"/>
              </w:rPr>
            </w:pPr>
          </w:p>
        </w:tc>
        <w:tc>
          <w:tcPr>
            <w:tcW w:w="1480" w:type="dxa"/>
            <w:vAlign w:val="bottom"/>
            <w:tcBorders>
              <w:bottom w:val="single" w:sz="8" w:color="F2F3F2"/>
            </w:tcBorders>
            <w:shd w:val="clear" w:color="auto" w:fill="F2F3F2"/>
          </w:tcPr>
          <w:p>
            <w:pPr>
              <w:jc w:val="right"/>
              <w:ind w:right="108"/>
              <w:spacing w:after="0"/>
              <w:rPr>
                <w:sz w:val="20"/>
                <w:szCs w:val="20"/>
                <w:color w:val="auto"/>
              </w:rPr>
            </w:pPr>
            <w:r>
              <w:rPr>
                <w:rFonts w:ascii="Arial" w:cs="Arial" w:eastAsia="Arial" w:hAnsi="Arial"/>
                <w:sz w:val="14"/>
                <w:szCs w:val="14"/>
                <w:color w:val="auto"/>
              </w:rPr>
              <w:t>357</w:t>
            </w:r>
          </w:p>
        </w:tc>
        <w:tc>
          <w:tcPr>
            <w:tcW w:w="0" w:type="dxa"/>
            <w:vAlign w:val="bottom"/>
          </w:tcPr>
          <w:p>
            <w:pPr>
              <w:spacing w:after="0"/>
              <w:rPr>
                <w:sz w:val="1"/>
                <w:szCs w:val="1"/>
                <w:color w:val="auto"/>
              </w:rPr>
            </w:pPr>
          </w:p>
        </w:tc>
      </w:tr>
      <w:tr>
        <w:trPr>
          <w:trHeight w:val="248"/>
        </w:trPr>
        <w:tc>
          <w:tcPr>
            <w:tcW w:w="4280" w:type="dxa"/>
            <w:vAlign w:val="bottom"/>
          </w:tcPr>
          <w:p>
            <w:pPr>
              <w:ind w:left="380"/>
              <w:spacing w:after="0"/>
              <w:rPr>
                <w:sz w:val="20"/>
                <w:szCs w:val="20"/>
                <w:color w:val="auto"/>
              </w:rPr>
            </w:pPr>
            <w:r>
              <w:rPr>
                <w:rFonts w:ascii="Arial" w:cs="Arial" w:eastAsia="Arial" w:hAnsi="Arial"/>
                <w:sz w:val="14"/>
                <w:szCs w:val="14"/>
                <w:color w:val="auto"/>
              </w:rPr>
              <w:t>Unrealized loss on preferred stock investment</w:t>
            </w:r>
          </w:p>
        </w:tc>
        <w:tc>
          <w:tcPr>
            <w:tcW w:w="900" w:type="dxa"/>
            <w:vAlign w:val="bottom"/>
          </w:tcPr>
          <w:p>
            <w:pPr>
              <w:spacing w:after="0"/>
              <w:rPr>
                <w:sz w:val="21"/>
                <w:szCs w:val="21"/>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21"/>
                <w:szCs w:val="21"/>
                <w:color w:val="auto"/>
              </w:rPr>
            </w:pPr>
          </w:p>
        </w:tc>
        <w:tc>
          <w:tcPr>
            <w:tcW w:w="1480" w:type="dxa"/>
            <w:vAlign w:val="bottom"/>
          </w:tcPr>
          <w:p>
            <w:pPr>
              <w:jc w:val="right"/>
              <w:ind w:right="108"/>
              <w:spacing w:after="0"/>
              <w:rPr>
                <w:sz w:val="20"/>
                <w:szCs w:val="20"/>
                <w:color w:val="auto"/>
              </w:rPr>
            </w:pPr>
            <w:r>
              <w:rPr>
                <w:rFonts w:ascii="Arial" w:cs="Arial" w:eastAsia="Arial" w:hAnsi="Arial"/>
                <w:sz w:val="14"/>
                <w:szCs w:val="14"/>
                <w:color w:val="auto"/>
              </w:rPr>
              <w:t>26,262</w:t>
            </w:r>
          </w:p>
        </w:tc>
        <w:tc>
          <w:tcPr>
            <w:tcW w:w="0" w:type="dxa"/>
            <w:vAlign w:val="bottom"/>
          </w:tcPr>
          <w:p>
            <w:pPr>
              <w:spacing w:after="0"/>
              <w:rPr>
                <w:sz w:val="1"/>
                <w:szCs w:val="1"/>
                <w:color w:val="auto"/>
              </w:rPr>
            </w:pPr>
          </w:p>
        </w:tc>
      </w:tr>
      <w:tr>
        <w:trPr>
          <w:trHeight w:val="22"/>
        </w:trPr>
        <w:tc>
          <w:tcPr>
            <w:tcW w:w="4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F2F3F2"/>
            </w:tcBorders>
            <w:shd w:val="clear" w:color="auto" w:fill="F2F3F2"/>
          </w:tcPr>
          <w:p>
            <w:pPr>
              <w:ind w:left="380"/>
              <w:spacing w:after="0"/>
              <w:rPr>
                <w:sz w:val="20"/>
                <w:szCs w:val="20"/>
                <w:color w:val="auto"/>
              </w:rPr>
            </w:pPr>
            <w:r>
              <w:rPr>
                <w:rFonts w:ascii="Arial" w:cs="Arial" w:eastAsia="Arial" w:hAnsi="Arial"/>
                <w:sz w:val="14"/>
                <w:szCs w:val="14"/>
                <w:color w:val="auto"/>
              </w:rPr>
              <w:t>Gain on sale of business</w:t>
            </w:r>
          </w:p>
        </w:tc>
        <w:tc>
          <w:tcPr>
            <w:tcW w:w="900" w:type="dxa"/>
            <w:vAlign w:val="bottom"/>
            <w:tcBorders>
              <w:bottom w:val="single" w:sz="8" w:color="F2F3F2"/>
            </w:tcBorders>
            <w:shd w:val="clear" w:color="auto" w:fill="F2F3F2"/>
          </w:tcPr>
          <w:p>
            <w:pPr>
              <w:spacing w:after="0"/>
              <w:rPr>
                <w:sz w:val="21"/>
                <w:szCs w:val="21"/>
                <w:color w:val="auto"/>
              </w:rPr>
            </w:pPr>
          </w:p>
        </w:tc>
        <w:tc>
          <w:tcPr>
            <w:tcW w:w="1460" w:type="dxa"/>
            <w:vAlign w:val="bottom"/>
            <w:tcBorders>
              <w:bottom w:val="single" w:sz="8" w:color="F2F3F2"/>
            </w:tcBorders>
            <w:shd w:val="clear" w:color="auto" w:fill="F2F3F2"/>
          </w:tcPr>
          <w:p>
            <w:pPr>
              <w:jc w:val="right"/>
              <w:ind w:right="68"/>
              <w:spacing w:after="0"/>
              <w:rPr>
                <w:sz w:val="20"/>
                <w:szCs w:val="20"/>
                <w:color w:val="auto"/>
              </w:rPr>
            </w:pPr>
            <w:r>
              <w:rPr>
                <w:rFonts w:ascii="Arial" w:cs="Arial" w:eastAsia="Arial" w:hAnsi="Arial"/>
                <w:sz w:val="14"/>
                <w:szCs w:val="14"/>
                <w:color w:val="auto"/>
              </w:rPr>
              <w:t>(3,597)</w:t>
            </w:r>
          </w:p>
        </w:tc>
        <w:tc>
          <w:tcPr>
            <w:tcW w:w="60" w:type="dxa"/>
            <w:vAlign w:val="bottom"/>
            <w:tcBorders>
              <w:bottom w:val="single" w:sz="8" w:color="F2F3F2"/>
            </w:tcBorders>
            <w:shd w:val="clear" w:color="auto" w:fill="F2F3F2"/>
          </w:tcPr>
          <w:p>
            <w:pPr>
              <w:spacing w:after="0"/>
              <w:rPr>
                <w:sz w:val="21"/>
                <w:szCs w:val="21"/>
                <w:color w:val="auto"/>
              </w:rPr>
            </w:pPr>
          </w:p>
        </w:tc>
        <w:tc>
          <w:tcPr>
            <w:tcW w:w="900" w:type="dxa"/>
            <w:vAlign w:val="bottom"/>
            <w:tcBorders>
              <w:bottom w:val="single" w:sz="8" w:color="F2F3F2"/>
            </w:tcBorders>
            <w:shd w:val="clear" w:color="auto" w:fill="F2F3F2"/>
          </w:tcPr>
          <w:p>
            <w:pPr>
              <w:spacing w:after="0"/>
              <w:rPr>
                <w:sz w:val="21"/>
                <w:szCs w:val="21"/>
                <w:color w:val="auto"/>
              </w:rPr>
            </w:pPr>
          </w:p>
        </w:tc>
        <w:tc>
          <w:tcPr>
            <w:tcW w:w="1480" w:type="dxa"/>
            <w:vAlign w:val="bottom"/>
            <w:tcBorders>
              <w:bottom w:val="single" w:sz="8" w:color="F2F3F2"/>
            </w:tcBorders>
            <w:shd w:val="clear" w:color="auto" w:fill="F2F3F2"/>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8"/>
        </w:trPr>
        <w:tc>
          <w:tcPr>
            <w:tcW w:w="4280" w:type="dxa"/>
            <w:vAlign w:val="bottom"/>
          </w:tcPr>
          <w:p>
            <w:pPr>
              <w:ind w:left="380"/>
              <w:spacing w:after="0"/>
              <w:rPr>
                <w:sz w:val="20"/>
                <w:szCs w:val="20"/>
                <w:color w:val="auto"/>
              </w:rPr>
            </w:pPr>
            <w:r>
              <w:rPr>
                <w:rFonts w:ascii="Arial" w:cs="Arial" w:eastAsia="Arial" w:hAnsi="Arial"/>
                <w:sz w:val="14"/>
                <w:szCs w:val="14"/>
                <w:color w:val="auto"/>
              </w:rPr>
              <w:t>Foreign currency transaction losses (gains), net</w:t>
            </w:r>
          </w:p>
        </w:tc>
        <w:tc>
          <w:tcPr>
            <w:tcW w:w="900" w:type="dxa"/>
            <w:vAlign w:val="bottom"/>
          </w:tcPr>
          <w:p>
            <w:pPr>
              <w:spacing w:after="0"/>
              <w:rPr>
                <w:sz w:val="21"/>
                <w:szCs w:val="21"/>
                <w:color w:val="auto"/>
              </w:rPr>
            </w:pPr>
          </w:p>
        </w:tc>
        <w:tc>
          <w:tcPr>
            <w:tcW w:w="1460" w:type="dxa"/>
            <w:vAlign w:val="bottom"/>
          </w:tcPr>
          <w:p>
            <w:pPr>
              <w:jc w:val="right"/>
              <w:ind w:right="68"/>
              <w:spacing w:after="0"/>
              <w:rPr>
                <w:sz w:val="20"/>
                <w:szCs w:val="20"/>
                <w:color w:val="auto"/>
              </w:rPr>
            </w:pPr>
            <w:r>
              <w:rPr>
                <w:rFonts w:ascii="Arial" w:cs="Arial" w:eastAsia="Arial" w:hAnsi="Arial"/>
                <w:sz w:val="14"/>
                <w:szCs w:val="14"/>
                <w:color w:val="auto"/>
              </w:rPr>
              <w:t>(2,138)</w:t>
            </w: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80" w:type="dxa"/>
            <w:vAlign w:val="bottom"/>
          </w:tcPr>
          <w:p>
            <w:pPr>
              <w:jc w:val="right"/>
              <w:ind w:right="108"/>
              <w:spacing w:after="0"/>
              <w:rPr>
                <w:sz w:val="20"/>
                <w:szCs w:val="20"/>
                <w:color w:val="auto"/>
              </w:rPr>
            </w:pPr>
            <w:r>
              <w:rPr>
                <w:rFonts w:ascii="Arial" w:cs="Arial" w:eastAsia="Arial" w:hAnsi="Arial"/>
                <w:sz w:val="14"/>
                <w:szCs w:val="14"/>
                <w:color w:val="auto"/>
              </w:rPr>
              <w:t>476</w:t>
            </w:r>
          </w:p>
        </w:tc>
        <w:tc>
          <w:tcPr>
            <w:tcW w:w="0" w:type="dxa"/>
            <w:vAlign w:val="bottom"/>
          </w:tcPr>
          <w:p>
            <w:pPr>
              <w:spacing w:after="0"/>
              <w:rPr>
                <w:sz w:val="1"/>
                <w:szCs w:val="1"/>
                <w:color w:val="auto"/>
              </w:rPr>
            </w:pPr>
          </w:p>
        </w:tc>
      </w:tr>
      <w:tr>
        <w:trPr>
          <w:trHeight w:val="22"/>
        </w:trPr>
        <w:tc>
          <w:tcPr>
            <w:tcW w:w="4280" w:type="dxa"/>
            <w:vAlign w:val="bottom"/>
            <w:tcBorders>
              <w:bottom w:val="single" w:sz="8" w:color="F2F3F2"/>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F2F3F2"/>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8"/>
        </w:trPr>
        <w:tc>
          <w:tcPr>
            <w:tcW w:w="4280" w:type="dxa"/>
            <w:vAlign w:val="bottom"/>
            <w:tcBorders>
              <w:bottom w:val="single" w:sz="8" w:color="F2F3F2"/>
            </w:tcBorders>
            <w:shd w:val="clear" w:color="auto" w:fill="F2F3F2"/>
          </w:tcPr>
          <w:p>
            <w:pPr>
              <w:ind w:left="140"/>
              <w:spacing w:after="0"/>
              <w:rPr>
                <w:sz w:val="20"/>
                <w:szCs w:val="20"/>
                <w:color w:val="auto"/>
              </w:rPr>
            </w:pPr>
            <w:r>
              <w:rPr>
                <w:rFonts w:ascii="Arial" w:cs="Arial" w:eastAsia="Arial" w:hAnsi="Arial"/>
                <w:sz w:val="14"/>
                <w:szCs w:val="14"/>
                <w:b w:val="1"/>
                <w:bCs w:val="1"/>
                <w:color w:val="auto"/>
              </w:rPr>
              <w:t>Adjusted EBITDA</w:t>
            </w:r>
          </w:p>
        </w:tc>
        <w:tc>
          <w:tcPr>
            <w:tcW w:w="900" w:type="dxa"/>
            <w:vAlign w:val="bottom"/>
            <w:tcBorders>
              <w:bottom w:val="single" w:sz="8" w:color="auto"/>
            </w:tcBorders>
            <w:shd w:val="clear" w:color="auto" w:fill="F2F3F2"/>
          </w:tcPr>
          <w:p>
            <w:pPr>
              <w:jc w:val="right"/>
              <w:ind w:right="70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F2F3F2"/>
          </w:tcPr>
          <w:p>
            <w:pPr>
              <w:jc w:val="right"/>
              <w:ind w:right="108"/>
              <w:spacing w:after="0"/>
              <w:rPr>
                <w:sz w:val="20"/>
                <w:szCs w:val="20"/>
                <w:color w:val="auto"/>
              </w:rPr>
            </w:pPr>
            <w:r>
              <w:rPr>
                <w:rFonts w:ascii="Arial" w:cs="Arial" w:eastAsia="Arial" w:hAnsi="Arial"/>
                <w:sz w:val="14"/>
                <w:szCs w:val="14"/>
                <w:color w:val="auto"/>
              </w:rPr>
              <w:t>201,168</w:t>
            </w:r>
          </w:p>
        </w:tc>
        <w:tc>
          <w:tcPr>
            <w:tcW w:w="60" w:type="dxa"/>
            <w:vAlign w:val="bottom"/>
            <w:tcBorders>
              <w:bottom w:val="single" w:sz="8" w:color="F2F3F2"/>
            </w:tcBorders>
            <w:shd w:val="clear" w:color="auto" w:fill="F2F3F2"/>
          </w:tcPr>
          <w:p>
            <w:pPr>
              <w:spacing w:after="0"/>
              <w:rPr>
                <w:sz w:val="21"/>
                <w:szCs w:val="21"/>
                <w:color w:val="auto"/>
              </w:rPr>
            </w:pPr>
          </w:p>
        </w:tc>
        <w:tc>
          <w:tcPr>
            <w:tcW w:w="900" w:type="dxa"/>
            <w:vAlign w:val="bottom"/>
            <w:tcBorders>
              <w:bottom w:val="single" w:sz="8" w:color="auto"/>
            </w:tcBorders>
            <w:shd w:val="clear" w:color="auto" w:fill="F2F3F2"/>
          </w:tcPr>
          <w:p>
            <w:pPr>
              <w:jc w:val="right"/>
              <w:ind w:right="68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F2F3F2"/>
          </w:tcPr>
          <w:p>
            <w:pPr>
              <w:jc w:val="right"/>
              <w:ind w:right="108"/>
              <w:spacing w:after="0"/>
              <w:rPr>
                <w:sz w:val="20"/>
                <w:szCs w:val="20"/>
                <w:color w:val="auto"/>
              </w:rPr>
            </w:pPr>
            <w:r>
              <w:rPr>
                <w:rFonts w:ascii="Arial" w:cs="Arial" w:eastAsia="Arial" w:hAnsi="Arial"/>
                <w:sz w:val="14"/>
                <w:szCs w:val="14"/>
                <w:color w:val="auto"/>
              </w:rPr>
              <w:t>167,341</w:t>
            </w:r>
          </w:p>
        </w:tc>
        <w:tc>
          <w:tcPr>
            <w:tcW w:w="0" w:type="dxa"/>
            <w:vAlign w:val="bottom"/>
          </w:tcPr>
          <w:p>
            <w:pPr>
              <w:spacing w:after="0"/>
              <w:rPr>
                <w:sz w:val="1"/>
                <w:szCs w:val="1"/>
                <w:color w:val="auto"/>
              </w:rPr>
            </w:pPr>
          </w:p>
        </w:tc>
      </w:tr>
      <w:tr>
        <w:trPr>
          <w:trHeight w:val="20"/>
        </w:trPr>
        <w:tc>
          <w:tcPr>
            <w:tcW w:w="4280" w:type="dxa"/>
            <w:vAlign w:val="bottom"/>
            <w:tcBorders>
              <w:top w:val="single" w:sz="8" w:color="F2F3F2"/>
              <w:bottom w:val="single" w:sz="8" w:color="F2F3F2"/>
            </w:tcBorders>
            <w:vMerge w:val="restart"/>
          </w:tcPr>
          <w:p>
            <w:pPr>
              <w:ind w:left="140"/>
              <w:spacing w:after="0"/>
              <w:rPr>
                <w:sz w:val="20"/>
                <w:szCs w:val="20"/>
                <w:color w:val="auto"/>
              </w:rPr>
            </w:pPr>
            <w:r>
              <w:rPr>
                <w:rFonts w:ascii="Arial" w:cs="Arial" w:eastAsia="Arial" w:hAnsi="Arial"/>
                <w:sz w:val="14"/>
                <w:szCs w:val="14"/>
                <w:b w:val="1"/>
                <w:bCs w:val="1"/>
                <w:color w:val="auto"/>
              </w:rPr>
              <w:t>Adjusted EBITDA as a percentage of revenues before</w:t>
            </w:r>
          </w:p>
        </w:tc>
        <w:tc>
          <w:tcPr>
            <w:tcW w:w="900" w:type="dxa"/>
            <w:vAlign w:val="bottom"/>
            <w:tcBorders>
              <w:top w:val="single" w:sz="8" w:color="F2F3F2"/>
              <w:bottom w:val="single" w:sz="8" w:color="auto"/>
            </w:tcBorders>
          </w:tcPr>
          <w:p>
            <w:pPr>
              <w:spacing w:after="0" w:line="20" w:lineRule="exact"/>
              <w:rPr>
                <w:sz w:val="1"/>
                <w:szCs w:val="1"/>
                <w:color w:val="auto"/>
              </w:rPr>
            </w:pPr>
          </w:p>
        </w:tc>
        <w:tc>
          <w:tcPr>
            <w:tcW w:w="1460" w:type="dxa"/>
            <w:vAlign w:val="bottom"/>
            <w:tcBorders>
              <w:top w:val="single" w:sz="8" w:color="F2F3F2"/>
              <w:bottom w:val="single" w:sz="8" w:color="auto"/>
            </w:tcBorders>
          </w:tcPr>
          <w:p>
            <w:pPr>
              <w:spacing w:after="0" w:line="20" w:lineRule="exact"/>
              <w:rPr>
                <w:sz w:val="1"/>
                <w:szCs w:val="1"/>
                <w:color w:val="auto"/>
              </w:rPr>
            </w:pPr>
          </w:p>
        </w:tc>
        <w:tc>
          <w:tcPr>
            <w:tcW w:w="60" w:type="dxa"/>
            <w:vAlign w:val="bottom"/>
            <w:tcBorders>
              <w:top w:val="single" w:sz="8" w:color="F2F3F2"/>
            </w:tcBorders>
          </w:tcPr>
          <w:p>
            <w:pPr>
              <w:spacing w:after="0" w:line="20" w:lineRule="exact"/>
              <w:rPr>
                <w:sz w:val="1"/>
                <w:szCs w:val="1"/>
                <w:color w:val="auto"/>
              </w:rPr>
            </w:pPr>
          </w:p>
        </w:tc>
        <w:tc>
          <w:tcPr>
            <w:tcW w:w="900" w:type="dxa"/>
            <w:vAlign w:val="bottom"/>
            <w:tcBorders>
              <w:top w:val="single" w:sz="8" w:color="F2F3F2"/>
              <w:bottom w:val="single" w:sz="8" w:color="auto"/>
            </w:tcBorders>
          </w:tcPr>
          <w:p>
            <w:pPr>
              <w:spacing w:after="0" w:line="20" w:lineRule="exact"/>
              <w:rPr>
                <w:sz w:val="1"/>
                <w:szCs w:val="1"/>
                <w:color w:val="auto"/>
              </w:rPr>
            </w:pPr>
          </w:p>
        </w:tc>
        <w:tc>
          <w:tcPr>
            <w:tcW w:w="1480" w:type="dxa"/>
            <w:vAlign w:val="bottom"/>
            <w:tcBorders>
              <w:top w:val="single" w:sz="8" w:color="F2F3F2"/>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4280" w:type="dxa"/>
            <w:vAlign w:val="bottom"/>
            <w:vMerge w:val="continue"/>
          </w:tcPr>
          <w:p>
            <w:pPr>
              <w:spacing w:after="0"/>
              <w:rPr>
                <w:sz w:val="11"/>
                <w:szCs w:val="11"/>
                <w:color w:val="auto"/>
              </w:rPr>
            </w:pPr>
          </w:p>
        </w:tc>
        <w:tc>
          <w:tcPr>
            <w:tcW w:w="9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2"/>
        </w:trPr>
        <w:tc>
          <w:tcPr>
            <w:tcW w:w="4280" w:type="dxa"/>
            <w:vAlign w:val="bottom"/>
          </w:tcPr>
          <w:p>
            <w:pPr>
              <w:ind w:left="140"/>
              <w:spacing w:after="0"/>
              <w:rPr>
                <w:sz w:val="20"/>
                <w:szCs w:val="20"/>
                <w:color w:val="auto"/>
              </w:rPr>
            </w:pPr>
            <w:r>
              <w:rPr>
                <w:rFonts w:ascii="Arial" w:cs="Arial" w:eastAsia="Arial" w:hAnsi="Arial"/>
                <w:sz w:val="14"/>
                <w:szCs w:val="14"/>
                <w:b w:val="1"/>
                <w:bCs w:val="1"/>
                <w:color w:val="auto"/>
              </w:rPr>
              <w:t>reimbursable expenses</w:t>
            </w:r>
          </w:p>
        </w:tc>
        <w:tc>
          <w:tcPr>
            <w:tcW w:w="9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13.5 %</w:t>
            </w:r>
          </w:p>
        </w:tc>
        <w:tc>
          <w:tcPr>
            <w:tcW w:w="6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12.3 %</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Net Income to Adjusted Net Income and Adjusted Diluted Earnings per Share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280" w:type="dxa"/>
            <w:vAlign w:val="bottom"/>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Year Ended December 31</w:t>
            </w:r>
          </w:p>
        </w:tc>
        <w:tc>
          <w:tcPr>
            <w:tcW w:w="15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280" w:type="dxa"/>
            <w:vAlign w:val="bottom"/>
            <w:tcBorders>
              <w:bottom w:val="single" w:sz="8" w:color="F2F3F2"/>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980" w:type="dxa"/>
            <w:vAlign w:val="bottom"/>
            <w:tcBorders>
              <w:bottom w:val="single" w:sz="8" w:color="auto"/>
            </w:tcBorders>
          </w:tcPr>
          <w:p>
            <w:pPr>
              <w:spacing w:after="0"/>
              <w:rPr>
                <w:sz w:val="20"/>
                <w:szCs w:val="20"/>
                <w:color w:val="auto"/>
              </w:rPr>
            </w:pPr>
          </w:p>
        </w:tc>
        <w:tc>
          <w:tcPr>
            <w:tcW w:w="60" w:type="dxa"/>
            <w:vAlign w:val="bottom"/>
            <w:tcBorders>
              <w:bottom w:val="single" w:sz="8" w:color="F2F3F2"/>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968"/>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49"/>
        </w:trPr>
        <w:tc>
          <w:tcPr>
            <w:tcW w:w="4280" w:type="dxa"/>
            <w:vAlign w:val="bottom"/>
            <w:tcBorders>
              <w:bottom w:val="single" w:sz="8" w:color="F2F3F2"/>
            </w:tcBorders>
            <w:shd w:val="clear" w:color="auto" w:fill="F2F3F2"/>
          </w:tcPr>
          <w:p>
            <w:pPr>
              <w:ind w:left="140"/>
              <w:spacing w:after="0"/>
              <w:rPr>
                <w:sz w:val="20"/>
                <w:szCs w:val="20"/>
                <w:color w:val="auto"/>
              </w:rPr>
            </w:pPr>
            <w:r>
              <w:rPr>
                <w:rFonts w:ascii="Arial" w:cs="Arial" w:eastAsia="Arial" w:hAnsi="Arial"/>
                <w:sz w:val="14"/>
                <w:szCs w:val="14"/>
                <w:b w:val="1"/>
                <w:bCs w:val="1"/>
                <w:color w:val="auto"/>
              </w:rPr>
              <w:t>Net income</w:t>
            </w:r>
          </w:p>
        </w:tc>
        <w:tc>
          <w:tcPr>
            <w:tcW w:w="1380" w:type="dxa"/>
            <w:vAlign w:val="bottom"/>
            <w:tcBorders>
              <w:bottom w:val="single" w:sz="8" w:color="auto"/>
            </w:tcBorders>
            <w:shd w:val="clear" w:color="auto" w:fill="F2F3F2"/>
          </w:tcPr>
          <w:p>
            <w:pPr>
              <w:jc w:val="right"/>
              <w:ind w:right="118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F2F3F2"/>
          </w:tcPr>
          <w:p>
            <w:pPr>
              <w:jc w:val="right"/>
              <w:spacing w:after="0"/>
              <w:rPr>
                <w:sz w:val="20"/>
                <w:szCs w:val="20"/>
                <w:color w:val="auto"/>
              </w:rPr>
            </w:pPr>
            <w:r>
              <w:rPr>
                <w:rFonts w:ascii="Arial" w:cs="Arial" w:eastAsia="Arial" w:hAnsi="Arial"/>
                <w:sz w:val="14"/>
                <w:szCs w:val="14"/>
                <w:color w:val="auto"/>
              </w:rPr>
              <w:t>116,626</w:t>
            </w:r>
          </w:p>
        </w:tc>
        <w:tc>
          <w:tcPr>
            <w:tcW w:w="60" w:type="dxa"/>
            <w:vAlign w:val="bottom"/>
            <w:tcBorders>
              <w:bottom w:val="single" w:sz="8" w:color="F2F3F2"/>
            </w:tcBorders>
            <w:shd w:val="clear" w:color="auto" w:fill="F2F3F2"/>
          </w:tcPr>
          <w:p>
            <w:pPr>
              <w:spacing w:after="0"/>
              <w:rPr>
                <w:sz w:val="21"/>
                <w:szCs w:val="21"/>
                <w:color w:val="auto"/>
              </w:rPr>
            </w:pPr>
          </w:p>
        </w:tc>
        <w:tc>
          <w:tcPr>
            <w:tcW w:w="880" w:type="dxa"/>
            <w:vAlign w:val="bottom"/>
            <w:tcBorders>
              <w:bottom w:val="single" w:sz="8" w:color="auto"/>
            </w:tcBorders>
            <w:shd w:val="clear" w:color="auto" w:fill="F2F3F2"/>
          </w:tcPr>
          <w:p>
            <w:pPr>
              <w:jc w:val="right"/>
              <w:ind w:right="66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shd w:val="clear" w:color="auto" w:fill="F2F3F2"/>
          </w:tcPr>
          <w:p>
            <w:pPr>
              <w:jc w:val="right"/>
              <w:spacing w:after="0"/>
              <w:rPr>
                <w:sz w:val="20"/>
                <w:szCs w:val="20"/>
                <w:color w:val="auto"/>
              </w:rPr>
            </w:pPr>
            <w:r>
              <w:rPr>
                <w:rFonts w:ascii="Arial" w:cs="Arial" w:eastAsia="Arial" w:hAnsi="Arial"/>
                <w:sz w:val="14"/>
                <w:szCs w:val="14"/>
                <w:color w:val="auto"/>
              </w:rPr>
              <w:t>62,479</w:t>
            </w:r>
          </w:p>
        </w:tc>
        <w:tc>
          <w:tcPr>
            <w:tcW w:w="0" w:type="dxa"/>
            <w:vAlign w:val="bottom"/>
          </w:tcPr>
          <w:p>
            <w:pPr>
              <w:spacing w:after="0"/>
              <w:rPr>
                <w:sz w:val="1"/>
                <w:szCs w:val="1"/>
                <w:color w:val="auto"/>
              </w:rPr>
            </w:pPr>
          </w:p>
        </w:tc>
      </w:tr>
      <w:tr>
        <w:trPr>
          <w:trHeight w:val="20"/>
        </w:trPr>
        <w:tc>
          <w:tcPr>
            <w:tcW w:w="4280" w:type="dxa"/>
            <w:vAlign w:val="bottom"/>
            <w:tcBorders>
              <w:top w:val="single" w:sz="8" w:color="F2F3F2"/>
              <w:bottom w:val="single" w:sz="8" w:color="F2F3F2"/>
            </w:tcBorders>
            <w:vMerge w:val="restart"/>
          </w:tcPr>
          <w:p>
            <w:pPr>
              <w:ind w:left="140"/>
              <w:spacing w:after="0"/>
              <w:rPr>
                <w:sz w:val="20"/>
                <w:szCs w:val="20"/>
                <w:color w:val="auto"/>
              </w:rPr>
            </w:pPr>
            <w:r>
              <w:rPr>
                <w:rFonts w:ascii="Arial" w:cs="Arial" w:eastAsia="Arial" w:hAnsi="Arial"/>
                <w:sz w:val="14"/>
                <w:szCs w:val="14"/>
                <w:b w:val="1"/>
                <w:bCs w:val="1"/>
                <w:color w:val="auto"/>
              </w:rPr>
              <w:t>Weighted average shares - diluted</w:t>
            </w:r>
          </w:p>
        </w:tc>
        <w:tc>
          <w:tcPr>
            <w:tcW w:w="1380" w:type="dxa"/>
            <w:vAlign w:val="bottom"/>
            <w:tcBorders>
              <w:top w:val="single" w:sz="8" w:color="F2F3F2"/>
              <w:bottom w:val="single" w:sz="8" w:color="auto"/>
            </w:tcBorders>
          </w:tcPr>
          <w:p>
            <w:pPr>
              <w:spacing w:after="0" w:line="20" w:lineRule="exact"/>
              <w:rPr>
                <w:sz w:val="1"/>
                <w:szCs w:val="1"/>
                <w:color w:val="auto"/>
              </w:rPr>
            </w:pPr>
          </w:p>
        </w:tc>
        <w:tc>
          <w:tcPr>
            <w:tcW w:w="980" w:type="dxa"/>
            <w:vAlign w:val="bottom"/>
            <w:tcBorders>
              <w:top w:val="single" w:sz="8" w:color="F2F3F2"/>
              <w:bottom w:val="single" w:sz="8" w:color="auto"/>
            </w:tcBorders>
          </w:tcPr>
          <w:p>
            <w:pPr>
              <w:spacing w:after="0" w:line="20" w:lineRule="exact"/>
              <w:rPr>
                <w:sz w:val="1"/>
                <w:szCs w:val="1"/>
                <w:color w:val="auto"/>
              </w:rPr>
            </w:pPr>
          </w:p>
        </w:tc>
        <w:tc>
          <w:tcPr>
            <w:tcW w:w="60" w:type="dxa"/>
            <w:vAlign w:val="bottom"/>
            <w:tcBorders>
              <w:top w:val="single" w:sz="8" w:color="F2F3F2"/>
            </w:tcBorders>
          </w:tcPr>
          <w:p>
            <w:pPr>
              <w:spacing w:after="0" w:line="20" w:lineRule="exact"/>
              <w:rPr>
                <w:sz w:val="1"/>
                <w:szCs w:val="1"/>
                <w:color w:val="auto"/>
              </w:rPr>
            </w:pPr>
          </w:p>
        </w:tc>
        <w:tc>
          <w:tcPr>
            <w:tcW w:w="880" w:type="dxa"/>
            <w:vAlign w:val="bottom"/>
            <w:tcBorders>
              <w:top w:val="single" w:sz="8" w:color="F2F3F2"/>
              <w:bottom w:val="single" w:sz="8" w:color="auto"/>
            </w:tcBorders>
          </w:tcPr>
          <w:p>
            <w:pPr>
              <w:spacing w:after="0" w:line="20" w:lineRule="exact"/>
              <w:rPr>
                <w:sz w:val="1"/>
                <w:szCs w:val="1"/>
                <w:color w:val="auto"/>
              </w:rPr>
            </w:pPr>
          </w:p>
        </w:tc>
        <w:tc>
          <w:tcPr>
            <w:tcW w:w="1500" w:type="dxa"/>
            <w:vAlign w:val="bottom"/>
            <w:tcBorders>
              <w:top w:val="single" w:sz="8" w:color="F2F3F2"/>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280" w:type="dxa"/>
            <w:vAlign w:val="bottom"/>
            <w:vMerge w:val="continue"/>
          </w:tcPr>
          <w:p>
            <w:pPr>
              <w:spacing w:after="0"/>
              <w:rPr>
                <w:sz w:val="18"/>
                <w:szCs w:val="18"/>
                <w:color w:val="auto"/>
              </w:rPr>
            </w:pPr>
          </w:p>
        </w:tc>
        <w:tc>
          <w:tcPr>
            <w:tcW w:w="1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18,613</w:t>
            </w: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19,601</w:t>
            </w:r>
          </w:p>
        </w:tc>
        <w:tc>
          <w:tcPr>
            <w:tcW w:w="0" w:type="dxa"/>
            <w:vAlign w:val="bottom"/>
          </w:tcPr>
          <w:p>
            <w:pPr>
              <w:spacing w:after="0"/>
              <w:rPr>
                <w:sz w:val="1"/>
                <w:szCs w:val="1"/>
                <w:color w:val="auto"/>
              </w:rPr>
            </w:pPr>
          </w:p>
        </w:tc>
      </w:tr>
      <w:tr>
        <w:trPr>
          <w:trHeight w:val="268"/>
        </w:trPr>
        <w:tc>
          <w:tcPr>
            <w:tcW w:w="4280" w:type="dxa"/>
            <w:vAlign w:val="bottom"/>
            <w:tcBorders>
              <w:bottom w:val="single" w:sz="8" w:color="F2F3F2"/>
            </w:tcBorders>
            <w:shd w:val="clear" w:color="auto" w:fill="F2F3F2"/>
          </w:tcPr>
          <w:p>
            <w:pPr>
              <w:ind w:left="140"/>
              <w:spacing w:after="0"/>
              <w:rPr>
                <w:sz w:val="20"/>
                <w:szCs w:val="20"/>
                <w:color w:val="auto"/>
              </w:rPr>
            </w:pPr>
            <w:r>
              <w:rPr>
                <w:rFonts w:ascii="Arial" w:cs="Arial" w:eastAsia="Arial" w:hAnsi="Arial"/>
                <w:sz w:val="14"/>
                <w:szCs w:val="14"/>
                <w:b w:val="1"/>
                <w:bCs w:val="1"/>
                <w:color w:val="auto"/>
              </w:rPr>
              <w:t>Diluted earnings per share</w:t>
            </w:r>
          </w:p>
        </w:tc>
        <w:tc>
          <w:tcPr>
            <w:tcW w:w="1380" w:type="dxa"/>
            <w:vAlign w:val="bottom"/>
            <w:tcBorders>
              <w:bottom w:val="single" w:sz="8" w:color="auto"/>
            </w:tcBorders>
            <w:shd w:val="clear" w:color="auto" w:fill="F2F3F2"/>
          </w:tcPr>
          <w:p>
            <w:pPr>
              <w:jc w:val="right"/>
              <w:ind w:right="118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F2F3F2"/>
          </w:tcPr>
          <w:p>
            <w:pPr>
              <w:jc w:val="right"/>
              <w:spacing w:after="0"/>
              <w:rPr>
                <w:sz w:val="20"/>
                <w:szCs w:val="20"/>
                <w:color w:val="auto"/>
              </w:rPr>
            </w:pPr>
            <w:r>
              <w:rPr>
                <w:rFonts w:ascii="Arial" w:cs="Arial" w:eastAsia="Arial" w:hAnsi="Arial"/>
                <w:sz w:val="14"/>
                <w:szCs w:val="14"/>
                <w:color w:val="auto"/>
              </w:rPr>
              <w:t>6.27</w:t>
            </w:r>
          </w:p>
        </w:tc>
        <w:tc>
          <w:tcPr>
            <w:tcW w:w="60" w:type="dxa"/>
            <w:vAlign w:val="bottom"/>
            <w:tcBorders>
              <w:bottom w:val="single" w:sz="8" w:color="F2F3F2"/>
            </w:tcBorders>
            <w:shd w:val="clear" w:color="auto" w:fill="F2F3F2"/>
          </w:tcPr>
          <w:p>
            <w:pPr>
              <w:spacing w:after="0"/>
              <w:rPr>
                <w:sz w:val="22"/>
                <w:szCs w:val="22"/>
                <w:color w:val="auto"/>
              </w:rPr>
            </w:pPr>
          </w:p>
        </w:tc>
        <w:tc>
          <w:tcPr>
            <w:tcW w:w="880" w:type="dxa"/>
            <w:vAlign w:val="bottom"/>
            <w:tcBorders>
              <w:bottom w:val="single" w:sz="8" w:color="auto"/>
            </w:tcBorders>
            <w:shd w:val="clear" w:color="auto" w:fill="F2F3F2"/>
          </w:tcPr>
          <w:p>
            <w:pPr>
              <w:jc w:val="right"/>
              <w:ind w:right="66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shd w:val="clear" w:color="auto" w:fill="F2F3F2"/>
          </w:tcPr>
          <w:p>
            <w:pPr>
              <w:jc w:val="right"/>
              <w:spacing w:after="0"/>
              <w:rPr>
                <w:sz w:val="20"/>
                <w:szCs w:val="20"/>
                <w:color w:val="auto"/>
              </w:rPr>
            </w:pPr>
            <w:r>
              <w:rPr>
                <w:rFonts w:ascii="Arial" w:cs="Arial" w:eastAsia="Arial" w:hAnsi="Arial"/>
                <w:sz w:val="14"/>
                <w:szCs w:val="14"/>
                <w:color w:val="auto"/>
              </w:rPr>
              <w:t>3.19</w:t>
            </w:r>
          </w:p>
        </w:tc>
        <w:tc>
          <w:tcPr>
            <w:tcW w:w="0" w:type="dxa"/>
            <w:vAlign w:val="bottom"/>
          </w:tcPr>
          <w:p>
            <w:pPr>
              <w:spacing w:after="0"/>
              <w:rPr>
                <w:sz w:val="1"/>
                <w:szCs w:val="1"/>
                <w:color w:val="auto"/>
              </w:rPr>
            </w:pPr>
          </w:p>
        </w:tc>
      </w:tr>
      <w:tr>
        <w:trPr>
          <w:trHeight w:val="20"/>
        </w:trPr>
        <w:tc>
          <w:tcPr>
            <w:tcW w:w="4280" w:type="dxa"/>
            <w:vAlign w:val="bottom"/>
            <w:tcBorders>
              <w:top w:val="single" w:sz="8" w:color="F2F3F2"/>
              <w:bottom w:val="single" w:sz="8" w:color="F2F3F2"/>
            </w:tcBorders>
            <w:vMerge w:val="restart"/>
          </w:tcPr>
          <w:p>
            <w:pPr>
              <w:ind w:left="140"/>
              <w:spacing w:after="0"/>
              <w:rPr>
                <w:sz w:val="20"/>
                <w:szCs w:val="20"/>
                <w:color w:val="auto"/>
              </w:rPr>
            </w:pPr>
            <w:r>
              <w:rPr>
                <w:rFonts w:ascii="Arial" w:cs="Arial" w:eastAsia="Arial" w:hAnsi="Arial"/>
                <w:sz w:val="14"/>
                <w:szCs w:val="14"/>
                <w:color w:val="auto"/>
              </w:rPr>
              <w:t>Add back:</w:t>
            </w:r>
          </w:p>
        </w:tc>
        <w:tc>
          <w:tcPr>
            <w:tcW w:w="1380" w:type="dxa"/>
            <w:vAlign w:val="bottom"/>
            <w:tcBorders>
              <w:top w:val="single" w:sz="8" w:color="F2F3F2"/>
              <w:bottom w:val="single" w:sz="8" w:color="auto"/>
            </w:tcBorders>
          </w:tcPr>
          <w:p>
            <w:pPr>
              <w:spacing w:after="0" w:line="20" w:lineRule="exact"/>
              <w:rPr>
                <w:sz w:val="1"/>
                <w:szCs w:val="1"/>
                <w:color w:val="auto"/>
              </w:rPr>
            </w:pPr>
          </w:p>
        </w:tc>
        <w:tc>
          <w:tcPr>
            <w:tcW w:w="980" w:type="dxa"/>
            <w:vAlign w:val="bottom"/>
            <w:tcBorders>
              <w:top w:val="single" w:sz="8" w:color="F2F3F2"/>
              <w:bottom w:val="single" w:sz="8" w:color="auto"/>
            </w:tcBorders>
          </w:tcPr>
          <w:p>
            <w:pPr>
              <w:spacing w:after="0" w:line="20" w:lineRule="exact"/>
              <w:rPr>
                <w:sz w:val="1"/>
                <w:szCs w:val="1"/>
                <w:color w:val="auto"/>
              </w:rPr>
            </w:pPr>
          </w:p>
        </w:tc>
        <w:tc>
          <w:tcPr>
            <w:tcW w:w="60" w:type="dxa"/>
            <w:vAlign w:val="bottom"/>
            <w:tcBorders>
              <w:top w:val="single" w:sz="8" w:color="F2F3F2"/>
            </w:tcBorders>
          </w:tcPr>
          <w:p>
            <w:pPr>
              <w:spacing w:after="0" w:line="20" w:lineRule="exact"/>
              <w:rPr>
                <w:sz w:val="1"/>
                <w:szCs w:val="1"/>
                <w:color w:val="auto"/>
              </w:rPr>
            </w:pPr>
          </w:p>
        </w:tc>
        <w:tc>
          <w:tcPr>
            <w:tcW w:w="880" w:type="dxa"/>
            <w:vAlign w:val="bottom"/>
            <w:tcBorders>
              <w:top w:val="single" w:sz="8" w:color="F2F3F2"/>
              <w:bottom w:val="single" w:sz="8" w:color="auto"/>
            </w:tcBorders>
          </w:tcPr>
          <w:p>
            <w:pPr>
              <w:spacing w:after="0" w:line="20" w:lineRule="exact"/>
              <w:rPr>
                <w:sz w:val="1"/>
                <w:szCs w:val="1"/>
                <w:color w:val="auto"/>
              </w:rPr>
            </w:pPr>
          </w:p>
        </w:tc>
        <w:tc>
          <w:tcPr>
            <w:tcW w:w="1500" w:type="dxa"/>
            <w:vAlign w:val="bottom"/>
            <w:tcBorders>
              <w:top w:val="single" w:sz="8" w:color="F2F3F2"/>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280" w:type="dxa"/>
            <w:vAlign w:val="bottom"/>
            <w:vMerge w:val="continue"/>
          </w:tcPr>
          <w:p>
            <w:pPr>
              <w:spacing w:after="0"/>
              <w:rPr>
                <w:sz w:val="17"/>
                <w:szCs w:val="17"/>
                <w:color w:val="auto"/>
              </w:rPr>
            </w:pPr>
          </w:p>
        </w:tc>
        <w:tc>
          <w:tcPr>
            <w:tcW w:w="1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4280" w:type="dxa"/>
            <w:vAlign w:val="bottom"/>
            <w:shd w:val="clear" w:color="auto" w:fill="F2F3F2"/>
          </w:tcPr>
          <w:p>
            <w:pPr>
              <w:ind w:left="380"/>
              <w:spacing w:after="0"/>
              <w:rPr>
                <w:sz w:val="20"/>
                <w:szCs w:val="20"/>
                <w:color w:val="auto"/>
              </w:rPr>
            </w:pPr>
            <w:r>
              <w:rPr>
                <w:rFonts w:ascii="Arial" w:cs="Arial" w:eastAsia="Arial" w:hAnsi="Arial"/>
                <w:sz w:val="14"/>
                <w:szCs w:val="14"/>
                <w:color w:val="auto"/>
              </w:rPr>
              <w:t>Amortization of intangible assets</w:t>
            </w:r>
          </w:p>
        </w:tc>
        <w:tc>
          <w:tcPr>
            <w:tcW w:w="1380" w:type="dxa"/>
            <w:vAlign w:val="bottom"/>
            <w:shd w:val="clear" w:color="auto" w:fill="F2F3F2"/>
          </w:tcPr>
          <w:p>
            <w:pPr>
              <w:spacing w:after="0"/>
              <w:rPr>
                <w:sz w:val="23"/>
                <w:szCs w:val="23"/>
                <w:color w:val="auto"/>
              </w:rPr>
            </w:pPr>
          </w:p>
        </w:tc>
        <w:tc>
          <w:tcPr>
            <w:tcW w:w="980" w:type="dxa"/>
            <w:vAlign w:val="bottom"/>
            <w:shd w:val="clear" w:color="auto" w:fill="F2F3F2"/>
          </w:tcPr>
          <w:p>
            <w:pPr>
              <w:jc w:val="right"/>
              <w:spacing w:after="0"/>
              <w:rPr>
                <w:sz w:val="20"/>
                <w:szCs w:val="20"/>
                <w:color w:val="auto"/>
              </w:rPr>
            </w:pPr>
            <w:r>
              <w:rPr>
                <w:rFonts w:ascii="Arial" w:cs="Arial" w:eastAsia="Arial" w:hAnsi="Arial"/>
                <w:sz w:val="14"/>
                <w:szCs w:val="14"/>
                <w:color w:val="auto"/>
              </w:rPr>
              <w:t>6,517</w:t>
            </w:r>
          </w:p>
        </w:tc>
        <w:tc>
          <w:tcPr>
            <w:tcW w:w="60" w:type="dxa"/>
            <w:vAlign w:val="bottom"/>
            <w:shd w:val="clear" w:color="auto" w:fill="F2F3F2"/>
          </w:tcPr>
          <w:p>
            <w:pPr>
              <w:spacing w:after="0"/>
              <w:rPr>
                <w:sz w:val="23"/>
                <w:szCs w:val="23"/>
                <w:color w:val="auto"/>
              </w:rPr>
            </w:pPr>
          </w:p>
        </w:tc>
        <w:tc>
          <w:tcPr>
            <w:tcW w:w="880" w:type="dxa"/>
            <w:vAlign w:val="bottom"/>
            <w:shd w:val="clear" w:color="auto" w:fill="F2F3F2"/>
          </w:tcPr>
          <w:p>
            <w:pPr>
              <w:spacing w:after="0"/>
              <w:rPr>
                <w:sz w:val="23"/>
                <w:szCs w:val="23"/>
                <w:color w:val="auto"/>
              </w:rPr>
            </w:pPr>
          </w:p>
        </w:tc>
        <w:tc>
          <w:tcPr>
            <w:tcW w:w="1500" w:type="dxa"/>
            <w:vAlign w:val="bottom"/>
            <w:shd w:val="clear" w:color="auto" w:fill="F2F3F2"/>
          </w:tcPr>
          <w:p>
            <w:pPr>
              <w:jc w:val="right"/>
              <w:spacing w:after="0"/>
              <w:rPr>
                <w:sz w:val="20"/>
                <w:szCs w:val="20"/>
                <w:color w:val="auto"/>
              </w:rPr>
            </w:pPr>
            <w:r>
              <w:rPr>
                <w:rFonts w:ascii="Arial" w:cs="Arial" w:eastAsia="Arial" w:hAnsi="Arial"/>
                <w:sz w:val="14"/>
                <w:szCs w:val="14"/>
                <w:color w:val="auto"/>
              </w:rPr>
              <w:t>8,219</w:t>
            </w:r>
          </w:p>
        </w:tc>
        <w:tc>
          <w:tcPr>
            <w:tcW w:w="0" w:type="dxa"/>
            <w:vAlign w:val="bottom"/>
          </w:tcPr>
          <w:p>
            <w:pPr>
              <w:spacing w:after="0"/>
              <w:rPr>
                <w:sz w:val="1"/>
                <w:szCs w:val="1"/>
                <w:color w:val="auto"/>
              </w:rPr>
            </w:pPr>
          </w:p>
        </w:tc>
      </w:tr>
      <w:tr>
        <w:trPr>
          <w:trHeight w:val="270"/>
        </w:trPr>
        <w:tc>
          <w:tcPr>
            <w:tcW w:w="4280" w:type="dxa"/>
            <w:vAlign w:val="bottom"/>
          </w:tcPr>
          <w:p>
            <w:pPr>
              <w:ind w:left="380"/>
              <w:spacing w:after="0"/>
              <w:rPr>
                <w:sz w:val="20"/>
                <w:szCs w:val="20"/>
                <w:color w:val="auto"/>
              </w:rPr>
            </w:pPr>
            <w:r>
              <w:rPr>
                <w:rFonts w:ascii="Arial" w:cs="Arial" w:eastAsia="Arial" w:hAnsi="Arial"/>
                <w:sz w:val="14"/>
                <w:szCs w:val="14"/>
                <w:color w:val="auto"/>
              </w:rPr>
              <w:t>Restructuring charges</w:t>
            </w:r>
          </w:p>
        </w:tc>
        <w:tc>
          <w:tcPr>
            <w:tcW w:w="13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9,913</w:t>
            </w:r>
          </w:p>
        </w:tc>
        <w:tc>
          <w:tcPr>
            <w:tcW w:w="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11,550</w:t>
            </w:r>
          </w:p>
        </w:tc>
        <w:tc>
          <w:tcPr>
            <w:tcW w:w="0" w:type="dxa"/>
            <w:vAlign w:val="bottom"/>
          </w:tcPr>
          <w:p>
            <w:pPr>
              <w:spacing w:after="0"/>
              <w:rPr>
                <w:sz w:val="1"/>
                <w:szCs w:val="1"/>
                <w:color w:val="auto"/>
              </w:rPr>
            </w:pPr>
          </w:p>
        </w:tc>
      </w:tr>
      <w:tr>
        <w:trPr>
          <w:trHeight w:val="270"/>
        </w:trPr>
        <w:tc>
          <w:tcPr>
            <w:tcW w:w="4280" w:type="dxa"/>
            <w:vAlign w:val="bottom"/>
            <w:shd w:val="clear" w:color="auto" w:fill="F2F3F2"/>
          </w:tcPr>
          <w:p>
            <w:pPr>
              <w:ind w:left="380"/>
              <w:spacing w:after="0"/>
              <w:rPr>
                <w:sz w:val="20"/>
                <w:szCs w:val="20"/>
                <w:color w:val="auto"/>
              </w:rPr>
            </w:pPr>
            <w:r>
              <w:rPr>
                <w:rFonts w:ascii="Arial" w:cs="Arial" w:eastAsia="Arial" w:hAnsi="Arial"/>
                <w:sz w:val="14"/>
                <w:szCs w:val="14"/>
                <w:color w:val="auto"/>
              </w:rPr>
              <w:t>2024 litigation settlement gain</w:t>
            </w:r>
          </w:p>
        </w:tc>
        <w:tc>
          <w:tcPr>
            <w:tcW w:w="1380" w:type="dxa"/>
            <w:vAlign w:val="bottom"/>
            <w:shd w:val="clear" w:color="auto" w:fill="F2F3F2"/>
          </w:tcPr>
          <w:p>
            <w:pPr>
              <w:spacing w:after="0"/>
              <w:rPr>
                <w:sz w:val="23"/>
                <w:szCs w:val="23"/>
                <w:color w:val="auto"/>
              </w:rPr>
            </w:pPr>
          </w:p>
        </w:tc>
        <w:tc>
          <w:tcPr>
            <w:tcW w:w="980" w:type="dxa"/>
            <w:vAlign w:val="bottom"/>
            <w:shd w:val="clear" w:color="auto" w:fill="F2F3F2"/>
          </w:tcPr>
          <w:p>
            <w:pPr>
              <w:jc w:val="right"/>
              <w:spacing w:after="0"/>
              <w:rPr>
                <w:sz w:val="20"/>
                <w:szCs w:val="20"/>
                <w:color w:val="auto"/>
              </w:rPr>
            </w:pPr>
            <w:r>
              <w:rPr>
                <w:rFonts w:ascii="Arial" w:cs="Arial" w:eastAsia="Arial" w:hAnsi="Arial"/>
                <w:sz w:val="14"/>
                <w:szCs w:val="14"/>
                <w:color w:val="auto"/>
              </w:rPr>
              <w:t>(11,701)</w:t>
            </w:r>
          </w:p>
        </w:tc>
        <w:tc>
          <w:tcPr>
            <w:tcW w:w="60" w:type="dxa"/>
            <w:vAlign w:val="bottom"/>
            <w:shd w:val="clear" w:color="auto" w:fill="F2F3F2"/>
          </w:tcPr>
          <w:p>
            <w:pPr>
              <w:spacing w:after="0"/>
              <w:rPr>
                <w:sz w:val="23"/>
                <w:szCs w:val="23"/>
                <w:color w:val="auto"/>
              </w:rPr>
            </w:pPr>
          </w:p>
        </w:tc>
        <w:tc>
          <w:tcPr>
            <w:tcW w:w="880" w:type="dxa"/>
            <w:vAlign w:val="bottom"/>
            <w:shd w:val="clear" w:color="auto" w:fill="F2F3F2"/>
          </w:tcPr>
          <w:p>
            <w:pPr>
              <w:spacing w:after="0"/>
              <w:rPr>
                <w:sz w:val="23"/>
                <w:szCs w:val="23"/>
                <w:color w:val="auto"/>
              </w:rPr>
            </w:pPr>
          </w:p>
        </w:tc>
        <w:tc>
          <w:tcPr>
            <w:tcW w:w="1500" w:type="dxa"/>
            <w:vAlign w:val="bottom"/>
            <w:shd w:val="clear" w:color="auto" w:fill="F2F3F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4280" w:type="dxa"/>
            <w:vAlign w:val="bottom"/>
          </w:tcPr>
          <w:p>
            <w:pPr>
              <w:ind w:left="380"/>
              <w:spacing w:after="0"/>
              <w:rPr>
                <w:sz w:val="20"/>
                <w:szCs w:val="20"/>
                <w:color w:val="auto"/>
              </w:rPr>
            </w:pPr>
            <w:r>
              <w:rPr>
                <w:rFonts w:ascii="Arial" w:cs="Arial" w:eastAsia="Arial" w:hAnsi="Arial"/>
                <w:sz w:val="14"/>
                <w:szCs w:val="14"/>
                <w:color w:val="auto"/>
              </w:rPr>
              <w:t>Other losses (gains), net</w:t>
            </w:r>
          </w:p>
        </w:tc>
        <w:tc>
          <w:tcPr>
            <w:tcW w:w="13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804</w:t>
            </w:r>
          </w:p>
        </w:tc>
        <w:tc>
          <w:tcPr>
            <w:tcW w:w="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(444)</w:t>
            </w:r>
          </w:p>
        </w:tc>
        <w:tc>
          <w:tcPr>
            <w:tcW w:w="0" w:type="dxa"/>
            <w:vAlign w:val="bottom"/>
          </w:tcPr>
          <w:p>
            <w:pPr>
              <w:spacing w:after="0"/>
              <w:rPr>
                <w:sz w:val="1"/>
                <w:szCs w:val="1"/>
                <w:color w:val="auto"/>
              </w:rPr>
            </w:pPr>
          </w:p>
        </w:tc>
      </w:tr>
      <w:tr>
        <w:trPr>
          <w:trHeight w:val="270"/>
        </w:trPr>
        <w:tc>
          <w:tcPr>
            <w:tcW w:w="4280" w:type="dxa"/>
            <w:vAlign w:val="bottom"/>
            <w:shd w:val="clear" w:color="auto" w:fill="F2F3F2"/>
          </w:tcPr>
          <w:p>
            <w:pPr>
              <w:ind w:left="380"/>
              <w:spacing w:after="0"/>
              <w:rPr>
                <w:sz w:val="20"/>
                <w:szCs w:val="20"/>
                <w:color w:val="auto"/>
              </w:rPr>
            </w:pPr>
            <w:r>
              <w:rPr>
                <w:rFonts w:ascii="Arial" w:cs="Arial" w:eastAsia="Arial" w:hAnsi="Arial"/>
                <w:sz w:val="14"/>
                <w:szCs w:val="14"/>
                <w:color w:val="auto"/>
              </w:rPr>
              <w:t>Transaction-related expenses</w:t>
            </w:r>
          </w:p>
        </w:tc>
        <w:tc>
          <w:tcPr>
            <w:tcW w:w="1380" w:type="dxa"/>
            <w:vAlign w:val="bottom"/>
            <w:shd w:val="clear" w:color="auto" w:fill="F2F3F2"/>
          </w:tcPr>
          <w:p>
            <w:pPr>
              <w:spacing w:after="0"/>
              <w:rPr>
                <w:sz w:val="23"/>
                <w:szCs w:val="23"/>
                <w:color w:val="auto"/>
              </w:rPr>
            </w:pPr>
          </w:p>
        </w:tc>
        <w:tc>
          <w:tcPr>
            <w:tcW w:w="980" w:type="dxa"/>
            <w:vAlign w:val="bottom"/>
            <w:shd w:val="clear" w:color="auto" w:fill="F2F3F2"/>
          </w:tcPr>
          <w:p>
            <w:pPr>
              <w:jc w:val="right"/>
              <w:spacing w:after="0"/>
              <w:rPr>
                <w:sz w:val="20"/>
                <w:szCs w:val="20"/>
                <w:color w:val="auto"/>
              </w:rPr>
            </w:pPr>
            <w:r>
              <w:rPr>
                <w:rFonts w:ascii="Arial" w:cs="Arial" w:eastAsia="Arial" w:hAnsi="Arial"/>
                <w:sz w:val="14"/>
                <w:szCs w:val="14"/>
                <w:color w:val="auto"/>
              </w:rPr>
              <w:t>2,861</w:t>
            </w:r>
          </w:p>
        </w:tc>
        <w:tc>
          <w:tcPr>
            <w:tcW w:w="60" w:type="dxa"/>
            <w:vAlign w:val="bottom"/>
            <w:shd w:val="clear" w:color="auto" w:fill="F2F3F2"/>
          </w:tcPr>
          <w:p>
            <w:pPr>
              <w:spacing w:after="0"/>
              <w:rPr>
                <w:sz w:val="23"/>
                <w:szCs w:val="23"/>
                <w:color w:val="auto"/>
              </w:rPr>
            </w:pPr>
          </w:p>
        </w:tc>
        <w:tc>
          <w:tcPr>
            <w:tcW w:w="880" w:type="dxa"/>
            <w:vAlign w:val="bottom"/>
            <w:shd w:val="clear" w:color="auto" w:fill="F2F3F2"/>
          </w:tcPr>
          <w:p>
            <w:pPr>
              <w:spacing w:after="0"/>
              <w:rPr>
                <w:sz w:val="23"/>
                <w:szCs w:val="23"/>
                <w:color w:val="auto"/>
              </w:rPr>
            </w:pPr>
          </w:p>
        </w:tc>
        <w:tc>
          <w:tcPr>
            <w:tcW w:w="1500" w:type="dxa"/>
            <w:vAlign w:val="bottom"/>
            <w:shd w:val="clear" w:color="auto" w:fill="F2F3F2"/>
          </w:tcPr>
          <w:p>
            <w:pPr>
              <w:jc w:val="right"/>
              <w:spacing w:after="0"/>
              <w:rPr>
                <w:sz w:val="20"/>
                <w:szCs w:val="20"/>
                <w:color w:val="auto"/>
              </w:rPr>
            </w:pPr>
            <w:r>
              <w:rPr>
                <w:rFonts w:ascii="Arial" w:cs="Arial" w:eastAsia="Arial" w:hAnsi="Arial"/>
                <w:sz w:val="14"/>
                <w:szCs w:val="14"/>
                <w:color w:val="auto"/>
              </w:rPr>
              <w:t>357</w:t>
            </w:r>
          </w:p>
        </w:tc>
        <w:tc>
          <w:tcPr>
            <w:tcW w:w="0" w:type="dxa"/>
            <w:vAlign w:val="bottom"/>
          </w:tcPr>
          <w:p>
            <w:pPr>
              <w:spacing w:after="0"/>
              <w:rPr>
                <w:sz w:val="1"/>
                <w:szCs w:val="1"/>
                <w:color w:val="auto"/>
              </w:rPr>
            </w:pPr>
          </w:p>
        </w:tc>
      </w:tr>
      <w:tr>
        <w:trPr>
          <w:trHeight w:val="270"/>
        </w:trPr>
        <w:tc>
          <w:tcPr>
            <w:tcW w:w="4280" w:type="dxa"/>
            <w:vAlign w:val="bottom"/>
          </w:tcPr>
          <w:p>
            <w:pPr>
              <w:ind w:left="380"/>
              <w:spacing w:after="0"/>
              <w:rPr>
                <w:sz w:val="20"/>
                <w:szCs w:val="20"/>
                <w:color w:val="auto"/>
              </w:rPr>
            </w:pPr>
            <w:r>
              <w:rPr>
                <w:rFonts w:ascii="Arial" w:cs="Arial" w:eastAsia="Arial" w:hAnsi="Arial"/>
                <w:sz w:val="14"/>
                <w:szCs w:val="14"/>
                <w:color w:val="auto"/>
              </w:rPr>
              <w:t>Unrealized loss on preferred stock investment</w:t>
            </w:r>
          </w:p>
        </w:tc>
        <w:tc>
          <w:tcPr>
            <w:tcW w:w="1380" w:type="dxa"/>
            <w:vAlign w:val="bottom"/>
          </w:tcPr>
          <w:p>
            <w:pPr>
              <w:spacing w:after="0"/>
              <w:rPr>
                <w:sz w:val="23"/>
                <w:szCs w:val="23"/>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8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26,262</w:t>
            </w:r>
          </w:p>
        </w:tc>
        <w:tc>
          <w:tcPr>
            <w:tcW w:w="0" w:type="dxa"/>
            <w:vAlign w:val="bottom"/>
          </w:tcPr>
          <w:p>
            <w:pPr>
              <w:spacing w:after="0"/>
              <w:rPr>
                <w:sz w:val="1"/>
                <w:szCs w:val="1"/>
                <w:color w:val="auto"/>
              </w:rPr>
            </w:pPr>
          </w:p>
        </w:tc>
      </w:tr>
      <w:tr>
        <w:trPr>
          <w:trHeight w:val="270"/>
        </w:trPr>
        <w:tc>
          <w:tcPr>
            <w:tcW w:w="4280" w:type="dxa"/>
            <w:vAlign w:val="bottom"/>
            <w:shd w:val="clear" w:color="auto" w:fill="F2F3F2"/>
          </w:tcPr>
          <w:p>
            <w:pPr>
              <w:ind w:left="380"/>
              <w:spacing w:after="0"/>
              <w:rPr>
                <w:sz w:val="20"/>
                <w:szCs w:val="20"/>
                <w:color w:val="auto"/>
              </w:rPr>
            </w:pPr>
            <w:r>
              <w:rPr>
                <w:rFonts w:ascii="Arial" w:cs="Arial" w:eastAsia="Arial" w:hAnsi="Arial"/>
                <w:sz w:val="14"/>
                <w:szCs w:val="14"/>
                <w:color w:val="auto"/>
              </w:rPr>
              <w:t>Gain on sale of business</w:t>
            </w:r>
          </w:p>
        </w:tc>
        <w:tc>
          <w:tcPr>
            <w:tcW w:w="1380" w:type="dxa"/>
            <w:vAlign w:val="bottom"/>
            <w:shd w:val="clear" w:color="auto" w:fill="F2F3F2"/>
          </w:tcPr>
          <w:p>
            <w:pPr>
              <w:spacing w:after="0"/>
              <w:rPr>
                <w:sz w:val="23"/>
                <w:szCs w:val="23"/>
                <w:color w:val="auto"/>
              </w:rPr>
            </w:pPr>
          </w:p>
        </w:tc>
        <w:tc>
          <w:tcPr>
            <w:tcW w:w="980" w:type="dxa"/>
            <w:vAlign w:val="bottom"/>
            <w:shd w:val="clear" w:color="auto" w:fill="F2F3F2"/>
          </w:tcPr>
          <w:p>
            <w:pPr>
              <w:jc w:val="right"/>
              <w:spacing w:after="0"/>
              <w:rPr>
                <w:sz w:val="20"/>
                <w:szCs w:val="20"/>
                <w:color w:val="auto"/>
              </w:rPr>
            </w:pPr>
            <w:r>
              <w:rPr>
                <w:rFonts w:ascii="Arial" w:cs="Arial" w:eastAsia="Arial" w:hAnsi="Arial"/>
                <w:sz w:val="14"/>
                <w:szCs w:val="14"/>
                <w:color w:val="auto"/>
              </w:rPr>
              <w:t>(3,597)</w:t>
            </w:r>
          </w:p>
        </w:tc>
        <w:tc>
          <w:tcPr>
            <w:tcW w:w="60" w:type="dxa"/>
            <w:vAlign w:val="bottom"/>
            <w:shd w:val="clear" w:color="auto" w:fill="F2F3F2"/>
          </w:tcPr>
          <w:p>
            <w:pPr>
              <w:spacing w:after="0"/>
              <w:rPr>
                <w:sz w:val="23"/>
                <w:szCs w:val="23"/>
                <w:color w:val="auto"/>
              </w:rPr>
            </w:pPr>
          </w:p>
        </w:tc>
        <w:tc>
          <w:tcPr>
            <w:tcW w:w="880" w:type="dxa"/>
            <w:vAlign w:val="bottom"/>
            <w:shd w:val="clear" w:color="auto" w:fill="F2F3F2"/>
          </w:tcPr>
          <w:p>
            <w:pPr>
              <w:spacing w:after="0"/>
              <w:rPr>
                <w:sz w:val="23"/>
                <w:szCs w:val="23"/>
                <w:color w:val="auto"/>
              </w:rPr>
            </w:pPr>
          </w:p>
        </w:tc>
        <w:tc>
          <w:tcPr>
            <w:tcW w:w="1500" w:type="dxa"/>
            <w:vAlign w:val="bottom"/>
            <w:shd w:val="clear" w:color="auto" w:fill="F2F3F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4280" w:type="dxa"/>
            <w:vAlign w:val="bottom"/>
            <w:tcBorders>
              <w:bottom w:val="single" w:sz="8" w:color="F2F3F2"/>
            </w:tcBorders>
          </w:tcPr>
          <w:p>
            <w:pPr>
              <w:ind w:left="380"/>
              <w:spacing w:after="0"/>
              <w:rPr>
                <w:sz w:val="20"/>
                <w:szCs w:val="20"/>
                <w:color w:val="auto"/>
              </w:rPr>
            </w:pPr>
            <w:r>
              <w:rPr>
                <w:rFonts w:ascii="Arial" w:cs="Arial" w:eastAsia="Arial" w:hAnsi="Arial"/>
                <w:sz w:val="14"/>
                <w:szCs w:val="14"/>
                <w:color w:val="auto"/>
              </w:rPr>
              <w:t>Tax effect of adjustments</w:t>
            </w:r>
          </w:p>
        </w:tc>
        <w:tc>
          <w:tcPr>
            <w:tcW w:w="13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(977)</w:t>
            </w:r>
          </w:p>
        </w:tc>
        <w:tc>
          <w:tcPr>
            <w:tcW w:w="60" w:type="dxa"/>
            <w:vAlign w:val="bottom"/>
            <w:tcBorders>
              <w:bottom w:val="single" w:sz="8" w:color="F2F3F2"/>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(12,175)</w:t>
            </w:r>
          </w:p>
        </w:tc>
        <w:tc>
          <w:tcPr>
            <w:tcW w:w="0" w:type="dxa"/>
            <w:vAlign w:val="bottom"/>
          </w:tcPr>
          <w:p>
            <w:pPr>
              <w:spacing w:after="0"/>
              <w:rPr>
                <w:sz w:val="1"/>
                <w:szCs w:val="1"/>
                <w:color w:val="auto"/>
              </w:rPr>
            </w:pPr>
          </w:p>
        </w:tc>
      </w:tr>
      <w:tr>
        <w:trPr>
          <w:trHeight w:val="250"/>
        </w:trPr>
        <w:tc>
          <w:tcPr>
            <w:tcW w:w="4280" w:type="dxa"/>
            <w:vAlign w:val="bottom"/>
            <w:shd w:val="clear" w:color="auto" w:fill="F2F3F2"/>
          </w:tcPr>
          <w:p>
            <w:pPr>
              <w:ind w:left="700"/>
              <w:spacing w:after="0"/>
              <w:rPr>
                <w:sz w:val="20"/>
                <w:szCs w:val="20"/>
                <w:color w:val="auto"/>
              </w:rPr>
            </w:pPr>
            <w:r>
              <w:rPr>
                <w:rFonts w:ascii="Arial" w:cs="Arial" w:eastAsia="Arial" w:hAnsi="Arial"/>
                <w:sz w:val="14"/>
                <w:szCs w:val="14"/>
                <w:color w:val="auto"/>
              </w:rPr>
              <w:t>Total adjustments, net of tax</w:t>
            </w:r>
          </w:p>
        </w:tc>
        <w:tc>
          <w:tcPr>
            <w:tcW w:w="1380" w:type="dxa"/>
            <w:vAlign w:val="bottom"/>
            <w:tcBorders>
              <w:bottom w:val="single" w:sz="8" w:color="auto"/>
            </w:tcBorders>
            <w:shd w:val="clear" w:color="auto" w:fill="F2F3F2"/>
          </w:tcPr>
          <w:p>
            <w:pPr>
              <w:spacing w:after="0"/>
              <w:rPr>
                <w:sz w:val="21"/>
                <w:szCs w:val="21"/>
                <w:color w:val="auto"/>
              </w:rPr>
            </w:pPr>
          </w:p>
        </w:tc>
        <w:tc>
          <w:tcPr>
            <w:tcW w:w="980" w:type="dxa"/>
            <w:vAlign w:val="bottom"/>
            <w:tcBorders>
              <w:bottom w:val="single" w:sz="8" w:color="auto"/>
            </w:tcBorders>
            <w:shd w:val="clear" w:color="auto" w:fill="F2F3F2"/>
          </w:tcPr>
          <w:p>
            <w:pPr>
              <w:jc w:val="right"/>
              <w:spacing w:after="0"/>
              <w:rPr>
                <w:sz w:val="20"/>
                <w:szCs w:val="20"/>
                <w:color w:val="auto"/>
              </w:rPr>
            </w:pPr>
            <w:r>
              <w:rPr>
                <w:rFonts w:ascii="Arial" w:cs="Arial" w:eastAsia="Arial" w:hAnsi="Arial"/>
                <w:sz w:val="14"/>
                <w:szCs w:val="14"/>
                <w:color w:val="auto"/>
              </w:rPr>
              <w:t>3,820</w:t>
            </w:r>
          </w:p>
        </w:tc>
        <w:tc>
          <w:tcPr>
            <w:tcW w:w="60" w:type="dxa"/>
            <w:vAlign w:val="bottom"/>
            <w:shd w:val="clear" w:color="auto" w:fill="F2F3F2"/>
          </w:tcPr>
          <w:p>
            <w:pPr>
              <w:spacing w:after="0"/>
              <w:rPr>
                <w:sz w:val="21"/>
                <w:szCs w:val="21"/>
                <w:color w:val="auto"/>
              </w:rPr>
            </w:pPr>
          </w:p>
        </w:tc>
        <w:tc>
          <w:tcPr>
            <w:tcW w:w="880" w:type="dxa"/>
            <w:vAlign w:val="bottom"/>
            <w:tcBorders>
              <w:bottom w:val="single" w:sz="8" w:color="auto"/>
            </w:tcBorders>
            <w:shd w:val="clear" w:color="auto" w:fill="F2F3F2"/>
          </w:tcPr>
          <w:p>
            <w:pPr>
              <w:spacing w:after="0"/>
              <w:rPr>
                <w:sz w:val="21"/>
                <w:szCs w:val="21"/>
                <w:color w:val="auto"/>
              </w:rPr>
            </w:pPr>
          </w:p>
        </w:tc>
        <w:tc>
          <w:tcPr>
            <w:tcW w:w="1500" w:type="dxa"/>
            <w:vAlign w:val="bottom"/>
            <w:tcBorders>
              <w:bottom w:val="single" w:sz="8" w:color="auto"/>
            </w:tcBorders>
            <w:shd w:val="clear" w:color="auto" w:fill="F2F3F2"/>
          </w:tcPr>
          <w:p>
            <w:pPr>
              <w:jc w:val="right"/>
              <w:spacing w:after="0"/>
              <w:rPr>
                <w:sz w:val="20"/>
                <w:szCs w:val="20"/>
                <w:color w:val="auto"/>
              </w:rPr>
            </w:pPr>
            <w:r>
              <w:rPr>
                <w:rFonts w:ascii="Arial" w:cs="Arial" w:eastAsia="Arial" w:hAnsi="Arial"/>
                <w:sz w:val="14"/>
                <w:szCs w:val="14"/>
                <w:color w:val="auto"/>
              </w:rPr>
              <w:t>33,769</w:t>
            </w:r>
          </w:p>
        </w:tc>
        <w:tc>
          <w:tcPr>
            <w:tcW w:w="0" w:type="dxa"/>
            <w:vAlign w:val="bottom"/>
          </w:tcPr>
          <w:p>
            <w:pPr>
              <w:spacing w:after="0"/>
              <w:rPr>
                <w:sz w:val="1"/>
                <w:szCs w:val="1"/>
                <w:color w:val="auto"/>
              </w:rPr>
            </w:pPr>
          </w:p>
        </w:tc>
      </w:tr>
      <w:tr>
        <w:trPr>
          <w:trHeight w:val="223"/>
        </w:trPr>
        <w:tc>
          <w:tcPr>
            <w:tcW w:w="4280" w:type="dxa"/>
            <w:vAlign w:val="bottom"/>
          </w:tcPr>
          <w:p>
            <w:pPr>
              <w:ind w:left="140"/>
              <w:spacing w:after="0"/>
              <w:rPr>
                <w:sz w:val="20"/>
                <w:szCs w:val="20"/>
                <w:color w:val="auto"/>
              </w:rPr>
            </w:pPr>
            <w:r>
              <w:rPr>
                <w:rFonts w:ascii="Arial" w:cs="Arial" w:eastAsia="Arial" w:hAnsi="Arial"/>
                <w:sz w:val="14"/>
                <w:szCs w:val="14"/>
                <w:b w:val="1"/>
                <w:bCs w:val="1"/>
                <w:color w:val="auto"/>
              </w:rPr>
              <w:t>Adjusted net income</w:t>
            </w:r>
          </w:p>
        </w:tc>
        <w:tc>
          <w:tcPr>
            <w:tcW w:w="1380" w:type="dxa"/>
            <w:vAlign w:val="bottom"/>
            <w:tcBorders>
              <w:bottom w:val="single" w:sz="8" w:color="auto"/>
            </w:tcBorders>
          </w:tcPr>
          <w:p>
            <w:pPr>
              <w:jc w:val="right"/>
              <w:ind w:right="118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120,446</w:t>
            </w:r>
          </w:p>
        </w:tc>
        <w:tc>
          <w:tcPr>
            <w:tcW w:w="60" w:type="dxa"/>
            <w:vAlign w:val="bottom"/>
          </w:tcPr>
          <w:p>
            <w:pPr>
              <w:spacing w:after="0"/>
              <w:rPr>
                <w:sz w:val="19"/>
                <w:szCs w:val="19"/>
                <w:color w:val="auto"/>
              </w:rPr>
            </w:pPr>
          </w:p>
        </w:tc>
        <w:tc>
          <w:tcPr>
            <w:tcW w:w="88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96,248</w:t>
            </w:r>
          </w:p>
        </w:tc>
        <w:tc>
          <w:tcPr>
            <w:tcW w:w="0" w:type="dxa"/>
            <w:vAlign w:val="bottom"/>
          </w:tcPr>
          <w:p>
            <w:pPr>
              <w:spacing w:after="0"/>
              <w:rPr>
                <w:sz w:val="1"/>
                <w:szCs w:val="1"/>
                <w:color w:val="auto"/>
              </w:rPr>
            </w:pPr>
          </w:p>
        </w:tc>
      </w:tr>
      <w:tr>
        <w:trPr>
          <w:trHeight w:val="20"/>
        </w:trPr>
        <w:tc>
          <w:tcPr>
            <w:tcW w:w="4280" w:type="dxa"/>
            <w:vAlign w:val="bottom"/>
            <w:tcBorders>
              <w:bottom w:val="single" w:sz="8" w:color="F2F3F2"/>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F2F3F2"/>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280" w:type="dxa"/>
            <w:vAlign w:val="bottom"/>
            <w:shd w:val="clear" w:color="auto" w:fill="F2F3F2"/>
          </w:tcPr>
          <w:p>
            <w:pPr>
              <w:ind w:left="140"/>
              <w:spacing w:after="0"/>
              <w:rPr>
                <w:sz w:val="20"/>
                <w:szCs w:val="20"/>
                <w:color w:val="auto"/>
              </w:rPr>
            </w:pPr>
            <w:r>
              <w:rPr>
                <w:rFonts w:ascii="Arial" w:cs="Arial" w:eastAsia="Arial" w:hAnsi="Arial"/>
                <w:sz w:val="14"/>
                <w:szCs w:val="14"/>
                <w:b w:val="1"/>
                <w:bCs w:val="1"/>
                <w:color w:val="auto"/>
              </w:rPr>
              <w:t>Adjusted weighted average shares - diluted</w:t>
            </w:r>
          </w:p>
        </w:tc>
        <w:tc>
          <w:tcPr>
            <w:tcW w:w="1380" w:type="dxa"/>
            <w:vAlign w:val="bottom"/>
            <w:shd w:val="clear" w:color="auto" w:fill="F2F3F2"/>
          </w:tcPr>
          <w:p>
            <w:pPr>
              <w:spacing w:after="0"/>
              <w:rPr>
                <w:sz w:val="20"/>
                <w:szCs w:val="20"/>
                <w:color w:val="auto"/>
              </w:rPr>
            </w:pPr>
          </w:p>
        </w:tc>
        <w:tc>
          <w:tcPr>
            <w:tcW w:w="980" w:type="dxa"/>
            <w:vAlign w:val="bottom"/>
            <w:shd w:val="clear" w:color="auto" w:fill="F2F3F2"/>
          </w:tcPr>
          <w:p>
            <w:pPr>
              <w:jc w:val="right"/>
              <w:spacing w:after="0"/>
              <w:rPr>
                <w:sz w:val="20"/>
                <w:szCs w:val="20"/>
                <w:color w:val="auto"/>
              </w:rPr>
            </w:pPr>
            <w:r>
              <w:rPr>
                <w:rFonts w:ascii="Arial" w:cs="Arial" w:eastAsia="Arial" w:hAnsi="Arial"/>
                <w:sz w:val="14"/>
                <w:szCs w:val="14"/>
                <w:color w:val="auto"/>
              </w:rPr>
              <w:t>18,613</w:t>
            </w:r>
          </w:p>
        </w:tc>
        <w:tc>
          <w:tcPr>
            <w:tcW w:w="60" w:type="dxa"/>
            <w:vAlign w:val="bottom"/>
            <w:shd w:val="clear" w:color="auto" w:fill="F2F3F2"/>
          </w:tcPr>
          <w:p>
            <w:pPr>
              <w:spacing w:after="0"/>
              <w:rPr>
                <w:sz w:val="20"/>
                <w:szCs w:val="20"/>
                <w:color w:val="auto"/>
              </w:rPr>
            </w:pPr>
          </w:p>
        </w:tc>
        <w:tc>
          <w:tcPr>
            <w:tcW w:w="880" w:type="dxa"/>
            <w:vAlign w:val="bottom"/>
            <w:shd w:val="clear" w:color="auto" w:fill="F2F3F2"/>
          </w:tcPr>
          <w:p>
            <w:pPr>
              <w:spacing w:after="0"/>
              <w:rPr>
                <w:sz w:val="20"/>
                <w:szCs w:val="20"/>
                <w:color w:val="auto"/>
              </w:rPr>
            </w:pPr>
          </w:p>
        </w:tc>
        <w:tc>
          <w:tcPr>
            <w:tcW w:w="1500" w:type="dxa"/>
            <w:vAlign w:val="bottom"/>
            <w:shd w:val="clear" w:color="auto" w:fill="F2F3F2"/>
          </w:tcPr>
          <w:p>
            <w:pPr>
              <w:jc w:val="right"/>
              <w:spacing w:after="0"/>
              <w:rPr>
                <w:sz w:val="20"/>
                <w:szCs w:val="20"/>
                <w:color w:val="auto"/>
              </w:rPr>
            </w:pPr>
            <w:r>
              <w:rPr>
                <w:rFonts w:ascii="Arial" w:cs="Arial" w:eastAsia="Arial" w:hAnsi="Arial"/>
                <w:sz w:val="14"/>
                <w:szCs w:val="14"/>
                <w:color w:val="auto"/>
              </w:rPr>
              <w:t>19,601</w:t>
            </w:r>
          </w:p>
        </w:tc>
        <w:tc>
          <w:tcPr>
            <w:tcW w:w="0" w:type="dxa"/>
            <w:vAlign w:val="bottom"/>
          </w:tcPr>
          <w:p>
            <w:pPr>
              <w:spacing w:after="0"/>
              <w:rPr>
                <w:sz w:val="1"/>
                <w:szCs w:val="1"/>
                <w:color w:val="auto"/>
              </w:rPr>
            </w:pPr>
          </w:p>
        </w:tc>
      </w:tr>
      <w:tr>
        <w:trPr>
          <w:trHeight w:val="243"/>
        </w:trPr>
        <w:tc>
          <w:tcPr>
            <w:tcW w:w="4280" w:type="dxa"/>
            <w:vAlign w:val="bottom"/>
          </w:tcPr>
          <w:p>
            <w:pPr>
              <w:ind w:left="140"/>
              <w:spacing w:after="0"/>
              <w:rPr>
                <w:sz w:val="20"/>
                <w:szCs w:val="20"/>
                <w:color w:val="auto"/>
              </w:rPr>
            </w:pPr>
            <w:r>
              <w:rPr>
                <w:rFonts w:ascii="Arial" w:cs="Arial" w:eastAsia="Arial" w:hAnsi="Arial"/>
                <w:sz w:val="14"/>
                <w:szCs w:val="14"/>
                <w:b w:val="1"/>
                <w:bCs w:val="1"/>
                <w:color w:val="auto"/>
              </w:rPr>
              <w:t>Adjusted diluted earnings per share</w:t>
            </w:r>
          </w:p>
        </w:tc>
        <w:tc>
          <w:tcPr>
            <w:tcW w:w="1380" w:type="dxa"/>
            <w:vAlign w:val="bottom"/>
            <w:tcBorders>
              <w:bottom w:val="single" w:sz="8" w:color="auto"/>
            </w:tcBorders>
          </w:tcPr>
          <w:p>
            <w:pPr>
              <w:jc w:val="right"/>
              <w:ind w:right="118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6.47</w:t>
            </w:r>
          </w:p>
        </w:tc>
        <w:tc>
          <w:tcPr>
            <w:tcW w:w="60" w:type="dxa"/>
            <w:vAlign w:val="bottom"/>
          </w:tcPr>
          <w:p>
            <w:pPr>
              <w:spacing w:after="0"/>
              <w:rPr>
                <w:sz w:val="21"/>
                <w:szCs w:val="21"/>
                <w:color w:val="auto"/>
              </w:rPr>
            </w:pPr>
          </w:p>
        </w:tc>
        <w:tc>
          <w:tcPr>
            <w:tcW w:w="88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4.91</w:t>
            </w:r>
          </w:p>
        </w:tc>
        <w:tc>
          <w:tcPr>
            <w:tcW w:w="0" w:type="dxa"/>
            <w:vAlign w:val="bottom"/>
          </w:tcPr>
          <w:p>
            <w:pPr>
              <w:spacing w:after="0"/>
              <w:rPr>
                <w:sz w:val="1"/>
                <w:szCs w:val="1"/>
                <w:color w:val="auto"/>
              </w:rPr>
            </w:pPr>
          </w:p>
        </w:tc>
      </w:tr>
      <w:tr>
        <w:trPr>
          <w:trHeight w:val="21"/>
        </w:trPr>
        <w:tc>
          <w:tcPr>
            <w:tcW w:w="4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9080"/>
          </w:cols>
          <w:pgMar w:left="1400" w:top="111" w:right="1419" w:bottom="69" w:gutter="0" w:footer="0" w:header="0"/>
          <w:type w:val="continuous"/>
        </w:sectPr>
      </w:pPr>
    </w:p>
    <w:bookmarkStart w:id="107" w:name="page108"/>
    <w:bookmarkEnd w:id="107"/>
    <w:p>
      <w:pPr>
        <w:spacing w:after="0" w:line="1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12706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10375" cy="1270635"/>
                    </a:xfrm>
                    <a:prstGeom prst="rect">
                      <a:avLst/>
                    </a:prstGeom>
                    <a:noFill/>
                  </pic:spPr>
                </pic:pic>
              </a:graphicData>
            </a:graphic>
          </wp:anchor>
        </w:drawing>
      </w:r>
    </w:p>
    <w:p>
      <w:pPr>
        <w:ind w:left="60"/>
        <w:spacing w:after="0"/>
        <w:tabs>
          <w:tab w:leader="none" w:pos="442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13"/>
          <w:szCs w:val="13"/>
          <w:b w:val="1"/>
          <w:bCs w:val="1"/>
          <w:color w:val="00558C"/>
        </w:rPr>
        <w:t>C-3</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351790</wp:posOffset>
            </wp:positionV>
            <wp:extent cx="6810375" cy="886777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540" w:val="left"/>
          <w:tab w:leader="none" w:pos="7360" w:val="left"/>
          <w:tab w:leader="none" w:pos="8400" w:val="left"/>
        </w:tabs>
        <w:rPr>
          <w:sz w:val="20"/>
          <w:szCs w:val="20"/>
          <w:color w:val="auto"/>
        </w:rPr>
      </w:pPr>
      <w:r>
        <w:rPr>
          <w:rFonts w:ascii="Arial" w:cs="Arial" w:eastAsia="Arial" w:hAnsi="Arial"/>
          <w:sz w:val="13"/>
          <w:szCs w:val="13"/>
          <w:b w:val="1"/>
          <w:bCs w:val="1"/>
          <w:color w:val="B2B3B6"/>
        </w:rPr>
        <w:t>General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Corporate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Executive</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Proposal</w:t>
      </w:r>
      <w:r>
        <w:rPr>
          <w:sz w:val="20"/>
          <w:szCs w:val="20"/>
          <w:color w:val="auto"/>
        </w:rPr>
        <w:tab/>
      </w:r>
      <w:r>
        <w:rPr>
          <w:rFonts w:ascii="Arial" w:cs="Arial" w:eastAsia="Arial" w:hAnsi="Arial"/>
          <w:sz w:val="13"/>
          <w:szCs w:val="13"/>
          <w:b w:val="1"/>
          <w:bCs w:val="1"/>
          <w:color w:val="B2B3B6"/>
        </w:rPr>
        <w:t>Stockholder</w:t>
      </w:r>
      <w:r>
        <w:rPr>
          <w:sz w:val="20"/>
          <w:szCs w:val="20"/>
          <w:color w:val="auto"/>
        </w:rPr>
        <w:tab/>
      </w:r>
      <w:r>
        <w:rPr>
          <w:rFonts w:ascii="Arial" w:cs="Arial" w:eastAsia="Arial" w:hAnsi="Arial"/>
          <w:sz w:val="12"/>
          <w:szCs w:val="12"/>
          <w:b w:val="1"/>
          <w:bCs w:val="1"/>
          <w:color w:val="6AAA37"/>
        </w:rPr>
        <w:t>Other</w:t>
      </w:r>
    </w:p>
    <w:p>
      <w:pPr>
        <w:spacing w:after="0" w:line="11" w:lineRule="exact"/>
        <w:rPr>
          <w:sz w:val="20"/>
          <w:szCs w:val="20"/>
          <w:color w:val="auto"/>
        </w:rPr>
      </w:pPr>
    </w:p>
    <w:p>
      <w:pPr>
        <w:ind w:left="60"/>
        <w:spacing w:after="0"/>
        <w:tabs>
          <w:tab w:leader="none" w:pos="1040" w:val="left"/>
          <w:tab w:leader="none" w:pos="1880" w:val="left"/>
          <w:tab w:leader="none" w:pos="2880" w:val="left"/>
          <w:tab w:leader="none" w:pos="3700" w:val="left"/>
          <w:tab w:leader="none" w:pos="4900" w:val="left"/>
          <w:tab w:leader="none" w:pos="5720" w:val="left"/>
          <w:tab w:leader="none" w:pos="6540" w:val="left"/>
          <w:tab w:leader="none" w:pos="7360" w:val="left"/>
          <w:tab w:leader="none" w:pos="8400" w:val="left"/>
        </w:tabs>
        <w:rPr>
          <w:sz w:val="20"/>
          <w:szCs w:val="20"/>
          <w:color w:val="auto"/>
        </w:rPr>
      </w:pPr>
      <w:r>
        <w:rPr>
          <w:rFonts w:ascii="Arial" w:cs="Arial" w:eastAsia="Arial" w:hAnsi="Arial"/>
          <w:sz w:val="13"/>
          <w:szCs w:val="13"/>
          <w:b w:val="1"/>
          <w:bCs w:val="1"/>
          <w:color w:val="B2B3B6"/>
        </w:rPr>
        <w:t>Information</w:t>
      </w:r>
      <w:r>
        <w:rPr>
          <w:sz w:val="20"/>
          <w:szCs w:val="20"/>
          <w:color w:val="auto"/>
        </w:rPr>
        <w:tab/>
      </w:r>
      <w:r>
        <w:rPr>
          <w:rFonts w:ascii="Arial" w:cs="Arial" w:eastAsia="Arial" w:hAnsi="Arial"/>
          <w:sz w:val="13"/>
          <w:szCs w:val="13"/>
          <w:b w:val="1"/>
          <w:bCs w:val="1"/>
          <w:color w:val="B2B3B6"/>
        </w:rPr>
        <w:t>One</w:t>
      </w:r>
      <w:r>
        <w:rPr>
          <w:sz w:val="20"/>
          <w:szCs w:val="20"/>
          <w:color w:val="auto"/>
        </w:rPr>
        <w:tab/>
      </w:r>
      <w:r>
        <w:rPr>
          <w:rFonts w:ascii="Arial" w:cs="Arial" w:eastAsia="Arial" w:hAnsi="Arial"/>
          <w:sz w:val="13"/>
          <w:szCs w:val="13"/>
          <w:b w:val="1"/>
          <w:bCs w:val="1"/>
          <w:color w:val="B2B3B6"/>
        </w:rPr>
        <w:t>Governance</w:t>
      </w:r>
      <w:r>
        <w:rPr>
          <w:sz w:val="20"/>
          <w:szCs w:val="20"/>
          <w:color w:val="auto"/>
        </w:rPr>
        <w:tab/>
      </w:r>
      <w:r>
        <w:rPr>
          <w:rFonts w:ascii="Arial" w:cs="Arial" w:eastAsia="Arial" w:hAnsi="Arial"/>
          <w:sz w:val="13"/>
          <w:szCs w:val="13"/>
          <w:b w:val="1"/>
          <w:bCs w:val="1"/>
          <w:color w:val="B2B3B6"/>
        </w:rPr>
        <w:t>Two</w:t>
      </w:r>
      <w:r>
        <w:rPr>
          <w:sz w:val="20"/>
          <w:szCs w:val="20"/>
          <w:color w:val="auto"/>
        </w:rPr>
        <w:tab/>
      </w:r>
      <w:r>
        <w:rPr>
          <w:rFonts w:ascii="Arial" w:cs="Arial" w:eastAsia="Arial" w:hAnsi="Arial"/>
          <w:sz w:val="13"/>
          <w:szCs w:val="13"/>
          <w:b w:val="1"/>
          <w:bCs w:val="1"/>
          <w:color w:val="B2B3B6"/>
        </w:rPr>
        <w:t>Compensation</w:t>
      </w:r>
      <w:r>
        <w:rPr>
          <w:sz w:val="20"/>
          <w:szCs w:val="20"/>
          <w:color w:val="auto"/>
        </w:rPr>
        <w:tab/>
      </w:r>
      <w:r>
        <w:rPr>
          <w:rFonts w:ascii="Arial" w:cs="Arial" w:eastAsia="Arial" w:hAnsi="Arial"/>
          <w:sz w:val="13"/>
          <w:szCs w:val="13"/>
          <w:b w:val="1"/>
          <w:bCs w:val="1"/>
          <w:color w:val="B2B3B6"/>
        </w:rPr>
        <w:t>Three</w:t>
      </w:r>
      <w:r>
        <w:rPr>
          <w:sz w:val="20"/>
          <w:szCs w:val="20"/>
          <w:color w:val="auto"/>
        </w:rPr>
        <w:tab/>
      </w:r>
      <w:r>
        <w:rPr>
          <w:rFonts w:ascii="Arial" w:cs="Arial" w:eastAsia="Arial" w:hAnsi="Arial"/>
          <w:sz w:val="13"/>
          <w:szCs w:val="13"/>
          <w:b w:val="1"/>
          <w:bCs w:val="1"/>
          <w:color w:val="B2B3B6"/>
        </w:rPr>
        <w:t>Four</w:t>
      </w:r>
      <w:r>
        <w:rPr>
          <w:sz w:val="20"/>
          <w:szCs w:val="20"/>
          <w:color w:val="auto"/>
        </w:rPr>
        <w:tab/>
      </w:r>
      <w:r>
        <w:rPr>
          <w:rFonts w:ascii="Arial" w:cs="Arial" w:eastAsia="Arial" w:hAnsi="Arial"/>
          <w:sz w:val="13"/>
          <w:szCs w:val="13"/>
          <w:b w:val="1"/>
          <w:bCs w:val="1"/>
          <w:color w:val="B2B3B6"/>
        </w:rPr>
        <w:t>Five</w:t>
      </w:r>
      <w:r>
        <w:rPr>
          <w:sz w:val="20"/>
          <w:szCs w:val="20"/>
          <w:color w:val="auto"/>
        </w:rPr>
        <w:tab/>
      </w:r>
      <w:r>
        <w:rPr>
          <w:rFonts w:ascii="Arial" w:cs="Arial" w:eastAsia="Arial" w:hAnsi="Arial"/>
          <w:sz w:val="13"/>
          <w:szCs w:val="13"/>
          <w:b w:val="1"/>
          <w:bCs w:val="1"/>
          <w:color w:val="B2B3B6"/>
        </w:rPr>
        <w:t>Proposals</w:t>
      </w:r>
      <w:r>
        <w:rPr>
          <w:sz w:val="20"/>
          <w:szCs w:val="20"/>
          <w:color w:val="auto"/>
        </w:rPr>
        <w:tab/>
      </w:r>
      <w:r>
        <w:rPr>
          <w:rFonts w:ascii="Arial" w:cs="Arial" w:eastAsia="Arial" w:hAnsi="Arial"/>
          <w:sz w:val="12"/>
          <w:szCs w:val="12"/>
          <w:b w:val="1"/>
          <w:bCs w:val="1"/>
          <w:color w:val="6AAA37"/>
        </w:rPr>
        <w:t>Matters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Net Cash Provided by Operating Activities to Free Cash Flow</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280" w:type="dxa"/>
            <w:vAlign w:val="bottom"/>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Year Ended December 31</w:t>
            </w:r>
          </w:p>
        </w:tc>
        <w:tc>
          <w:tcPr>
            <w:tcW w:w="15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280" w:type="dxa"/>
            <w:vAlign w:val="bottom"/>
            <w:tcBorders>
              <w:bottom w:val="single" w:sz="8" w:color="F2F3F2"/>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980" w:type="dxa"/>
            <w:vAlign w:val="bottom"/>
            <w:tcBorders>
              <w:bottom w:val="single" w:sz="8" w:color="auto"/>
            </w:tcBorders>
          </w:tcPr>
          <w:p>
            <w:pPr>
              <w:spacing w:after="0"/>
              <w:rPr>
                <w:sz w:val="20"/>
                <w:szCs w:val="20"/>
                <w:color w:val="auto"/>
              </w:rPr>
            </w:pPr>
          </w:p>
        </w:tc>
        <w:tc>
          <w:tcPr>
            <w:tcW w:w="60" w:type="dxa"/>
            <w:vAlign w:val="bottom"/>
            <w:tcBorders>
              <w:bottom w:val="single" w:sz="8" w:color="F2F3F2"/>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968"/>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54"/>
        </w:trPr>
        <w:tc>
          <w:tcPr>
            <w:tcW w:w="4280" w:type="dxa"/>
            <w:vAlign w:val="bottom"/>
            <w:tcBorders>
              <w:bottom w:val="single" w:sz="8" w:color="F2F3F2"/>
            </w:tcBorders>
            <w:shd w:val="clear" w:color="auto" w:fill="F2F3F2"/>
          </w:tcPr>
          <w:p>
            <w:pPr>
              <w:ind w:left="140"/>
              <w:spacing w:after="0"/>
              <w:rPr>
                <w:sz w:val="20"/>
                <w:szCs w:val="20"/>
                <w:color w:val="auto"/>
              </w:rPr>
            </w:pPr>
            <w:r>
              <w:rPr>
                <w:rFonts w:ascii="Arial" w:cs="Arial" w:eastAsia="Arial" w:hAnsi="Arial"/>
                <w:sz w:val="14"/>
                <w:szCs w:val="14"/>
                <w:b w:val="1"/>
                <w:bCs w:val="1"/>
                <w:color w:val="auto"/>
              </w:rPr>
              <w:t>Net cash provided by operating activities</w:t>
            </w:r>
          </w:p>
        </w:tc>
        <w:tc>
          <w:tcPr>
            <w:tcW w:w="1380" w:type="dxa"/>
            <w:vAlign w:val="bottom"/>
            <w:tcBorders>
              <w:bottom w:val="single" w:sz="8" w:color="auto"/>
            </w:tcBorders>
            <w:shd w:val="clear" w:color="auto" w:fill="F2F3F2"/>
          </w:tcPr>
          <w:p>
            <w:pPr>
              <w:jc w:val="right"/>
              <w:ind w:right="118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F2F3F2"/>
          </w:tcPr>
          <w:p>
            <w:pPr>
              <w:jc w:val="right"/>
              <w:spacing w:after="0"/>
              <w:rPr>
                <w:sz w:val="20"/>
                <w:szCs w:val="20"/>
                <w:color w:val="auto"/>
              </w:rPr>
            </w:pPr>
            <w:r>
              <w:rPr>
                <w:rFonts w:ascii="Arial" w:cs="Arial" w:eastAsia="Arial" w:hAnsi="Arial"/>
                <w:sz w:val="14"/>
                <w:szCs w:val="14"/>
                <w:color w:val="auto"/>
              </w:rPr>
              <w:t>201,319</w:t>
            </w:r>
          </w:p>
        </w:tc>
        <w:tc>
          <w:tcPr>
            <w:tcW w:w="60" w:type="dxa"/>
            <w:vAlign w:val="bottom"/>
            <w:tcBorders>
              <w:bottom w:val="single" w:sz="8" w:color="F2F3F2"/>
            </w:tcBorders>
            <w:shd w:val="clear" w:color="auto" w:fill="F2F3F2"/>
          </w:tcPr>
          <w:p>
            <w:pPr>
              <w:spacing w:after="0"/>
              <w:rPr>
                <w:sz w:val="21"/>
                <w:szCs w:val="21"/>
                <w:color w:val="auto"/>
              </w:rPr>
            </w:pPr>
          </w:p>
        </w:tc>
        <w:tc>
          <w:tcPr>
            <w:tcW w:w="880" w:type="dxa"/>
            <w:vAlign w:val="bottom"/>
            <w:tcBorders>
              <w:bottom w:val="single" w:sz="8" w:color="auto"/>
            </w:tcBorders>
            <w:shd w:val="clear" w:color="auto" w:fill="F2F3F2"/>
          </w:tcPr>
          <w:p>
            <w:pPr>
              <w:jc w:val="right"/>
              <w:ind w:right="66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shd w:val="clear" w:color="auto" w:fill="F2F3F2"/>
          </w:tcPr>
          <w:p>
            <w:pPr>
              <w:jc w:val="right"/>
              <w:spacing w:after="0"/>
              <w:rPr>
                <w:sz w:val="20"/>
                <w:szCs w:val="20"/>
                <w:color w:val="auto"/>
              </w:rPr>
            </w:pPr>
            <w:r>
              <w:rPr>
                <w:rFonts w:ascii="Arial" w:cs="Arial" w:eastAsia="Arial" w:hAnsi="Arial"/>
                <w:sz w:val="14"/>
                <w:szCs w:val="14"/>
                <w:color w:val="auto"/>
              </w:rPr>
              <w:t>135,262</w:t>
            </w:r>
          </w:p>
        </w:tc>
        <w:tc>
          <w:tcPr>
            <w:tcW w:w="0" w:type="dxa"/>
            <w:vAlign w:val="bottom"/>
          </w:tcPr>
          <w:p>
            <w:pPr>
              <w:spacing w:after="0"/>
              <w:rPr>
                <w:sz w:val="1"/>
                <w:szCs w:val="1"/>
                <w:color w:val="auto"/>
              </w:rPr>
            </w:pPr>
          </w:p>
        </w:tc>
      </w:tr>
      <w:tr>
        <w:trPr>
          <w:trHeight w:val="20"/>
        </w:trPr>
        <w:tc>
          <w:tcPr>
            <w:tcW w:w="4280" w:type="dxa"/>
            <w:vAlign w:val="bottom"/>
            <w:tcBorders>
              <w:top w:val="single" w:sz="8" w:color="F2F3F2"/>
              <w:bottom w:val="single" w:sz="8" w:color="F2F3F2"/>
            </w:tcBorders>
            <w:vMerge w:val="restart"/>
          </w:tcPr>
          <w:p>
            <w:pPr>
              <w:ind w:left="140"/>
              <w:spacing w:after="0"/>
              <w:rPr>
                <w:sz w:val="20"/>
                <w:szCs w:val="20"/>
                <w:color w:val="auto"/>
              </w:rPr>
            </w:pPr>
            <w:r>
              <w:rPr>
                <w:rFonts w:ascii="Arial" w:cs="Arial" w:eastAsia="Arial" w:hAnsi="Arial"/>
                <w:sz w:val="14"/>
                <w:szCs w:val="14"/>
                <w:color w:val="auto"/>
              </w:rPr>
              <w:t>Less:</w:t>
            </w:r>
          </w:p>
        </w:tc>
        <w:tc>
          <w:tcPr>
            <w:tcW w:w="1380" w:type="dxa"/>
            <w:vAlign w:val="bottom"/>
            <w:tcBorders>
              <w:top w:val="single" w:sz="8" w:color="F2F3F2"/>
              <w:bottom w:val="single" w:sz="8" w:color="auto"/>
            </w:tcBorders>
          </w:tcPr>
          <w:p>
            <w:pPr>
              <w:spacing w:after="0" w:line="20" w:lineRule="exact"/>
              <w:rPr>
                <w:sz w:val="1"/>
                <w:szCs w:val="1"/>
                <w:color w:val="auto"/>
              </w:rPr>
            </w:pPr>
          </w:p>
        </w:tc>
        <w:tc>
          <w:tcPr>
            <w:tcW w:w="980" w:type="dxa"/>
            <w:vAlign w:val="bottom"/>
            <w:tcBorders>
              <w:top w:val="single" w:sz="8" w:color="F2F3F2"/>
              <w:bottom w:val="single" w:sz="8" w:color="auto"/>
            </w:tcBorders>
          </w:tcPr>
          <w:p>
            <w:pPr>
              <w:spacing w:after="0" w:line="20" w:lineRule="exact"/>
              <w:rPr>
                <w:sz w:val="1"/>
                <w:szCs w:val="1"/>
                <w:color w:val="auto"/>
              </w:rPr>
            </w:pPr>
          </w:p>
        </w:tc>
        <w:tc>
          <w:tcPr>
            <w:tcW w:w="60" w:type="dxa"/>
            <w:vAlign w:val="bottom"/>
            <w:tcBorders>
              <w:top w:val="single" w:sz="8" w:color="F2F3F2"/>
            </w:tcBorders>
          </w:tcPr>
          <w:p>
            <w:pPr>
              <w:spacing w:after="0" w:line="20" w:lineRule="exact"/>
              <w:rPr>
                <w:sz w:val="1"/>
                <w:szCs w:val="1"/>
                <w:color w:val="auto"/>
              </w:rPr>
            </w:pPr>
          </w:p>
        </w:tc>
        <w:tc>
          <w:tcPr>
            <w:tcW w:w="880" w:type="dxa"/>
            <w:vAlign w:val="bottom"/>
            <w:tcBorders>
              <w:top w:val="single" w:sz="8" w:color="F2F3F2"/>
              <w:bottom w:val="single" w:sz="8" w:color="auto"/>
            </w:tcBorders>
          </w:tcPr>
          <w:p>
            <w:pPr>
              <w:spacing w:after="0" w:line="20" w:lineRule="exact"/>
              <w:rPr>
                <w:sz w:val="1"/>
                <w:szCs w:val="1"/>
                <w:color w:val="auto"/>
              </w:rPr>
            </w:pPr>
          </w:p>
        </w:tc>
        <w:tc>
          <w:tcPr>
            <w:tcW w:w="1500" w:type="dxa"/>
            <w:vAlign w:val="bottom"/>
            <w:tcBorders>
              <w:top w:val="single" w:sz="8" w:color="F2F3F2"/>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80" w:type="dxa"/>
            <w:vAlign w:val="bottom"/>
            <w:vMerge w:val="continue"/>
          </w:tcPr>
          <w:p>
            <w:pPr>
              <w:spacing w:after="0"/>
              <w:rPr>
                <w:sz w:val="17"/>
                <w:szCs w:val="17"/>
                <w:color w:val="auto"/>
              </w:rPr>
            </w:pPr>
          </w:p>
        </w:tc>
        <w:tc>
          <w:tcPr>
            <w:tcW w:w="1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4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4280" w:type="dxa"/>
            <w:vAlign w:val="bottom"/>
            <w:shd w:val="clear" w:color="auto" w:fill="F2F3F2"/>
          </w:tcPr>
          <w:p>
            <w:pPr>
              <w:ind w:left="380"/>
              <w:spacing w:after="0"/>
              <w:rPr>
                <w:sz w:val="20"/>
                <w:szCs w:val="20"/>
                <w:color w:val="auto"/>
              </w:rPr>
            </w:pPr>
            <w:r>
              <w:rPr>
                <w:rFonts w:ascii="Arial" w:cs="Arial" w:eastAsia="Arial" w:hAnsi="Arial"/>
                <w:sz w:val="14"/>
                <w:szCs w:val="14"/>
                <w:color w:val="auto"/>
              </w:rPr>
              <w:t>Purchases of property and equipment</w:t>
            </w:r>
          </w:p>
        </w:tc>
        <w:tc>
          <w:tcPr>
            <w:tcW w:w="1380" w:type="dxa"/>
            <w:vAlign w:val="bottom"/>
            <w:shd w:val="clear" w:color="auto" w:fill="F2F3F2"/>
          </w:tcPr>
          <w:p>
            <w:pPr>
              <w:spacing w:after="0"/>
              <w:rPr>
                <w:sz w:val="23"/>
                <w:szCs w:val="23"/>
                <w:color w:val="auto"/>
              </w:rPr>
            </w:pPr>
          </w:p>
        </w:tc>
        <w:tc>
          <w:tcPr>
            <w:tcW w:w="980" w:type="dxa"/>
            <w:vAlign w:val="bottom"/>
            <w:shd w:val="clear" w:color="auto" w:fill="F2F3F2"/>
          </w:tcPr>
          <w:p>
            <w:pPr>
              <w:jc w:val="right"/>
              <w:spacing w:after="0"/>
              <w:rPr>
                <w:sz w:val="20"/>
                <w:szCs w:val="20"/>
                <w:color w:val="auto"/>
              </w:rPr>
            </w:pPr>
            <w:r>
              <w:rPr>
                <w:rFonts w:ascii="Arial" w:cs="Arial" w:eastAsia="Arial" w:hAnsi="Arial"/>
                <w:sz w:val="14"/>
                <w:szCs w:val="14"/>
                <w:color w:val="auto"/>
              </w:rPr>
              <w:t>8,651</w:t>
            </w:r>
          </w:p>
        </w:tc>
        <w:tc>
          <w:tcPr>
            <w:tcW w:w="60" w:type="dxa"/>
            <w:vAlign w:val="bottom"/>
            <w:shd w:val="clear" w:color="auto" w:fill="F2F3F2"/>
          </w:tcPr>
          <w:p>
            <w:pPr>
              <w:spacing w:after="0"/>
              <w:rPr>
                <w:sz w:val="23"/>
                <w:szCs w:val="23"/>
                <w:color w:val="auto"/>
              </w:rPr>
            </w:pPr>
          </w:p>
        </w:tc>
        <w:tc>
          <w:tcPr>
            <w:tcW w:w="880" w:type="dxa"/>
            <w:vAlign w:val="bottom"/>
            <w:shd w:val="clear" w:color="auto" w:fill="F2F3F2"/>
          </w:tcPr>
          <w:p>
            <w:pPr>
              <w:spacing w:after="0"/>
              <w:rPr>
                <w:sz w:val="23"/>
                <w:szCs w:val="23"/>
                <w:color w:val="auto"/>
              </w:rPr>
            </w:pPr>
          </w:p>
        </w:tc>
        <w:tc>
          <w:tcPr>
            <w:tcW w:w="1500" w:type="dxa"/>
            <w:vAlign w:val="bottom"/>
            <w:shd w:val="clear" w:color="auto" w:fill="F2F3F2"/>
          </w:tcPr>
          <w:p>
            <w:pPr>
              <w:jc w:val="right"/>
              <w:spacing w:after="0"/>
              <w:rPr>
                <w:sz w:val="20"/>
                <w:szCs w:val="20"/>
                <w:color w:val="auto"/>
              </w:rPr>
            </w:pPr>
            <w:r>
              <w:rPr>
                <w:rFonts w:ascii="Arial" w:cs="Arial" w:eastAsia="Arial" w:hAnsi="Arial"/>
                <w:sz w:val="14"/>
                <w:szCs w:val="14"/>
                <w:color w:val="auto"/>
              </w:rPr>
              <w:t>9,444</w:t>
            </w:r>
          </w:p>
        </w:tc>
        <w:tc>
          <w:tcPr>
            <w:tcW w:w="0" w:type="dxa"/>
            <w:vAlign w:val="bottom"/>
          </w:tcPr>
          <w:p>
            <w:pPr>
              <w:spacing w:after="0"/>
              <w:rPr>
                <w:sz w:val="1"/>
                <w:szCs w:val="1"/>
                <w:color w:val="auto"/>
              </w:rPr>
            </w:pPr>
          </w:p>
        </w:tc>
      </w:tr>
      <w:tr>
        <w:trPr>
          <w:trHeight w:val="270"/>
        </w:trPr>
        <w:tc>
          <w:tcPr>
            <w:tcW w:w="4280" w:type="dxa"/>
            <w:vAlign w:val="bottom"/>
            <w:tcBorders>
              <w:bottom w:val="single" w:sz="8" w:color="F2F3F2"/>
            </w:tcBorders>
          </w:tcPr>
          <w:p>
            <w:pPr>
              <w:ind w:left="380"/>
              <w:spacing w:after="0"/>
              <w:rPr>
                <w:sz w:val="20"/>
                <w:szCs w:val="20"/>
                <w:color w:val="auto"/>
              </w:rPr>
            </w:pPr>
            <w:r>
              <w:rPr>
                <w:rFonts w:ascii="Arial" w:cs="Arial" w:eastAsia="Arial" w:hAnsi="Arial"/>
                <w:sz w:val="14"/>
                <w:szCs w:val="14"/>
                <w:color w:val="auto"/>
              </w:rPr>
              <w:t>Capitalization of internally developed software costs</w:t>
            </w:r>
          </w:p>
        </w:tc>
        <w:tc>
          <w:tcPr>
            <w:tcW w:w="13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23,932</w:t>
            </w:r>
          </w:p>
        </w:tc>
        <w:tc>
          <w:tcPr>
            <w:tcW w:w="60" w:type="dxa"/>
            <w:vAlign w:val="bottom"/>
            <w:tcBorders>
              <w:bottom w:val="single" w:sz="8" w:color="F2F3F2"/>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25,742</w:t>
            </w:r>
          </w:p>
        </w:tc>
        <w:tc>
          <w:tcPr>
            <w:tcW w:w="0" w:type="dxa"/>
            <w:vAlign w:val="bottom"/>
          </w:tcPr>
          <w:p>
            <w:pPr>
              <w:spacing w:after="0"/>
              <w:rPr>
                <w:sz w:val="1"/>
                <w:szCs w:val="1"/>
                <w:color w:val="auto"/>
              </w:rPr>
            </w:pPr>
          </w:p>
        </w:tc>
      </w:tr>
      <w:tr>
        <w:trPr>
          <w:trHeight w:val="248"/>
        </w:trPr>
        <w:tc>
          <w:tcPr>
            <w:tcW w:w="4280" w:type="dxa"/>
            <w:vAlign w:val="bottom"/>
            <w:tcBorders>
              <w:bottom w:val="single" w:sz="8" w:color="F2F3F2"/>
            </w:tcBorders>
            <w:shd w:val="clear" w:color="auto" w:fill="F2F3F2"/>
          </w:tcPr>
          <w:p>
            <w:pPr>
              <w:ind w:left="140"/>
              <w:spacing w:after="0"/>
              <w:rPr>
                <w:sz w:val="20"/>
                <w:szCs w:val="20"/>
                <w:color w:val="auto"/>
              </w:rPr>
            </w:pPr>
            <w:r>
              <w:rPr>
                <w:rFonts w:ascii="Arial" w:cs="Arial" w:eastAsia="Arial" w:hAnsi="Arial"/>
                <w:sz w:val="14"/>
                <w:szCs w:val="14"/>
                <w:b w:val="1"/>
                <w:bCs w:val="1"/>
                <w:color w:val="auto"/>
              </w:rPr>
              <w:t>Free cash flow</w:t>
            </w:r>
          </w:p>
        </w:tc>
        <w:tc>
          <w:tcPr>
            <w:tcW w:w="1380" w:type="dxa"/>
            <w:vAlign w:val="bottom"/>
            <w:tcBorders>
              <w:bottom w:val="single" w:sz="8" w:color="auto"/>
            </w:tcBorders>
            <w:shd w:val="clear" w:color="auto" w:fill="F2F3F2"/>
          </w:tcPr>
          <w:p>
            <w:pPr>
              <w:jc w:val="right"/>
              <w:ind w:right="118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F2F3F2"/>
          </w:tcPr>
          <w:p>
            <w:pPr>
              <w:jc w:val="right"/>
              <w:spacing w:after="0"/>
              <w:rPr>
                <w:sz w:val="20"/>
                <w:szCs w:val="20"/>
                <w:color w:val="auto"/>
              </w:rPr>
            </w:pPr>
            <w:r>
              <w:rPr>
                <w:rFonts w:ascii="Arial" w:cs="Arial" w:eastAsia="Arial" w:hAnsi="Arial"/>
                <w:sz w:val="14"/>
                <w:szCs w:val="14"/>
                <w:color w:val="auto"/>
              </w:rPr>
              <w:t>168,736</w:t>
            </w:r>
          </w:p>
        </w:tc>
        <w:tc>
          <w:tcPr>
            <w:tcW w:w="60" w:type="dxa"/>
            <w:vAlign w:val="bottom"/>
            <w:tcBorders>
              <w:bottom w:val="single" w:sz="8" w:color="F2F3F2"/>
            </w:tcBorders>
            <w:shd w:val="clear" w:color="auto" w:fill="F2F3F2"/>
          </w:tcPr>
          <w:p>
            <w:pPr>
              <w:spacing w:after="0"/>
              <w:rPr>
                <w:sz w:val="21"/>
                <w:szCs w:val="21"/>
                <w:color w:val="auto"/>
              </w:rPr>
            </w:pPr>
          </w:p>
        </w:tc>
        <w:tc>
          <w:tcPr>
            <w:tcW w:w="880" w:type="dxa"/>
            <w:vAlign w:val="bottom"/>
            <w:tcBorders>
              <w:bottom w:val="single" w:sz="8" w:color="auto"/>
            </w:tcBorders>
            <w:shd w:val="clear" w:color="auto" w:fill="F2F3F2"/>
          </w:tcPr>
          <w:p>
            <w:pPr>
              <w:jc w:val="right"/>
              <w:ind w:right="66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shd w:val="clear" w:color="auto" w:fill="F2F3F2"/>
          </w:tcPr>
          <w:p>
            <w:pPr>
              <w:jc w:val="right"/>
              <w:spacing w:after="0"/>
              <w:rPr>
                <w:sz w:val="20"/>
                <w:szCs w:val="20"/>
                <w:color w:val="auto"/>
              </w:rPr>
            </w:pPr>
            <w:r>
              <w:rPr>
                <w:rFonts w:ascii="Arial" w:cs="Arial" w:eastAsia="Arial" w:hAnsi="Arial"/>
                <w:sz w:val="14"/>
                <w:szCs w:val="14"/>
                <w:color w:val="auto"/>
              </w:rPr>
              <w:t>100,076</w:t>
            </w:r>
          </w:p>
        </w:tc>
        <w:tc>
          <w:tcPr>
            <w:tcW w:w="0" w:type="dxa"/>
            <w:vAlign w:val="bottom"/>
          </w:tcPr>
          <w:p>
            <w:pPr>
              <w:spacing w:after="0"/>
              <w:rPr>
                <w:sz w:val="1"/>
                <w:szCs w:val="1"/>
                <w:color w:val="auto"/>
              </w:rPr>
            </w:pPr>
          </w:p>
        </w:tc>
      </w:tr>
      <w:tr>
        <w:trPr>
          <w:trHeight w:val="20"/>
        </w:trPr>
        <w:tc>
          <w:tcPr>
            <w:tcW w:w="4280" w:type="dxa"/>
            <w:vAlign w:val="bottom"/>
            <w:tcBorders>
              <w:top w:val="single" w:sz="8" w:color="F2F3F2"/>
            </w:tcBorders>
          </w:tcPr>
          <w:p>
            <w:pPr>
              <w:spacing w:after="0" w:line="20" w:lineRule="exact"/>
              <w:rPr>
                <w:sz w:val="1"/>
                <w:szCs w:val="1"/>
                <w:color w:val="auto"/>
              </w:rPr>
            </w:pPr>
          </w:p>
        </w:tc>
        <w:tc>
          <w:tcPr>
            <w:tcW w:w="1380" w:type="dxa"/>
            <w:vAlign w:val="bottom"/>
            <w:tcBorders>
              <w:top w:val="single" w:sz="8" w:color="F2F3F2"/>
              <w:bottom w:val="single" w:sz="8" w:color="auto"/>
            </w:tcBorders>
          </w:tcPr>
          <w:p>
            <w:pPr>
              <w:spacing w:after="0" w:line="20" w:lineRule="exact"/>
              <w:rPr>
                <w:sz w:val="1"/>
                <w:szCs w:val="1"/>
                <w:color w:val="auto"/>
              </w:rPr>
            </w:pPr>
          </w:p>
        </w:tc>
        <w:tc>
          <w:tcPr>
            <w:tcW w:w="980" w:type="dxa"/>
            <w:vAlign w:val="bottom"/>
            <w:tcBorders>
              <w:top w:val="single" w:sz="8" w:color="F2F3F2"/>
              <w:bottom w:val="single" w:sz="8" w:color="auto"/>
            </w:tcBorders>
          </w:tcPr>
          <w:p>
            <w:pPr>
              <w:spacing w:after="0" w:line="20" w:lineRule="exact"/>
              <w:rPr>
                <w:sz w:val="1"/>
                <w:szCs w:val="1"/>
                <w:color w:val="auto"/>
              </w:rPr>
            </w:pPr>
          </w:p>
        </w:tc>
        <w:tc>
          <w:tcPr>
            <w:tcW w:w="60" w:type="dxa"/>
            <w:vAlign w:val="bottom"/>
            <w:tcBorders>
              <w:top w:val="single" w:sz="8" w:color="F2F3F2"/>
            </w:tcBorders>
          </w:tcPr>
          <w:p>
            <w:pPr>
              <w:spacing w:after="0" w:line="20" w:lineRule="exact"/>
              <w:rPr>
                <w:sz w:val="1"/>
                <w:szCs w:val="1"/>
                <w:color w:val="auto"/>
              </w:rPr>
            </w:pPr>
          </w:p>
        </w:tc>
        <w:tc>
          <w:tcPr>
            <w:tcW w:w="880" w:type="dxa"/>
            <w:vAlign w:val="bottom"/>
            <w:tcBorders>
              <w:top w:val="single" w:sz="8" w:color="F2F3F2"/>
              <w:bottom w:val="single" w:sz="8" w:color="auto"/>
            </w:tcBorders>
          </w:tcPr>
          <w:p>
            <w:pPr>
              <w:spacing w:after="0" w:line="20" w:lineRule="exact"/>
              <w:rPr>
                <w:sz w:val="1"/>
                <w:szCs w:val="1"/>
                <w:color w:val="auto"/>
              </w:rPr>
            </w:pPr>
          </w:p>
        </w:tc>
        <w:tc>
          <w:tcPr>
            <w:tcW w:w="1500" w:type="dxa"/>
            <w:vAlign w:val="bottom"/>
            <w:tcBorders>
              <w:top w:val="single" w:sz="8" w:color="F2F3F2"/>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Total Revenues to Organic Revenues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80" w:type="dxa"/>
            <w:vAlign w:val="bottom"/>
          </w:tcPr>
          <w:p>
            <w:pPr>
              <w:jc w:val="right"/>
              <w:ind w:right="768"/>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97"/>
        </w:trPr>
        <w:tc>
          <w:tcPr>
            <w:tcW w:w="6700" w:type="dxa"/>
            <w:vAlign w:val="bottom"/>
            <w:tcBorders>
              <w:bottom w:val="single" w:sz="8" w:color="F2F3F2"/>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December 31, 2024</w:t>
            </w:r>
          </w:p>
        </w:tc>
        <w:tc>
          <w:tcPr>
            <w:tcW w:w="0" w:type="dxa"/>
            <w:vAlign w:val="bottom"/>
          </w:tcPr>
          <w:p>
            <w:pPr>
              <w:spacing w:after="0"/>
              <w:rPr>
                <w:sz w:val="1"/>
                <w:szCs w:val="1"/>
                <w:color w:val="auto"/>
              </w:rPr>
            </w:pPr>
          </w:p>
        </w:tc>
      </w:tr>
      <w:tr>
        <w:trPr>
          <w:trHeight w:val="249"/>
        </w:trPr>
        <w:tc>
          <w:tcPr>
            <w:tcW w:w="6700" w:type="dxa"/>
            <w:vAlign w:val="bottom"/>
            <w:tcBorders>
              <w:bottom w:val="single" w:sz="8" w:color="F2F3F2"/>
            </w:tcBorders>
            <w:shd w:val="clear" w:color="auto" w:fill="F2F3F2"/>
          </w:tcPr>
          <w:p>
            <w:pPr>
              <w:ind w:left="140"/>
              <w:spacing w:after="0"/>
              <w:rPr>
                <w:sz w:val="20"/>
                <w:szCs w:val="20"/>
                <w:color w:val="auto"/>
              </w:rPr>
            </w:pPr>
            <w:r>
              <w:rPr>
                <w:rFonts w:ascii="Arial" w:cs="Arial" w:eastAsia="Arial" w:hAnsi="Arial"/>
                <w:sz w:val="14"/>
                <w:szCs w:val="14"/>
                <w:b w:val="1"/>
                <w:bCs w:val="1"/>
                <w:color w:val="auto"/>
              </w:rPr>
              <w:t>Total revenues</w:t>
            </w:r>
          </w:p>
        </w:tc>
        <w:tc>
          <w:tcPr>
            <w:tcW w:w="300" w:type="dxa"/>
            <w:vAlign w:val="bottom"/>
            <w:tcBorders>
              <w:bottom w:val="single" w:sz="8" w:color="auto"/>
            </w:tcBorders>
            <w:shd w:val="clear" w:color="auto" w:fill="F2F3F2"/>
          </w:tcPr>
          <w:p>
            <w:pPr>
              <w:jc w:val="right"/>
              <w:ind w:right="88"/>
              <w:spacing w:after="0"/>
              <w:rPr>
                <w:sz w:val="20"/>
                <w:szCs w:val="20"/>
                <w:color w:val="auto"/>
              </w:rPr>
            </w:pPr>
            <w:r>
              <w:rPr>
                <w:rFonts w:ascii="Arial" w:cs="Arial" w:eastAsia="Arial" w:hAnsi="Arial"/>
                <w:sz w:val="14"/>
                <w:szCs w:val="14"/>
                <w:color w:val="auto"/>
              </w:rPr>
              <w:t>$</w:t>
            </w:r>
          </w:p>
        </w:tc>
        <w:tc>
          <w:tcPr>
            <w:tcW w:w="2080" w:type="dxa"/>
            <w:vAlign w:val="bottom"/>
            <w:tcBorders>
              <w:bottom w:val="single" w:sz="8" w:color="auto"/>
            </w:tcBorders>
            <w:shd w:val="clear" w:color="auto" w:fill="F2F3F2"/>
          </w:tcPr>
          <w:p>
            <w:pPr>
              <w:jc w:val="right"/>
              <w:spacing w:after="0"/>
              <w:rPr>
                <w:sz w:val="20"/>
                <w:szCs w:val="20"/>
                <w:color w:val="auto"/>
              </w:rPr>
            </w:pPr>
            <w:r>
              <w:rPr>
                <w:rFonts w:ascii="Arial" w:cs="Arial" w:eastAsia="Arial" w:hAnsi="Arial"/>
                <w:sz w:val="14"/>
                <w:szCs w:val="14"/>
                <w:color w:val="auto"/>
              </w:rPr>
              <w:t>1,521,805</w:t>
            </w:r>
          </w:p>
        </w:tc>
        <w:tc>
          <w:tcPr>
            <w:tcW w:w="0" w:type="dxa"/>
            <w:vAlign w:val="bottom"/>
          </w:tcPr>
          <w:p>
            <w:pPr>
              <w:spacing w:after="0"/>
              <w:rPr>
                <w:sz w:val="1"/>
                <w:szCs w:val="1"/>
                <w:color w:val="auto"/>
              </w:rPr>
            </w:pPr>
          </w:p>
        </w:tc>
      </w:tr>
      <w:tr>
        <w:trPr>
          <w:trHeight w:val="20"/>
        </w:trPr>
        <w:tc>
          <w:tcPr>
            <w:tcW w:w="6700" w:type="dxa"/>
            <w:vAlign w:val="bottom"/>
            <w:tcBorders>
              <w:top w:val="single" w:sz="8" w:color="F2F3F2"/>
              <w:bottom w:val="single" w:sz="8" w:color="F2F3F2"/>
            </w:tcBorders>
            <w:vMerge w:val="restart"/>
          </w:tcPr>
          <w:p>
            <w:pPr>
              <w:ind w:left="140"/>
              <w:spacing w:after="0"/>
              <w:rPr>
                <w:sz w:val="20"/>
                <w:szCs w:val="20"/>
                <w:color w:val="auto"/>
              </w:rPr>
            </w:pPr>
            <w:r>
              <w:rPr>
                <w:rFonts w:ascii="Arial" w:cs="Arial" w:eastAsia="Arial" w:hAnsi="Arial"/>
                <w:sz w:val="14"/>
                <w:szCs w:val="14"/>
                <w:color w:val="auto"/>
              </w:rPr>
              <w:t>Less:</w:t>
            </w:r>
          </w:p>
        </w:tc>
        <w:tc>
          <w:tcPr>
            <w:tcW w:w="300" w:type="dxa"/>
            <w:vAlign w:val="bottom"/>
            <w:tcBorders>
              <w:top w:val="single" w:sz="8" w:color="F2F3F2"/>
              <w:bottom w:val="single" w:sz="8" w:color="auto"/>
            </w:tcBorders>
          </w:tcPr>
          <w:p>
            <w:pPr>
              <w:spacing w:after="0" w:line="20" w:lineRule="exact"/>
              <w:rPr>
                <w:sz w:val="1"/>
                <w:szCs w:val="1"/>
                <w:color w:val="auto"/>
              </w:rPr>
            </w:pPr>
          </w:p>
        </w:tc>
        <w:tc>
          <w:tcPr>
            <w:tcW w:w="2080" w:type="dxa"/>
            <w:vAlign w:val="bottom"/>
            <w:tcBorders>
              <w:top w:val="single" w:sz="8" w:color="F2F3F2"/>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70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6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6700" w:type="dxa"/>
            <w:vAlign w:val="bottom"/>
            <w:shd w:val="clear" w:color="auto" w:fill="F2F3F2"/>
          </w:tcPr>
          <w:p>
            <w:pPr>
              <w:ind w:left="380"/>
              <w:spacing w:after="0"/>
              <w:rPr>
                <w:sz w:val="20"/>
                <w:szCs w:val="20"/>
                <w:color w:val="auto"/>
              </w:rPr>
            </w:pPr>
            <w:r>
              <w:rPr>
                <w:rFonts w:ascii="Arial" w:cs="Arial" w:eastAsia="Arial" w:hAnsi="Arial"/>
                <w:sz w:val="14"/>
                <w:szCs w:val="14"/>
                <w:color w:val="auto"/>
              </w:rPr>
              <w:t>Reimbursable expenses</w:t>
            </w:r>
          </w:p>
        </w:tc>
        <w:tc>
          <w:tcPr>
            <w:tcW w:w="300" w:type="dxa"/>
            <w:vAlign w:val="bottom"/>
            <w:shd w:val="clear" w:color="auto" w:fill="F2F3F2"/>
          </w:tcPr>
          <w:p>
            <w:pPr>
              <w:spacing w:after="0"/>
              <w:rPr>
                <w:sz w:val="23"/>
                <w:szCs w:val="23"/>
                <w:color w:val="auto"/>
              </w:rPr>
            </w:pPr>
          </w:p>
        </w:tc>
        <w:tc>
          <w:tcPr>
            <w:tcW w:w="2080" w:type="dxa"/>
            <w:vAlign w:val="bottom"/>
            <w:shd w:val="clear" w:color="auto" w:fill="F2F3F2"/>
          </w:tcPr>
          <w:p>
            <w:pPr>
              <w:jc w:val="right"/>
              <w:spacing w:after="0"/>
              <w:rPr>
                <w:sz w:val="20"/>
                <w:szCs w:val="20"/>
                <w:color w:val="auto"/>
              </w:rPr>
            </w:pPr>
            <w:r>
              <w:rPr>
                <w:rFonts w:ascii="Arial" w:cs="Arial" w:eastAsia="Arial" w:hAnsi="Arial"/>
                <w:sz w:val="14"/>
                <w:szCs w:val="14"/>
                <w:color w:val="auto"/>
              </w:rPr>
              <w:t>35,720</w:t>
            </w:r>
          </w:p>
        </w:tc>
        <w:tc>
          <w:tcPr>
            <w:tcW w:w="0" w:type="dxa"/>
            <w:vAlign w:val="bottom"/>
          </w:tcPr>
          <w:p>
            <w:pPr>
              <w:spacing w:after="0"/>
              <w:rPr>
                <w:sz w:val="1"/>
                <w:szCs w:val="1"/>
                <w:color w:val="auto"/>
              </w:rPr>
            </w:pPr>
          </w:p>
        </w:tc>
      </w:tr>
      <w:tr>
        <w:trPr>
          <w:trHeight w:val="270"/>
        </w:trPr>
        <w:tc>
          <w:tcPr>
            <w:tcW w:w="6700" w:type="dxa"/>
            <w:vAlign w:val="bottom"/>
            <w:tcBorders>
              <w:bottom w:val="single" w:sz="8" w:color="F2F3F2"/>
            </w:tcBorders>
          </w:tcPr>
          <w:p>
            <w:pPr>
              <w:ind w:left="380"/>
              <w:spacing w:after="0"/>
              <w:rPr>
                <w:sz w:val="20"/>
                <w:szCs w:val="20"/>
                <w:color w:val="auto"/>
              </w:rPr>
            </w:pPr>
            <w:r>
              <w:rPr>
                <w:rFonts w:ascii="Arial" w:cs="Arial" w:eastAsia="Arial" w:hAnsi="Arial"/>
                <w:sz w:val="14"/>
                <w:szCs w:val="14"/>
                <w:color w:val="auto"/>
              </w:rPr>
              <w:t>Revenues generated by acquired businesses</w:t>
            </w:r>
          </w:p>
        </w:tc>
        <w:tc>
          <w:tcPr>
            <w:tcW w:w="300" w:type="dxa"/>
            <w:vAlign w:val="bottom"/>
            <w:tcBorders>
              <w:bottom w:val="single" w:sz="8" w:color="auto"/>
            </w:tcBorders>
          </w:tcPr>
          <w:p>
            <w:pPr>
              <w:spacing w:after="0"/>
              <w:rPr>
                <w:sz w:val="23"/>
                <w:szCs w:val="23"/>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3,254</w:t>
            </w:r>
          </w:p>
        </w:tc>
        <w:tc>
          <w:tcPr>
            <w:tcW w:w="0" w:type="dxa"/>
            <w:vAlign w:val="bottom"/>
          </w:tcPr>
          <w:p>
            <w:pPr>
              <w:spacing w:after="0"/>
              <w:rPr>
                <w:sz w:val="1"/>
                <w:szCs w:val="1"/>
                <w:color w:val="auto"/>
              </w:rPr>
            </w:pPr>
          </w:p>
        </w:tc>
      </w:tr>
      <w:tr>
        <w:trPr>
          <w:trHeight w:val="248"/>
        </w:trPr>
        <w:tc>
          <w:tcPr>
            <w:tcW w:w="6700" w:type="dxa"/>
            <w:vAlign w:val="bottom"/>
            <w:tcBorders>
              <w:bottom w:val="single" w:sz="8" w:color="F2F3F2"/>
            </w:tcBorders>
            <w:shd w:val="clear" w:color="auto" w:fill="F2F3F2"/>
          </w:tcPr>
          <w:p>
            <w:pPr>
              <w:ind w:left="140"/>
              <w:spacing w:after="0"/>
              <w:rPr>
                <w:sz w:val="20"/>
                <w:szCs w:val="20"/>
                <w:color w:val="auto"/>
              </w:rPr>
            </w:pPr>
            <w:r>
              <w:rPr>
                <w:rFonts w:ascii="Arial" w:cs="Arial" w:eastAsia="Arial" w:hAnsi="Arial"/>
                <w:sz w:val="14"/>
                <w:szCs w:val="14"/>
                <w:b w:val="1"/>
                <w:bCs w:val="1"/>
                <w:color w:val="auto"/>
              </w:rPr>
              <w:t>Organic revenues</w:t>
            </w:r>
          </w:p>
        </w:tc>
        <w:tc>
          <w:tcPr>
            <w:tcW w:w="300" w:type="dxa"/>
            <w:vAlign w:val="bottom"/>
            <w:tcBorders>
              <w:bottom w:val="single" w:sz="8" w:color="auto"/>
            </w:tcBorders>
            <w:shd w:val="clear" w:color="auto" w:fill="F2F3F2"/>
          </w:tcPr>
          <w:p>
            <w:pPr>
              <w:jc w:val="right"/>
              <w:ind w:right="88"/>
              <w:spacing w:after="0"/>
              <w:rPr>
                <w:sz w:val="20"/>
                <w:szCs w:val="20"/>
                <w:color w:val="auto"/>
              </w:rPr>
            </w:pPr>
            <w:r>
              <w:rPr>
                <w:rFonts w:ascii="Arial" w:cs="Arial" w:eastAsia="Arial" w:hAnsi="Arial"/>
                <w:sz w:val="14"/>
                <w:szCs w:val="14"/>
                <w:color w:val="auto"/>
              </w:rPr>
              <w:t>$</w:t>
            </w:r>
          </w:p>
        </w:tc>
        <w:tc>
          <w:tcPr>
            <w:tcW w:w="2080" w:type="dxa"/>
            <w:vAlign w:val="bottom"/>
            <w:tcBorders>
              <w:bottom w:val="single" w:sz="8" w:color="auto"/>
            </w:tcBorders>
            <w:shd w:val="clear" w:color="auto" w:fill="F2F3F2"/>
          </w:tcPr>
          <w:p>
            <w:pPr>
              <w:jc w:val="right"/>
              <w:spacing w:after="0"/>
              <w:rPr>
                <w:sz w:val="20"/>
                <w:szCs w:val="20"/>
                <w:color w:val="auto"/>
              </w:rPr>
            </w:pPr>
            <w:r>
              <w:rPr>
                <w:rFonts w:ascii="Arial" w:cs="Arial" w:eastAsia="Arial" w:hAnsi="Arial"/>
                <w:sz w:val="14"/>
                <w:szCs w:val="14"/>
                <w:color w:val="auto"/>
              </w:rPr>
              <w:t>1,482,831</w:t>
            </w:r>
          </w:p>
        </w:tc>
        <w:tc>
          <w:tcPr>
            <w:tcW w:w="0" w:type="dxa"/>
            <w:vAlign w:val="bottom"/>
          </w:tcPr>
          <w:p>
            <w:pPr>
              <w:spacing w:after="0"/>
              <w:rPr>
                <w:sz w:val="1"/>
                <w:szCs w:val="1"/>
                <w:color w:val="auto"/>
              </w:rPr>
            </w:pPr>
          </w:p>
        </w:tc>
      </w:tr>
      <w:tr>
        <w:trPr>
          <w:trHeight w:val="20"/>
        </w:trPr>
        <w:tc>
          <w:tcPr>
            <w:tcW w:w="6700" w:type="dxa"/>
            <w:vAlign w:val="bottom"/>
            <w:tcBorders>
              <w:top w:val="single" w:sz="8" w:color="F2F3F2"/>
            </w:tcBorders>
          </w:tcPr>
          <w:p>
            <w:pPr>
              <w:spacing w:after="0" w:line="20" w:lineRule="exact"/>
              <w:rPr>
                <w:sz w:val="1"/>
                <w:szCs w:val="1"/>
                <w:color w:val="auto"/>
              </w:rPr>
            </w:pPr>
          </w:p>
        </w:tc>
        <w:tc>
          <w:tcPr>
            <w:tcW w:w="300" w:type="dxa"/>
            <w:vAlign w:val="bottom"/>
            <w:tcBorders>
              <w:top w:val="single" w:sz="8" w:color="F2F3F2"/>
              <w:bottom w:val="single" w:sz="8" w:color="auto"/>
            </w:tcBorders>
          </w:tcPr>
          <w:p>
            <w:pPr>
              <w:spacing w:after="0" w:line="20" w:lineRule="exact"/>
              <w:rPr>
                <w:sz w:val="1"/>
                <w:szCs w:val="1"/>
                <w:color w:val="auto"/>
              </w:rPr>
            </w:pPr>
          </w:p>
        </w:tc>
        <w:tc>
          <w:tcPr>
            <w:tcW w:w="2080" w:type="dxa"/>
            <w:vAlign w:val="bottom"/>
            <w:tcBorders>
              <w:top w:val="single" w:sz="8" w:color="F2F3F2"/>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80"/>
          </w:cols>
          <w:pgMar w:left="1400" w:top="1440" w:right="1419" w:bottom="46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60"/>
        <w:spacing w:after="0"/>
        <w:tabs>
          <w:tab w:leader="none" w:pos="4400" w:val="left"/>
          <w:tab w:leader="none" w:pos="7760" w:val="left"/>
        </w:tabs>
        <w:rPr>
          <w:sz w:val="20"/>
          <w:szCs w:val="20"/>
          <w:color w:val="auto"/>
        </w:rPr>
      </w:pPr>
      <w:r>
        <w:rPr>
          <w:rFonts w:ascii="Arial" w:cs="Arial" w:eastAsia="Arial" w:hAnsi="Arial"/>
          <w:sz w:val="13"/>
          <w:szCs w:val="13"/>
          <w:color w:val="auto"/>
        </w:rPr>
        <w:t>Huron Consulting Group Inc.</w:t>
      </w:r>
      <w:r>
        <w:rPr>
          <w:sz w:val="20"/>
          <w:szCs w:val="20"/>
          <w:color w:val="auto"/>
        </w:rPr>
        <w:tab/>
      </w:r>
      <w:r>
        <w:rPr>
          <w:rFonts w:ascii="Arial" w:cs="Arial" w:eastAsia="Arial" w:hAnsi="Arial"/>
          <w:sz w:val="13"/>
          <w:szCs w:val="13"/>
          <w:b w:val="1"/>
          <w:bCs w:val="1"/>
          <w:color w:val="00558C"/>
        </w:rPr>
        <w:t>C-4</w:t>
      </w:r>
      <w:r>
        <w:rPr>
          <w:sz w:val="20"/>
          <w:szCs w:val="20"/>
          <w:color w:val="auto"/>
        </w:rPr>
        <w:tab/>
      </w:r>
      <w:r>
        <w:rPr>
          <w:rFonts w:ascii="Arial" w:cs="Arial" w:eastAsia="Arial" w:hAnsi="Arial"/>
          <w:sz w:val="12"/>
          <w:szCs w:val="12"/>
          <w:color w:val="auto"/>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351790</wp:posOffset>
            </wp:positionV>
            <wp:extent cx="6810375" cy="21336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10375" cy="213360"/>
                    </a:xfrm>
                    <a:prstGeom prst="rect">
                      <a:avLst/>
                    </a:prstGeom>
                    <a:noFill/>
                  </pic:spPr>
                </pic:pic>
              </a:graphicData>
            </a:graphic>
          </wp:anchor>
        </w:drawing>
      </w:r>
    </w:p>
    <w:p>
      <w:pPr>
        <w:sectPr>
          <w:pgSz w:w="11900" w:h="16838" w:orient="portrait"/>
          <w:cols w:equalWidth="0" w:num="1">
            <w:col w:w="9080"/>
          </w:cols>
          <w:pgMar w:left="1400" w:top="1440" w:right="1419" w:bottom="464" w:gutter="0" w:footer="0" w:header="0"/>
          <w:type w:val="continuous"/>
        </w:sectPr>
      </w:pPr>
    </w:p>
    <w:bookmarkStart w:id="108" w:name="page109"/>
    <w:bookmarkEnd w:id="10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105156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103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105156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1037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88900</wp:posOffset>
            </wp:positionV>
            <wp:extent cx="6810375" cy="548830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10375" cy="548830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ebdings">
    <w:panose1 w:val="05030102010509060703"/>
    <w:charset w:val="00"/>
    <w:family w:val="auto"/>
    <w:pitch w:val="variable"/>
    <w:sig w:usb0="00000000" w:usb1="00000000" w:usb2="00000000" w:usb3="00000000" w:csb0="80000000"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4C04A8AF"/>
    <w:multiLevelType w:val="hybridMultilevel"/>
    <w:lvl w:ilvl="0">
      <w:lvlJc w:val="left"/>
      <w:lvlText w:val="☐"/>
      <w:numFmt w:val="bullet"/>
      <w:start w:val="1"/>
    </w:lvl>
  </w:abstractNum>
  <w:abstractNum w:abstractNumId="1">
    <w:nsid w:val="1716703B"/>
    <w:multiLevelType w:val="hybridMultilevel"/>
    <w:lvl w:ilvl="0">
      <w:lvlJc w:val="left"/>
      <w:lvlText w:val="☒"/>
      <w:numFmt w:val="bullet"/>
      <w:start w:val="1"/>
    </w:lvl>
  </w:abstractNum>
  <w:abstractNum w:abstractNumId="2">
    <w:nsid w:val="14E17E33"/>
    <w:multiLevelType w:val="hybridMultilevel"/>
    <w:lvl w:ilvl="0">
      <w:lvlJc w:val="left"/>
      <w:lvlText w:val="☐"/>
      <w:numFmt w:val="bullet"/>
      <w:start w:val="1"/>
    </w:lvl>
  </w:abstractNum>
  <w:abstractNum w:abstractNumId="3">
    <w:nsid w:val="3222E7CD"/>
    <w:multiLevelType w:val="hybridMultilevel"/>
    <w:lvl w:ilvl="0">
      <w:lvlJc w:val="left"/>
      <w:lvlText w:val="☒"/>
      <w:numFmt w:val="bullet"/>
      <w:start w:val="1"/>
    </w:lvl>
  </w:abstractNum>
  <w:abstractNum w:abstractNumId="4">
    <w:nsid w:val="74DE0EE3"/>
    <w:multiLevelType w:val="hybridMultilevel"/>
    <w:lvl w:ilvl="0">
      <w:lvlJc w:val="left"/>
      <w:lvlText w:val="☐"/>
      <w:numFmt w:val="bullet"/>
      <w:start w:val="1"/>
    </w:lvl>
  </w:abstractNum>
  <w:abstractNum w:abstractNumId="5">
    <w:nsid w:val="68EBC550"/>
    <w:multiLevelType w:val="hybridMultilevel"/>
    <w:lvl w:ilvl="0">
      <w:lvlJc w:val="left"/>
      <w:lvlText w:val="•"/>
      <w:numFmt w:val="bullet"/>
      <w:start w:val="1"/>
    </w:lvl>
  </w:abstractNum>
  <w:abstractNum w:abstractNumId="6">
    <w:nsid w:val="2DF6D648"/>
    <w:multiLevelType w:val="hybridMultilevel"/>
    <w:lvl w:ilvl="0">
      <w:lvlJc w:val="left"/>
      <w:lvlText w:val="1"/>
      <w:numFmt w:val="bullet"/>
      <w:start w:val="1"/>
    </w:lvl>
  </w:abstractNum>
  <w:abstractNum w:abstractNumId="7">
    <w:nsid w:val="46B7D447"/>
    <w:multiLevelType w:val="hybridMultilevel"/>
    <w:lvl w:ilvl="0">
      <w:lvlJc w:val="left"/>
      <w:lvlText w:val="2"/>
      <w:numFmt w:val="bullet"/>
      <w:start w:val="1"/>
    </w:lvl>
  </w:abstractNum>
  <w:abstractNum w:abstractNumId="8">
    <w:nsid w:val="4A2AC315"/>
    <w:multiLevelType w:val="hybridMultilevel"/>
    <w:lvl w:ilvl="0">
      <w:lvlJc w:val="left"/>
      <w:lvlText w:val="%1"/>
      <w:numFmt w:val="upperLetter"/>
      <w:start w:val="61"/>
    </w:lvl>
  </w:abstractNum>
  <w:abstractNum w:abstractNumId="9">
    <w:nsid w:val="39EE015C"/>
    <w:multiLevelType w:val="hybridMultilevel"/>
    <w:lvl w:ilvl="0">
      <w:lvlJc w:val="left"/>
      <w:lvlText w:val="•"/>
      <w:numFmt w:val="bullet"/>
      <w:start w:val="1"/>
    </w:lvl>
  </w:abstractNum>
  <w:abstractNum w:abstractNumId="10">
    <w:nsid w:val="57FC4FBB"/>
    <w:multiLevelType w:val="hybridMultilevel"/>
    <w:lvl w:ilvl="0">
      <w:lvlJc w:val="left"/>
      <w:lvlText w:val="•"/>
      <w:numFmt w:val="bullet"/>
      <w:start w:val="1"/>
    </w:lvl>
  </w:abstractNum>
  <w:abstractNum w:abstractNumId="11">
    <w:nsid w:val="CC1016F"/>
    <w:multiLevelType w:val="hybridMultilevel"/>
    <w:lvl w:ilvl="0">
      <w:lvlJc w:val="left"/>
      <w:lvlText w:val="•"/>
      <w:numFmt w:val="bullet"/>
      <w:start w:val="1"/>
    </w:lvl>
  </w:abstractNum>
  <w:abstractNum w:abstractNumId="12">
    <w:nsid w:val="43F18422"/>
    <w:multiLevelType w:val="hybridMultilevel"/>
    <w:lvl w:ilvl="0">
      <w:lvlJc w:val="left"/>
      <w:lvlText w:val="•"/>
      <w:numFmt w:val="bullet"/>
      <w:start w:val="1"/>
    </w:lvl>
  </w:abstractNum>
  <w:abstractNum w:abstractNumId="13">
    <w:nsid w:val="60EF0119"/>
    <w:multiLevelType w:val="hybridMultilevel"/>
    <w:lvl w:ilvl="0">
      <w:lvlJc w:val="left"/>
      <w:lvlText w:val="•"/>
      <w:numFmt w:val="bullet"/>
      <w:start w:val="1"/>
    </w:lvl>
  </w:abstractNum>
  <w:abstractNum w:abstractNumId="14">
    <w:nsid w:val="26F324BA"/>
    <w:multiLevelType w:val="hybridMultilevel"/>
    <w:lvl w:ilvl="0">
      <w:lvlJc w:val="left"/>
      <w:lvlText w:val="•"/>
      <w:numFmt w:val="bullet"/>
      <w:start w:val="1"/>
    </w:lvl>
  </w:abstractNum>
  <w:abstractNum w:abstractNumId="15">
    <w:nsid w:val="7F01579B"/>
    <w:multiLevelType w:val="hybridMultilevel"/>
    <w:lvl w:ilvl="0">
      <w:lvlJc w:val="left"/>
      <w:lvlText w:val="•"/>
      <w:numFmt w:val="bullet"/>
      <w:start w:val="1"/>
    </w:lvl>
  </w:abstractNum>
  <w:abstractNum w:abstractNumId="16">
    <w:nsid w:val="49DA307D"/>
    <w:multiLevelType w:val="hybridMultilevel"/>
    <w:lvl w:ilvl="0">
      <w:lvlJc w:val="left"/>
      <w:lvlText w:val="•"/>
      <w:numFmt w:val="bullet"/>
      <w:start w:val="1"/>
    </w:lvl>
  </w:abstractNum>
  <w:abstractNum w:abstractNumId="17">
    <w:nsid w:val="7055A5F5"/>
    <w:multiLevelType w:val="hybridMultilevel"/>
    <w:lvl w:ilvl="0">
      <w:lvlJc w:val="left"/>
      <w:lvlText w:val="•"/>
      <w:numFmt w:val="bullet"/>
      <w:start w:val="1"/>
    </w:lvl>
    <w:lvl w:ilvl="1">
      <w:lvlJc w:val="left"/>
      <w:lvlText w:val="\endash "/>
      <w:numFmt w:val="bullet"/>
      <w:start w:val="1"/>
    </w:lvl>
  </w:abstractNum>
  <w:abstractNum w:abstractNumId="18">
    <w:nsid w:val="5FB8370B"/>
    <w:multiLevelType w:val="hybridMultilevel"/>
    <w:lvl w:ilvl="0">
      <w:lvlJc w:val="left"/>
      <w:lvlText w:val="•"/>
      <w:numFmt w:val="bullet"/>
      <w:start w:val="1"/>
    </w:lvl>
  </w:abstractNum>
  <w:abstractNum w:abstractNumId="19">
    <w:nsid w:val="50801EE1"/>
    <w:multiLevelType w:val="hybridMultilevel"/>
    <w:lvl w:ilvl="0">
      <w:lvlJc w:val="left"/>
      <w:lvlText w:val="•"/>
      <w:numFmt w:val="bullet"/>
      <w:start w:val="1"/>
    </w:lvl>
  </w:abstractNum>
  <w:abstractNum w:abstractNumId="20">
    <w:nsid w:val="488AC1A"/>
    <w:multiLevelType w:val="hybridMultilevel"/>
    <w:lvl w:ilvl="0">
      <w:lvlJc w:val="left"/>
      <w:lvlText w:val="•"/>
      <w:numFmt w:val="bullet"/>
      <w:start w:val="1"/>
    </w:lvl>
  </w:abstractNum>
  <w:abstractNum w:abstractNumId="21">
    <w:nsid w:val="5FB8011C"/>
    <w:multiLevelType w:val="hybridMultilevel"/>
    <w:lvl w:ilvl="0">
      <w:lvlJc w:val="left"/>
      <w:lvlText w:val="•"/>
      <w:numFmt w:val="bullet"/>
      <w:start w:val="1"/>
    </w:lvl>
  </w:abstractNum>
  <w:abstractNum w:abstractNumId="22">
    <w:nsid w:val="6AA78F7F"/>
    <w:multiLevelType w:val="hybridMultilevel"/>
    <w:lvl w:ilvl="0">
      <w:lvlJc w:val="left"/>
      <w:lvlText w:val="•"/>
      <w:numFmt w:val="bullet"/>
      <w:start w:val="1"/>
    </w:lvl>
  </w:abstractNum>
  <w:abstractNum w:abstractNumId="23">
    <w:nsid w:val="7672BD23"/>
    <w:multiLevelType w:val="hybridMultilevel"/>
    <w:lvl w:ilvl="0">
      <w:lvlJc w:val="left"/>
      <w:lvlText w:val="•"/>
      <w:numFmt w:val="bullet"/>
      <w:start w:val="1"/>
    </w:lvl>
  </w:abstractNum>
  <w:abstractNum w:abstractNumId="24">
    <w:nsid w:val="6FC75AF8"/>
    <w:multiLevelType w:val="hybridMultilevel"/>
    <w:lvl w:ilvl="0">
      <w:lvlJc w:val="left"/>
      <w:lvlText w:val="•"/>
      <w:numFmt w:val="bullet"/>
      <w:start w:val="1"/>
    </w:lvl>
  </w:abstractNum>
  <w:abstractNum w:abstractNumId="25">
    <w:nsid w:val="6A5F7029"/>
    <w:multiLevelType w:val="hybridMultilevel"/>
    <w:lvl w:ilvl="0">
      <w:lvlJc w:val="left"/>
      <w:lvlText w:val="•"/>
      <w:numFmt w:val="bullet"/>
      <w:start w:val="1"/>
    </w:lvl>
  </w:abstractNum>
  <w:abstractNum w:abstractNumId="26">
    <w:nsid w:val="7D5E18F8"/>
    <w:multiLevelType w:val="hybridMultilevel"/>
    <w:lvl w:ilvl="0">
      <w:lvlJc w:val="left"/>
      <w:lvlText w:val="•"/>
      <w:numFmt w:val="bullet"/>
      <w:start w:val="1"/>
    </w:lvl>
  </w:abstractNum>
  <w:abstractNum w:abstractNumId="27">
    <w:nsid w:val="5F3534A4"/>
    <w:multiLevelType w:val="hybridMultilevel"/>
    <w:lvl w:ilvl="0">
      <w:lvlJc w:val="left"/>
      <w:lvlText w:val="•"/>
      <w:numFmt w:val="bullet"/>
      <w:start w:val="1"/>
    </w:lvl>
  </w:abstractNum>
  <w:abstractNum w:abstractNumId="28">
    <w:nsid w:val="73A1821B"/>
    <w:multiLevelType w:val="hybridMultilevel"/>
    <w:lvl w:ilvl="0">
      <w:lvlJc w:val="left"/>
      <w:lvlText w:val="•"/>
      <w:numFmt w:val="bullet"/>
      <w:start w:val="1"/>
    </w:lvl>
  </w:abstractNum>
  <w:abstractNum w:abstractNumId="29">
    <w:nsid w:val="7DE67713"/>
    <w:multiLevelType w:val="hybridMultilevel"/>
    <w:lvl w:ilvl="0">
      <w:lvlJc w:val="left"/>
      <w:lvlText w:val="•"/>
      <w:numFmt w:val="bullet"/>
      <w:start w:val="1"/>
    </w:lvl>
  </w:abstractNum>
  <w:abstractNum w:abstractNumId="30">
    <w:nsid w:val="555C55B5"/>
    <w:multiLevelType w:val="hybridMultilevel"/>
    <w:lvl w:ilvl="0">
      <w:lvlJc w:val="left"/>
      <w:lvlText w:val="•"/>
      <w:numFmt w:val="bullet"/>
      <w:start w:val="1"/>
    </w:lvl>
  </w:abstractNum>
  <w:abstractNum w:abstractNumId="31">
    <w:nsid w:val="3FA62ACA"/>
    <w:multiLevelType w:val="hybridMultilevel"/>
    <w:lvl w:ilvl="0">
      <w:lvlJc w:val="left"/>
      <w:lvlText w:val="•"/>
      <w:numFmt w:val="bullet"/>
      <w:start w:val="1"/>
    </w:lvl>
  </w:abstractNum>
  <w:abstractNum w:abstractNumId="32">
    <w:nsid w:val="14FCE74E"/>
    <w:multiLevelType w:val="hybridMultilevel"/>
    <w:lvl w:ilvl="0">
      <w:lvlJc w:val="left"/>
      <w:lvlText w:val="•"/>
      <w:numFmt w:val="bullet"/>
      <w:start w:val="1"/>
    </w:lvl>
  </w:abstractNum>
  <w:abstractNum w:abstractNumId="33">
    <w:nsid w:val="6A3DD3E8"/>
    <w:multiLevelType w:val="hybridMultilevel"/>
    <w:lvl w:ilvl="0">
      <w:lvlJc w:val="left"/>
      <w:lvlText w:val="•"/>
      <w:numFmt w:val="bullet"/>
      <w:start w:val="1"/>
    </w:lvl>
  </w:abstractNum>
  <w:abstractNum w:abstractNumId="34">
    <w:nsid w:val="71C91298"/>
    <w:multiLevelType w:val="hybridMultilevel"/>
    <w:lvl w:ilvl="0">
      <w:lvlJc w:val="left"/>
      <w:lvlText w:val="•"/>
      <w:numFmt w:val="bullet"/>
      <w:start w:val="1"/>
    </w:lvl>
  </w:abstractNum>
  <w:abstractNum w:abstractNumId="35">
    <w:nsid w:val="9DAF632"/>
    <w:multiLevelType w:val="hybridMultilevel"/>
    <w:lvl w:ilvl="0">
      <w:lvlJc w:val="left"/>
      <w:lvlText w:val="•"/>
      <w:numFmt w:val="bullet"/>
      <w:start w:val="1"/>
    </w:lvl>
  </w:abstractNum>
  <w:abstractNum w:abstractNumId="36">
    <w:nsid w:val="53299938"/>
    <w:multiLevelType w:val="hybridMultilevel"/>
    <w:lvl w:ilvl="0">
      <w:lvlJc w:val="left"/>
      <w:lvlText w:val="•"/>
      <w:numFmt w:val="bullet"/>
      <w:start w:val="1"/>
    </w:lvl>
  </w:abstractNum>
  <w:abstractNum w:abstractNumId="37">
    <w:nsid w:val="1FBFE8E0"/>
    <w:multiLevelType w:val="hybridMultilevel"/>
    <w:lvl w:ilvl="0">
      <w:lvlJc w:val="left"/>
      <w:lvlText w:val="•"/>
      <w:numFmt w:val="bullet"/>
      <w:start w:val="1"/>
    </w:lvl>
  </w:abstractNum>
  <w:abstractNum w:abstractNumId="38">
    <w:nsid w:val="5092CA79"/>
    <w:multiLevelType w:val="hybridMultilevel"/>
    <w:lvl w:ilvl="0">
      <w:lvlJc w:val="left"/>
      <w:lvlText w:val="•"/>
      <w:numFmt w:val="bullet"/>
      <w:start w:val="1"/>
    </w:lvl>
  </w:abstractNum>
  <w:abstractNum w:abstractNumId="39">
    <w:nsid w:val="1D545C4D"/>
    <w:multiLevelType w:val="hybridMultilevel"/>
    <w:lvl w:ilvl="0">
      <w:lvlJc w:val="left"/>
      <w:lvlText w:val="•"/>
      <w:numFmt w:val="bullet"/>
      <w:start w:val="1"/>
    </w:lvl>
  </w:abstractNum>
  <w:abstractNum w:abstractNumId="40">
    <w:nsid w:val="59ADEA3D"/>
    <w:multiLevelType w:val="hybridMultilevel"/>
    <w:lvl w:ilvl="0">
      <w:lvlJc w:val="left"/>
      <w:lvlText w:val="•"/>
      <w:numFmt w:val="bullet"/>
      <w:start w:val="1"/>
    </w:lvl>
  </w:abstractNum>
  <w:abstractNum w:abstractNumId="41">
    <w:nsid w:val="288F1A34"/>
    <w:multiLevelType w:val="hybridMultilevel"/>
    <w:lvl w:ilvl="0">
      <w:lvlJc w:val="left"/>
      <w:lvlText w:val="•"/>
      <w:numFmt w:val="bullet"/>
      <w:start w:val="1"/>
    </w:lvl>
  </w:abstractNum>
  <w:abstractNum w:abstractNumId="42">
    <w:nsid w:val="2A155DBC"/>
    <w:multiLevelType w:val="hybridMultilevel"/>
    <w:lvl w:ilvl="0">
      <w:lvlJc w:val="left"/>
      <w:lvlText w:val="•"/>
      <w:numFmt w:val="bullet"/>
      <w:start w:val="1"/>
    </w:lvl>
  </w:abstractNum>
  <w:abstractNum w:abstractNumId="43">
    <w:nsid w:val="1D9F6E5F"/>
    <w:multiLevelType w:val="hybridMultilevel"/>
    <w:lvl w:ilvl="0">
      <w:lvlJc w:val="left"/>
      <w:lvlText w:val="•"/>
      <w:numFmt w:val="bullet"/>
      <w:start w:val="1"/>
    </w:lvl>
  </w:abstractNum>
  <w:abstractNum w:abstractNumId="44">
    <w:nsid w:val="97E1B4E"/>
    <w:multiLevelType w:val="hybridMultilevel"/>
    <w:lvl w:ilvl="0">
      <w:lvlJc w:val="left"/>
      <w:lvlText w:val="•"/>
      <w:numFmt w:val="bullet"/>
      <w:start w:val="1"/>
    </w:lvl>
  </w:abstractNum>
  <w:abstractNum w:abstractNumId="45">
    <w:nsid w:val="51088277"/>
    <w:multiLevelType w:val="hybridMultilevel"/>
    <w:lvl w:ilvl="0">
      <w:lvlJc w:val="left"/>
      <w:lvlText w:val="•"/>
      <w:numFmt w:val="bullet"/>
      <w:start w:val="1"/>
    </w:lvl>
  </w:abstractNum>
  <w:abstractNum w:abstractNumId="46">
    <w:nsid w:val="1CA0C5FA"/>
    <w:multiLevelType w:val="hybridMultilevel"/>
    <w:lvl w:ilvl="0">
      <w:lvlJc w:val="left"/>
      <w:lvlText w:val="•"/>
      <w:numFmt w:val="bullet"/>
      <w:start w:val="1"/>
    </w:lvl>
  </w:abstractNum>
  <w:abstractNum w:abstractNumId="47">
    <w:nsid w:val="53584BCB"/>
    <w:multiLevelType w:val="hybridMultilevel"/>
    <w:lvl w:ilvl="0">
      <w:lvlJc w:val="left"/>
      <w:lvlText w:val="•"/>
      <w:numFmt w:val="bullet"/>
      <w:start w:val="1"/>
    </w:lvl>
  </w:abstractNum>
  <w:abstractNum w:abstractNumId="48">
    <w:nsid w:val="415E286C"/>
    <w:multiLevelType w:val="hybridMultilevel"/>
    <w:lvl w:ilvl="0">
      <w:lvlJc w:val="left"/>
      <w:lvlText w:val="•"/>
      <w:numFmt w:val="bullet"/>
      <w:start w:val="1"/>
    </w:lvl>
  </w:abstractNum>
  <w:abstractNum w:abstractNumId="49">
    <w:nsid w:val="7C58FD05"/>
    <w:multiLevelType w:val="hybridMultilevel"/>
    <w:lvl w:ilvl="0">
      <w:lvlJc w:val="left"/>
      <w:lvlText w:val="•"/>
      <w:numFmt w:val="bullet"/>
      <w:start w:val="1"/>
    </w:lvl>
  </w:abstractNum>
  <w:abstractNum w:abstractNumId="50">
    <w:nsid w:val="23D86AAC"/>
    <w:multiLevelType w:val="hybridMultilevel"/>
    <w:lvl w:ilvl="0">
      <w:lvlJc w:val="left"/>
      <w:lvlText w:val="(%1)"/>
      <w:numFmt w:val="decimal"/>
      <w:start w:val="1"/>
    </w:lvl>
  </w:abstractNum>
  <w:abstractNum w:abstractNumId="51">
    <w:nsid w:val="45E6D486"/>
    <w:multiLevelType w:val="hybridMultilevel"/>
    <w:lvl w:ilvl="0">
      <w:lvlJc w:val="left"/>
      <w:lvlText w:val="(%1)"/>
      <w:numFmt w:val="decimal"/>
      <w:start w:val="1"/>
    </w:lvl>
  </w:abstractNum>
  <w:abstractNum w:abstractNumId="52">
    <w:nsid w:val="5C10FE21"/>
    <w:multiLevelType w:val="hybridMultilevel"/>
    <w:lvl w:ilvl="0">
      <w:lvlJc w:val="left"/>
      <w:lvlText w:val="(%1)"/>
      <w:numFmt w:val="decimal"/>
      <w:start w:val="6"/>
    </w:lvl>
  </w:abstractNum>
  <w:abstractNum w:abstractNumId="53">
    <w:nsid w:val="E7FFA2B"/>
    <w:multiLevelType w:val="hybridMultilevel"/>
    <w:lvl w:ilvl="0">
      <w:lvlJc w:val="left"/>
      <w:lvlText w:val="%1"/>
      <w:numFmt w:val="upperLetter"/>
      <w:start w:val="1"/>
    </w:lvl>
    <w:lvl w:ilvl="1">
      <w:lvlJc w:val="left"/>
      <w:lvlText w:val="(%2)"/>
      <w:numFmt w:val="decimal"/>
      <w:start w:val="1"/>
    </w:lvl>
  </w:abstractNum>
  <w:abstractNum w:abstractNumId="54">
    <w:nsid w:val="3C5991AA"/>
    <w:multiLevelType w:val="hybridMultilevel"/>
    <w:lvl w:ilvl="0">
      <w:lvlJc w:val="left"/>
      <w:lvlText w:val="%1."/>
      <w:numFmt w:val="upperLetter"/>
      <w:start w:val="3"/>
    </w:lvl>
    <w:lvl w:ilvl="1">
      <w:lvlJc w:val="left"/>
      <w:lvlText w:val="%2"/>
      <w:numFmt w:val="decimal"/>
      <w:start w:val="1"/>
    </w:lvl>
  </w:abstractNum>
  <w:abstractNum w:abstractNumId="55">
    <w:nsid w:val="4BD8591A"/>
    <w:multiLevelType w:val="hybridMultilevel"/>
    <w:lvl w:ilvl="0">
      <w:lvlJc w:val="left"/>
      <w:lvlText w:val="•"/>
      <w:numFmt w:val="bullet"/>
      <w:start w:val="1"/>
    </w:lvl>
  </w:abstractNum>
  <w:abstractNum w:abstractNumId="56">
    <w:nsid w:val="78DF6A55"/>
    <w:multiLevelType w:val="hybridMultilevel"/>
    <w:lvl w:ilvl="0">
      <w:lvlJc w:val="left"/>
      <w:lvlText w:val="*"/>
      <w:numFmt w:val="bullet"/>
      <w:start w:val="1"/>
    </w:lvl>
  </w:abstractNum>
  <w:abstractNum w:abstractNumId="57">
    <w:nsid w:val="39B7AAA2"/>
    <w:multiLevelType w:val="hybridMultilevel"/>
    <w:lvl w:ilvl="0">
      <w:lvlJc w:val="left"/>
      <w:lvlText w:val="(%1)"/>
      <w:numFmt w:val="decimal"/>
      <w:start w:val="1"/>
    </w:lvl>
  </w:abstractNum>
  <w:abstractNum w:abstractNumId="58">
    <w:nsid w:val="2B0D8DBE"/>
    <w:multiLevelType w:val="hybridMultilevel"/>
    <w:lvl w:ilvl="0">
      <w:lvlJc w:val="left"/>
      <w:lvlText w:val="(%1)"/>
      <w:numFmt w:val="decimal"/>
      <w:start w:val="4"/>
    </w:lvl>
  </w:abstractNum>
  <w:abstractNum w:abstractNumId="59">
    <w:nsid w:val="6C80EC70"/>
    <w:multiLevelType w:val="hybridMultilevel"/>
    <w:lvl w:ilvl="0">
      <w:lvlJc w:val="left"/>
      <w:lvlText w:val="(%1)"/>
      <w:numFmt w:val="decimal"/>
      <w:start w:val="7"/>
    </w:lvl>
  </w:abstractNum>
  <w:abstractNum w:abstractNumId="60">
    <w:nsid w:val="379E21B5"/>
    <w:multiLevelType w:val="hybridMultilevel"/>
    <w:lvl w:ilvl="0">
      <w:lvlJc w:val="left"/>
      <w:lvlText w:val="•"/>
      <w:numFmt w:val="bullet"/>
      <w:start w:val="1"/>
    </w:lvl>
  </w:abstractNum>
  <w:abstractNum w:abstractNumId="61">
    <w:nsid w:val="69E373"/>
    <w:multiLevelType w:val="hybridMultilevel"/>
    <w:lvl w:ilvl="0">
      <w:lvlJc w:val="left"/>
      <w:lvlText w:val="•"/>
      <w:numFmt w:val="bullet"/>
      <w:start w:val="1"/>
    </w:lvl>
  </w:abstractNum>
  <w:abstractNum w:abstractNumId="62">
    <w:nsid w:val="2C27173B"/>
    <w:multiLevelType w:val="hybridMultilevel"/>
    <w:lvl w:ilvl="0">
      <w:lvlJc w:val="left"/>
      <w:lvlText w:val="•"/>
      <w:numFmt w:val="bullet"/>
      <w:start w:val="1"/>
    </w:lvl>
  </w:abstractNum>
  <w:abstractNum w:abstractNumId="63">
    <w:nsid w:val="4C9B0904"/>
    <w:multiLevelType w:val="hybridMultilevel"/>
    <w:lvl w:ilvl="0">
      <w:lvlJc w:val="left"/>
      <w:lvlText w:val="4"/>
      <w:numFmt w:val="bullet"/>
      <w:start w:val="1"/>
    </w:lvl>
  </w:abstractNum>
  <w:abstractNum w:abstractNumId="64">
    <w:nsid w:val="6AA7B75C"/>
    <w:multiLevelType w:val="hybridMultilevel"/>
    <w:lvl w:ilvl="0">
      <w:lvlJc w:val="left"/>
      <w:lvlText w:val="5"/>
      <w:numFmt w:val="bullet"/>
      <w:start w:val="1"/>
    </w:lvl>
  </w:abstractNum>
  <w:abstractNum w:abstractNumId="65">
    <w:nsid w:val="1DF029D3"/>
    <w:multiLevelType w:val="hybridMultilevel"/>
    <w:lvl w:ilvl="0">
      <w:lvlJc w:val="left"/>
      <w:lvlText w:val="ü"/>
      <w:numFmt w:val="bullet"/>
      <w:start w:val="1"/>
    </w:lvl>
  </w:abstractNum>
  <w:abstractNum w:abstractNumId="66">
    <w:nsid w:val="5675FF36"/>
    <w:multiLevelType w:val="hybridMultilevel"/>
    <w:lvl w:ilvl="0">
      <w:lvlJc w:val="left"/>
      <w:lvlText w:val="û"/>
      <w:numFmt w:val="bullet"/>
      <w:start w:val="1"/>
    </w:lvl>
  </w:abstractNum>
  <w:abstractNum w:abstractNumId="67">
    <w:nsid w:val="3DD15094"/>
    <w:multiLevelType w:val="hybridMultilevel"/>
    <w:lvl w:ilvl="0">
      <w:lvlJc w:val="left"/>
      <w:lvlText w:val="ü"/>
      <w:numFmt w:val="bullet"/>
      <w:start w:val="1"/>
    </w:lvl>
  </w:abstractNum>
  <w:abstractNum w:abstractNumId="68">
    <w:nsid w:val="3DB012B3"/>
    <w:multiLevelType w:val="hybridMultilevel"/>
    <w:lvl w:ilvl="0">
      <w:lvlJc w:val="left"/>
      <w:lvlText w:val="•"/>
      <w:numFmt w:val="bullet"/>
      <w:start w:val="1"/>
    </w:lvl>
  </w:abstractNum>
  <w:abstractNum w:abstractNumId="69">
    <w:nsid w:val="2708C9AF"/>
    <w:multiLevelType w:val="hybridMultilevel"/>
    <w:lvl w:ilvl="0">
      <w:lvlJc w:val="left"/>
      <w:lvlText w:val="•"/>
      <w:numFmt w:val="bullet"/>
      <w:start w:val="1"/>
    </w:lvl>
  </w:abstractNum>
  <w:abstractNum w:abstractNumId="70">
    <w:nsid w:val="5B25ACE2"/>
    <w:multiLevelType w:val="hybridMultilevel"/>
    <w:lvl w:ilvl="0">
      <w:lvlJc w:val="left"/>
      <w:lvlText w:val="•"/>
      <w:numFmt w:val="bullet"/>
      <w:start w:val="1"/>
    </w:lvl>
  </w:abstractNum>
  <w:abstractNum w:abstractNumId="71">
    <w:nsid w:val="175DFCF0"/>
    <w:multiLevelType w:val="hybridMultilevel"/>
    <w:lvl w:ilvl="0">
      <w:lvlJc w:val="left"/>
      <w:lvlText w:val="•"/>
      <w:numFmt w:val="bullet"/>
      <w:start w:val="1"/>
    </w:lvl>
  </w:abstractNum>
  <w:abstractNum w:abstractNumId="72">
    <w:nsid w:val="4F97E3E4"/>
    <w:multiLevelType w:val="hybridMultilevel"/>
    <w:lvl w:ilvl="0">
      <w:lvlJc w:val="left"/>
      <w:lvlText w:val="•"/>
      <w:numFmt w:val="bullet"/>
      <w:start w:val="1"/>
    </w:lvl>
  </w:abstractNum>
  <w:abstractNum w:abstractNumId="73">
    <w:nsid w:val="53B0A9E"/>
    <w:multiLevelType w:val="hybridMultilevel"/>
    <w:lvl w:ilvl="0">
      <w:lvlJc w:val="left"/>
      <w:lvlText w:val="(%1)"/>
      <w:numFmt w:val="decimal"/>
      <w:start w:val="1"/>
    </w:lvl>
  </w:abstractNum>
  <w:abstractNum w:abstractNumId="74">
    <w:nsid w:val="34FD6B4F"/>
    <w:multiLevelType w:val="hybridMultilevel"/>
    <w:lvl w:ilvl="0">
      <w:lvlJc w:val="left"/>
      <w:lvlText w:val="•"/>
      <w:numFmt w:val="bullet"/>
      <w:start w:val="1"/>
    </w:lvl>
  </w:abstractNum>
  <w:abstractNum w:abstractNumId="75">
    <w:nsid w:val="5915FF32"/>
    <w:multiLevelType w:val="hybridMultilevel"/>
    <w:lvl w:ilvl="0">
      <w:lvlJc w:val="left"/>
      <w:lvlText w:val="•"/>
      <w:numFmt w:val="bullet"/>
      <w:start w:val="1"/>
    </w:lvl>
  </w:abstractNum>
  <w:abstractNum w:abstractNumId="76">
    <w:nsid w:val="56438D15"/>
    <w:multiLevelType w:val="hybridMultilevel"/>
    <w:lvl w:ilvl="0">
      <w:lvlJc w:val="left"/>
      <w:lvlText w:val="•"/>
      <w:numFmt w:val="bullet"/>
      <w:start w:val="1"/>
    </w:lvl>
  </w:abstractNum>
  <w:abstractNum w:abstractNumId="77">
    <w:nsid w:val="519E3149"/>
    <w:multiLevelType w:val="hybridMultilevel"/>
    <w:lvl w:ilvl="0">
      <w:lvlJc w:val="left"/>
      <w:lvlText w:val="7"/>
      <w:numFmt w:val="bullet"/>
      <w:start w:val="1"/>
    </w:lvl>
  </w:abstractNum>
  <w:abstractNum w:abstractNumId="78">
    <w:nsid w:val="2C6E4AFD"/>
    <w:multiLevelType w:val="hybridMultilevel"/>
    <w:lvl w:ilvl="0">
      <w:lvlJc w:val="left"/>
      <w:lvlText w:val="8"/>
      <w:numFmt w:val="bullet"/>
      <w:start w:val="1"/>
    </w:lvl>
  </w:abstractNum>
  <w:abstractNum w:abstractNumId="79">
    <w:nsid w:val="17A1B582"/>
    <w:multiLevelType w:val="hybridMultilevel"/>
    <w:lvl w:ilvl="0">
      <w:lvlJc w:val="left"/>
      <w:lvlText w:val="(%1)"/>
      <w:numFmt w:val="decimal"/>
      <w:start w:val="1"/>
    </w:lvl>
  </w:abstractNum>
  <w:abstractNum w:abstractNumId="80">
    <w:nsid w:val="4DF72E4E"/>
    <w:multiLevelType w:val="hybridMultilevel"/>
    <w:lvl w:ilvl="0">
      <w:lvlJc w:val="left"/>
      <w:lvlText w:val="(%1)"/>
      <w:numFmt w:val="decimal"/>
      <w:start w:val="8"/>
    </w:lvl>
  </w:abstractNum>
  <w:abstractNum w:abstractNumId="81">
    <w:nsid w:val="5046B5A9"/>
    <w:multiLevelType w:val="hybridMultilevel"/>
    <w:lvl w:ilvl="0">
      <w:lvlJc w:val="left"/>
      <w:lvlText w:val="(%1)"/>
      <w:numFmt w:val="decimal"/>
      <w:start w:val="1"/>
    </w:lvl>
  </w:abstractNum>
  <w:abstractNum w:abstractNumId="82">
    <w:nsid w:val="5D888A08"/>
    <w:multiLevelType w:val="hybridMultilevel"/>
    <w:lvl w:ilvl="0">
      <w:lvlJc w:val="left"/>
      <w:lvlText w:val="(%1)"/>
      <w:numFmt w:val="decimal"/>
      <w:start w:val="4"/>
    </w:lvl>
  </w:abstractNum>
  <w:abstractNum w:abstractNumId="83">
    <w:nsid w:val="2A082C70"/>
    <w:multiLevelType w:val="hybridMultilevel"/>
    <w:lvl w:ilvl="0">
      <w:lvlJc w:val="left"/>
      <w:lvlText w:val="(%1)"/>
      <w:numFmt w:val="decimal"/>
      <w:start w:val="1"/>
    </w:lvl>
  </w:abstractNum>
  <w:abstractNum w:abstractNumId="84">
    <w:nsid w:val="5EC6AFD4"/>
    <w:multiLevelType w:val="hybridMultilevel"/>
    <w:lvl w:ilvl="0">
      <w:lvlJc w:val="left"/>
      <w:lvlText w:val="(%1)"/>
      <w:numFmt w:val="decimal"/>
      <w:start w:val="3"/>
    </w:lvl>
  </w:abstractNum>
  <w:abstractNum w:abstractNumId="85">
    <w:nsid w:val="19E21BB2"/>
    <w:multiLevelType w:val="hybridMultilevel"/>
    <w:lvl w:ilvl="0">
      <w:lvlJc w:val="left"/>
      <w:lvlText w:val="%1."/>
      <w:numFmt w:val="upperLetter"/>
      <w:start w:val="10"/>
    </w:lvl>
  </w:abstractNum>
  <w:abstractNum w:abstractNumId="86">
    <w:nsid w:val="75E0858A"/>
    <w:multiLevelType w:val="hybridMultilevel"/>
    <w:lvl w:ilvl="0">
      <w:lvlJc w:val="left"/>
      <w:lvlText w:val="(%1)"/>
      <w:numFmt w:val="decimal"/>
      <w:start w:val="1"/>
    </w:lvl>
  </w:abstractNum>
  <w:abstractNum w:abstractNumId="87">
    <w:nsid w:val="57A61A29"/>
    <w:multiLevelType w:val="hybridMultilevel"/>
    <w:lvl w:ilvl="0">
      <w:lvlJc w:val="left"/>
      <w:lvlText w:val="(%1)"/>
      <w:numFmt w:val="decimal"/>
      <w:start w:val="6"/>
    </w:lvl>
  </w:abstractNum>
  <w:abstractNum w:abstractNumId="88">
    <w:nsid w:val="5399C654"/>
    <w:multiLevelType w:val="hybridMultilevel"/>
    <w:lvl w:ilvl="0">
      <w:lvlJc w:val="left"/>
      <w:lvlText w:val="(%1)"/>
      <w:numFmt w:val="decimal"/>
      <w:start w:val="1"/>
    </w:lvl>
  </w:abstractNum>
  <w:abstractNum w:abstractNumId="89">
    <w:nsid w:val="20EE1348"/>
    <w:multiLevelType w:val="hybridMultilevel"/>
    <w:lvl w:ilvl="0">
      <w:lvlJc w:val="left"/>
      <w:lvlText w:val="(%1)"/>
      <w:numFmt w:val="decimal"/>
      <w:start w:val="1"/>
    </w:lvl>
  </w:abstractNum>
  <w:abstractNum w:abstractNumId="90">
    <w:nsid w:val="4427069A"/>
    <w:multiLevelType w:val="hybridMultilevel"/>
    <w:lvl w:ilvl="0">
      <w:lvlJc w:val="left"/>
      <w:lvlText w:val="•"/>
      <w:numFmt w:val="bullet"/>
      <w:start w:val="1"/>
    </w:lvl>
  </w:abstractNum>
  <w:abstractNum w:abstractNumId="91">
    <w:nsid w:val="B37E80A"/>
    <w:multiLevelType w:val="hybridMultilevel"/>
    <w:lvl w:ilvl="0">
      <w:lvlJc w:val="left"/>
      <w:lvlText w:val="(%1)"/>
      <w:numFmt w:val="lowerLetter"/>
      <w:start w:val="1"/>
    </w:lvl>
  </w:abstractNum>
  <w:abstractNum w:abstractNumId="92">
    <w:nsid w:val="2157F6BC"/>
    <w:multiLevelType w:val="hybridMultilevel"/>
    <w:lvl w:ilvl="0">
      <w:lvlJc w:val="left"/>
      <w:lvlText w:val="(%1)"/>
      <w:numFmt w:val="decimal"/>
      <w:start w:val="1"/>
    </w:lvl>
    <w:lvl w:ilvl="1">
      <w:lvlJc w:val="left"/>
      <w:lvlText w:val="(%2)"/>
      <w:numFmt w:val="lowerLetter"/>
      <w:start w:val="1"/>
    </w:lvl>
  </w:abstractNum>
  <w:abstractNum w:abstractNumId="93">
    <w:nsid w:val="704E1DD5"/>
    <w:multiLevelType w:val="hybridMultilevel"/>
    <w:lvl w:ilvl="0">
      <w:lvlJc w:val="left"/>
      <w:lvlText w:val="(%1)"/>
      <w:numFmt w:val="decimal"/>
      <w:start w:val="1"/>
    </w:lvl>
    <w:lvl w:ilvl="1">
      <w:lvlJc w:val="left"/>
      <w:lvlText w:val="\endash "/>
      <w:numFmt w:val="bullet"/>
      <w:start w:val="1"/>
    </w:lvl>
  </w:abstractNum>
  <w:abstractNum w:abstractNumId="94">
    <w:nsid w:val="57D2F10E"/>
    <w:multiLevelType w:val="hybridMultilevel"/>
    <w:lvl w:ilvl="0">
      <w:lvlJc w:val="left"/>
      <w:lvlText w:val="(%1)"/>
      <w:numFmt w:val="decimal"/>
      <w:start w:val="5"/>
    </w:lvl>
  </w:abstractNum>
  <w:abstractNum w:abstractNumId="95">
    <w:nsid w:val="BFFAE18"/>
    <w:multiLevelType w:val="hybridMultilevel"/>
    <w:lvl w:ilvl="0">
      <w:lvlJc w:val="left"/>
      <w:lvlText w:val="•"/>
      <w:numFmt w:val="bullet"/>
      <w:start w:val="1"/>
    </w:lvl>
  </w:abstractNum>
  <w:abstractNum w:abstractNumId="96">
    <w:nsid w:val="E3E47A8"/>
    <w:multiLevelType w:val="hybridMultilevel"/>
    <w:lvl w:ilvl="0">
      <w:lvlJc w:val="left"/>
      <w:lvlText w:val="•"/>
      <w:numFmt w:val="bullet"/>
      <w:start w:val="1"/>
    </w:lvl>
  </w:abstractNum>
  <w:abstractNum w:abstractNumId="97">
    <w:nsid w:val="2E48F044"/>
    <w:multiLevelType w:val="hybridMultilevel"/>
    <w:lvl w:ilvl="0">
      <w:lvlJc w:val="left"/>
      <w:lvlText w:val="(%1)"/>
      <w:numFmt w:val="lowerRoman"/>
      <w:start w:val="2"/>
    </w:lvl>
  </w:abstractNum>
  <w:abstractNum w:abstractNumId="98">
    <w:nsid w:val="49D0FEAC"/>
    <w:multiLevelType w:val="hybridMultilevel"/>
    <w:lvl w:ilvl="0">
      <w:lvlJc w:val="left"/>
      <w:lvlText w:val="(%1)"/>
      <w:numFmt w:val="decimal"/>
      <w:start w:val="1"/>
    </w:lvl>
  </w:abstractNum>
  <w:abstractNum w:abstractNumId="99">
    <w:nsid w:val="4BEE5A5B"/>
    <w:multiLevelType w:val="hybridMultilevel"/>
    <w:lvl w:ilvl="0">
      <w:lvlJc w:val="left"/>
      <w:lvlText w:val="9"/>
      <w:numFmt w:val="bullet"/>
      <w:start w:val="1"/>
    </w:lvl>
  </w:abstractNum>
  <w:abstractNum w:abstractNumId="100">
    <w:nsid w:val="5551B9F3"/>
    <w:multiLevelType w:val="hybridMultilevel"/>
    <w:lvl w:ilvl="0">
      <w:lvlJc w:val="left"/>
      <w:lvlText w:val="•"/>
      <w:numFmt w:val="bullet"/>
      <w:start w:val="1"/>
    </w:lvl>
  </w:abstractNum>
  <w:abstractNum w:abstractNumId="101">
    <w:nsid w:val="24F6AB8E"/>
    <w:multiLevelType w:val="hybridMultilevel"/>
    <w:lvl w:ilvl="0">
      <w:lvlJc w:val="left"/>
      <w:lvlText w:val="•"/>
      <w:numFmt w:val="bullet"/>
      <w:start w:val="1"/>
    </w:lvl>
  </w:abstractNum>
  <w:abstractNum w:abstractNumId="102">
    <w:nsid w:val="634C574C"/>
    <w:multiLevelType w:val="hybridMultilevel"/>
    <w:lvl w:ilvl="0">
      <w:lvlJc w:val="left"/>
      <w:lvlText w:val="•"/>
      <w:numFmt w:val="bullet"/>
      <w:start w:val="1"/>
    </w:lvl>
  </w:abstractNum>
  <w:abstractNum w:abstractNumId="103">
    <w:nsid w:val="24E99DD7"/>
    <w:multiLevelType w:val="hybridMultilevel"/>
    <w:lvl w:ilvl="0">
      <w:lvlJc w:val="left"/>
      <w:lvlText w:val="•"/>
      <w:numFmt w:val="bullet"/>
      <w:start w:val="1"/>
    </w:lvl>
  </w:abstractNum>
  <w:abstractNum w:abstractNumId="104">
    <w:nsid w:val="2A31B62D"/>
    <w:multiLevelType w:val="hybridMultilevel"/>
    <w:lvl w:ilvl="0">
      <w:lvlJc w:val="left"/>
      <w:lvlText w:val="•"/>
      <w:numFmt w:val="bullet"/>
      <w:start w:val="1"/>
    </w:lvl>
  </w:abstractNum>
  <w:abstractNum w:abstractNumId="105">
    <w:nsid w:val="1849C29B"/>
    <w:multiLevelType w:val="hybridMultilevel"/>
    <w:lvl w:ilvl="0">
      <w:lvlJc w:val="left"/>
      <w:lvlText w:val="•"/>
      <w:numFmt w:val="bullet"/>
      <w:start w:val="1"/>
    </w:lvl>
  </w:abstractNum>
  <w:abstractNum w:abstractNumId="106">
    <w:nsid w:val="7DFF9D09"/>
    <w:multiLevelType w:val="hybridMultilevel"/>
    <w:lvl w:ilvl="0">
      <w:lvlJc w:val="left"/>
      <w:lvlText w:val="•"/>
      <w:numFmt w:val="bullet"/>
      <w:start w:val="1"/>
    </w:lvl>
  </w:abstractNum>
  <w:abstractNum w:abstractNumId="107">
    <w:nsid w:val="754342"/>
    <w:multiLevelType w:val="hybridMultilevel"/>
    <w:lvl w:ilvl="0">
      <w:lvlJc w:val="left"/>
      <w:lvlText w:val="•"/>
      <w:numFmt w:val="bullet"/>
      <w:start w:val="1"/>
    </w:lvl>
  </w:abstractNum>
  <w:abstractNum w:abstractNumId="108">
    <w:nsid w:val="69E7F3E5"/>
    <w:multiLevelType w:val="hybridMultilevel"/>
    <w:lvl w:ilvl="0">
      <w:lvlJc w:val="left"/>
      <w:lvlText w:val="•"/>
      <w:numFmt w:val="bullet"/>
      <w:start w:val="1"/>
    </w:lvl>
  </w:abstractNum>
  <w:abstractNum w:abstractNumId="109">
    <w:nsid w:val="2A6DE806"/>
    <w:multiLevelType w:val="hybridMultilevel"/>
    <w:lvl w:ilvl="0">
      <w:lvlJc w:val="left"/>
      <w:lvlText w:val="•"/>
      <w:numFmt w:val="bullet"/>
      <w:start w:val="1"/>
    </w:lvl>
  </w:abstractNum>
  <w:abstractNum w:abstractNumId="110">
    <w:nsid w:val="1816F8C4"/>
    <w:multiLevelType w:val="hybridMultilevel"/>
    <w:lvl w:ilvl="0">
      <w:lvlJc w:val="left"/>
      <w:lvlText w:val="•"/>
      <w:numFmt w:val="bullet"/>
      <w:start w:val="1"/>
    </w:lvl>
  </w:abstractNum>
  <w:abstractNum w:abstractNumId="111">
    <w:nsid w:val="37DF2233"/>
    <w:multiLevelType w:val="hybridMultilevel"/>
    <w:lvl w:ilvl="0">
      <w:lvlJc w:val="left"/>
      <w:lvlText w:val="(%1)"/>
      <w:numFmt w:val="decimal"/>
      <w:start w:val="1"/>
    </w:lvl>
  </w:abstractNum>
  <w:abstractNum w:abstractNumId="112">
    <w:nsid w:val="7AB49DAF"/>
    <w:multiLevelType w:val="hybridMultilevel"/>
    <w:lvl w:ilvl="0">
      <w:lvlJc w:val="left"/>
      <w:lvlText w:val="•"/>
      <w:numFmt w:val="bullet"/>
      <w:start w:val="1"/>
    </w:lvl>
  </w:abstractNum>
  <w:abstractNum w:abstractNumId="113">
    <w:nsid w:val="759F82CD"/>
    <w:multiLevelType w:val="hybridMultilevel"/>
    <w:lvl w:ilvl="0">
      <w:lvlJc w:val="left"/>
      <w:lvlText w:val="%1."/>
      <w:numFmt w:val="decimal"/>
      <w:start w:val="1"/>
    </w:lvl>
  </w:abstractNum>
  <w:abstractNum w:abstractNumId="114">
    <w:nsid w:val="61E74EA3"/>
    <w:multiLevelType w:val="hybridMultilevel"/>
    <w:lvl w:ilvl="0">
      <w:lvlJc w:val="left"/>
      <w:lvlText w:val="%1."/>
      <w:numFmt w:val="decimal"/>
      <w:start w:val="1"/>
    </w:lvl>
    <w:lvl w:ilvl="1">
      <w:lvlJc w:val="left"/>
      <w:lvlText w:val="(%2)"/>
      <w:numFmt w:val="lowerLetter"/>
      <w:start w:val="1"/>
    </w:lvl>
  </w:abstractNum>
  <w:abstractNum w:abstractNumId="115">
    <w:nsid w:val="597B4D84"/>
    <w:multiLevelType w:val="hybridMultilevel"/>
    <w:lvl w:ilvl="0">
      <w:lvlJc w:val="left"/>
      <w:lvlText w:val="(%1)"/>
      <w:numFmt w:val="decimal"/>
      <w:start w:val="10"/>
    </w:lvl>
  </w:abstractNum>
  <w:abstractNum w:abstractNumId="116">
    <w:nsid w:val="F819E7F"/>
    <w:multiLevelType w:val="hybridMultilevel"/>
    <w:lvl w:ilvl="0">
      <w:lvlJc w:val="left"/>
      <w:lvlText w:val="(%1)"/>
      <w:numFmt w:val="lowerLetter"/>
      <w:start w:val="8"/>
    </w:lvl>
    <w:lvl w:ilvl="1">
      <w:lvlJc w:val="left"/>
      <w:lvlText w:val="(%2)"/>
      <w:numFmt w:val="lowerRoman"/>
      <w:start w:val="1"/>
    </w:lvl>
  </w:abstractNum>
  <w:abstractNum w:abstractNumId="117">
    <w:nsid w:val="57C7D42D"/>
    <w:multiLevelType w:val="hybridMultilevel"/>
    <w:lvl w:ilvl="0">
      <w:lvlJc w:val="left"/>
      <w:lvlText w:val="(%1)"/>
      <w:numFmt w:val="lowerLetter"/>
      <w:start w:val="11"/>
    </w:lvl>
    <w:lvl w:ilvl="1">
      <w:lvlJc w:val="left"/>
      <w:lvlText w:val="(%2)"/>
      <w:numFmt w:val="lowerRoman"/>
      <w:start w:val="1"/>
    </w:lvl>
  </w:abstractNum>
  <w:abstractNum w:abstractNumId="118">
    <w:nsid w:val="312167AD"/>
    <w:multiLevelType w:val="hybridMultilevel"/>
    <w:lvl w:ilvl="0">
      <w:lvlJc w:val="left"/>
      <w:lvlText w:val="%1"/>
      <w:numFmt w:val="lowerLetter"/>
      <w:start w:val="1"/>
    </w:lvl>
    <w:lvl w:ilvl="1">
      <w:lvlJc w:val="left"/>
      <w:lvlText w:val="(%2)"/>
      <w:numFmt w:val="lowerRoman"/>
      <w:start w:val="4"/>
    </w:lvl>
  </w:abstractNum>
  <w:abstractNum w:abstractNumId="119">
    <w:nsid w:val="631B64D4"/>
    <w:multiLevelType w:val="hybridMultilevel"/>
    <w:lvl w:ilvl="0">
      <w:lvlJc w:val="left"/>
      <w:lvlText w:val="(%1)"/>
      <w:numFmt w:val="lowerLetter"/>
      <w:start w:val="21"/>
    </w:lvl>
    <w:lvl w:ilvl="1">
      <w:lvlJc w:val="left"/>
      <w:lvlText w:val="(%2)"/>
      <w:numFmt w:val="lowerRoman"/>
      <w:start w:val="1"/>
    </w:lvl>
  </w:abstractNum>
  <w:abstractNum w:abstractNumId="120">
    <w:nsid w:val="78B5E776"/>
    <w:multiLevelType w:val="hybridMultilevel"/>
    <w:lvl w:ilvl="0">
      <w:lvlJc w:val="left"/>
      <w:lvlText w:val="(%1)"/>
      <w:numFmt w:val="lowerLetter"/>
      <w:start w:val="23"/>
    </w:lvl>
  </w:abstractNum>
  <w:abstractNum w:abstractNumId="121">
    <w:nsid w:val="75486E47"/>
    <w:multiLevelType w:val="hybridMultilevel"/>
    <w:lvl w:ilvl="0">
      <w:lvlJc w:val="left"/>
      <w:lvlText w:val="(%1)"/>
      <w:numFmt w:val="lowerLetter"/>
      <w:start w:val="27"/>
    </w:lvl>
  </w:abstractNum>
  <w:abstractNum w:abstractNumId="122">
    <w:nsid w:val="6E534CDE"/>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23">
    <w:nsid w:val="1A0DDE32"/>
    <w:multiLevelType w:val="hybridMultilevel"/>
    <w:lvl w:ilvl="0">
      <w:lvlJc w:val="left"/>
      <w:lvlText w:val="%1"/>
      <w:numFmt w:val="lowerRoman"/>
      <w:start w:val="1"/>
    </w:lvl>
    <w:lvl w:ilvl="1">
      <w:lvlJc w:val="left"/>
      <w:lvlText w:val="(%2)"/>
      <w:numFmt w:val="decimal"/>
      <w:start w:val="1"/>
    </w:lvl>
  </w:abstractNum>
  <w:abstractNum w:abstractNumId="124">
    <w:nsid w:val="65968C1C"/>
    <w:multiLevelType w:val="hybridMultilevel"/>
    <w:lvl w:ilvl="0">
      <w:lvlJc w:val="left"/>
      <w:lvlText w:val="(%1)"/>
      <w:numFmt w:val="lowerRoman"/>
      <w:start w:val="2"/>
    </w:lvl>
    <w:lvl w:ilvl="1">
      <w:lvlJc w:val="left"/>
      <w:lvlText w:val="%2"/>
      <w:numFmt w:val="decimal"/>
      <w:start w:val="1"/>
    </w:lvl>
  </w:abstractNum>
  <w:abstractNum w:abstractNumId="125">
    <w:nsid w:val="46263DEC"/>
    <w:multiLevelType w:val="hybridMultilevel"/>
    <w:lvl w:ilvl="0">
      <w:lvlJc w:val="left"/>
      <w:lvlText w:val="(%1)"/>
      <w:numFmt w:val="lowerLetter"/>
      <w:start w:val="4"/>
    </w:lvl>
    <w:lvl w:ilvl="1">
      <w:lvlJc w:val="left"/>
      <w:lvlText w:val="(%2)"/>
      <w:numFmt w:val="lowerRoman"/>
      <w:start w:val="1"/>
    </w:lvl>
    <w:lvl w:ilvl="2">
      <w:lvlJc w:val="left"/>
      <w:lvlText w:val="(%3)"/>
      <w:numFmt w:val="lowerRoman"/>
      <w:start w:val="1"/>
    </w:lvl>
  </w:abstractNum>
  <w:abstractNum w:abstractNumId="126">
    <w:nsid w:val="260D8C4A"/>
    <w:multiLevelType w:val="hybridMultilevel"/>
    <w:lvl w:ilvl="0">
      <w:lvlJc w:val="left"/>
      <w:lvlText w:val="(%1)"/>
      <w:numFmt w:val="lowerLetter"/>
      <w:start w:val="24"/>
    </w:lvl>
  </w:abstractNum>
  <w:abstractNum w:abstractNumId="127">
    <w:nsid w:val="73D4D3C4"/>
    <w:multiLevelType w:val="hybridMultilevel"/>
    <w:lvl w:ilvl="0">
      <w:lvlJc w:val="left"/>
      <w:lvlText w:val="(%1)"/>
      <w:numFmt w:val="lowerLetter"/>
      <w:start w:val="8"/>
    </w:lvl>
  </w:abstractNum>
  <w:abstractNum w:abstractNumId="128">
    <w:nsid w:val="746F2E30"/>
    <w:multiLevelType w:val="hybridMultilevel"/>
    <w:lvl w:ilvl="0">
      <w:lvlJc w:val="left"/>
      <w:lvlText w:val="%1"/>
      <w:numFmt w:val="decimal"/>
      <w:start w:val="1"/>
    </w:lvl>
    <w:lvl w:ilvl="1">
      <w:lvlJc w:val="left"/>
      <w:lvlText w:val="(%2)"/>
      <w:numFmt w:val="lowerLetter"/>
      <w:start w:val="9"/>
    </w:lvl>
  </w:abstractNum>
  <w:abstractNum w:abstractNumId="129">
    <w:nsid w:val="6FDE8AF6"/>
    <w:multiLevelType w:val="hybridMultilevel"/>
    <w:lvl w:ilvl="0">
      <w:lvlJc w:val="left"/>
      <w:lvlText w:val="%1."/>
      <w:numFmt w:val="decimal"/>
      <w:start w:val="5"/>
    </w:lvl>
    <w:lvl w:ilvl="1">
      <w:lvlJc w:val="left"/>
      <w:lvlText w:val="(%2)"/>
      <w:numFmt w:val="lowerLetter"/>
      <w:start w:val="1"/>
    </w:lvl>
  </w:abstractNum>
  <w:abstractNum w:abstractNumId="130">
    <w:nsid w:val="3FC32E20"/>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31">
    <w:nsid w:val="49C0E823"/>
    <w:multiLevelType w:val="hybridMultilevel"/>
    <w:lvl w:ilvl="0">
      <w:lvlJc w:val="left"/>
      <w:lvlText w:val="(%1)"/>
      <w:numFmt w:val="lowerRoman"/>
      <w:start w:val="4"/>
    </w:lvl>
  </w:abstractNum>
  <w:abstractNum w:abstractNumId="132">
    <w:nsid w:val="14D53685"/>
    <w:multiLevelType w:val="hybridMultilevel"/>
    <w:lvl w:ilvl="0">
      <w:lvlJc w:val="left"/>
      <w:lvlText w:val="%1"/>
      <w:numFmt w:val="lowerLetter"/>
      <w:start w:val="1"/>
    </w:lvl>
    <w:lvl w:ilvl="1">
      <w:lvlJc w:val="left"/>
      <w:lvlText w:val="(%2)"/>
      <w:numFmt w:val="lowerLetter"/>
      <w:start w:val="22"/>
    </w:lvl>
    <w:lvl w:ilvl="2">
      <w:lvlJc w:val="left"/>
      <w:lvlText w:val="%3"/>
      <w:numFmt w:val="lowerRoman"/>
      <w:start w:val="1"/>
    </w:lvl>
  </w:abstractNum>
  <w:abstractNum w:abstractNumId="133">
    <w:nsid w:val="230F856C"/>
    <w:multiLevelType w:val="hybridMultilevel"/>
    <w:lvl w:ilvl="0">
      <w:lvlJc w:val="left"/>
      <w:lvlText w:val="(%1)"/>
      <w:numFmt w:val="lowerLetter"/>
      <w:start w:val="6"/>
    </w:lvl>
    <w:lvl w:ilvl="1">
      <w:lvlJc w:val="left"/>
      <w:lvlText w:val="(%2)"/>
      <w:numFmt w:val="lowerLetter"/>
      <w:start w:val="9"/>
    </w:lvl>
    <w:lvl w:ilvl="2">
      <w:lvlJc w:val="left"/>
      <w:lvlText w:val="%3"/>
      <w:numFmt w:val="lowerRoman"/>
      <w:start w:val="1"/>
    </w:lvl>
  </w:abstractNum>
  <w:abstractNum w:abstractNumId="134">
    <w:nsid w:val="6EAA85FB"/>
    <w:multiLevelType w:val="hybridMultilevel"/>
    <w:lvl w:ilvl="0">
      <w:lvlJc w:val="left"/>
      <w:lvlText w:val="%1"/>
      <w:numFmt w:val="lowerLetter"/>
      <w:start w:val="1"/>
    </w:lvl>
    <w:lvl w:ilvl="1">
      <w:lvlJc w:val="left"/>
      <w:lvlText w:val="(%2)"/>
      <w:numFmt w:val="lowerLetter"/>
      <w:start w:val="35"/>
    </w:lvl>
    <w:lvl w:ilvl="2">
      <w:lvlJc w:val="left"/>
      <w:lvlText w:val="%3"/>
      <w:numFmt w:val="lowerRoman"/>
      <w:start w:val="1"/>
    </w:lvl>
  </w:abstractNum>
  <w:abstractNum w:abstractNumId="135">
    <w:nsid w:val="3F06ECB2"/>
    <w:multiLevelType w:val="hybridMultilevel"/>
    <w:lvl w:ilvl="0">
      <w:lvlJc w:val="left"/>
      <w:lvlText w:val="%1"/>
      <w:numFmt w:val="lowerLetter"/>
      <w:start w:val="1"/>
    </w:lvl>
    <w:lvl w:ilvl="1">
      <w:lvlJc w:val="left"/>
      <w:lvlText w:val="(%2)"/>
      <w:numFmt w:val="lowerLetter"/>
      <w:start w:val="61"/>
    </w:lvl>
    <w:lvl w:ilvl="2">
      <w:lvlJc w:val="left"/>
      <w:lvlText w:val="%3"/>
      <w:numFmt w:val="lowerRoman"/>
      <w:start w:val="1"/>
    </w:lvl>
  </w:abstractNum>
  <w:abstractNum w:abstractNumId="136">
    <w:nsid w:val="3B594807"/>
    <w:multiLevelType w:val="hybridMultilevel"/>
    <w:lvl w:ilvl="0">
      <w:lvlJc w:val="left"/>
      <w:lvlText w:val="%1"/>
      <w:numFmt w:val="lowerLetter"/>
      <w:start w:val="1"/>
    </w:lvl>
    <w:lvl w:ilvl="1">
      <w:lvlJc w:val="left"/>
      <w:lvlText w:val="(%2)"/>
      <w:numFmt w:val="lowerRoman"/>
      <w:start w:val="4"/>
    </w:lvl>
  </w:abstractNum>
  <w:abstractNum w:abstractNumId="137">
    <w:nsid w:val="6CAA2304"/>
    <w:multiLevelType w:val="hybridMultilevel"/>
    <w:lvl w:ilvl="0">
      <w:lvlJc w:val="left"/>
      <w:lvlText w:val="(%1)"/>
      <w:numFmt w:val="lowerLetter"/>
      <w:start w:val="8"/>
    </w:lvl>
    <w:lvl w:ilvl="1">
      <w:lvlJc w:val="left"/>
      <w:lvlText w:val="%2"/>
      <w:numFmt w:val="lowerRoman"/>
      <w:start w:val="1"/>
    </w:lvl>
  </w:abstractNum>
  <w:abstractNum w:abstractNumId="138">
    <w:nsid w:val="3F7C2FF4"/>
    <w:multiLevelType w:val="hybridMultilevel"/>
    <w:lvl w:ilvl="0">
      <w:lvlJc w:val="left"/>
      <w:lvlText w:val="%1"/>
      <w:numFmt w:val="decimal"/>
      <w:start w:val="1"/>
    </w:lvl>
    <w:lvl w:ilvl="1">
      <w:lvlJc w:val="left"/>
      <w:lvlText w:val="(%2)"/>
      <w:numFmt w:val="lowerLetter"/>
      <w:start w:val="9"/>
    </w:lvl>
    <w:lvl w:ilvl="2">
      <w:lvlJc w:val="left"/>
      <w:lvlText w:val="%3"/>
      <w:numFmt w:val="lowerRoman"/>
      <w:start w:val="1"/>
    </w:lvl>
  </w:abstractNum>
  <w:abstractNum w:abstractNumId="139">
    <w:nsid w:val="25413BEC"/>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140">
    <w:nsid w:val="17180B0B"/>
    <w:multiLevelType w:val="hybridMultilevel"/>
    <w:lvl w:ilvl="0">
      <w:lvlJc w:val="left"/>
      <w:lvlText w:val="%1"/>
      <w:numFmt w:val="decimal"/>
      <w:start w:val="1"/>
    </w:lvl>
    <w:lvl w:ilvl="1">
      <w:lvlJc w:val="left"/>
      <w:lvlText w:val="(%2)"/>
      <w:numFmt w:val="lowerLetter"/>
      <w:start w:val="3"/>
    </w:lvl>
  </w:abstractNum>
  <w:abstractNum w:abstractNumId="141">
    <w:nsid w:val="579328B9"/>
    <w:multiLevelType w:val="hybridMultilevel"/>
    <w:lvl w:ilvl="0">
      <w:lvlJc w:val="left"/>
      <w:lvlText w:val="%1."/>
      <w:numFmt w:val="decimal"/>
      <w:start w:val="9"/>
    </w:lvl>
    <w:lvl w:ilvl="1">
      <w:lvlJc w:val="left"/>
      <w:lvlText w:val="(%2)"/>
      <w:numFmt w:val="lowerLetter"/>
      <w:start w:val="1"/>
    </w:lvl>
  </w:abstractNum>
  <w:abstractNum w:abstractNumId="142">
    <w:nsid w:val="5D205E20"/>
    <w:multiLevelType w:val="hybridMultilevel"/>
    <w:lvl w:ilvl="0">
      <w:lvlJc w:val="left"/>
      <w:lvlText w:val="%1"/>
      <w:numFmt w:val="decimal"/>
      <w:start w:val="1"/>
    </w:lvl>
    <w:lvl w:ilvl="1">
      <w:lvlJc w:val="left"/>
      <w:lvlText w:val="(%2)"/>
      <w:numFmt w:val="lowerLetter"/>
      <w:start w:val="2"/>
    </w:lvl>
  </w:abstractNum>
  <w:abstractNum w:abstractNumId="143">
    <w:nsid w:val="11CCA8BA"/>
    <w:multiLevelType w:val="hybridMultilevel"/>
    <w:lvl w:ilvl="0">
      <w:lvlJc w:val="left"/>
      <w:lvlText w:val="%1."/>
      <w:numFmt w:val="decimal"/>
      <w:start w:val="10"/>
    </w:lvl>
    <w:lvl w:ilvl="1">
      <w:lvlJc w:val="left"/>
      <w:lvlText w:val="(%2)"/>
      <w:numFmt w:val="lowerLetter"/>
      <w:start w:val="1"/>
    </w:lvl>
  </w:abstractNum>
  <w:abstractNum w:abstractNumId="144">
    <w:nsid w:val="4D32AB8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Letter"/>
      <w:start w:val="9"/>
    </w:lvl>
  </w:abstractNum>
  <w:abstractNum w:abstractNumId="145">
    <w:nsid w:val="3F07ACC3"/>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4"/>
      <w:numFmt w:val="lowerLetter"/>
      <w:start w:val="1"/>
    </w:lvl>
  </w:abstractNum>
  <w:abstractNum w:abstractNumId="146">
    <w:nsid w:val="6B47F63E"/>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lvl w:ilvl="3">
      <w:lvlJc w:val="left"/>
      <w:lvlText w:val="%4"/>
      <w:numFmt w:val="lowerLetter"/>
      <w:start w:val="1"/>
    </w:lvl>
  </w:abstractNum>
  <w:abstractNum w:abstractNumId="147">
    <w:nsid w:val="5CB44A05"/>
    <w:multiLevelType w:val="hybridMultilevel"/>
    <w:lvl w:ilvl="0">
      <w:lvlJc w:val="left"/>
      <w:lvlText w:val="%1."/>
      <w:numFmt w:val="decimal"/>
      <w:start w:val="12"/>
    </w:lvl>
    <w:lvl w:ilvl="1">
      <w:lvlJc w:val="left"/>
      <w:lvlText w:val="(%2)"/>
      <w:numFmt w:val="lowerLetter"/>
      <w:start w:val="1"/>
    </w:lvl>
  </w:abstractNum>
  <w:abstractNum w:abstractNumId="148">
    <w:nsid w:val="16CF80F1"/>
    <w:multiLevelType w:val="hybridMultilevel"/>
    <w:lvl w:ilvl="0">
      <w:lvlJc w:val="left"/>
      <w:lvlText w:val="%1"/>
      <w:numFmt w:val="decimal"/>
      <w:start w:val="1"/>
    </w:lvl>
    <w:lvl w:ilvl="1">
      <w:lvlJc w:val="left"/>
      <w:lvlText w:val="(%2)"/>
      <w:numFmt w:val="lowerLetter"/>
      <w:start w:val="2"/>
    </w:lvl>
  </w:abstractNum>
  <w:abstractNum w:abstractNumId="149">
    <w:nsid w:val="1C695DEC"/>
    <w:multiLevelType w:val="hybridMultilevel"/>
    <w:lvl w:ilvl="0">
      <w:lvlJc w:val="left"/>
      <w:lvlText w:val="%1."/>
      <w:numFmt w:val="decimal"/>
      <w:start w:val="13"/>
    </w:lvl>
    <w:lvl w:ilvl="1">
      <w:lvlJc w:val="left"/>
      <w:lvlText w:val="(%2)"/>
      <w:numFmt w:val="lowerLetter"/>
      <w:start w:val="1"/>
    </w:lvl>
  </w:abstractNum>
  <w:abstractNum w:abstractNumId="150">
    <w:nsid w:val="3FCFAED9"/>
    <w:multiLevelType w:val="hybridMultilevel"/>
    <w:lvl w:ilvl="0">
      <w:lvlJc w:val="left"/>
      <w:lvlText w:val="%1."/>
      <w:numFmt w:val="decimal"/>
      <w:start w:val="17"/>
    </w:lvl>
    <w:lvl w:ilvl="1">
      <w:lvlJc w:val="left"/>
      <w:lvlText w:val="(%2)"/>
      <w:numFmt w:val="lowerLetter"/>
      <w:start w:val="1"/>
    </w:lvl>
  </w:abstractNum>
  <w:abstractNum w:abstractNumId="151">
    <w:nsid w:val="F856867"/>
    <w:multiLevelType w:val="hybridMultilevel"/>
    <w:lvl w:ilvl="0">
      <w:lvlJc w:val="left"/>
      <w:lvlText w:val="%1"/>
      <w:numFmt w:val="decimal"/>
      <w:start w:val="1"/>
    </w:lvl>
    <w:lvl w:ilvl="1">
      <w:lvlJc w:val="left"/>
      <w:lvlText w:val="(%2)"/>
      <w:numFmt w:val="lowerLetter"/>
      <w:start w:val="4"/>
    </w:lvl>
  </w:abstractNum>
  <w:abstractNum w:abstractNumId="152">
    <w:nsid w:val="11B1CC33"/>
    <w:multiLevelType w:val="hybridMultilevel"/>
    <w:lvl w:ilvl="0">
      <w:lvlJc w:val="left"/>
      <w:lvlText w:val="%1."/>
      <w:numFmt w:val="decimal"/>
      <w:start w:val="19"/>
    </w:lvl>
    <w:lvl w:ilvl="1">
      <w:lvlJc w:val="left"/>
      <w:lvlText w:val="%2"/>
      <w:numFmt w:val="lowerLetter"/>
      <w:start w:val="1"/>
    </w:lvl>
  </w:abstractNum>
  <w:abstractNum w:abstractNumId="153">
    <w:nsid w:val="2E22FBB7"/>
    <w:multiLevelType w:val="hybridMultilevel"/>
    <w:lvl w:ilvl="0">
      <w:lvlJc w:val="left"/>
      <w:lvlText w:val="%1."/>
      <w:numFmt w:val="decimal"/>
      <w:start w:val="1"/>
    </w:lvl>
  </w:abstractNum>
  <w:abstractNum w:abstractNumId="154">
    <w:nsid w:val="29934699"/>
    <w:multiLevelType w:val="hybridMultilevel"/>
    <w:lvl w:ilvl="0">
      <w:lvlJc w:val="left"/>
      <w:lvlText w:val="%1."/>
      <w:numFmt w:val="decimal"/>
      <w:start w:val="1"/>
    </w:lvl>
  </w:abstractNum>
  <w:abstractNum w:abstractNumId="155">
    <w:nsid w:val="77485850"/>
    <w:multiLevelType w:val="hybridMultilevel"/>
    <w:lvl w:ilvl="0">
      <w:lvlJc w:val="left"/>
      <w:lvlText w:val="%1."/>
      <w:numFmt w:val="decimal"/>
      <w:start w:val="2"/>
    </w:lvl>
    <w:lvl w:ilvl="1">
      <w:lvlJc w:val="left"/>
      <w:lvlText w:val="(%2)"/>
      <w:numFmt w:val="lowerLetter"/>
      <w:start w:val="1"/>
    </w:lvl>
  </w:abstractNum>
  <w:abstractNum w:abstractNumId="156">
    <w:nsid w:val="744939A3"/>
    <w:multiLevelType w:val="hybridMultilevel"/>
    <w:lvl w:ilvl="0">
      <w:lvlJc w:val="left"/>
      <w:lvlText w:val="(%1)"/>
      <w:numFmt w:val="lowerLetter"/>
      <w:start w:val="5"/>
    </w:lvl>
  </w:abstractNum>
  <w:abstractNum w:abstractNumId="157">
    <w:nsid w:val="4FA0D2E3"/>
    <w:multiLevelType w:val="hybridMultilevel"/>
    <w:lvl w:ilvl="0">
      <w:lvlJc w:val="left"/>
      <w:lvlText w:val="%1"/>
      <w:numFmt w:val="decimal"/>
      <w:start w:val="1"/>
    </w:lvl>
    <w:lvl w:ilvl="1">
      <w:lvlJc w:val="left"/>
      <w:lvlText w:val="(%2)"/>
      <w:numFmt w:val="lowerLetter"/>
      <w:start w:val="18"/>
    </w:lvl>
  </w:abstractNum>
  <w:abstractNum w:abstractNumId="158">
    <w:nsid w:val="6B1D2C14"/>
    <w:multiLevelType w:val="hybridMultilevel"/>
    <w:lvl w:ilvl="0">
      <w:lvlJc w:val="left"/>
      <w:lvlText w:val="%1."/>
      <w:numFmt w:val="decimal"/>
      <w:start w:val="3"/>
    </w:lvl>
    <w:lvl w:ilvl="1">
      <w:lvlJc w:val="left"/>
      <w:lvlText w:val="(%2)"/>
      <w:numFmt w:val="lowerLetter"/>
      <w:start w:val="35"/>
    </w:lvl>
  </w:abstractNum>
  <w:abstractNum w:abstractNumId="159">
    <w:nsid w:val="68B867D3"/>
    <w:multiLevelType w:val="hybridMultilevel"/>
    <w:lvl w:ilvl="0">
      <w:lvlJc w:val="left"/>
      <w:lvlText w:val="%1"/>
      <w:numFmt w:val="decimal"/>
      <w:start w:val="1"/>
    </w:lvl>
    <w:lvl w:ilvl="1">
      <w:lvlJc w:val="left"/>
      <w:lvlText w:val="(%2)"/>
      <w:numFmt w:val="lowerLetter"/>
      <w:start w:val="1"/>
    </w:lvl>
  </w:abstractNum>
  <w:abstractNum w:abstractNumId="160">
    <w:nsid w:val="3F7F5DD9"/>
    <w:multiLevelType w:val="hybridMultilevel"/>
    <w:lvl w:ilvl="0">
      <w:lvlJc w:val="left"/>
      <w:lvlText w:val="(%1)"/>
      <w:numFmt w:val="lowerLetter"/>
      <w:start w:val="2"/>
    </w:lvl>
  </w:abstractNum>
  <w:abstractNum w:abstractNumId="161">
    <w:nsid w:val="2AE05A34"/>
    <w:multiLevelType w:val="hybridMultilevel"/>
    <w:lvl w:ilvl="0">
      <w:lvlJc w:val="left"/>
      <w:lvlText w:val="%1"/>
      <w:numFmt w:val="decimal"/>
      <w:start w:val="1"/>
    </w:lvl>
    <w:lvl w:ilvl="1">
      <w:lvlJc w:val="left"/>
      <w:lvlText w:val="(%2)"/>
      <w:numFmt w:val="lowerLetter"/>
      <w:start w:val="4"/>
    </w:lvl>
  </w:abstractNum>
  <w:abstractNum w:abstractNumId="162">
    <w:nsid w:val="32794FF7"/>
    <w:multiLevelType w:val="hybridMultilevel"/>
    <w:lvl w:ilvl="0">
      <w:lvlJc w:val="left"/>
      <w:lvlText w:val="%1."/>
      <w:numFmt w:val="decimal"/>
      <w:start w:val="6"/>
    </w:lvl>
    <w:lvl w:ilvl="1">
      <w:lvlJc w:val="left"/>
      <w:lvlText w:val="(%2)"/>
      <w:numFmt w:val="lowerLetter"/>
      <w:start w:val="35"/>
    </w:lvl>
  </w:abstractNum>
  <w:abstractNum w:abstractNumId="163">
    <w:nsid w:val="5454945E"/>
    <w:multiLevelType w:val="hybridMultilevel"/>
    <w:lvl w:ilvl="0">
      <w:lvlJc w:val="left"/>
      <w:lvlText w:val="%1"/>
      <w:numFmt w:val="decimal"/>
      <w:start w:val="1"/>
    </w:lvl>
    <w:lvl w:ilvl="1">
      <w:lvlJc w:val="left"/>
      <w:lvlText w:val="(%2)"/>
      <w:numFmt w:val="lowerLetter"/>
      <w:start w:val="1"/>
    </w:lvl>
  </w:abstractNum>
  <w:abstractNum w:abstractNumId="164">
    <w:nsid w:val="4DEFDFA0"/>
    <w:multiLevelType w:val="hybridMultilevel"/>
    <w:lvl w:ilvl="0">
      <w:lvlJc w:val="left"/>
      <w:lvlText w:val="%1."/>
      <w:numFmt w:val="decimal"/>
      <w:start w:val="9"/>
    </w:lvl>
    <w:lvl w:ilvl="1">
      <w:lvlJc w:val="left"/>
      <w:lvlText w:val="%2"/>
      <w:numFmt w:val="lowerLetter"/>
      <w:start w:val="1"/>
    </w:lvl>
  </w:abstractNum>
  <w:abstractNum w:abstractNumId="165">
    <w:nsid w:val="2123D5F2"/>
    <w:multiLevelType w:val="hybridMultilevel"/>
    <w:lvl w:ilvl="0">
      <w:lvlJc w:val="left"/>
      <w:lvlText w:val="%1."/>
      <w:numFmt w:val="decimal"/>
      <w:start w:val="10"/>
    </w:lvl>
    <w:lvl w:ilvl="1">
      <w:lvlJc w:val="left"/>
      <w:lvlText w:val="(%2)"/>
      <w:numFmt w:val="lowerLetter"/>
      <w:start w:val="1"/>
    </w:lvl>
  </w:abstractNum>
  <w:abstractNum w:abstractNumId="166">
    <w:nsid w:val="135B8110"/>
    <w:multiLevelType w:val="hybridMultilevel"/>
    <w:lvl w:ilvl="0">
      <w:lvlJc w:val="left"/>
      <w:lvlText w:val="%1"/>
      <w:numFmt w:val="decimal"/>
      <w:start w:val="1"/>
    </w:lvl>
    <w:lvl w:ilvl="1">
      <w:lvlJc w:val="left"/>
      <w:lvlText w:val="(%2)"/>
      <w:numFmt w:val="lowerLetter"/>
      <w:start w:val="2"/>
    </w:lvl>
  </w:abstractNum>
  <w:abstractNum w:abstractNumId="167">
    <w:nsid w:val="94927A8"/>
    <w:multiLevelType w:val="hybridMultilevel"/>
    <w:lvl w:ilvl="0">
      <w:lvlJc w:val="left"/>
      <w:lvlText w:val="%1."/>
      <w:numFmt w:val="decimal"/>
      <w:start w:val="11"/>
    </w:lvl>
    <w:lvl w:ilvl="1">
      <w:lvlJc w:val="left"/>
      <w:lvlText w:val="(%2)"/>
      <w:numFmt w:val="lowerLetter"/>
      <w:start w:val="1"/>
    </w:lvl>
  </w:abstractNum>
  <w:abstractNum w:abstractNumId="168">
    <w:nsid w:val="DCDF8F6"/>
    <w:multiLevelType w:val="hybridMultilevel"/>
    <w:lvl w:ilvl="0">
      <w:lvlJc w:val="left"/>
      <w:lvlText w:val="%1."/>
      <w:numFmt w:val="decimal"/>
      <w:start w:val="12"/>
    </w:lvl>
    <w:lvl w:ilvl="1">
      <w:lvlJc w:val="left"/>
      <w:lvlText w:val="(%2)"/>
      <w:numFmt w:val="lowerLetter"/>
      <w:start w:val="1"/>
    </w:lvl>
  </w:abstractNum>
  <w:abstractNum w:abstractNumId="169">
    <w:nsid w:val="52D7B105"/>
    <w:multiLevelType w:val="hybridMultilevel"/>
    <w:lvl w:ilvl="0">
      <w:lvlJc w:val="left"/>
      <w:lvlText w:val="(%1)"/>
      <w:numFmt w:val="lowerRoman"/>
      <w:start w:val="1"/>
    </w:lvl>
  </w:abstractNum>
  <w:abstractNum w:abstractNumId="170">
    <w:nsid w:val="2E8A639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171">
    <w:nsid w:val="24E60401"/>
    <w:multiLevelType w:val="hybridMultilevel"/>
    <w:lvl w:ilvl="0">
      <w:lvlJc w:val="left"/>
      <w:lvlText w:val="%1."/>
      <w:numFmt w:val="decimal"/>
      <w:start w:val="16"/>
    </w:lvl>
    <w:lvl w:ilvl="1">
      <w:lvlJc w:val="left"/>
      <w:lvlText w:val="(%2)"/>
      <w:numFmt w:val="lowerLetter"/>
      <w:start w:val="1"/>
    </w:lvl>
    <w:lvl w:ilvl="2">
      <w:lvlJc w:val="left"/>
      <w:lvlText w:val="%3"/>
      <w:numFmt w:val="lowerLetter"/>
      <w:start w:val="1"/>
    </w:lvl>
  </w:abstractNum>
  <w:abstractNum w:abstractNumId="172">
    <w:nsid w:val="2A6AD9BE"/>
    <w:multiLevelType w:val="hybridMultilevel"/>
    <w:lvl w:ilvl="0">
      <w:lvlJc w:val="left"/>
      <w:lvlText w:val="%1"/>
      <w:numFmt w:val="decimal"/>
      <w:start w:val="1"/>
    </w:lvl>
    <w:lvl w:ilvl="1">
      <w:lvlJc w:val="left"/>
      <w:lvlText w:val="(%2)"/>
      <w:numFmt w:val="lowerLetter"/>
      <w:start w:val="3"/>
    </w:lvl>
  </w:abstractNum>
  <w:abstractNum w:abstractNumId="173">
    <w:nsid w:val="BAAC1B4"/>
    <w:multiLevelType w:val="hybridMultilevel"/>
    <w:lvl w:ilvl="0">
      <w:lvlJc w:val="left"/>
      <w:lvlText w:val="%1."/>
      <w:numFmt w:val="decimal"/>
      <w:start w:val="20"/>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2025-03-28T14:18:16Z</dcterms:created>
  <dcterms:modified xsi:type="dcterms:W3CDTF">2025-03-28T14:18:16Z</dcterms:modified>
</cp:coreProperties>
</file>