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September 30, 2023</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338" w:type="dxa"/>
        <w:jc w:val="center"/>
        <w:tblInd w:w="0" w:type="dxa"/>
        <w:tblLayout w:type="fixed"/>
        <w:tblCellMar>
          <w:top w:w="28" w:type="dxa"/>
          <w:left w:w="28" w:type="dxa"/>
          <w:bottom w:w="28" w:type="dxa"/>
          <w:right w:w="28" w:type="dxa"/>
        </w:tblCellMar>
      </w:tblPr>
      <w:tblGrid>
        <w:gridCol w:w="1138"/>
        <w:gridCol w:w="999"/>
        <w:gridCol w:w="1012"/>
        <w:gridCol w:w="519"/>
        <w:gridCol w:w="519"/>
        <w:gridCol w:w="52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Trading Symbol(s)</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October 26, 2023, 18,747,865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76">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76">
              <w:r>
                <w:rPr>
                  <w:rStyle w:val="InternetLink"/>
                  <w:rFonts w:ascii="Arial Narrow;sans-serif" w:hAnsi="Arial Narrow;sans-serif"/>
                  <w:b w:val="false"/>
                  <w:color w:val="0000FF"/>
                  <w:sz w:val="20"/>
                  <w:u w:val="single"/>
                </w:rPr>
                <w:t>20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12">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12">
              <w:r>
                <w:rPr>
                  <w:rStyle w:val="InternetLink"/>
                  <w:rFonts w:ascii="Arial Narrow;sans-serif" w:hAnsi="Arial Narrow;sans-serif"/>
                  <w:b w:val="false"/>
                  <w:color w:val="0000FF"/>
                  <w:sz w:val="20"/>
                  <w:u w:val="single"/>
                </w:rPr>
                <w:t>38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15">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15">
              <w:r>
                <w:rPr>
                  <w:rStyle w:val="InternetLink"/>
                  <w:rFonts w:ascii="Arial Narrow;sans-serif" w:hAnsi="Arial Narrow;sans-serif"/>
                  <w:b w:val="false"/>
                  <w:color w:val="0000FF"/>
                  <w:sz w:val="20"/>
                  <w:u w:val="single"/>
                </w:rPr>
                <w:t>39</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18">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21">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21">
              <w:r>
                <w:rPr>
                  <w:rStyle w:val="InternetLink"/>
                  <w:rFonts w:ascii="Arial Narrow;sans-serif" w:hAnsi="Arial Narrow;sans-serif"/>
                  <w:b w:val="false"/>
                  <w:color w:val="0000FF"/>
                  <w:sz w:val="20"/>
                  <w:u w:val="single"/>
                </w:rPr>
                <w:t>39</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24">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24">
              <w:r>
                <w:rPr>
                  <w:rStyle w:val="InternetLink"/>
                  <w:rFonts w:ascii="Arial Narrow;sans-serif" w:hAnsi="Arial Narrow;sans-serif"/>
                  <w:b w:val="false"/>
                  <w:color w:val="0000FF"/>
                  <w:sz w:val="20"/>
                  <w:u w:val="single"/>
                </w:rPr>
                <w:t>39</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27">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27">
              <w:r>
                <w:rPr>
                  <w:rStyle w:val="InternetLink"/>
                  <w:rFonts w:ascii="Arial Narrow;sans-serif" w:hAnsi="Arial Narrow;sans-serif"/>
                  <w:b w:val="false"/>
                  <w:color w:val="0000FF"/>
                  <w:sz w:val="20"/>
                  <w:u w:val="single"/>
                </w:rPr>
                <w:t>39</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30">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30">
              <w:r>
                <w:rPr>
                  <w:rStyle w:val="InternetLink"/>
                  <w:rFonts w:ascii="Arial Narrow;sans-serif" w:hAnsi="Arial Narrow;sans-serif"/>
                  <w:b w:val="false"/>
                  <w:color w:val="0000FF"/>
                  <w:sz w:val="20"/>
                  <w:u w:val="single"/>
                </w:rPr>
                <w:t>40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33">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33">
              <w:r>
                <w:rPr>
                  <w:rStyle w:val="InternetLink"/>
                  <w:rFonts w:ascii="Arial Narrow;sans-serif" w:hAnsi="Arial Narrow;sans-serif"/>
                  <w:b w:val="false"/>
                  <w:color w:val="0000FF"/>
                  <w:sz w:val="20"/>
                  <w:u w:val="single"/>
                </w:rPr>
                <w:t>40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36">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36">
              <w:r>
                <w:rPr>
                  <w:rStyle w:val="InternetLink"/>
                  <w:rFonts w:ascii="Arial Narrow;sans-serif" w:hAnsi="Arial Narrow;sans-serif"/>
                  <w:b w:val="false"/>
                  <w:color w:val="0000FF"/>
                  <w:sz w:val="20"/>
                  <w:u w:val="single"/>
                </w:rPr>
                <w:t>40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39">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39">
              <w:r>
                <w:rPr>
                  <w:rStyle w:val="InternetLink"/>
                  <w:rFonts w:ascii="Arial Narrow;sans-serif" w:hAnsi="Arial Narrow;sans-serif"/>
                  <w:b w:val="false"/>
                  <w:color w:val="0000FF"/>
                  <w:sz w:val="20"/>
                  <w:u w:val="single"/>
                </w:rPr>
                <w:t>41</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622746f8d449c7aa912ec3f9c72b6e_142">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22746f8d449c7aa912ec3f9c72b6e_142">
              <w:r>
                <w:rPr>
                  <w:rStyle w:val="InternetLink"/>
                  <w:rFonts w:ascii="Arial Narrow;sans-serif" w:hAnsi="Arial Narrow;sans-serif"/>
                  <w:b w:val="false"/>
                  <w:color w:val="0000FF"/>
                  <w:sz w:val="20"/>
                  <w:u w:val="single"/>
                </w:rPr>
                <w:t>42</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34"/>
        <w:gridCol w:w="2326"/>
        <w:gridCol w:w="2369"/>
        <w:gridCol w:w="200"/>
        <w:gridCol w:w="895"/>
        <w:gridCol w:w="111"/>
        <w:gridCol w:w="109"/>
        <w:gridCol w:w="109"/>
        <w:gridCol w:w="109"/>
        <w:gridCol w:w="199"/>
        <w:gridCol w:w="885"/>
        <w:gridCol w:w="159"/>
      </w:tblGrid>
      <w:tr>
        <w:trPr/>
        <w:tc>
          <w:tcPr>
            <w:tcW w:w="2734"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2022</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$16,011 and $10,600,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$4,779 and $3,850,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405,531 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investments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91,194 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87,486 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1,282,300 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1,199,040 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183,872 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171,723 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264,783 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245,684 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464,163 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401,316 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21,597,274 and 22,507,159 shares issued,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2,848,126 and 2,711,712 shares,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261,995 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318,706 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412,195 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352,548 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553,354 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1,282,300 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1,199,040 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76"/>
        <w:gridCol w:w="1547"/>
        <w:gridCol w:w="1555"/>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177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Nine Months Ended</w:t>
              <w:br/>
              <w:t>September 30,</w:t>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2022</w:t>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 and reimbursable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1,022,832 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818,744 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revenues and reimbursable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292,186 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1,048,750 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837,778 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708,355 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569,848 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148,886 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330,124 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953,258 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763,517 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29,299 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95,492 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74,261 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(7,753)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85,207 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Income tax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58,468 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58,468 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investment,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cash flow hedging instruments,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4,607 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62,206 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63,075 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Layout w:type="fixed"/>
        <w:tblCellMar>
          <w:top w:w="28" w:type="dxa"/>
          <w:left w:w="28" w:type="dxa"/>
          <w:bottom w:w="28" w:type="dxa"/>
          <w:right w:w="28" w:type="dxa"/>
        </w:tblCellMar>
      </w:tblPr>
      <w:tblGrid>
        <w:gridCol w:w="645"/>
        <w:gridCol w:w="239"/>
        <w:gridCol w:w="212"/>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6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21,732,924 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(2,969,196)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23,058 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551,618 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16,511 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(290,288)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(28,787)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21,475,484 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(2,972,631)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20,678 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553,354 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2022</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23,183,446 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(2,935,799)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(136,425)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19,549 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575,359 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19,639 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36,251 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(685,641)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(45,604)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2022</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22,540,056 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(2,944,654)</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336,125 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335,464 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21,447 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556,261 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55" w:type="dxa"/>
        <w:jc w:val="left"/>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2022</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22,231,593 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(2,953,147)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552,040 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62,206 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322,775 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122,220 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21,609 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34,958 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(1,116,830)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(88,433)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2023</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21,475,484 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(2,972,631)</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20,678 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553,354 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2021</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23,868,918 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(2,908,849)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16,840 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571,900 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63,075 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341,189 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114,290 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36,536 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25,260 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(150,095)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(1,706,587)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(97,855)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2022</w:t>
            </w:r>
          </w:p>
        </w:tc>
        <w:tc>
          <w:tcPr>
            <w:tcW w:w="8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22,540,056 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(2,944,654)</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(137,000)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336,125 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335,464 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21,447 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556,261 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68" w:type="dxa"/>
        <w:jc w:val="center"/>
        <w:tblInd w:w="0" w:type="dxa"/>
        <w:tblLayout w:type="fixed"/>
        <w:tblCellMar>
          <w:top w:w="28" w:type="dxa"/>
          <w:left w:w="28" w:type="dxa"/>
          <w:bottom w:w="28" w:type="dxa"/>
          <w:right w:w="28" w:type="dxa"/>
        </w:tblCellMar>
      </w:tblPr>
      <w:tblGrid>
        <w:gridCol w:w="2093"/>
        <w:gridCol w:w="1833"/>
        <w:gridCol w:w="1848"/>
        <w:gridCol w:w="181"/>
        <w:gridCol w:w="571"/>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September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property and equipment, excluding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from life insurance policies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Divestiture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through three operating segments: Healthcare, Education, and Commercial. See Note 13 “Segment Information”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and nine months ended September 30, 2023 and 2022.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2022 and our Quarterly Reports on Form 10-Q for the periods ended March 31, 2023 and June 30, 2023. Our results for any interim period are not necessarily indicative of results for a full year or any other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nine months ended September 30, 2023.</w:t>
      </w:r>
    </w:p>
    <w:tbl>
      <w:tblPr>
        <w:tblW w:w="9599" w:type="dxa"/>
        <w:jc w:val="left"/>
        <w:tblInd w:w="0" w:type="dxa"/>
        <w:tblLayout w:type="fixed"/>
        <w:tblCellMar>
          <w:top w:w="28" w:type="dxa"/>
          <w:left w:w="28" w:type="dxa"/>
          <w:bottom w:w="28" w:type="dxa"/>
          <w:right w:w="28" w:type="dxa"/>
        </w:tblCellMar>
      </w:tblPr>
      <w:tblGrid>
        <w:gridCol w:w="1545"/>
        <w:gridCol w:w="1360"/>
        <w:gridCol w:w="13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business acquisition</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September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(1)On September 1, 2023, we completed the acquisition of Roundtable Analytics, Inc. ("Roundtable"), a healthcare analytics company. The results of operations of Roundtable are included within our consolidated financial statements and results of operations of our Healthcare segment as of the acquisition date. The acquisition of Roundtable is not significant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September 30, 2023 and December 31, 2022 consisted of the following:</w:t>
      </w:r>
    </w:p>
    <w:tbl>
      <w:tblPr>
        <w:tblW w:w="873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2022</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57,219 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68,143 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71,441 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Identifiable intangible assets with finite lives are amortized over their estimated useful lives. Customer relationships as well as certain trade names and technology and software are amortized on an accelerated basis to correspond to the cash flows expected to be derived from the assets. All other intangible assets with finite lives are amortized on a straight-line basis.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 amortization expense was $2.0 million and $2.8 million for the three months ended September 30, 2023 and 2022, respectively; and $6.2 million and $8.5 million for the nine months ended September 30, 2023 and 2022, respectively. The table below sets forth the estimated annual amortization expense for the intangible assets recorded as of September 30, 2023.</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84"/>
        <w:gridCol w:w="1656"/>
        <w:gridCol w:w="46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8,219 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3,112 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2,127 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2023 and 2022, we recognized revenues of $358.2 million and $285.4 million, respectively. Of the $358.2 million recognized in the third quarter of 2023, we recognized revenues of $9.6 million from obligations satisfied, or partially satisfied, in prior periods, of which $7.1 million was due to changes in the estimates of our variable consideration under performance-based billing arrangements and $2.5 million was due to the release of allowances on receivables from clients and unbilled services. Of the $285.4 million recognized in the third quarter of 2022, we recognized revenues of $3.5 million from obligations satisfied, or partially satisfied, in prior periods, which was primarily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2023 and 2022, we recognized revenues of $1.02 billion and $818.7 million, respectively. Of the $1.02 billion recognized in the first nine months of 2023, we recognized revenues of $10.4 million from obligations satisfied, or partially satisfied, in prior periods, of which $9.1 million was due to changes in the estimates of our variable consideration under performance-based billing arrangements and $1.3 million was primarily due to the release of allowances on receivables from clients and unbilled services. Of the $818.7 million recognized in the first nine months of 2022, we recognized revenues of $4.7 million from obligations satisfied, or partially satisfied, in prior periods, of which $2.5 million was due to changes in the estimates of our variable consideration under performance-based billing arrangements and $2.2 million was primarily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we had $228.4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$228.4 million of performance obligations, we expect to recognize $25.8 million as revenue in 2023, $72.6 million in 2024, and the remaining $130.0 million thereafter. Actual revenue recognition could differ from these amounts as a result of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estimated timing of work to be performed, adjustments to estimated variable consideration in performance-based arrangements, or other factors.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September 30, 2023 and December 31, 2022 was $58.0 million and $50.2 million, respectively. The $7.8 million increase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September 30, 2023 and December 31, 2022 was $26.2 million and $21.9 million, respectively. The $4.3 million increase primarily reflects timing differences between client payments in accordance with their contract terms and the completion of our performance obligations. For the three and nine months ended September 30, 2023, $0.9 million and $21.2 million of revenues recognized were included in the deferred revenue balance as of December 31,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8955" w:type="dxa"/>
        <w:jc w:val="center"/>
        <w:tblInd w:w="0" w:type="dxa"/>
        <w:tblLayout w:type="fixed"/>
        <w:tblCellMar>
          <w:top w:w="28" w:type="dxa"/>
          <w:left w:w="28" w:type="dxa"/>
          <w:bottom w:w="28" w:type="dxa"/>
          <w:right w:w="28" w:type="dxa"/>
        </w:tblCellMar>
      </w:tblPr>
      <w:tblGrid>
        <w:gridCol w:w="1487"/>
        <w:gridCol w:w="1312"/>
        <w:gridCol w:w="132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for the three and nine months ended September 30, 2023 and 2022 were less than 0.1 million shares and related to unvested restricted stock and outstanding common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In the fourth quarter of 2023, our board of directors authorized a further extension of the share repurchase program through December 31, 2024 and increased the authorized amount under the share repurchase program from $300 million to $400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repurchased and retired are reflected as a reduction to our basic weighted average shares outstanding based on the trade date of the share repurchase.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three and nine months ended September 30, 2023, we repurchased and retired 290,288 and 1,116,830 shares for $28.8 million and $88.4 million, respectively. Additionally, in the first quarter of 2023, we settled the repurchase of 15,200 shares for $1.1 million which were accrued as of December 31, 2022. In the three and nine months ended September 30, 2022, we repurchased and retired 685,641 and 1,706,587 shares for $45.6 million and $97.9 million, respectively, including 38,568 shares for $2.6 million which were settled in the fourth quarter of 2022. Additionally in the first quarter of 2022, we settled the repurchase of 3,820 shares for $0.2 million that were accrued as of December 31, 2021. As of September 30, 2023, $21.1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(as amended,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April 2023, the Company and PNC Capital Markets, LLC, as Sustainability Structuring Agent, with the consent of the Required Lenders (as defined in the Amended Credit Agreement), entered into the first amendment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2023, we were in compliance with these financial covenants with a Consolidated Leverage Ratio of 1.82 to 1.00 and a Consolidated Interest Coverage Ratio of 10.86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at September 30, 2023 totaled $358.0 million and are classified as long-term debt in our consolidated balance sheet. These borrowings carried a weighted average interest rate of 4.4%, including the effect of the interest rate swaps described in Note 8 “Derivative Instruments and Hedging Activity.” Borrowings outstanding under the Amended Credit Agreement at December 31, 2022 were $290.0 million and carried a weighted average interest rate of 3.8%, including the effect of the interest rate swaps in effect at that time. The borrowing capacity under the revolving credit facility is reduced by any outstanding borrowings under the revolving credit facility and outstanding letters of credit. At September 30, 2023, we had outstanding letters of credit totaling $0.6 million, which are used as security deposits for our office facilities. As of September 30, 2023, the unused borrowing capacity under the revolving credit facility was $241.4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months ended September 30, 2023 were $5.4 million. In the third quarter of 2023, we exited our office space in Lexington, Massachusetts which resulted in a $3.5 million non-cash impairment charge on the related right of use operating lease asset and fixed assets of that office space. Additionally, in the third quarter of 2023, we recognized $1.2 million of employee-related expenses and $0.7 million of rent and related expenses, net of sublease income, for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for the nine months ended September 30, 2023 were $9.4 million. In the first nine months of 2023, we exited our office spaces in Hillsboro, Oregon and Lexington, Massachusetts, resulting in non-cash impairment charges of $1.9 million and $3.5 million, respectively, related to the right-of-use operating lease assets and fixed assets. Additionally, in the first nine months of 2023, we recognized $2.2 million of employee-related expenses; $1.3 million for rent and related expenses, net of sublease income, for previously vacated office spaces; $0.3 million related to the abandonment of a capitalized software development project; and $0.2 million related to non-cash lease impairment charges driven by updated sublease assumptions for previously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nine months ended September 30, 2022 were $1.3 million and $5.0 million, respectively. The $1.3 million of restructuring charges recognized in the third quarter of 2022 included $0.7 million of rent and related expenses, net of sublease income, for previously vacated office spaces; $0.5 million for the early termination of a contract; and $0.1 million of employee-related expenses. The $5.0 million of restructuring charges incurred in the first nine months of 2022 included $1.7 million of employee-related expenses; $1.7 million of rent and related expenses, net of sublease income, for previously vacated office spaces; $0.6 million for third-party transaction expenses related to the modification of our operating model; $0.5 million for the early termination of a contract; $0.3 million of accelerated amortization of capitalized software implementation costs for a cloud-computing arrangement that is no longer in use; and $0.1 million related to the divestiture of our Life Sciences business in the fourth quarter of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nine months ended September 30, 2023.</w:t>
      </w:r>
    </w:p>
    <w:tbl>
      <w:tblPr>
        <w:tblW w:w="6477" w:type="dxa"/>
        <w:jc w:val="left"/>
        <w:tblInd w:w="0" w:type="dxa"/>
        <w:tblLayout w:type="fixed"/>
        <w:tblCellMar>
          <w:top w:w="28" w:type="dxa"/>
          <w:left w:w="28" w:type="dxa"/>
          <w:bottom w:w="28" w:type="dxa"/>
          <w:right w:w="28" w:type="dxa"/>
        </w:tblCellMar>
      </w:tblPr>
      <w:tblGrid>
        <w:gridCol w:w="938"/>
        <w:gridCol w:w="825"/>
        <w:gridCol w:w="831"/>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2023</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$1.6 million restructuring charge liability related to employee costs at September 30, 2023 is expected to be paid in the next 12 months and is included as a component of accrued payroll and related benefits in our consolidated balance sheet. All of the $0.5 million other restructuring charge liability at September 30, 2023, which relates to the early termination of a contract in 2022,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$250.0 million and $200.0 million as of September 30, 2023 and December 31, 2022,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29, 2028.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2023, it was anticipated that $6.4 million of the gains, net of tax, related to interest rate swaps currently recorded in accumulated other comprehensive income will be reclassified into interest expense, net of interest income in our consolidated statement of operations within the next 12 months.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August 31, 2024. As of September 30, 2023 and December 31, 2022, the aggregate notional amounts of these contracts were INR 1,371.2 million, or $16.5 million, and INR 657.9 million, or $8.0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it was anticipated that all of the $0.1 million of losses, net of tax, related to foreign exchange forward contracts currently recorded in accumulated other comprehensive income will be reclassified into direct costs in our consolidated statement of operations within the next 12 months.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September 30, 2023 and December 31, 2022.</w:t>
      </w:r>
    </w:p>
    <w:tbl>
      <w:tblPr>
        <w:tblW w:w="9129"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250"/>
        <w:gridCol w:w="826"/>
        <w:gridCol w:w="139"/>
        <w:gridCol w:w="109"/>
        <w:gridCol w:w="109"/>
        <w:gridCol w:w="109"/>
        <w:gridCol w:w="245"/>
        <w:gridCol w:w="808"/>
        <w:gridCol w:w="19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2022</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10 “Other Comprehensive Income (Loss)” for additional information on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 </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September 30, 2023 and December 31, 2022.</w:t>
      </w:r>
    </w:p>
    <w:tbl>
      <w:tblPr>
        <w:tblW w:w="8651" w:type="dxa"/>
        <w:jc w:val="left"/>
        <w:tblInd w:w="0" w:type="dxa"/>
        <w:tblLayout w:type="fixed"/>
        <w:tblCellMar>
          <w:top w:w="28" w:type="dxa"/>
          <w:left w:w="28" w:type="dxa"/>
          <w:bottom w:w="28" w:type="dxa"/>
          <w:right w:w="28" w:type="dxa"/>
        </w:tblCellMar>
      </w:tblPr>
      <w:tblGrid>
        <w:gridCol w:w="1320"/>
        <w:gridCol w:w="1159"/>
        <w:gridCol w:w="1165"/>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8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xml:space="preserve">: The fair values of our foreign exchange forward contracts were derived using estimates to settle the foreign exchange forward contracts agreements, which are based on the net present value of expected future cash flows on each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utilizing market-based inputs, including both forward and spot prices, and a discount rate reflecting the risks involved. Refer to Note 8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24.5% and 24.0% as of September 30, 2023 and December 31, 2022, respectively; and the concluded equity volatility of 35.0% and 40.0% as of September 30, 2023 and December 31, 2022,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nine months ended September 30, 2023. </w:t>
      </w:r>
    </w:p>
    <w:tbl>
      <w:tblPr>
        <w:tblW w:w="5320"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470"/>
        <w:gridCol w:w="1556"/>
        <w:gridCol w:w="373"/>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61,756 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6.2% as of September 30, 2023 and 5.5% as of December 31, 2022.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nine months ended September 30, 2023. </w:t>
      </w:r>
    </w:p>
    <w:tbl>
      <w:tblPr>
        <w:tblW w:w="7240"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934"/>
        <w:gridCol w:w="2651"/>
        <w:gridCol w:w="73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2,313 </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Medically Home Preferred Stock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an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to other income (expense), net in our consolidated statement of operations. The carrying value of the preferred stock investment is recorded in long-term investments in our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first quarter of 2022, we recognized a pre-tax unrealized gain of $27.0 million based on an observable price change of preferred stock issued by Medically Home with similar rights and preferences to our preferred stock investment, a Level 2 input. There were no observable price changes for the remainder of 2022 or in the first nine months of 2023. Since our initial investment, we have recognized cumulative pre-tax unrealized gains of $28.6 million, which were recorded to other income (expense), net in our consolidated statement of operations, and we have not identified any impairments of our investment. As of September 30, 2023 and December 31, 2022, the carrying value of our preferred stock investment was $33.6 million.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6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other comprehensive income (loss), net of tax,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178"/>
        <w:gridCol w:w="945"/>
        <w:gridCol w:w="948"/>
        <w:gridCol w:w="196"/>
        <w:gridCol w:w="602"/>
        <w:gridCol w:w="109"/>
        <w:gridCol w:w="109"/>
        <w:gridCol w:w="109"/>
        <w:gridCol w:w="109"/>
        <w:gridCol w:w="238"/>
        <w:gridCol w:w="530"/>
        <w:gridCol w:w="133"/>
        <w:gridCol w:w="109"/>
        <w:gridCol w:w="109"/>
        <w:gridCol w:w="109"/>
        <w:gridCol w:w="196"/>
        <w:gridCol w:w="602"/>
        <w:gridCol w:w="109"/>
        <w:gridCol w:w="109"/>
        <w:gridCol w:w="109"/>
        <w:gridCol w:w="109"/>
        <w:gridCol w:w="196"/>
        <w:gridCol w:w="602"/>
        <w:gridCol w:w="109"/>
        <w:gridCol w:w="109"/>
        <w:gridCol w:w="109"/>
        <w:gridCol w:w="109"/>
        <w:gridCol w:w="196"/>
        <w:gridCol w:w="614"/>
        <w:gridCol w:w="109"/>
        <w:gridCol w:w="109"/>
        <w:gridCol w:w="109"/>
        <w:gridCol w:w="109"/>
        <w:gridCol w:w="196"/>
        <w:gridCol w:w="602"/>
        <w:gridCol w:w="160"/>
      </w:tblGrid>
      <w:tr>
        <w:trPr/>
        <w:tc>
          <w:tcPr>
            <w:tcW w:w="117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2022</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8"/>
        <w:gridCol w:w="956"/>
        <w:gridCol w:w="959"/>
        <w:gridCol w:w="196"/>
        <w:gridCol w:w="556"/>
        <w:gridCol w:w="109"/>
        <w:gridCol w:w="109"/>
        <w:gridCol w:w="109"/>
        <w:gridCol w:w="109"/>
        <w:gridCol w:w="196"/>
        <w:gridCol w:w="614"/>
        <w:gridCol w:w="109"/>
        <w:gridCol w:w="109"/>
        <w:gridCol w:w="109"/>
        <w:gridCol w:w="109"/>
        <w:gridCol w:w="196"/>
        <w:gridCol w:w="556"/>
        <w:gridCol w:w="109"/>
        <w:gridCol w:w="109"/>
        <w:gridCol w:w="109"/>
        <w:gridCol w:w="109"/>
        <w:gridCol w:w="196"/>
        <w:gridCol w:w="646"/>
        <w:gridCol w:w="109"/>
        <w:gridCol w:w="109"/>
        <w:gridCol w:w="109"/>
        <w:gridCol w:w="109"/>
        <w:gridCol w:w="196"/>
        <w:gridCol w:w="614"/>
        <w:gridCol w:w="109"/>
        <w:gridCol w:w="109"/>
        <w:gridCol w:w="109"/>
        <w:gridCol w:w="109"/>
        <w:gridCol w:w="196"/>
        <w:gridCol w:w="603"/>
        <w:gridCol w:w="157"/>
      </w:tblGrid>
      <w:tr>
        <w:trPr/>
        <w:tc>
          <w:tcPr>
            <w:tcW w:w="118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2022</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related to our interest rate swaps and foreign exchange forward contracts are recorded to interest expense, net of interest income and direct costs, respectively. Refer to Note 8 “Derivative Instruments and Hedging Activity” for additional information on our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85"/>
        <w:gridCol w:w="491"/>
        <w:gridCol w:w="494"/>
        <w:gridCol w:w="349"/>
        <w:gridCol w:w="1017"/>
        <w:gridCol w:w="195"/>
        <w:gridCol w:w="109"/>
        <w:gridCol w:w="109"/>
        <w:gridCol w:w="109"/>
        <w:gridCol w:w="382"/>
        <w:gridCol w:w="1261"/>
        <w:gridCol w:w="214"/>
        <w:gridCol w:w="109"/>
        <w:gridCol w:w="109"/>
        <w:gridCol w:w="109"/>
        <w:gridCol w:w="267"/>
        <w:gridCol w:w="758"/>
        <w:gridCol w:w="148"/>
        <w:gridCol w:w="109"/>
        <w:gridCol w:w="109"/>
        <w:gridCol w:w="109"/>
        <w:gridCol w:w="458"/>
        <w:gridCol w:w="1020"/>
        <w:gridCol w:w="256"/>
        <w:gridCol w:w="109"/>
        <w:gridCol w:w="109"/>
        <w:gridCol w:w="109"/>
        <w:gridCol w:w="196"/>
        <w:gridCol w:w="646"/>
        <w:gridCol w:w="160"/>
      </w:tblGrid>
      <w:tr>
        <w:trPr/>
        <w:tc>
          <w:tcPr>
            <w:tcW w:w="5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2023</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(3,316)</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2023, our effective tax rate was 31.2% as we recognized income tax expense of $9.8 million on income of $31.3 million. The effective tax rate of 31.2% was less favorable than the statutory rate, inclusive of state income taxes, of 26.6%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September 30, 2022, our effective tax rate was 30.2% as we recognized income tax expense of $7.7 million on income of $25.4 million. The effective tax rate of 30.2% was less favorable than the statutory rate, inclusive of state income taxes, of 26.4% primarily due to tax expense related to nondeductible losses on our investments used to fund our deferred compensation liability and certain nondeductible expense items.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2023, our effective tax rate was 27.4% as we recognized income tax expense of $22.5 million on income of $82.1 million. The effective tax rate of 27.4% was less favorable than the statutory rate, inclusive of state income taxes, of 26.6% primarily due to certain nondeductible expense items. These unfavorable items were partially offset by a discrete tax benefit for share-based compensation awards that vested during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2022, our effective tax rate was 31.4% as we recognized income tax expense of $26.7 million on income of $85.2 million. The effective tax rate of 31.4% was less favorable than the statutory rate, inclusive of state income taxes, of 26.4%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2023, we had $0.6 million of unrecognized tax benefits which would affect the effective tax rate if recognized. It is reasonably possible that approximately $0.6 million of the liability for unrecognized tax benefits could decrease in the next twelve months due to the expiration of statutes of limitations.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$0.6 million and $0.7 million were outstanding at September 30, 2023 and December 31, 2022, respectively, to support certain office lease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September 30, 2023 and December 31, 2022, the total estimated fair value of our outstanding contingent consideration liability was $2.3 million and $3.2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the extent permitted by law, our bylaws and articles of incorporation require that we indemnify our officers and directors against judgments, fines and amounts paid in settlement, including attorneys’ fees, incurred in connection with civil or criminal action or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information about our operating segments for the three and nine months ended September 30, 2023 and 2022, along with the items necessary to reconcile the segment information to the totals reported in the accompanying consolidated financial statements.</w:t>
      </w:r>
    </w:p>
    <w:tbl>
      <w:tblPr>
        <w:tblW w:w="10205" w:type="dxa"/>
        <w:jc w:val="left"/>
        <w:tblInd w:w="0" w:type="dxa"/>
        <w:tblLayout w:type="fixed"/>
        <w:tblCellMar>
          <w:top w:w="28" w:type="dxa"/>
          <w:left w:w="28" w:type="dxa"/>
          <w:bottom w:w="28" w:type="dxa"/>
          <w:right w:w="28" w:type="dxa"/>
        </w:tblCellMar>
      </w:tblPr>
      <w:tblGrid>
        <w:gridCol w:w="1587"/>
        <w:gridCol w:w="1380"/>
        <w:gridCol w:w="1384"/>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87"/>
      </w:tblGrid>
      <w:tr>
        <w:trPr/>
        <w:tc>
          <w:tcPr>
            <w:tcW w:w="158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381,669 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91,441 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58,848 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19,034 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292,186 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837,778 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129,563 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96,376 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15,171 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25,403 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82,127 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85,207 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illustrates the disaggregation of revenues by our two principal capabilities: i) Consulting and Managed Services and ii) Digital, and includes a reconciliation of the disaggregated revenues to revenues from our three operating segments for the three and nine months ended September 30, 2023 and 2022.</w:t>
      </w:r>
    </w:p>
    <w:tbl>
      <w:tblPr>
        <w:tblW w:w="8202" w:type="dxa"/>
        <w:jc w:val="left"/>
        <w:tblInd w:w="0" w:type="dxa"/>
        <w:tblLayout w:type="fixed"/>
        <w:tblCellMar>
          <w:top w:w="28" w:type="dxa"/>
          <w:left w:w="28" w:type="dxa"/>
          <w:bottom w:w="28" w:type="dxa"/>
          <w:right w:w="28" w:type="dxa"/>
        </w:tblCellMar>
      </w:tblPr>
      <w:tblGrid>
        <w:gridCol w:w="925"/>
        <w:gridCol w:w="810"/>
        <w:gridCol w:w="815"/>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nine months ended September 30, 2023 and 2022, substantially all of our revenues were recognized over time. At September 30, 2023 and December 31, 2022, no single client accounted for greater than 10% of our combined balance of receivables from clients, net and unbilled services, net. During the three and nine months ended September 30, 2023 and 2022, no single client generated greater than 10% of our consolidated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Healthcare, Education, and Commercial. We also provide revenue reporting across two principal capabilities: i) Consulting and Managed Services and ii) Digital.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reportable segments, we provide services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and managed services projects are often coupled with our digital services and product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industries, which are our operating segments: Healthcare, Education, and Commercial.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 We continue to broaden our offerings into new areas; for example, research managed services, advancement, campus health and well-being, and athletics.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Strategy, Opportunities and Challenges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strategy is to be the premier transformation partner to our clients by helping them address a variety of strategic, operational, financial, people, and organizational challenges through an array of industry-differentiated consulting, digital and managed services offerings that meet their unique needs. To achieve our strategic and financial objectives that will drive increased shareholder value, we remain focused 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Extending our leading market positions and accelerating growth in healthcare and education,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Growing our presence in commercial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Advancing our integrated, global digital platform,</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Building a more sustainable base of revenue and executing on our margin levers to drive more consistent growth and improved profitability,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Strategically deploying capital to accelerate our strategy and return capital to shareholders, and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Investing in and growing our talented team, including attracting and retaining our managing directors - the senior most practitioners that lead our revenue generation efforts.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regularly evaluate the performance of our businesses to ensure our investments meet these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certain digital products.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require the client to pay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certain cloud-based digital products. Software support, maintenance and subscription revenues are recognized ratably over the support or subscription period. These fees are generally billed in advance and included in deferred revenues until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Also included in selling, general and administrative expenses are third-party professional fees, software licenses and data hosting expenses, rent and other office related expenses, sales and marketing related expenses, recruiting and training expenses, and practice administration and meetings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depreciation expense, amortization expense related to internally developed software costs and amortization of intangible assets acquired in business combinations.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are not impacted by these items. We do not include normal, recurring, cash operating expenses in our restructuring charges.</w:t>
      </w:r>
    </w:p>
    <w:p>
      <w:pPr>
        <w:pStyle w:val="TextBody"/>
        <w:bidi w:val="0"/>
        <w:spacing w:lineRule="auto" w:line="288" w:before="180" w:after="283"/>
        <w:jc w:val="left"/>
        <w:rPr/>
      </w:pPr>
      <w:r>
        <w:rPr>
          <w:rFonts w:ascii="Arial Narrow;sans-serif" w:hAnsi="Arial Narrow;sans-serif"/>
          <w:b w:val="false"/>
          <w:i/>
          <w:color w:val="000000"/>
          <w:sz w:val="20"/>
        </w:rPr>
        <w:t>Other losses (gains):</w:t>
      </w:r>
      <w:r>
        <w:rPr>
          <w:color w:val="000000"/>
        </w:rPr>
        <w:t> </w:t>
      </w:r>
      <w:r>
        <w:rPr>
          <w:rFonts w:ascii="Arial Narrow;sans-serif" w:hAnsi="Arial Narrow;sans-serif"/>
          <w:b w:val="false"/>
          <w:color w:val="000000"/>
          <w:sz w:val="20"/>
        </w:rPr>
        <w:t>We exclude the effects of other losses (gains), which primarily relate to changes in the estimated fair value of our liabilities for contingent consideration related to business acquisitions and litigation settlement losses and gains, to permit comparability with periods that are not impacted by these items.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incurred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Unrealized gain on preferred stock investment:</w:t>
      </w:r>
      <w:r>
        <w:rPr>
          <w:color w:val="000000"/>
        </w:rPr>
        <w:t xml:space="preserve"> </w:t>
      </w:r>
      <w:r>
        <w:rPr>
          <w:rFonts w:ascii="Arial Narrow;sans-serif" w:hAnsi="Arial Narrow;sans-serif"/>
          <w:b w:val="false"/>
          <w:color w:val="000000"/>
          <w:sz w:val="20"/>
        </w:rPr>
        <w:t>We exclude the effect of unrealized gains related to changes in the fair value of our preferred 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third quarter of 2023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25.5% to $358.2 million for the third quarter of 2023 from $285.4 million for the third quarter of 2022.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first nine months of 2023, Healthcare segment revenues increased 31.5% compared to the first nine months of 2022.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first nine months of 2023, adjusted EBITDA as a percentage of revenues increased 110 basis points to 12.3% from 11.2% for the first nine months of 2022.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Diluted EPS increased 27.9% to $1.10 for the third quarter of 2023, compared to $0.86 for the third quarter of 2022.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37.6% to $1.39 for the third quarter of 2023, compared to $1.01 for the third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cash provided by operating activities increased 54.7% to $68.8 million for the third quarter of 2023, compared to $44.5 million for the third quarter of 2022.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Returned $88.4 million to shareholders in the first nine months of 2023 by repurchasing 1,116,830 shares of our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$72.8 million, or 25.5%, to $358.2 million for the third quarter of 2023 from $285.4 million for the third quarter of 2022. The increase in revenues reflects continued strength in demand for our Consulting and Managed Services capability across all segments, as well as continued strength in demand for our Digital capability services within our Education and Healthcare segments. These increases in revenue reflect our focus on accelerating growth in our healthcare and education industries and growing our presence in commercial industries. Additional information on our revenues by segment follows.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Consulting and Managed Services capability, revenues for the third quarter of 2023 increased 37.7%, compared to the third quarter of 2022, and reflected strengthened demand in all of our segments. The utilization rate within our Consulting capability increased to 77.3% in the third quarter of 2023, compared to 72.5% in the third quarter of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within our Digital capability increased 10.8% in the third quarter of 2023, compared to the third quarter of 2022, and reflected strengthened demand in our Education and Healthcare segments. The utilization rate within our Digital capability increased to 75.4% in the third quarter of 2023, compared to 70.1% in the third quarter of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number of revenue-generating professionals increased to 5,341 as of September 30, 2023, compared to 4,571 as of September 30, 2022, as a result of hiring to support the overall increase in demand for our services within all of our segments.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pPr>
      <w:r>
        <w:rPr>
          <w:rFonts w:ascii="Arial Narrow;sans-serif" w:hAnsi="Arial Narrow;sans-serif"/>
          <w:b w:val="false"/>
          <w:color w:val="000000"/>
          <w:sz w:val="20"/>
        </w:rPr>
        <w:t>Net income increased $3.8 million to $21.5 million for the three months ended September 30, 2023 from $17.7 million for the same period last year. As a result of the increase in net income and a reduction in diluted shares outstanding resulting from share repurchases made under our share repurchase plan, diluted earnings per share for the third quarter of 2023 increas</w:t>
      </w:r>
      <w:r>
        <w:rPr>
          <w:rFonts w:ascii="Arial Narrow;sans-serif" w:hAnsi="Arial Narrow;sans-serif"/>
          <w:b w:val="false"/>
          <w:color w:val="000000"/>
          <w:sz w:val="20"/>
          <w:shd w:fill="FFFFFF" w:val="clear"/>
        </w:rPr>
        <w:t xml:space="preserve">ed 27.9% </w:t>
      </w:r>
      <w:r>
        <w:rPr>
          <w:rFonts w:ascii="Arial Narrow;sans-serif" w:hAnsi="Arial Narrow;sans-serif"/>
          <w:b w:val="false"/>
          <w:color w:val="000000"/>
          <w:sz w:val="20"/>
        </w:rPr>
        <w:t xml:space="preserve">to $1.10, compared to $0.86 for the third quarter of 2022. Adjusted diluted earnings per share increased 37.6% to $1.39 for the third quarter of 2023, compared to $1.01 for the third quarter of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54.6% to $68.8 million for the third quarter of 2023, compared to $44.5 million for the third quarter of 2022. The increase in net cash provided by operating activities was primarily related to an increase in cash collections in the third quarter of 2023, compared to the third quarter of 2022; partially offset by increases in salaries and related expenses for our revenue-generating professionals and payments for selling, general and administrative expenses in the third quarter of 2023, compared to the third quarter of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nine months of 2023, we deployed $88.4 million of capital to repurchase 1,116,830 shares of our common stock, representing 5.6% of our common stock outstanding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w:t>
      </w:r>
    </w:p>
    <w:tbl>
      <w:tblPr>
        <w:tblW w:w="10205" w:type="dxa"/>
        <w:jc w:val="left"/>
        <w:tblInd w:w="0" w:type="dxa"/>
        <w:tblLayout w:type="fixed"/>
        <w:tblCellMar>
          <w:top w:w="28" w:type="dxa"/>
          <w:left w:w="28" w:type="dxa"/>
          <w:bottom w:w="28" w:type="dxa"/>
          <w:right w:w="28" w:type="dxa"/>
        </w:tblCellMar>
      </w:tblPr>
      <w:tblGrid>
        <w:gridCol w:w="1459"/>
        <w:gridCol w:w="1279"/>
        <w:gridCol w:w="1286"/>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87"/>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0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381,669 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91,441 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58,848 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19,034 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292,186 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837,778 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8"/>
        <w:gridCol w:w="1209"/>
        <w:gridCol w:w="1216"/>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88"/>
      </w:tblGrid>
      <w:tr>
        <w:trPr/>
        <w:tc>
          <w:tcPr>
            <w:tcW w:w="159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02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02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129,563 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96,376 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15,171 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74,261 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85,207 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26,739 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58,468 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155,901 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454,356 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364,388 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Utilization rate by capability </w:t>
            </w:r>
            <w:r>
              <w:rPr>
                <w:rFonts w:ascii="Arial Narrow;sans-serif" w:hAnsi="Arial Narrow;sans-serif"/>
                <w:b/>
                <w:color w:val="000000"/>
                <w:sz w:val="13"/>
              </w:rPr>
              <w:t>(4)</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tbl>
      <w:tblPr>
        <w:tblW w:w="21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(1)The majority of our revenue-generating professionals within our Commercial segment can provide services across all of our industries, including healthcare and education.</w:t>
      </w:r>
    </w:p>
    <w:p>
      <w:pPr>
        <w:pStyle w:val="TextBody"/>
        <w:bidi w:val="0"/>
        <w:spacing w:lineRule="auto" w:line="288" w:before="60" w:after="283"/>
        <w:ind w:left="0" w:right="0" w:hanging="630"/>
        <w:jc w:val="left"/>
        <w:rPr/>
      </w:pPr>
      <w:r>
        <w:rPr>
          <w:rFonts w:ascii="Arial;sans-serif" w:hAnsi="Arial;sans-serif"/>
          <w:b w:val="false"/>
          <w:color w:val="000000"/>
          <w:sz w:val="18"/>
        </w:rPr>
        <w:t>(2)</w:t>
      </w:r>
      <w:r>
        <w:rPr>
          <w:rFonts w:ascii="Arial Narrow;sans-serif" w:hAnsi="Arial Narrow;sans-serif"/>
          <w:b w:val="false"/>
          <w:color w:val="000000"/>
          <w:sz w:val="20"/>
        </w:rPr>
        <w:t xml:space="preserve">Managed Services capability revenues within our Healthcare segment was $16.7 million and $17.6 million for the three months ended September 30, 2023 and 2022, respectively; and $53.8 million and $47.5 million for the nine months ended September 30, 2023 and 2022, respectively.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within our Education segment was $5.0 million and $4.1 million for the three months ended September 30, 2023 and 2022, respectively; and $14.6 million and $11.3 million for the nine months ended September 30, 2023 and 2022, respectively.</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(3)The number of Managed Services revenue-generating professionals within our Healthcare segment as of September 30, 2023 and 2022 was 757 and 547,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as of September 30, 2023 and 2022 was 105 and 97, respectively.</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(4)Utilization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ind w:left="0" w:right="0" w:hanging="27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9618" w:type="dxa"/>
        <w:jc w:val="left"/>
        <w:tblInd w:w="0" w:type="dxa"/>
        <w:tblLayout w:type="fixed"/>
        <w:tblCellMar>
          <w:top w:w="28" w:type="dxa"/>
          <w:left w:w="28" w:type="dxa"/>
          <w:bottom w:w="28" w:type="dxa"/>
          <w:right w:w="28" w:type="dxa"/>
        </w:tblCellMar>
      </w:tblPr>
      <w:tblGrid>
        <w:gridCol w:w="1362"/>
        <w:gridCol w:w="1199"/>
        <w:gridCol w:w="1204"/>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86"/>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58,468 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116,456 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114,198 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on preferred stock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36,470 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125,977 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8369" w:type="dxa"/>
        <w:jc w:val="center"/>
        <w:tblInd w:w="0" w:type="dxa"/>
        <w:tblLayout w:type="fixed"/>
        <w:tblCellMar>
          <w:top w:w="28" w:type="dxa"/>
          <w:left w:w="28" w:type="dxa"/>
          <w:bottom w:w="28" w:type="dxa"/>
          <w:right w:w="28" w:type="dxa"/>
        </w:tblCellMar>
      </w:tblPr>
      <w:tblGrid>
        <w:gridCol w:w="1279"/>
        <w:gridCol w:w="1128"/>
        <w:gridCol w:w="113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on preferred stock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September 30, 2023 Compared to Three Months Ended September 30,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by segment and capability for the three months ended September 30, 2023 and 2022 were as follows:</w:t>
      </w:r>
    </w:p>
    <w:tbl>
      <w:tblPr>
        <w:tblW w:w="7643" w:type="dxa"/>
        <w:jc w:val="left"/>
        <w:tblInd w:w="0" w:type="dxa"/>
        <w:tblLayout w:type="fixed"/>
        <w:tblCellMar>
          <w:top w:w="28" w:type="dxa"/>
          <w:left w:w="28" w:type="dxa"/>
          <w:bottom w:w="28" w:type="dxa"/>
          <w:right w:w="28" w:type="dxa"/>
        </w:tblCellMar>
      </w:tblPr>
      <w:tblGrid>
        <w:gridCol w:w="922"/>
        <w:gridCol w:w="812"/>
        <w:gridCol w:w="815"/>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increased $72.8 million, or 25.5%, to $358.2 million for the third quarter of 2023 from $285.4 million for the third quarter of 2022. The overall increase in revenues reflects continued strength in demand for our Consulting and Managed Services capability across all segments, as well as continued strength in demand for our Digital capability services within our Education and Healthcare segments. These increases in revenue reflect our focus on accelerating growth in our healthcare and education industries and growing our presence in commercial industries. Additional information on our revenues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increased $47.9 million, or 36.4%, driven by strengthened demand for our performance improvement, strategy and innovation, and financial advisory solutions within our Consulting and Managed Services capability, as well as strengthened demand for our technology and analytics services within our Digital capability. These increases in demand were partially offset by a decrease in demand for our culture and organization excellence solution within our Consulting and Managed Services capability. Revenues in the third quarter of 2023 included $0.1 million of incremental revenues from our acquisitions of Customer Evolution, LLC and Roundtable Analytics, Inc, which were completed in December 2022 and September 2023,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grew 23.5% to 2,083 as of September 30, 2023, compared to 1,686 as of September 30,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increased $16.7 million, or 17.7%, driven by strengthened demand for our technology and analytics services and software products within our Digital capability, as well as strengthened demand for our strategy and operations and research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grew 16.6% to 1,799 as of September 30, 2023, compared to 1,543 as of September 30,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increased $8.3 million, or 13.8%, driven by strengthened demand for our financial advisory solutions within our Consulting and Managed Services capability, partially offset by decreases in demand for our strategy and innovation solution within our Consulting and Managed Services capability and technology and analytics services within our Digital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grew 8.7% to 1,459 as of September 30, 2023, compared to 1,342 as of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third quarter of 2023 increased $67.2 million, or 25.6%, over the third quarter of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were as follows:</w:t>
      </w:r>
    </w:p>
    <w:tbl>
      <w:tblPr>
        <w:tblW w:w="10205" w:type="dxa"/>
        <w:jc w:val="left"/>
        <w:tblInd w:w="0" w:type="dxa"/>
        <w:tblLayout w:type="fixed"/>
        <w:tblCellMar>
          <w:top w:w="28" w:type="dxa"/>
          <w:left w:w="28" w:type="dxa"/>
          <w:bottom w:w="28" w:type="dxa"/>
          <w:right w:w="28" w:type="dxa"/>
        </w:tblCellMar>
      </w:tblPr>
      <w:tblGrid>
        <w:gridCol w:w="1499"/>
        <w:gridCol w:w="1280"/>
        <w:gridCol w:w="1284"/>
        <w:gridCol w:w="109"/>
        <w:gridCol w:w="109"/>
        <w:gridCol w:w="109"/>
        <w:gridCol w:w="196"/>
        <w:gridCol w:w="736"/>
        <w:gridCol w:w="109"/>
        <w:gridCol w:w="109"/>
        <w:gridCol w:w="109"/>
        <w:gridCol w:w="109"/>
        <w:gridCol w:w="163"/>
        <w:gridCol w:w="163"/>
        <w:gridCol w:w="165"/>
        <w:gridCol w:w="109"/>
        <w:gridCol w:w="109"/>
        <w:gridCol w:w="109"/>
        <w:gridCol w:w="196"/>
        <w:gridCol w:w="736"/>
        <w:gridCol w:w="109"/>
        <w:gridCol w:w="109"/>
        <w:gridCol w:w="109"/>
        <w:gridCol w:w="109"/>
        <w:gridCol w:w="163"/>
        <w:gridCol w:w="163"/>
        <w:gridCol w:w="165"/>
        <w:gridCol w:w="109"/>
        <w:gridCol w:w="109"/>
        <w:gridCol w:w="109"/>
        <w:gridCol w:w="281"/>
        <w:gridCol w:w="931"/>
        <w:gridCol w:w="231"/>
      </w:tblGrid>
      <w:tr>
        <w:trPr/>
        <w:tc>
          <w:tcPr>
            <w:tcW w:w="149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67,237 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$51.4 million, or 26.6%, to $244.8 million for the third quarter of 2023 from $193.4 million for the third quarter of 2022. The $51.4 million increase primarily related to a $48.1 million increase in compensation costs for our revenue-generating professionals as we continue to invest in and grow our talented team to meet increased market demand. Specifically, the increase in compensation costs is primarily attributable to a $25.1 million increase in performance bonus expense, a $21.0 million increase in salaries and related expenses driven by increased headcount and annual salary increases that went into effect in the first quarter of 2023, and a $1.3 million increase in share-based compensation expense. Additional increases in direct costs include a $1.9 million increase in technology costs and a $1.3 million increase in contractor expenses. As a percentage of revenues, direct costs increased to 68.3% during the third quarter of 2023, compared to 67.8% during the third quarter of 2022. This increase was primarily due to an increase in performance bonus expense for our revenue-generating professionals, as a percentage of revenue; partially offset by revenue growth that outpaced the increase in salaries and related expenses for our revenue-generating professionals.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increased by $9.9 million, or 18.2%, to $64.3 million in the third quarter of 2023 from $54.5 million in the third quarter of 2022. The $9.9 million increase primarily related to a $8.9 million increase in compensation costs for our support personnel driven by a $4.5 million increase in salaries and related expenses, a $3.0 million increase in performance bonus expense, a $1.6 million increase in share-based compensation expense, and a $1.4 million increase in legal expenses. These increases were partially offset by a $1.1 million decrease in practice administration and meetings expenses. As a percentage of revenues, selling, general and administrative expenses decreased to 18.0% during the third quarter of 2023, compared to 19.1% during the third quarter of 2022. This decrease was primarily attributable to decreases in practice administration and meetings expenses and third-party professional expenses, as well as revenue growth that outpaced the increase in salaries and related expenses for our support personnel; partially offset by an increase in performance bonus expense, as a percentage of revenues.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third quarter of 2023 were $5.4 million, compared to $1.3 million for the third quarter of 2022. In the third quarter of 2023, we exited our office space in Lexington, Massachusetts which resulted in a $3.5 million non-cash impairment charge on the related right-of-use operating lease asset and fixed assets of that office space. Restructuring charges for the third quarter of 2023 also included $1.2 million of employee-related expenses and $0.7 million of rent and related expenses, net of sublease income, for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$1.3 million of restructuring charges recognized in the third quarter of 2022 included $0.7 million of rent and related expenses, net of sublease income, for previously vacated office spaces; $0.5 million for the early termination of a contract; and $0.1 million of employee-related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$0.7 million, or 10.4%, to $6.1 million in the third quarter of 2023, compared to $6.8 million in the third quarter of 2022. The $0.7 million decrease in depreciation and amortization expense was primarily attributable to intangible assets acquired in business acquisitions that were fully amortized in prior periods and a decrease in amortization of intangible assets acquired in business acquisitions due to the accelerated basis of amortization in prior periods.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 and Operating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$8.0 million, or 27.5%, to $37.3 million in the third quarter of 2023 from $29.3 million in the third quarter of 2022. Operating margin, which is defined as operating income expressed as a percentage of revenues, increased to 10.4% for the three months ended September 30, 2023, compared to 10.3% for the three months ended September 30, 2022.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is as follows. See the Segment and Consolidated Operating Results table above for a reconciliation of our total segment operating income to consolidated Huron operating income.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18,821 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$13.8 million, or 41.9%, primarily due to the increase in revenues as well as a decrease in practice administration and meetings expenses; partially offset by increases in compensation costs for our revenue-generating professionals, contractor expenses, and compensation costs for our support personnel. The increases in compensation costs for our revenue-generating professionals and support personnel were primarily driven by an increase in performance bonus expense, an increase in headcount, annual salary increases that went into effect in the first quarter of 2023, and an increase in share-based compensation expense. Healthcare operating margin increased to 26.2% from 25.2% primarily driven by a decrease in practice administration and meetings expenses and revenue growth that outpaced the increase in compensation costs for our revenue-generating professionals; partially offset by an increase in contractor expenses, as a percentage of revenues.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operating income increased $3.7 million, or 16.2%, primarily due to the increase in revenues as well as a decrease in contractor expenses, partially offset by increases in compensation costs for our revenue-generating professionals and technology expenses. The increase in compensation costs was primarily driven by an increase in headcount, annual salary increases that went into effect in the first quarter of 2023, and an increase in performance bonus expense. Education operating margin decreased to 23.9% from 24.2% primarily driven by increases in compensation costs for our revenue-generating professionals and technology expenses, as percentages of revenue; partially offset by a decrease in contractor expenses.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$1.3 million, or 9.0%, primarily due to the increase in revenues as well as a decrease in contractor expenses, partially offset by increases in compensation costs for our revenue-generating professionals. Commercial operating margin decreased to 22.7% from 23.7% primarily driven by increases in compensation costs for our revenue-generating professionals and support personnel, as percentages of revenues; partially offset by a decrease in contractor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$1.9 million to $5.0 million in the third quarter of 2023 from $3.1 million in the third quarter of 2022, which was primarily attributable to higher interest rates and higher levels of borrowing under our credit facility during the third quarter of 2023 compared to the third quarter of 2022. See “Liquidity and Capital Resources” below and Note 6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expense, net decreased $0.2 million to $1.0 million in the third quarter of 2023 from $0.8 million in the third quarter of 2022. The decrease in other expense, net includes the decrease in the loss recognized for the market value of our investments that are used to fund our deferred compensation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2023, our effective tax rate was 31.2% as we recognized income tax expense of $9.8 million on income of $31.3 million. The effective tax rate of 31.2% was less favorable than the statutory rate, inclusive of state income taxes, of 26.6%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September 30, 2022, our effective tax rate was 30.2% as we recognized income tax expense of $7.7 million on income of $25.4 million. The effective tax rate of 30.2% was less favorable than the statutory rate, inclusive of state income taxes, of 26.4% primarily due to tax expense related to nondeductible losses on our investments used to fund our deferred compensation liability and certain nondeductible expense items.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$3.8 million to $21.5 million for the three months ended September 30, 2023 from $17.7 million for the same period last year. Diluted earnings per share for the third quarter of 2023 increased to $1.10 compared to $0.86 for the third quarter of 2022, driven by the increase in net income and a reduction in diluted shares outstanding resulting from share repurchases made under our share repurchase plan.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$7.1 million to $42.6 million for the third quarter of 2023 from $35.5 million for the third quarter of 2022. The increase in EBITDA was primarily attributable to the increase in segment operating income, offset by the increase in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$11.5 million to $48.0 million in the third quarter of 2023 from $36.5 million in the third quarter of 2022. The increase in adjusted EBITDA was primarily attributable to the increase in segment operating income, excluding the impact of segment restructuring charges, partially offset by the increase in corporate expenses.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$6.4 million to $27.2 million in the third quarter of 2023, compared to $20.7 million in the third quarter of 2022. Adjusted diluted earnings per share increased to $1.39 for the third quarter of 2023, compared to $1.01 for the third quarter of 2022, driven by the increase in adjusted net income and a reduction in diluted shares outstanding resulting from share repurchases made under our share repurchase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Nine Months Ended September 30, 2023 Compared to Nine Months Ended September 30,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by segment and capability for the nine months ended September 30, 2023 and 2022 were as follows:</w:t>
      </w:r>
    </w:p>
    <w:tbl>
      <w:tblPr>
        <w:tblW w:w="7867" w:type="dxa"/>
        <w:jc w:val="left"/>
        <w:tblInd w:w="0" w:type="dxa"/>
        <w:tblLayout w:type="fixed"/>
        <w:tblCellMar>
          <w:top w:w="28" w:type="dxa"/>
          <w:left w:w="28" w:type="dxa"/>
          <w:bottom w:w="28" w:type="dxa"/>
          <w:right w:w="28" w:type="dxa"/>
        </w:tblCellMar>
      </w:tblPr>
      <w:tblGrid>
        <w:gridCol w:w="922"/>
        <w:gridCol w:w="812"/>
        <w:gridCol w:w="815"/>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33"/>
        <w:gridCol w:w="233"/>
        <w:gridCol w:w="286"/>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increased $204.1 million, or 24.9%, to $1.02 billion for the first nine months of 2023 from $818.7 million for the first nine months of 2022. The overall increase in revenues reflects continued strength in demand for both our Consulting and Managed Services capability and Digital capability across all segments, which reflects our focus on accelerating growth in our healthcare and education industries and growing our presence in commercial industries. Additional information on our revenues by segment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increased $120.3 million, or 31.5%, primarily driven by strong results in our performance improvement solution due to strengthened demand and exceeding performance expectations on certain performance-based arrangements. The increase in Healthcare revenue was also attributable to strengthened demand for our technology and analytics services within our Digital capability, as well as strengthened demand for our financial advisory, revenue cycle managed services, and strategy and innovation solutions within our Consulting and Managed Services capability. Revenues in the first nine months of 2023 included $0.6 million of incremental revenues from our acquisitions of Customer Evolution, LLC and Roundtable Analytics, Inc, which were completed in December 2022 and September 2023,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grew 23.5% to 2,083 as of September 30, 2023, compared to 1,686 as of September 30,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increased $62.7 million, or 23.8%, driven by strengthened demand for our technology and analytics services and software products within our Digital capability, as well as strengthened demand for our strategy and operations and research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grew 16.6% to 1,799 as of September 30, 2023, compared to 1,543 as of September 30,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increased $21.1 million, or 12.1%, driven by strengthened demand for our financial advisory solutions within our Consulting and Managed Services capability and our technology and analytics services within our Digital capability, partially offset by a decrease in demand for our strategy and innovation solution within our Consulting and Managed Services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grew 8.7% to 1,459 as of September 30, 2023, compared to 1,342 as of September 30,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nine months of 2023 increased $189.7 million, or 24.9%, over the first nine months of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were as follows:</w:t>
      </w:r>
    </w:p>
    <w:tbl>
      <w:tblPr>
        <w:tblW w:w="10205" w:type="dxa"/>
        <w:jc w:val="left"/>
        <w:tblInd w:w="0" w:type="dxa"/>
        <w:tblLayout w:type="fixed"/>
        <w:tblCellMar>
          <w:top w:w="28" w:type="dxa"/>
          <w:left w:w="28" w:type="dxa"/>
          <w:bottom w:w="28" w:type="dxa"/>
          <w:right w:w="28" w:type="dxa"/>
        </w:tblCellMar>
      </w:tblPr>
      <w:tblGrid>
        <w:gridCol w:w="1490"/>
        <w:gridCol w:w="1272"/>
        <w:gridCol w:w="1276"/>
        <w:gridCol w:w="109"/>
        <w:gridCol w:w="109"/>
        <w:gridCol w:w="109"/>
        <w:gridCol w:w="196"/>
        <w:gridCol w:w="736"/>
        <w:gridCol w:w="109"/>
        <w:gridCol w:w="109"/>
        <w:gridCol w:w="109"/>
        <w:gridCol w:w="109"/>
        <w:gridCol w:w="163"/>
        <w:gridCol w:w="163"/>
        <w:gridCol w:w="165"/>
        <w:gridCol w:w="109"/>
        <w:gridCol w:w="109"/>
        <w:gridCol w:w="109"/>
        <w:gridCol w:w="196"/>
        <w:gridCol w:w="736"/>
        <w:gridCol w:w="109"/>
        <w:gridCol w:w="109"/>
        <w:gridCol w:w="109"/>
        <w:gridCol w:w="109"/>
        <w:gridCol w:w="163"/>
        <w:gridCol w:w="163"/>
        <w:gridCol w:w="165"/>
        <w:gridCol w:w="109"/>
        <w:gridCol w:w="109"/>
        <w:gridCol w:w="109"/>
        <w:gridCol w:w="263"/>
        <w:gridCol w:w="991"/>
        <w:gridCol w:w="214"/>
      </w:tblGrid>
      <w:tr>
        <w:trPr/>
        <w:tc>
          <w:tcPr>
            <w:tcW w:w="149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138,507 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953,258 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189,741 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$138.5 million, or 24.3%, to $708.4 million for the first nine months of 2023 from $569.8 million for the first nine months of 2022. The $138.5 million increase primarily related to a $124.6 million increase in compensation costs for our revenue-generating professionals as we continue to invest in and grow our talented team to meet increased market demand. Specifically, the increase in compensation costs is primarily attributable to a $71.3 million increase in salaries and related expenses driven by increased headcount and annual salary increases that went into effect in the first quarter of 2023, a $48.1 million increase in performance bonus expense, and a $4.9 million increase in share-based compensation expense. Additional increases in direct costs include a $6.0 million increase in contractor expenses, a $4.6 million increase in technology costs, and a $1.2 million increase in project costs. As a percentage of revenues, direct costs decreased to 69.3% during the first nine months of 2023, compared to 69.6% during the first nine months of 2022. The decrease was primarily due to revenue growth that outpaced the increase in salaries and related expenses for our revenue-generating professionals; partially offset by an increase in performance bonus expense, as a percentage of revenue.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$41.8 million, or 28.1%, to $190.7 million in the first nine months of 2023 from $148.9 million in the first nine months of 2022. The $41.8 million increase primarily related to a $32.2 million increase in compensation costs for our support personnel driven by a $10.9 million increase in deferred compensation expense attributable to the change in market value of our deferred compensation liability, a $10.2 million increase in salaries and related expenses, a $6.3 million increase in performance bonus expense, and a $4.9 million increase in share-based compensation expense. The increase in deferred compensation expense is offset by an increase in the gain recognized for the change in the market value of investments that are used to fund our deferred compensation liability and recognized in other income, net. Additionally, selling, general and administrative expenses increased $9.5 million for non-payroll costs driven by a $3.2 million increase in promotion and marketing expenses, a $2.1 million increase in software and data hosting expenses, a $1.3 million increase in practice administration and meetings expenses, and a $1.1 million increase in legal expenses. As a percentage of revenues, selling, general and administrative expenses increased to 18.6% during the first nine months of 2023, compared to 18.2% during the first nine months of 2022. This increase was primarily attributable to an increase in deferred compensation expense, as a percentage of revenues; partially offset by revenue growth that outpaced the increase in other salaries and related expenses for our support personnel.</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for the first nine months of 2023 were $9.4 million, compared to $5.0 million for the first nine months of 2022. In the first nine months of 2023, we exited our office spaces in Hillsboro, Oregon and Lexington, Massachusetts, resulting in non-cash impairment charges of $1.9 million and $3.5 million, respectively, on the related right-of-use operating lease assets and fixed assets. Additionally, in the first nine months of 2023, we recognized, $2.2 million of employee-related expenses; $1.3 million for rent and related expenses, net of sublease income, for previously vacated office spaces; $0.3 million related to the abandonment of a capitalized software development project; and $0.2 million related to non-cash lease impairment charges driven by updated sublease assumptions for previously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$5.0 million of restructuring charges incurred in the first nine months of 2022 included $1.7 million of employee-related expenses; $1.7 million for rent and related expenses, net of sublease income, for previously vacated office spaces; $0.6 million for third-party transaction expenses related to the modification of our operating model; $0.5 million for the early termination of a contract; $0.3 million of accelerated amortization of capitalized software implementation costs for a cloud-computing arrangement that is no longer in use; and $0.1 million related to the divestiture of our Life Sciences business in the fourth quarter of 2021.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$2.0 million, or 9.5%, to $18.6 million for the first nine months of 2023, compared to $20.6 million for first nine months of 2022. The $2.0 million decrease in depreciation and amortization expense was primarily attributable to intangible assets acquired in business acquisitions that were fully amortized in prior periods and a decrease in the amortization of intangible assets acquired in business acquisitions due to the accelerated basis of amortization in prior periods.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 and Operating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$21.2 million to $95.5 million in the first nine months of 2023 from $74.3 million in the first nine months of 2022. Operating margin, which is defined as operating income expressed as a percentage of revenues, increased to 9.3% for the first nine months of 2023, compared to 9.1% for the first nine months of 2022.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is as follows. See the Segment and Consolidated Operating Results table above for a reconciliation of our total segment operating income to consolidated Huron operating income. </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36,853 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56,806 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$36.9 million, or 40.3%, primarily due to the increase in revenues; partially offset by increases in compensation costs for our revenue-generating professionals, contractor expenses, and compensation costs for our support personnel. The increases in compensation costs for our revenue-generating professionals and support personnel were primarily driven by an increase in headcount, annual salary increases that went into effect in the first quarter of 2023, an increase in performance bonus expense, and an increase in share-based compensation expense. Healthcare operating margin increased to 25.6% from 24.0% primarily due to the revenue growth that outpaced the increase in compensation costs for our revenue-generating professionals; partially offset by an increase in contractor expenses, as a percentage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operating income increased $18.3 million, or 31.0%, primarily due to the increase in revenues as well as a decrease in contractor expenses; partially offset by increases in compensation costs for our revenue-generating professionals, data hosting expenses, promotion and marketing expenses, practice administration and meetings expenses and compensation costs for our support personnel. The increases in compensation costs for our revenue-generating professionals and support personnel were primarily driven by an increase in headcount, annual salary increases that went into effect in the first quarter of 2023, and an increase in performance bonus expense. Education operating margin increased to 23.7% from 22.4% primarily driven by the decrease in contractor expenses; partially offset by increases in compensation costs for our revenue-generating professionals and data hosting expenses, as percentages of revenue.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$1.7 million, or 4.4%, primarily due to the increase in revenues, largely offset by increases in compensation costs for our revenue-generating professionals and contractor expenses. The increase in compensation costs for our revenue-generating professionals was primarily driven by an increase in performance bonus expense, an increase in headcount, and annual salary increases that went into effect in the first quarter of 2023. Commercial operating margin decreased to 20.5% from 22.0% primarily driven by an increase in compensation costs for our revenue-generating professionals, as a percentage of revenues; partially offset by decreases in contractor expenses and compensation costs for our support personnel.</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$7.4 million to $15.1 million in the first nine months of 2023 from $7.8 million in the first nine months of 2022, which was primarily attributable to higher interest rates and higher levels of borrowing under our credit facility during the first nine months of 2023 compared to the first nine months of 2022. See “Liquidity and Capital Resources” below and Note 6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net decreased $16.9 million to $1.8 million in the first nine months of 2023 from $18.7 million in the first nine months of 2022. The decrease in other income, net was primarily attributable to a $27.0 million unrealized gain recognized in the first quarter of 2022 related to the increase in the fair value of our preferred stock investment in Medically Home. See Note 9 “Fair Value of Financial Instruments” within the notes to our consolidated financial statements for additional information on our preferred stock investment in Medically Home. This decrease in other income, net was partially offset by a $10.9 million increase in the gain recognized for the market value of our investments that are used to fund our deferred compensation liability. During the first nine months of 2023, we recognized a $1.8 million gain for the market value of our deferred compensation investments compared to a $9.1 million loss recognized in the first nine months of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2023, our effective tax rate was 27.4% as we recognized income tax expense of $22.5 million on income of $82.1 million. The effective tax rate of 27.4% was less favorable than the statutory rate, inclusive of state income taxes, of 26.6% primarily due to certain nondeductible expense items. These unfavorable items were partially offset by a discrete tax benefit for share-based compensation awards that vested during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2022, our effective tax rate was 31.4% as we recognized income tax expense of $26.7 million on income of $85.2 million. The effective tax rate of 31.4% was less favorable than the statutory rate, inclusive of state income taxes, of 26.4%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from Continuing Operations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$1.2 million to $59.6 million for the nine months ended September 30, 2023 from $58.5 million for the same period last year. Diluted earnings per share for the nine months ended September 30, 2023 increased to $3.05 compared to $2.80 for the nine months ended September 30, 2022, driven by a reduction in diluted shares outstanding resulting from share repurchases made under our share repurchase plan and the increase in net income.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$2.3 million to $116.5 million for the nine months ended September 30, 2023 from $114.2 million for the nine months ended September 30, 2022. The increase in EBITDA was primarily attributable to the increase in segment operating income; largely offset by the $27.0 million unrealized gain recognized in the first quarter of 2022 related to the increase in the fair value of our preferred stock investment and the increase in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$34.2 million to $126.0 million in the first nine months of 2023 from $91.8 million in the first nine months of 2022.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and corporate restructuring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from Continuing Operations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$22.6 million to $71.2 million in the first nine months of 2023 compared to $48.5 million in the first nine months of 2022. Adjusted diluted earnings per share increased to $3.64 for the nine months ended September 30, 2023, compared to $2.32 for the nine months ended September 30, 2022, driven by the increase in adjusted net income and a reduction in diluted shares outstanding resulting from share repurchases made under our share repurchase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$9.4 million and $11.8 million at September 30, 2023 and December 31, 2022, respectively. As of September 30, 2023, our primary sources of liquidity are cash on hand, cash flows from our U.S. operations, and borrowing capacity available under our credit facility.</w:t>
      </w:r>
    </w:p>
    <w:tbl>
      <w:tblPr>
        <w:tblW w:w="6321" w:type="dxa"/>
        <w:jc w:val="center"/>
        <w:tblInd w:w="0" w:type="dxa"/>
        <w:tblLayout w:type="fixed"/>
        <w:tblCellMar>
          <w:top w:w="28" w:type="dxa"/>
          <w:left w:w="28" w:type="dxa"/>
          <w:bottom w:w="28" w:type="dxa"/>
          <w:right w:w="28" w:type="dxa"/>
        </w:tblCellMar>
      </w:tblPr>
      <w:tblGrid>
        <w:gridCol w:w="1318"/>
        <w:gridCol w:w="1162"/>
        <w:gridCol w:w="1165"/>
        <w:gridCol w:w="109"/>
        <w:gridCol w:w="109"/>
        <w:gridCol w:w="109"/>
        <w:gridCol w:w="196"/>
        <w:gridCol w:w="646"/>
        <w:gridCol w:w="109"/>
        <w:gridCol w:w="109"/>
        <w:gridCol w:w="109"/>
        <w:gridCol w:w="109"/>
        <w:gridCol w:w="196"/>
        <w:gridCol w:w="721"/>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totaled $54.9 million for the nine months ended September 30, 2023, compared to net cash used in operating activities of $5.8 million for the nine months ended September 30, 2022. The increase in net operating cash flows was primarily related to an increase in cash collections in the first nine months of 2023 compared to the same prior year period; partially offset by an increase in salaries and related expenses for our revenue-generating professionals, an increase in payments for selling, general and administrative expenses for the first nine months of 2023 compared to the same prior year period, and an increase in the amount paid for annual performance bonuses in the first quarter of 2023 compared to the first quarter of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for the first nine months of 2023, our unbilled receivables increased partially driven by certain large Healthcare and Education engagements where our services performed and revenue recognized exceeded the amounts billed to clients in accordance with the contractual billing terms. In the future, we may enter into additional client engagements with similar deferred billing terms.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Medically Home Group, Inc.,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$25.8 million for the nine months ended September 30, 2023 which primarily consisted of $19.6 million for payments related to internally developed software to advance our Healthcare and Education software products; $5.1 million for purchases of property and equipment, primarily related to purchases of computers and related equipment and leasehold improvements for certain office spaces; $2.6 million for contributions to our life insurance policies; and $1.6 million for the purchase of a business. These uses of cash for investing activities were partially offset by $3.0 million of cash received for distributions from our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$10.8 million for the nine months ended September 30, 2022 which primarily consisted of $9.8 million for purchases of property and equipment, primarily related to purchases of computers and related equipment and leasehold improvements and furniture for certain office spaces; $6.9 million for payments related to internally developed software; and $1.9 million for the purchase of a business. These uses of cash for investing activities were partially offset by $4.8 million of cash received for the sale of our aircraft in the first quarter of 2022 and $3.0 million of cash received for a distribution from our life insurance policies that are used to fund our deferred compensation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2023 will total approximately $35 million to $40 million; primarily consisting of software development costs, information technology related equipment to support our corporate infrastructure, and leasehold improvements and furniture and fixtures for certain office locations.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$31.5 million for the nine months ended September 30, 2023. During the nine months ended September 30, 2023, we borrowed $292.0 million primarily to fund our operations, including our annual performance bonus payment in the first quarter of 2023, and made repayments on our borrowings of $224.0 million. Additionally, during the first nine months of 2023, we paid $88.9 million for share repurchases, including $1.1 million related to the settlement of share repurchases that were accrued as of December 31, 2022, and reacquired $10.1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$4.8 million for the nine months ended September 30, 2022. During the nine months ended September 30, 2022, we borrowed $287.0 million under our credit facility primarily to fund our operations, including our annual performance bonus payment in the first quarter of 2022, and made repayments on our borrowings of $178.8 million. The repayments on our borrowings included the repayment of the outstanding principal of our promissory note due 2024 of $2.7 million from the proceeds received for the sale of our aircraft. Additionally, during the first nine months of 2022, we repurchased and retired $97.9 million of our common stock under our share repurchase program, of which $2.6 million settled in the fourth quarter of 2022, and settled $0.2 million of share repurchases that were accrued as of December 31, 2021. In the first nine months of 2022, we reacquired $7.5 million of common stock as a result of tax withholdings upon vesting of share-based compensation. We also made deferred acquisition payments of $1.9 million to the sellers of certain businesses we acquired. These payments were primarily the result of achieving specified financial performance targets in accordance with the related purchase agreements.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In the fourth quarter of 2023, our board of directors authorized a further extension of the share repurchase program through December 31, 2024 and increased the authorized amount under the share repurchase program from $300 million to $400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September 30, 2023, $21.1 million remained available for share repurchases under our share repurchase program.</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September 30, 2023, we had $358.0 million outstanding under our senior secured credit facility, as discussed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(as amended,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 Fees and interest on borrowings are paid on a monthly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April 2023, the Company and PNC Capital Markets, LLC, as Sustainability Structuring Agent, with the consent of the Required Lenders (as defined in the Amended Credit Agreement), entered into the first amendment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2023 and December 31, 2022, we were in compliance with these financial covenants. Our Consolidated Leverage Ratio as of September 30, 2023 was 1.82 to 1.00, compared to 1.92 to 1.00 as of December 31, 2022. Our Consolidated Interest Coverage Ratio as of September 30, 2023 was 10.86 to 1.00, compared to 14.04 to 1.00 as of December 31,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Principal borrowings outstanding under the Amended Credit Agreement at September 30, 2023 and December 31, 2022 totaled $358.0 million and $290.0 million, respectively. These borrowings carried a weighted average interest rate of 4.4% at September 30, 2023 and 3.8% at December 31, 2022, including the impact of the interest rate swaps described in Note 8 “Derivative Instruments and Hedging Activity” within the notes to the consolidated financial statements. The borrowing capacity under the revolving credit facility is reduced by any outstanding borrowings under the revolving credit facility and outstanding letters of credit. At September 30, 2023, we had outstanding letters of credit totaling $0.6 million, which are used as security deposits for our office facilities. As of September 30, 2023, the unused borrowing capacity under the revolving credit facility was $241.4 million.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2022. There have been no material changes to our critical accounting policies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new accounting pronouncements or changes in accounting pronouncements have been issued or adopted that are material to our consolidated financial statements since those included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bank credit facility, which have variable interest rates tied to Term SOFR or an alternate base rate, at our option. At September 30, 2023, we had borrowings outstanding under the credit facility totaling $358.0 million that carried a weighted average interest rate of 4.4%, including the impact of the interest rate swaps described below. A hypothetical 100 basis point change in the interest rate would have a $1.1 million effect on our pretax income on an annualized basis, including the effect of the interest rate swaps. At December 31, 2022, we had borrowings outstanding under the credit facility totaling $290.0 million that carried a weighted average interest rate of 3.8% including the impact of the interest rate swaps described below. A hypothetical 100 basis point change in the interest rate would have had a $0.9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September 30, 2023 and December 31, 2022, the aggregate notional amount of our forward interest rate swap agreements was $250.0 million and $200.0 million, respectively. The outstanding interest rate swap agreements as of September 30, 2023 are scheduled to mature on a staggered basis through February 29, 2028.</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September 30, 2023 and December 31, 2022, the aggregate notional amounts of these contracts were INR 1,371.2 million, or $16.5 million, and INR 657.9 million, or $8.0 million, respectively, based on the exchange rates in effect as of each period end. The outstanding foreign exchange forward contracts as of September 30, 2023 are scheduled to mature monthly through August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September 30, 2023 and December 31,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September 30, 2023, the fair value of the investment was $61.8 million, with a total cost basis of $40.9 million. At December 31, 2022, the fair value of the investment was $57.6 million, with a total cost basis of $40.9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September 30, 2023 and December 31, 2022, the carrying value of the investment was $33.6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8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2023. Based on this evaluation, our Chief Executive Officer and Chief Financial Officer have concluded that, as of September 30, 2023,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Part 1, Item 1A, “Risk Factors” in our Annual Report on Form 10-K for the fiscal year ended December 31, 2022, which was filed with the Securities and Exchange Commission on February 28, 2023, for a complete description of the material risks we face.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September 1, 2023, as partial consideration for our acquisition of Roundtable Analytics, Inc., we issued 16,337 shares of our common stock, par value $0.01 per share, with an aggregate value of $1.6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September 30, 2023, we reacquired 3,820 shares of common stock with a weighted average fair market value of $84.43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In the fourth quarter of 2023, our board of directors authorized a further extension of the share repurchase program through December 31, 2024 and increased the authorized amount under the share repurchase program from $300 million to $400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September 30, 2023, $21.1 million remained available for share repurchases under our share repurchase program.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September 30, 2023.</w:t>
      </w:r>
    </w:p>
    <w:tbl>
      <w:tblPr>
        <w:tblW w:w="10205" w:type="dxa"/>
        <w:jc w:val="center"/>
        <w:tblInd w:w="0" w:type="dxa"/>
        <w:tblLayout w:type="fixed"/>
        <w:tblCellMar>
          <w:top w:w="28" w:type="dxa"/>
          <w:left w:w="28" w:type="dxa"/>
          <w:bottom w:w="28" w:type="dxa"/>
          <w:right w:w="28" w:type="dxa"/>
        </w:tblCellMar>
      </w:tblPr>
      <w:tblGrid>
        <w:gridCol w:w="888"/>
        <w:gridCol w:w="621"/>
        <w:gridCol w:w="624"/>
        <w:gridCol w:w="109"/>
        <w:gridCol w:w="109"/>
        <w:gridCol w:w="109"/>
        <w:gridCol w:w="730"/>
        <w:gridCol w:w="680"/>
        <w:gridCol w:w="682"/>
        <w:gridCol w:w="109"/>
        <w:gridCol w:w="109"/>
        <w:gridCol w:w="109"/>
        <w:gridCol w:w="283"/>
        <w:gridCol w:w="804"/>
        <w:gridCol w:w="159"/>
        <w:gridCol w:w="109"/>
        <w:gridCol w:w="109"/>
        <w:gridCol w:w="109"/>
        <w:gridCol w:w="510"/>
        <w:gridCol w:w="510"/>
        <w:gridCol w:w="511"/>
        <w:gridCol w:w="109"/>
        <w:gridCol w:w="109"/>
        <w:gridCol w:w="109"/>
        <w:gridCol w:w="282"/>
        <w:gridCol w:w="1386"/>
        <w:gridCol w:w="227"/>
      </w:tblGrid>
      <w:tr>
        <w:trPr/>
        <w:tc>
          <w:tcPr>
            <w:tcW w:w="88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9,811 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49,121,613 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211,895 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211,786 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28,305,510 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72,402 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72,402 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21,072,842 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294,108 </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290,288 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3,711 shares in July 2023 and 109 shares in August 2023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by our executive officers and/or directors during the third quarter of 2023, each of which is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912"/>
        <w:gridCol w:w="802"/>
        <w:gridCol w:w="790"/>
        <w:gridCol w:w="109"/>
        <w:gridCol w:w="109"/>
        <w:gridCol w:w="109"/>
        <w:gridCol w:w="244"/>
        <w:gridCol w:w="244"/>
        <w:gridCol w:w="248"/>
        <w:gridCol w:w="109"/>
        <w:gridCol w:w="109"/>
        <w:gridCol w:w="109"/>
        <w:gridCol w:w="545"/>
        <w:gridCol w:w="545"/>
        <w:gridCol w:w="548"/>
        <w:gridCol w:w="109"/>
        <w:gridCol w:w="109"/>
        <w:gridCol w:w="109"/>
        <w:gridCol w:w="734"/>
        <w:gridCol w:w="734"/>
        <w:gridCol w:w="737"/>
        <w:gridCol w:w="109"/>
        <w:gridCol w:w="109"/>
        <w:gridCol w:w="109"/>
        <w:gridCol w:w="528"/>
        <w:gridCol w:w="528"/>
        <w:gridCol w:w="75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McCartney - Non-Executive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5,400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 Mark Hussey - President, 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51,628</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third quarter of 2023, none of our executive officers or directors terminated a Rule 10b5-1 trading plan or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90"/>
        <w:gridCol w:w="1119"/>
        <w:gridCol w:w="1123"/>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restatedcertifica.htm">
              <w:r>
                <w:rPr>
                  <w:rStyle w:val="InternetLink"/>
                  <w:rFonts w:ascii="Arial Narrow;sans-serif" w:hAnsi="Arial Narrow;sans-serif"/>
                  <w:b w:val="false"/>
                  <w:color w:val="0000FF"/>
                  <w:sz w:val="18"/>
                  <w:u w:val="single"/>
                </w:rPr>
                <w:t>Restated Certificate of Incorporation filed with the Secretary of State of Delaware on July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930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930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930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930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 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2622746f8d449c7aa912ec3f9c72b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393" w:type="dxa"/>
        <w:jc w:val="left"/>
        <w:tblInd w:w="0" w:type="dxa"/>
        <w:tblLayout w:type="fixed"/>
        <w:tblCellMar>
          <w:top w:w="28" w:type="dxa"/>
          <w:left w:w="28" w:type="dxa"/>
          <w:bottom w:w="28" w:type="dxa"/>
          <w:right w:w="28" w:type="dxa"/>
        </w:tblCellMar>
      </w:tblPr>
      <w:tblGrid>
        <w:gridCol w:w="184"/>
        <w:gridCol w:w="162"/>
        <w:gridCol w:w="164"/>
        <w:gridCol w:w="479"/>
        <w:gridCol w:w="479"/>
        <w:gridCol w:w="481"/>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RESTATED CERTIFICATE OF INCORPORATION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HURON CONSULTING GROUP INC.</w:t>
      </w:r>
    </w:p>
    <w:p>
      <w:pPr>
        <w:pStyle w:val="TextBody"/>
        <w:bidi w:val="0"/>
        <w:spacing w:before="120" w:after="283"/>
        <w:jc w:val="left"/>
        <w:rPr/>
      </w:pPr>
      <w:r>
        <w:rPr/>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Huron Consulting Group Inc. (the “</w:t>
      </w:r>
      <w:r>
        <w:rPr>
          <w:rFonts w:ascii="Times New Roman;sans-serif" w:hAnsi="Times New Roman;sans-serif"/>
          <w:b/>
          <w:color w:val="000000"/>
          <w:sz w:val="24"/>
        </w:rPr>
        <w:t>Corporation</w:t>
      </w:r>
      <w:r>
        <w:rPr>
          <w:color w:val="000000"/>
        </w:rPr>
        <w:t>”</w:t>
      </w:r>
      <w:r>
        <w:rPr>
          <w:rFonts w:ascii="Times New Roman;sans-serif" w:hAnsi="Times New Roman;sans-serif"/>
          <w:b w:val="false"/>
          <w:color w:val="000000"/>
          <w:sz w:val="24"/>
        </w:rPr>
        <w:t>), a corporation organized and existing under the General Corporation Law of the State of Delaware (the “</w:t>
      </w:r>
      <w:r>
        <w:rPr>
          <w:rFonts w:ascii="Times New Roman;sans-serif" w:hAnsi="Times New Roman;sans-serif"/>
          <w:b/>
          <w:color w:val="000000"/>
          <w:sz w:val="24"/>
        </w:rPr>
        <w:t>GCL</w:t>
      </w:r>
      <w:r>
        <w:rPr>
          <w:color w:val="000000"/>
        </w:rPr>
        <w:t>”</w:t>
      </w:r>
      <w:r>
        <w:rPr>
          <w:rFonts w:ascii="Times New Roman;sans-serif" w:hAnsi="Times New Roman;sans-serif"/>
          <w:b w:val="false"/>
          <w:color w:val="000000"/>
          <w:sz w:val="24"/>
        </w:rPr>
        <w:t>), does hereby certify as follows:</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name of the Corporation is Huron Consulting Group Inc. The original certificate of incorporation of the Corporation was filed with the office of the Secretary of State of the State of Delaware on March 19, 2002 under the name SSCG, Inc.</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This Restated Certificate of Incorporation only restates and integrates and does not further amend the provisions of the Third Amended and Restated Certificate of Incorporation that was filed with the Secretary of State of the State of Delaware on February 16, 2005, as amended by the Amendment to the Third Amended and Restated Certificate of Incorporation that was filed with the Secretary of State of the State of Delaware on May 15, 2023 (collectively, the “</w:t>
      </w:r>
      <w:r>
        <w:rPr>
          <w:rFonts w:ascii="Times New Roman;sans-serif" w:hAnsi="Times New Roman;sans-serif"/>
          <w:b/>
          <w:color w:val="000000"/>
          <w:sz w:val="24"/>
        </w:rPr>
        <w:t>Certificate</w:t>
      </w:r>
      <w:r>
        <w:rPr>
          <w:color w:val="000000"/>
        </w:rPr>
        <w:t>”</w:t>
      </w:r>
      <w:r>
        <w:rPr>
          <w:rFonts w:ascii="Times New Roman;sans-serif" w:hAnsi="Times New Roman;sans-serif"/>
          <w:b w:val="false"/>
          <w:color w:val="000000"/>
          <w:sz w:val="24"/>
        </w:rPr>
        <w:t>).</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There is no discrepancy between the provisions of the Certificate and the provisions of this Restated Certificate, which was duly adopted in accordance with Section 245 of the GCL.</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The text of the Certificate is hereby integrated and restated in its entirety to provide as herein set forth in full.</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Name</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The name of the Corporation is Huron Consulting Group Inc. (the “</w:t>
      </w:r>
      <w:r>
        <w:rPr>
          <w:rFonts w:ascii="Times New Roman;sans-serif" w:hAnsi="Times New Roman;sans-serif"/>
          <w:b/>
          <w:color w:val="000000"/>
          <w:sz w:val="24"/>
        </w:rPr>
        <w:t>Corporation</w:t>
      </w:r>
      <w:r>
        <w:rPr>
          <w:color w:val="000000"/>
        </w:rPr>
        <w:t>”</w:t>
      </w: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Registered Office and Registered Agent</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address of the registered office of the Corporation in the State of Delaware is 251 Little Falls Drive, Wilmington, County of New Castle. The name of its registered agent is Corporation Service Company.</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III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The purpose of the Corporation is to engage in any lawful act or activity for which a corporation may be organized under the GCL as set forth in Title 8 of the General Corporation Law of the State of Delaware (the “</w:t>
      </w:r>
      <w:r>
        <w:rPr>
          <w:rFonts w:ascii="Times New Roman;sans-serif" w:hAnsi="Times New Roman;sans-serif"/>
          <w:b/>
          <w:color w:val="000000"/>
          <w:sz w:val="24"/>
        </w:rPr>
        <w:t>GCL</w:t>
      </w:r>
      <w:r>
        <w:rPr>
          <w:color w:val="000000"/>
        </w:rPr>
        <w:t>”</w:t>
      </w:r>
      <w:r>
        <w:rPr>
          <w:rFonts w:ascii="Times New Roman;sans-serif" w:hAnsi="Times New Roman;sans-serif"/>
          <w:b w:val="false"/>
          <w:color w:val="000000"/>
          <w:sz w:val="24"/>
        </w:rPr>
        <w:t>).</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IV</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Stock Issuance</w:t>
      </w:r>
    </w:p>
    <w:p>
      <w:pPr>
        <w:pStyle w:val="TextBody"/>
        <w:bidi w:val="0"/>
        <w:spacing w:lineRule="auto" w:line="288" w:before="12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Part A.Authorized Shares</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the total authorized capital stock of the Corporation is 550,000,000 shares, consisting of:</w:t>
      </w:r>
    </w:p>
    <w:p>
      <w:pPr>
        <w:pStyle w:val="TextBody"/>
        <w:bidi w:val="0"/>
        <w:spacing w:lineRule="auto" w:line="288" w:before="120" w:after="283"/>
        <w:ind w:left="0" w:right="0" w:hanging="360"/>
        <w:jc w:val="both"/>
        <w:rPr/>
      </w:pPr>
      <w:r>
        <w:rPr>
          <w:rFonts w:ascii="Times New Roman;sans-serif" w:hAnsi="Times New Roman;sans-serif"/>
          <w:b w:val="false"/>
          <w:color w:val="000000"/>
          <w:sz w:val="24"/>
        </w:rPr>
        <w:t>(a)50,000,000 shares of preferred stock, par value $0.01 per share (the “</w:t>
      </w:r>
      <w:r>
        <w:rPr>
          <w:rFonts w:ascii="Times New Roman;sans-serif" w:hAnsi="Times New Roman;sans-serif"/>
          <w:b/>
          <w:color w:val="000000"/>
          <w:sz w:val="24"/>
        </w:rPr>
        <w:t>Preferred Stock</w:t>
      </w:r>
      <w:r>
        <w:rPr>
          <w:color w:val="000000"/>
        </w:rPr>
        <w:t>”</w:t>
      </w:r>
      <w:r>
        <w:rPr>
          <w:rFonts w:ascii="Times New Roman;sans-serif" w:hAnsi="Times New Roman;sans-serif"/>
          <w:b w:val="false"/>
          <w:color w:val="000000"/>
          <w:sz w:val="24"/>
        </w:rPr>
        <w:t>); and</w:t>
      </w:r>
    </w:p>
    <w:p>
      <w:pPr>
        <w:pStyle w:val="TextBody"/>
        <w:bidi w:val="0"/>
        <w:spacing w:lineRule="auto" w:line="288" w:before="120" w:after="283"/>
        <w:ind w:left="0" w:right="0" w:hanging="360"/>
        <w:jc w:val="both"/>
        <w:rPr/>
      </w:pPr>
      <w:r>
        <w:rPr>
          <w:rFonts w:ascii="Times New Roman;sans-serif" w:hAnsi="Times New Roman;sans-serif"/>
          <w:b w:val="false"/>
          <w:color w:val="000000"/>
          <w:sz w:val="24"/>
        </w:rPr>
        <w:t>(b)500,000,000 shares of Common Stock, par value $.01 per share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preferences, qualifications, limitations, restrictions and special or relative rights of shares of each class of authorized capital stock are set forth below.</w:t>
      </w:r>
    </w:p>
    <w:p>
      <w:pPr>
        <w:pStyle w:val="TextBody"/>
        <w:bidi w:val="0"/>
        <w:spacing w:lineRule="auto" w:line="288" w:before="12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Part B.Preferred Stock</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The Board of Directors of the Corporation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is hereby expressly authorized to provide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providing for the issuance of such class or series and as may be permitted by the 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pStyle w:val="TextBody"/>
        <w:bidi w:val="0"/>
        <w:spacing w:lineRule="auto" w:line="288" w:before="12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Part C.Common Stock</w:t>
      </w:r>
    </w:p>
    <w:p>
      <w:pPr>
        <w:pStyle w:val="TextBody"/>
        <w:bidi w:val="0"/>
        <w:spacing w:lineRule="auto" w:line="288" w:before="120" w:after="283"/>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On all matters on which holders of Common Stock are entitled to vote, each holder of shares of Common Stock shall be entitled to cast one (1) vote, in person or by proxy, for each share of Common Stock standing in his, her or its name on the transfer books of the Corporation.</w:t>
      </w:r>
    </w:p>
    <w:p>
      <w:pPr>
        <w:pStyle w:val="TextBody"/>
        <w:bidi w:val="0"/>
        <w:spacing w:lineRule="auto" w:line="288" w:before="120" w:after="283"/>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u w:val="single"/>
        </w:rPr>
        <w:t>No Cumulative Voting</w:t>
      </w:r>
      <w:r>
        <w:rPr>
          <w:rFonts w:ascii="Times New Roman;sans-serif" w:hAnsi="Times New Roman;sans-serif"/>
          <w:b w:val="false"/>
          <w:color w:val="000000"/>
          <w:sz w:val="24"/>
        </w:rPr>
        <w:t>. The holders of shares of Common Stock shall not have cumulative voting rights.</w:t>
      </w:r>
    </w:p>
    <w:p>
      <w:pPr>
        <w:pStyle w:val="TextBody"/>
        <w:bidi w:val="0"/>
        <w:spacing w:lineRule="auto" w:line="288" w:before="120" w:after="283"/>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u w:val="single"/>
        </w:rPr>
        <w:t>No Preemptive or Subscription Rights</w:t>
      </w:r>
      <w:r>
        <w:rPr>
          <w:rFonts w:ascii="Times New Roman;sans-serif" w:hAnsi="Times New Roman;sans-serif"/>
          <w:b w:val="false"/>
          <w:color w:val="000000"/>
          <w:sz w:val="24"/>
        </w:rPr>
        <w:t>. The holders of shares of Common Stock shall not have preemptive or subscription rights.</w:t>
      </w:r>
    </w:p>
    <w:p>
      <w:pPr>
        <w:pStyle w:val="TextBody"/>
        <w:bidi w:val="0"/>
        <w:spacing w:lineRule="auto" w:line="288" w:before="12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Part D.Power to Sell and Purchase Shares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requirements of applicable law, the Corporation shall have the power to issue and sell all or any part of any shares of any class of stock herein or hereafter authorized to such persons, and for such consideration, as the Board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class of stock herein or hereafter authorized from such persons, and for such consideration, as the Board shall from time to time, in its discretion, determine, whether or not less consideration could be paid upon the purchase of the same number of shares of another class, and as otherwise permitted by law.</w:t>
      </w:r>
    </w:p>
    <w:p>
      <w:pPr>
        <w:pStyle w:val="TextBody"/>
        <w:bidi w:val="0"/>
        <w:spacing w:lineRule="auto" w:line="288" w:before="120" w:after="283"/>
        <w:jc w:val="center"/>
        <w:rPr/>
      </w:pPr>
      <w:r>
        <w:rPr>
          <w:rFonts w:ascii="Times New Roman;sans-serif" w:hAnsi="Times New Roman;sans-serif"/>
          <w:b/>
          <w:color w:val="000000"/>
          <w:sz w:val="24"/>
          <w:u w:val="single"/>
        </w:rPr>
        <w:t>ARTICLE V</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Board of Directors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lineRule="auto" w:line="288" w:before="120" w:after="283"/>
        <w:ind w:left="0" w:right="0" w:firstLine="171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business and affairs of the Corporation shall be managed by or under the direction of the Board.</w:t>
      </w:r>
    </w:p>
    <w:p>
      <w:pPr>
        <w:pStyle w:val="TextBody"/>
        <w:bidi w:val="0"/>
        <w:spacing w:lineRule="auto" w:line="288" w:before="120" w:after="283"/>
        <w:ind w:left="0" w:right="0" w:firstLine="171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number of directors of the Corporation shall be fixed from time to time in the manner provided in the Bylaws.</w:t>
      </w:r>
    </w:p>
    <w:p>
      <w:pPr>
        <w:pStyle w:val="TextBody"/>
        <w:bidi w:val="0"/>
        <w:spacing w:lineRule="auto" w:line="288" w:before="120" w:after="283"/>
        <w:ind w:left="0" w:right="0" w:firstLine="171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Until the conclusion of the Corporation’s 2026 annual meeting of stockholders (the “</w:t>
      </w:r>
      <w:r>
        <w:rPr>
          <w:rFonts w:ascii="Times New Roman;sans-serif" w:hAnsi="Times New Roman;sans-serif"/>
          <w:b/>
          <w:color w:val="000000"/>
          <w:sz w:val="24"/>
        </w:rPr>
        <w:t>2026 Annual Meeting</w:t>
      </w:r>
      <w:r>
        <w:rPr>
          <w:color w:val="000000"/>
        </w:rPr>
        <w:t>”</w:t>
      </w:r>
      <w:r>
        <w:rPr>
          <w:rFonts w:ascii="Times New Roman;sans-serif" w:hAnsi="Times New Roman;sans-serif"/>
          <w:b w:val="false"/>
          <w:color w:val="000000"/>
          <w:sz w:val="24"/>
        </w:rPr>
        <w:t>), the directors shall be divided into three classes, designated Class I, Class II and Class III. Each person elected as a director of the Corporation at or after the annual meeting of stockholders that is held in calendar year 2024 (the “</w:t>
      </w:r>
      <w:r>
        <w:rPr>
          <w:rFonts w:ascii="Times New Roman;sans-serif" w:hAnsi="Times New Roman;sans-serif"/>
          <w:b/>
          <w:color w:val="000000"/>
          <w:sz w:val="24"/>
        </w:rPr>
        <w:t>2024 Annual Meeting</w:t>
      </w:r>
      <w:r>
        <w:rPr>
          <w:color w:val="000000"/>
        </w:rPr>
        <w:t>”</w:t>
      </w:r>
      <w:r>
        <w:rPr>
          <w:rFonts w:ascii="Times New Roman;sans-serif" w:hAnsi="Times New Roman;sans-serif"/>
          <w:b w:val="false"/>
          <w:color w:val="000000"/>
          <w:sz w:val="24"/>
        </w:rPr>
        <w:t>), whether to succeed a person whose term of office as a director has expired or to fill any vacancy, shall be elected for a term expiring at the next annual meeting of stockholders. Each director elected prior to the 2024 Annual Meeting shall continue to serve as a director for the term for which he or she was elected. In each case, each director shall hold office until such director’s successor is duly elected and qualified, or until such director’s earlier death, resignation, retirement, disqualification or removal from office. Commencing with the election of directors at the 2026 Annual Meeting, the Board shall no longer be classified, and all of the directors shall be elected annually and shall hold office until the next annual meeting of stockholders, and until his or her successor is duly elected and qualified or until his or her earlier death, resignation, retirement, disqualification or removal.</w:t>
      </w:r>
    </w:p>
    <w:p>
      <w:pPr>
        <w:pStyle w:val="TextBody"/>
        <w:bidi w:val="0"/>
        <w:spacing w:lineRule="auto" w:line="288" w:before="120" w:after="283"/>
        <w:ind w:left="0" w:right="0" w:firstLine="171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Subject to the terms of any one or more classes or series of Preferred Stock, any vacancy on the Board that results from an increase in the number of directors may be filled by a majority of the Board then in office, provided that a quorum is present, and any other vacancy occurring on the Board may be filled by a majority of the Board then in office, even if less than a quorum, or by a sole remaining director. Any director appointed to fill a vacancy shall hold office for a term expiring at the next annual meeting of stockholders; provided, however, any director appointed to fill a vacancy of any director elected prior to the 2026 Annual Meeting shall have the same remaining term as that of his or her predecessor. Subject to the rights, if any, of the holders of shares of Preferred Stock then outstanding, any director or the entire Board may be removed from office at any time, with or without cause, by the affirmative vote of the holders of a majority of the voting power of the issued and outstanding shares of capital stock of the Corporation entitled to vote in connection with the election of directors; provided, however, any director elected prior to the 2026 Annual Meeting and any director appointed to fill a vacancy of any director elected prior to the 2026 Annual Meeting may be removed from office only for cause and only by the affirmative vote of the holders of at least two-thirds of the voting power of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issued and outstanding shares of capital stock of the Corporation entitled to vote in connection with the election of directors.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w:t>
      </w:r>
    </w:p>
    <w:p>
      <w:pPr>
        <w:pStyle w:val="TextBody"/>
        <w:bidi w:val="0"/>
        <w:spacing w:lineRule="auto" w:line="288" w:before="120" w:after="283"/>
        <w:ind w:left="0" w:right="0" w:firstLine="171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addition to the powers and authority hereinabove or by statute expressly conferred upon them, the directors are hereby empowered to exercise all such powers and do all such acts and things as may be exercised or done by the Corporation, subject, nevertheless, to the provisions of the GCL, this Restated Certificate of Incorporation, and any by-laws adopted by the stockholders; provided, however, that no by-laws hereafter adopted by the stockholders shall invalidate any prior act of the directors that would have been valid if such by-laws had not been adopted.</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VI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Liability of Directors</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A director of the Corporation shall not be personally liable to the Corporation or its stockholders for monetary damages for breach of fiduciary duty as a director, except as to liability to the extent such exemption from liability or limitation thereof is not permitted under the paragraph (7) of subsection (b) of Section 102 of the GCL, as the same exists or may hereafter be amended. If the 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GCL. Any repeal or modification of this </w:t>
      </w:r>
      <w:r>
        <w:rPr>
          <w:rFonts w:ascii="Times New Roman;sans-serif" w:hAnsi="Times New Roman;sans-serif"/>
          <w:b/>
          <w:color w:val="000000"/>
          <w:sz w:val="24"/>
        </w:rPr>
        <w:t>Article VI</w:t>
      </w:r>
      <w:r>
        <w:rPr>
          <w:color w:val="000000"/>
        </w:rPr>
        <w:t xml:space="preserve"> </w:t>
      </w:r>
      <w:r>
        <w:rPr>
          <w:rFonts w:ascii="Times New Roman;sans-serif" w:hAnsi="Times New Roman;sans-serif"/>
          <w:b w:val="false"/>
          <w:color w:val="000000"/>
          <w:sz w:val="24"/>
        </w:rPr>
        <w:t>by the stockholders of the Corporation shall not adversely affect any right or protection of a director of the Corporation existing at the time of such repeal or modification with respect to acts or omissions occurring prior to such repeal or modification.</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VII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Creditor Arrangements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this Corporation under Section 291 of Title 8 of the GCL or on the application of trustees in dissolution or of any receiver or receivers appointed for the Corporation under Section 279 of Title 8 of the GCL order a meeting of the creditors or class of creditors, and/or of the stockholders or class of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binding on all the creditors or class of creditors, and/or on all the stockholders or class of stockholders, of the Corporation, as the case may be, and also on this Corporation.</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VIII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Indemnification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The right to indemnification conferred by this </w:t>
      </w:r>
      <w:r>
        <w:rPr>
          <w:rFonts w:ascii="Times New Roman;sans-serif" w:hAnsi="Times New Roman;sans-serif"/>
          <w:b/>
          <w:color w:val="000000"/>
          <w:sz w:val="24"/>
        </w:rPr>
        <w:t>Article VIII</w:t>
      </w:r>
      <w:r>
        <w:rPr>
          <w:color w:val="000000"/>
        </w:rPr>
        <w:t xml:space="preserve"> </w:t>
      </w:r>
      <w:r>
        <w:rPr>
          <w:rFonts w:ascii="Times New Roman;sans-serif" w:hAnsi="Times New Roman;sans-serif"/>
          <w:b w:val="false"/>
          <w:color w:val="000000"/>
          <w:sz w:val="24"/>
        </w:rPr>
        <w:t xml:space="preserve">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Times New Roman;sans-serif" w:hAnsi="Times New Roman;sans-serif"/>
          <w:b/>
          <w:color w:val="000000"/>
          <w:sz w:val="24"/>
        </w:rPr>
        <w:t>Article VIII</w:t>
      </w:r>
      <w:r>
        <w:rPr>
          <w:rFonts w:ascii="Times New Roman;sans-serif" w:hAnsi="Times New Roman;sans-serif"/>
          <w:b w:val="false"/>
          <w:color w:val="000000"/>
          <w:sz w:val="24"/>
        </w:rPr>
        <w:t>.</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The Corporation may, to the extent authorized from time to time by the Board, provide rights to indemnification and to the advancement of expenses to employees and agents of the Corporation similar to those conferred in this </w:t>
      </w:r>
      <w:r>
        <w:rPr>
          <w:rFonts w:ascii="Times New Roman;sans-serif" w:hAnsi="Times New Roman;sans-serif"/>
          <w:b/>
          <w:color w:val="000000"/>
          <w:sz w:val="24"/>
        </w:rPr>
        <w:t>Article VIII</w:t>
      </w:r>
      <w:r>
        <w:rPr>
          <w:color w:val="000000"/>
        </w:rPr>
        <w:t xml:space="preserve"> </w:t>
      </w:r>
      <w:r>
        <w:rPr>
          <w:rFonts w:ascii="Times New Roman;sans-serif" w:hAnsi="Times New Roman;sans-serif"/>
          <w:b w:val="false"/>
          <w:color w:val="000000"/>
          <w:sz w:val="24"/>
        </w:rPr>
        <w:t>to directors and officers of the Corporation.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The rights to indemnification and to the advancement of expenses conferred in this </w:t>
      </w:r>
      <w:r>
        <w:rPr>
          <w:rFonts w:ascii="Times New Roman;sans-serif" w:hAnsi="Times New Roman;sans-serif"/>
          <w:b/>
          <w:color w:val="000000"/>
          <w:sz w:val="24"/>
        </w:rPr>
        <w:t>Article VIII</w:t>
      </w:r>
      <w:r>
        <w:rPr>
          <w:color w:val="000000"/>
        </w:rPr>
        <w:t xml:space="preserve"> </w:t>
      </w:r>
      <w:r>
        <w:rPr>
          <w:rFonts w:ascii="Times New Roman;sans-serif" w:hAnsi="Times New Roman;sans-serif"/>
          <w:b w:val="false"/>
          <w:color w:val="000000"/>
          <w:sz w:val="24"/>
        </w:rPr>
        <w:t>shall not be exclusive of any other right which any person may have or hereafter acquire under this Restated Certificate of Incorporation, the by-laws of the Corporation, any statute, agreement, vote of stockholders or disinterested directors or otherwise.</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Any repeal or modification of this </w:t>
      </w:r>
      <w:r>
        <w:rPr>
          <w:rFonts w:ascii="Times New Roman;sans-serif" w:hAnsi="Times New Roman;sans-serif"/>
          <w:b/>
          <w:color w:val="000000"/>
          <w:sz w:val="24"/>
        </w:rPr>
        <w:t>Article VIII</w:t>
      </w:r>
      <w:r>
        <w:rPr>
          <w:color w:val="000000"/>
        </w:rPr>
        <w:t xml:space="preserve"> </w:t>
      </w:r>
      <w:r>
        <w:rPr>
          <w:rFonts w:ascii="Times New Roman;sans-serif" w:hAnsi="Times New Roman;sans-serif"/>
          <w:b w:val="false"/>
          <w:color w:val="000000"/>
          <w:sz w:val="24"/>
        </w:rPr>
        <w:t>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IX</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 Action By Written Consent</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action required or permitted to be taken by the stockholders of the Corporation must be effected at a duly called annual or special meeting of stockholders of the Corporation, and the ability of the stockholders to consent in writing to the taking of any action is hereby specifically denied.</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X</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Location of Meetings of Stockholders and Books and Records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Meetings of stockholders may be held within or without the State of Delaware, as the by-laws of the Corporation may provide. The books of the Corporation may be kept (subject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provision contained in the GCL) outside the State of Delaware at such place or places as may be designated from time to time by the Board or in the by-laws of the Corporation.</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XI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Calling of Special Meetings of Stockholders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required by law, special meetings of the stockholders, for any purpose or purposes, may be called by either (i) the Chairman of the Board, if there be one (ii) the President or (iii) the Board. The ability of the stockholders to call a special meeting of the stockholders is hereby specifically denied.</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XII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Amendments of By-laws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upon it by the laws of the State of Delaware, the Board shall have the power to adopt, amend, alter or repeal the by-laws of the Corporation. The affirmative vote of at least a majority of the entire Board shall be required to adopt, amend, alter or repeal the by-laws of the Corporation. The by-laws of the Corporation also may be adopted, amended, altered or repealed by the affirmative vote of the holders of at least two-thirds of the voting power of the issued and outstanding shares of capital stock of the Corporation entitled to vote in connection with the election of directors.</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XII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The Corporation reserves the right to amend, alter, change, repeal or waive any provision contained in this Restated Certificate of Incorporation, in the manner now or hereafter prescribed by statute, and all rights conferred upon stockholders herein are granted subject to this reservation;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notwithstanding anything contained in this Restated Certificate of Incorporation to the contrary, the affirmative vote of the holders of at least two-thirds of the voting power of the issued and outstanding shares of capital stock of the Corporation entitled to vote in connection with the election of directors shall be required to amend, alter, change or repeal, or adopt any provision inconsistent with, </w:t>
      </w:r>
      <w:r>
        <w:rPr>
          <w:rFonts w:ascii="Times New Roman;sans-serif" w:hAnsi="Times New Roman;sans-serif"/>
          <w:b/>
          <w:color w:val="000000"/>
          <w:sz w:val="24"/>
        </w:rPr>
        <w:t>Articles V, VI, VIII, IX, XI and XII</w:t>
      </w:r>
      <w:r>
        <w:rPr>
          <w:color w:val="000000"/>
        </w:rPr>
        <w:t xml:space="preserve"> </w:t>
      </w:r>
      <w:r>
        <w:rPr>
          <w:rFonts w:ascii="Times New Roman;sans-serif" w:hAnsi="Times New Roman;sans-serif"/>
          <w:b w:val="false"/>
          <w:color w:val="000000"/>
          <w:sz w:val="24"/>
        </w:rPr>
        <w:t xml:space="preserve">of this Restated Certificate of Incorporation or this </w:t>
      </w:r>
      <w:r>
        <w:rPr>
          <w:rFonts w:ascii="Times New Roman;sans-serif" w:hAnsi="Times New Roman;sans-serif"/>
          <w:b/>
          <w:color w:val="000000"/>
          <w:sz w:val="24"/>
        </w:rPr>
        <w:t>Article XIII</w:t>
      </w:r>
      <w:r>
        <w:rPr>
          <w:rFonts w:ascii="Times New Roman;sans-serif" w:hAnsi="Times New Roman;sans-serif"/>
          <w:b w:val="false"/>
          <w:color w:val="000000"/>
          <w:sz w:val="24"/>
        </w:rPr>
        <w:t>.</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 xml:space="preserve">Any repeal or modification of </w:t>
      </w:r>
      <w:r>
        <w:rPr>
          <w:rFonts w:ascii="Times New Roman;sans-serif" w:hAnsi="Times New Roman;sans-serif"/>
          <w:b/>
          <w:color w:val="000000"/>
          <w:sz w:val="24"/>
        </w:rPr>
        <w:t>Articles VI or VIII</w:t>
      </w:r>
      <w:r>
        <w:rPr>
          <w:color w:val="000000"/>
        </w:rPr>
        <w:t xml:space="preserve"> </w:t>
      </w:r>
      <w:r>
        <w:rPr>
          <w:rFonts w:ascii="Times New Roman;sans-serif" w:hAnsi="Times New Roman;sans-serif"/>
          <w:b w:val="false"/>
          <w:color w:val="000000"/>
          <w:sz w:val="24"/>
        </w:rPr>
        <w:t xml:space="preserve">of this Restated Certificate of Incorporation shall not adversely affect any rights under </w:t>
      </w:r>
      <w:r>
        <w:rPr>
          <w:rFonts w:ascii="Times New Roman;sans-serif" w:hAnsi="Times New Roman;sans-serif"/>
          <w:b/>
          <w:color w:val="000000"/>
          <w:sz w:val="24"/>
        </w:rPr>
        <w:t>Articles VI or VIII</w:t>
      </w:r>
      <w:r>
        <w:rPr>
          <w:color w:val="000000"/>
        </w:rPr>
        <w:t xml:space="preserve"> </w:t>
      </w:r>
      <w:r>
        <w:rPr>
          <w:rFonts w:ascii="Times New Roman;sans-serif" w:hAnsi="Times New Roman;sans-serif"/>
          <w:b w:val="false"/>
          <w:color w:val="000000"/>
          <w:sz w:val="24"/>
        </w:rPr>
        <w:t xml:space="preserve">of any individual referred to in </w:t>
      </w:r>
      <w:r>
        <w:rPr>
          <w:rFonts w:ascii="Times New Roman;sans-serif" w:hAnsi="Times New Roman;sans-serif"/>
          <w:b/>
          <w:color w:val="000000"/>
          <w:sz w:val="24"/>
        </w:rPr>
        <w:t>Articles VI or VIII</w:t>
      </w:r>
      <w:r>
        <w:rPr>
          <w:color w:val="000000"/>
        </w:rPr>
        <w:t xml:space="preserve"> </w:t>
      </w:r>
      <w:r>
        <w:rPr>
          <w:rFonts w:ascii="Times New Roman;sans-serif" w:hAnsi="Times New Roman;sans-serif"/>
          <w:b w:val="false"/>
          <w:color w:val="000000"/>
          <w:sz w:val="24"/>
        </w:rPr>
        <w:t>existing at the time of such repeal or modification with respect to acts or omissions of such individual occurring prior to such repeal or modification.</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ARTICLE XIV</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Business Combinations</w:t>
      </w:r>
    </w:p>
    <w:p>
      <w:pPr>
        <w:pStyle w:val="TextBody"/>
        <w:bidi w:val="0"/>
        <w:spacing w:lineRule="auto" w:line="288"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Corporation shall not be governed by the provisions of Section 203 of the General Corporation Law.</w:t>
      </w:r>
    </w:p>
    <w:p>
      <w:pPr>
        <w:pStyle w:val="TextBody"/>
        <w:bidi w:val="0"/>
        <w:spacing w:lineRule="auto" w:line="288" w:before="120" w:after="283"/>
        <w:ind w:left="0" w:right="0" w:firstLine="720"/>
        <w:jc w:val="both"/>
        <w:rPr/>
      </w:pPr>
      <w:r>
        <w:rPr>
          <w:rFonts w:ascii="Times New Roman;sans-serif" w:hAnsi="Times New Roman;sans-serif"/>
          <w:b w:val="false"/>
          <w:color w:val="000000"/>
          <w:sz w:val="24"/>
        </w:rPr>
        <w:t>IN WITNESS WHEREOF, the Corporation has caused this Restated Certificate of Incorporation to be executed on its behalf this 27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July, 2023.</w:t>
      </w:r>
    </w:p>
    <w:p>
      <w:pPr>
        <w:pStyle w:val="TextBody"/>
        <w:bidi w:val="0"/>
        <w:spacing w:before="120" w:after="283"/>
        <w:jc w:val="left"/>
        <w:rPr/>
      </w:pPr>
      <w:r>
        <w:rPr/>
      </w:r>
    </w:p>
    <w:p>
      <w:pPr>
        <w:pStyle w:val="TextBody"/>
        <w:bidi w:val="0"/>
        <w:spacing w:lineRule="auto" w:line="288" w:before="120" w:after="283"/>
        <w:ind w:left="0" w:right="0" w:firstLine="4507"/>
        <w:jc w:val="both"/>
        <w:rPr>
          <w:rFonts w:ascii="Times New Roman;sans-serif" w:hAnsi="Times New Roman;sans-serif"/>
          <w:b w:val="false"/>
          <w:color w:val="000000"/>
          <w:sz w:val="24"/>
        </w:rPr>
      </w:pPr>
      <w:r>
        <w:rPr>
          <w:rFonts w:ascii="Times New Roman;sans-serif" w:hAnsi="Times New Roman;sans-serif"/>
          <w:b w:val="false"/>
          <w:color w:val="000000"/>
          <w:sz w:val="24"/>
        </w:rPr>
        <w:t>HURON CONSULTING GROUP INC.</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283"/>
        <w:ind w:left="0" w:right="0" w:firstLine="4507"/>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Ernest W. Torain, Jr. </w:t>
      </w:r>
    </w:p>
    <w:p>
      <w:pPr>
        <w:pStyle w:val="TextBody"/>
        <w:bidi w:val="0"/>
        <w:spacing w:lineRule="auto" w:line="288" w:before="0" w:after="0"/>
        <w:ind w:left="0" w:right="0" w:firstLine="4507"/>
        <w:jc w:val="left"/>
        <w:rPr>
          <w:rFonts w:ascii="Times New Roman;sans-serif" w:hAnsi="Times New Roman;sans-serif"/>
          <w:b w:val="false"/>
          <w:color w:val="000000"/>
          <w:sz w:val="24"/>
        </w:rPr>
      </w:pPr>
      <w:r>
        <w:rPr>
          <w:rFonts w:ascii="Times New Roman;sans-serif" w:hAnsi="Times New Roman;sans-serif"/>
          <w:b w:val="false"/>
          <w:color w:val="000000"/>
          <w:sz w:val="24"/>
        </w:rPr>
        <w:t>Name: Ernest W. Torain, Jr.</w:t>
      </w:r>
    </w:p>
    <w:p>
      <w:pPr>
        <w:pStyle w:val="TextBody"/>
        <w:bidi w:val="0"/>
        <w:spacing w:lineRule="auto" w:line="288" w:before="0" w:after="0"/>
        <w:ind w:left="0" w:right="0" w:firstLine="450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Executive Vice President, </w:t>
      </w:r>
    </w:p>
    <w:p>
      <w:pPr>
        <w:pStyle w:val="TextBody"/>
        <w:bidi w:val="0"/>
        <w:spacing w:lineRule="auto" w:line="288"/>
        <w:ind w:left="0" w:right="0" w:firstLine="4507"/>
        <w:jc w:val="left"/>
        <w:rPr>
          <w:rFonts w:ascii="Times New Roman;sans-serif" w:hAnsi="Times New Roman;sans-serif"/>
          <w:b w:val="false"/>
          <w:color w:val="000000"/>
          <w:sz w:val="24"/>
        </w:rPr>
      </w:pPr>
      <w:r>
        <w:rPr>
          <w:rFonts w:ascii="Times New Roman;sans-serif" w:hAnsi="Times New Roman;sans-serif"/>
          <w:b w:val="false"/>
          <w:color w:val="000000"/>
          <w:sz w:val="24"/>
        </w:rPr>
        <w:t>General Counsel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2023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2023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30190</Words>
  <Characters>170011</Characters>
  <CharactersWithSpaces>198254</CharactersWithSpaces>
  <Paragraphs>3304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