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5"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35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137160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3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760" w:right="700" w:hanging="2757"/>
        <w:spacing w:after="0" w:line="38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34290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32" w:lineRule="exact"/>
        <w:rPr>
          <w:sz w:val="24"/>
          <w:szCs w:val="24"/>
          <w:color w:val="auto"/>
        </w:rPr>
      </w:pPr>
    </w:p>
    <w:p>
      <w:pPr>
        <w:sectPr>
          <w:pgSz w:w="11900" w:h="16838" w:orient="portrait"/>
          <w:cols w:equalWidth="0" w:num="2">
            <w:col w:w="940" w:space="380"/>
            <w:col w:w="992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20" w:type="dxa"/>
            <w:vAlign w:val="bottom"/>
          </w:tcPr>
          <w:p>
            <w:pPr>
              <w:jc w:val="center"/>
              <w:ind w:left="1378"/>
              <w:spacing w:after="0"/>
              <w:rPr>
                <w:sz w:val="20"/>
                <w:szCs w:val="20"/>
                <w:color w:val="auto"/>
              </w:rPr>
            </w:pPr>
            <w:r>
              <w:rPr>
                <w:rFonts w:ascii="Arial" w:cs="Arial" w:eastAsia="Arial" w:hAnsi="Arial"/>
                <w:sz w:val="18"/>
                <w:szCs w:val="18"/>
                <w:b w:val="1"/>
                <w:bCs w:val="1"/>
                <w:color w:val="auto"/>
                <w:w w:val="98"/>
              </w:rPr>
              <w:t>Delaware</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b w:val="1"/>
                <w:bCs w:val="1"/>
                <w:color w:val="auto"/>
              </w:rPr>
              <w:t>01-0666114</w:t>
            </w:r>
          </w:p>
        </w:tc>
      </w:tr>
      <w:tr>
        <w:trPr>
          <w:trHeight w:val="148"/>
        </w:trPr>
        <w:tc>
          <w:tcPr>
            <w:tcW w:w="3720" w:type="dxa"/>
            <w:vAlign w:val="bottom"/>
          </w:tcPr>
          <w:p>
            <w:pPr>
              <w:jc w:val="center"/>
              <w:ind w:left="137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20" w:type="dxa"/>
            <w:vAlign w:val="bottom"/>
          </w:tcPr>
          <w:p>
            <w:pPr>
              <w:jc w:val="center"/>
              <w:ind w:left="1378"/>
              <w:spacing w:after="0"/>
              <w:rPr>
                <w:sz w:val="20"/>
                <w:szCs w:val="20"/>
                <w:color w:val="auto"/>
              </w:rPr>
            </w:pPr>
            <w:r>
              <w:rPr>
                <w:rFonts w:ascii="Arial" w:cs="Arial" w:eastAsia="Arial" w:hAnsi="Arial"/>
                <w:sz w:val="14"/>
                <w:szCs w:val="14"/>
                <w:b w:val="1"/>
                <w:bCs w:val="1"/>
                <w:color w:val="auto"/>
              </w:rPr>
              <w:t>incorporation or organization)</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tcPr>
          <w:p>
            <w:pPr>
              <w:ind w:left="420"/>
              <w:spacing w:after="0"/>
              <w:rPr>
                <w:sz w:val="20"/>
                <w:szCs w:val="20"/>
                <w:color w:val="auto"/>
              </w:rPr>
            </w:pPr>
            <w:r>
              <w:rPr>
                <w:rFonts w:ascii="Arial" w:cs="Arial" w:eastAsia="Arial" w:hAnsi="Arial"/>
                <w:sz w:val="14"/>
                <w:szCs w:val="14"/>
                <w:b w:val="1"/>
                <w:bCs w:val="1"/>
                <w:color w:val="auto"/>
              </w:rPr>
              <w:t>Identification Number)</w:t>
            </w:r>
          </w:p>
        </w:tc>
      </w:tr>
      <w:tr>
        <w:trPr>
          <w:trHeight w:val="259"/>
        </w:trPr>
        <w:tc>
          <w:tcPr>
            <w:tcW w:w="3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5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9"/>
              </w:rPr>
              <w:t>550 West Van Buren Street</w:t>
            </w:r>
          </w:p>
        </w:tc>
        <w:tc>
          <w:tcPr>
            <w:tcW w:w="4120" w:type="dxa"/>
            <w:vAlign w:val="bottom"/>
          </w:tcPr>
          <w:p>
            <w:pPr>
              <w:spacing w:after="0"/>
              <w:rPr>
                <w:sz w:val="22"/>
                <w:szCs w:val="22"/>
                <w:color w:val="auto"/>
              </w:rPr>
            </w:pPr>
          </w:p>
        </w:tc>
      </w:tr>
      <w:tr>
        <w:trPr>
          <w:trHeight w:val="216"/>
        </w:trPr>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Chicago, Illinois</w:t>
            </w:r>
          </w:p>
        </w:tc>
        <w:tc>
          <w:tcPr>
            <w:tcW w:w="4120" w:type="dxa"/>
            <w:vAlign w:val="bottom"/>
          </w:tcPr>
          <w:p>
            <w:pPr>
              <w:spacing w:after="0"/>
              <w:rPr>
                <w:sz w:val="18"/>
                <w:szCs w:val="18"/>
                <w:color w:val="auto"/>
              </w:rPr>
            </w:pPr>
          </w:p>
        </w:tc>
      </w:tr>
      <w:tr>
        <w:trPr>
          <w:trHeight w:val="226"/>
        </w:trPr>
        <w:tc>
          <w:tcPr>
            <w:tcW w:w="3720" w:type="dxa"/>
            <w:vAlign w:val="bottom"/>
          </w:tcPr>
          <w:p>
            <w:pPr>
              <w:spacing w:after="0"/>
              <w:rPr>
                <w:sz w:val="19"/>
                <w:szCs w:val="19"/>
                <w:color w:val="auto"/>
              </w:rPr>
            </w:pPr>
          </w:p>
        </w:tc>
        <w:tc>
          <w:tcPr>
            <w:tcW w:w="292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2"/>
        </w:trPr>
        <w:tc>
          <w:tcPr>
            <w:tcW w:w="3720" w:type="dxa"/>
            <w:vAlign w:val="bottom"/>
          </w:tcPr>
          <w:p>
            <w:pPr>
              <w:spacing w:after="0"/>
              <w:rPr>
                <w:sz w:val="14"/>
                <w:szCs w:val="14"/>
                <w:color w:val="auto"/>
              </w:rPr>
            </w:pPr>
          </w:p>
        </w:tc>
        <w:tc>
          <w:tcPr>
            <w:tcW w:w="7220" w:type="dxa"/>
            <w:vAlign w:val="bottom"/>
            <w:gridSpan w:val="5"/>
          </w:tcPr>
          <w:p>
            <w:pPr>
              <w:jc w:val="center"/>
              <w:ind w:right="3339"/>
              <w:spacing w:after="0"/>
              <w:rPr>
                <w:sz w:val="20"/>
                <w:szCs w:val="20"/>
                <w:color w:val="auto"/>
              </w:rPr>
            </w:pPr>
            <w:r>
              <w:rPr>
                <w:rFonts w:ascii="Arial" w:cs="Arial" w:eastAsia="Arial" w:hAnsi="Arial"/>
                <w:sz w:val="14"/>
                <w:szCs w:val="14"/>
                <w:b w:val="1"/>
                <w:bCs w:val="1"/>
                <w:color w:val="auto"/>
              </w:rPr>
              <w:t>(Address of principal executive offices)</w:t>
            </w:r>
          </w:p>
        </w:tc>
      </w:tr>
      <w:tr>
        <w:trPr>
          <w:trHeight w:val="190"/>
        </w:trPr>
        <w:tc>
          <w:tcPr>
            <w:tcW w:w="3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(Zip Code)</w:t>
            </w:r>
          </w:p>
        </w:tc>
        <w:tc>
          <w:tcPr>
            <w:tcW w:w="4120" w:type="dxa"/>
            <w:vAlign w:val="bottom"/>
          </w:tcPr>
          <w:p>
            <w:pPr>
              <w:spacing w:after="0"/>
              <w:rPr>
                <w:sz w:val="16"/>
                <w:szCs w:val="16"/>
                <w:color w:val="auto"/>
              </w:rPr>
            </w:pPr>
          </w:p>
        </w:tc>
      </w:tr>
      <w:tr>
        <w:trPr>
          <w:trHeight w:val="296"/>
        </w:trPr>
        <w:tc>
          <w:tcPr>
            <w:tcW w:w="3720" w:type="dxa"/>
            <w:vAlign w:val="bottom"/>
          </w:tcPr>
          <w:p>
            <w:pPr>
              <w:spacing w:after="0"/>
              <w:rPr>
                <w:sz w:val="24"/>
                <w:szCs w:val="24"/>
                <w:color w:val="auto"/>
              </w:rPr>
            </w:pPr>
          </w:p>
        </w:tc>
        <w:tc>
          <w:tcPr>
            <w:tcW w:w="292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0"/>
        </w:trPr>
        <w:tc>
          <w:tcPr>
            <w:tcW w:w="3720" w:type="dxa"/>
            <w:vAlign w:val="bottom"/>
          </w:tcPr>
          <w:p>
            <w:pPr>
              <w:spacing w:after="0"/>
              <w:rPr>
                <w:sz w:val="16"/>
                <w:szCs w:val="16"/>
                <w:color w:val="auto"/>
              </w:rPr>
            </w:pPr>
          </w:p>
        </w:tc>
        <w:tc>
          <w:tcPr>
            <w:tcW w:w="7220" w:type="dxa"/>
            <w:vAlign w:val="bottom"/>
            <w:gridSpan w:val="5"/>
          </w:tcPr>
          <w:p>
            <w:pPr>
              <w:jc w:val="center"/>
              <w:ind w:right="333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6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273"/>
        </w:trPr>
        <w:tc>
          <w:tcPr>
            <w:tcW w:w="6820" w:type="dxa"/>
            <w:vAlign w:val="bottom"/>
            <w:gridSpan w:val="5"/>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4120" w:type="dxa"/>
            <w:vAlign w:val="bottom"/>
          </w:tcPr>
          <w:p>
            <w:pPr>
              <w:spacing w:after="0"/>
              <w:rPr>
                <w:sz w:val="23"/>
                <w:szCs w:val="23"/>
                <w:color w:val="auto"/>
              </w:rPr>
            </w:pPr>
          </w:p>
        </w:tc>
      </w:tr>
      <w:tr>
        <w:trPr>
          <w:trHeight w:val="125"/>
        </w:trPr>
        <w:tc>
          <w:tcPr>
            <w:tcW w:w="3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2"/>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210"/>
        </w:trPr>
        <w:tc>
          <w:tcPr>
            <w:tcW w:w="3720" w:type="dxa"/>
            <w:vAlign w:val="bottom"/>
            <w:tcBorders>
              <w:left w:val="single" w:sz="8" w:color="auto"/>
              <w:bottom w:val="single" w:sz="8" w:color="auto"/>
            </w:tcBorders>
          </w:tcPr>
          <w:p>
            <w:pPr>
              <w:jc w:val="center"/>
              <w:ind w:left="198"/>
              <w:spacing w:after="0"/>
              <w:rPr>
                <w:sz w:val="20"/>
                <w:szCs w:val="20"/>
                <w:color w:val="auto"/>
              </w:rPr>
            </w:pPr>
            <w:r>
              <w:rPr>
                <w:rFonts w:ascii="Arial" w:cs="Arial" w:eastAsia="Arial" w:hAnsi="Arial"/>
                <w:sz w:val="17"/>
                <w:szCs w:val="17"/>
                <w:b w:val="1"/>
                <w:bCs w:val="1"/>
                <w:color w:val="auto"/>
              </w:rPr>
              <w:t>Title of each class</w:t>
            </w: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7"/>
                <w:szCs w:val="17"/>
                <w:b w:val="1"/>
                <w:bCs w:val="1"/>
                <w:color w:val="auto"/>
              </w:rPr>
              <w:t>Trading Symbol(s)</w:t>
            </w:r>
          </w:p>
        </w:tc>
        <w:tc>
          <w:tcPr>
            <w:tcW w:w="4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8"/>
        </w:trPr>
        <w:tc>
          <w:tcPr>
            <w:tcW w:w="3720" w:type="dxa"/>
            <w:vAlign w:val="bottom"/>
            <w:tcBorders>
              <w:left w:val="single" w:sz="8" w:color="auto"/>
              <w:bottom w:val="single" w:sz="8" w:color="auto"/>
            </w:tcBorders>
          </w:tcPr>
          <w:p>
            <w:pPr>
              <w:jc w:val="center"/>
              <w:ind w:left="198"/>
              <w:spacing w:after="0"/>
              <w:rPr>
                <w:sz w:val="20"/>
                <w:szCs w:val="20"/>
                <w:color w:val="auto"/>
              </w:rPr>
            </w:pPr>
            <w:r>
              <w:rPr>
                <w:rFonts w:ascii="Arial" w:cs="Arial" w:eastAsia="Arial" w:hAnsi="Arial"/>
                <w:sz w:val="17"/>
                <w:szCs w:val="17"/>
                <w:color w:val="auto"/>
              </w:rPr>
              <w:t>Common Stock, par value $0.01 per share</w:t>
            </w:r>
          </w:p>
        </w:tc>
        <w:tc>
          <w:tcPr>
            <w:tcW w:w="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7"/>
                <w:szCs w:val="17"/>
                <w:color w:val="auto"/>
              </w:rPr>
              <w:t>HURN</w:t>
            </w:r>
          </w:p>
        </w:tc>
        <w:tc>
          <w:tcPr>
            <w:tcW w:w="41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7"/>
                <w:szCs w:val="17"/>
                <w:color w:val="auto"/>
              </w:rPr>
              <w:t>NASDAQ Global Select Market</w:t>
            </w:r>
          </w:p>
        </w:tc>
      </w:tr>
    </w:tbl>
    <w:p>
      <w:pPr>
        <w:spacing w:after="0" w:line="88" w:lineRule="exact"/>
        <w:rPr>
          <w:sz w:val="24"/>
          <w:szCs w:val="24"/>
          <w:color w:val="auto"/>
        </w:rPr>
      </w:pPr>
    </w:p>
    <w:p>
      <w:pPr>
        <w:jc w:val="both"/>
        <w:ind w:right="300"/>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8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20"/>
        <w:spacing w:after="0" w:line="26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As of July 22, 2021, 22,445,893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20320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9820" w:type="dxa"/>
            <w:vAlign w:val="bottom"/>
            <w:gridSpan w:val="20"/>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Financial Statements (Unaudited)</w:t>
              </w:r>
            </w:hyperlink>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Balance Sheets</w:t>
              </w:r>
            </w:hyperlink>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Statements of Operations and Other Comprehensive Income</w:t>
              </w:r>
            </w:hyperlink>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Stockholders’ Equity</w:t>
              </w:r>
            </w:hyperlink>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Cash Flows</w:t>
              </w:r>
            </w:hyperlink>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Notes to Consolidated Financial Statements</w:t>
              </w:r>
            </w:hyperlink>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Management’s Discussion and Analysis of Financial Condition and Results of Operations</w:t>
              </w:r>
            </w:hyperlink>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rFonts w:ascii="Arial" w:cs="Arial" w:eastAsia="Arial" w:hAnsi="Arial"/>
                <w:sz w:val="18"/>
                <w:szCs w:val="18"/>
                <w:b w:val="1"/>
                <w:bCs w:val="1"/>
                <w:color w:val="0000FF"/>
                <w:w w:val="99"/>
              </w:rPr>
            </w:pPr>
            <w:hyperlink w:anchor="page46">
              <w:r>
                <w:rPr>
                  <w:rFonts w:ascii="Arial" w:cs="Arial" w:eastAsia="Arial" w:hAnsi="Arial"/>
                  <w:sz w:val="18"/>
                  <w:szCs w:val="18"/>
                  <w:b w:val="1"/>
                  <w:bCs w:val="1"/>
                  <w:color w:val="0000FF"/>
                  <w:w w:val="99"/>
                </w:rPr>
                <w:t>Part II – Other Information</w:t>
              </w:r>
            </w:hyperlink>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7"/>
              </w:rPr>
            </w:pPr>
            <w:hyperlink w:anchor="page47">
              <w:r>
                <w:rPr>
                  <w:rFonts w:ascii="Arial" w:cs="Arial" w:eastAsia="Arial" w:hAnsi="Arial"/>
                  <w:sz w:val="18"/>
                  <w:szCs w:val="18"/>
                  <w:color w:val="0000FF"/>
                  <w:w w:val="97"/>
                </w:rPr>
                <w:t>Risk Factors</w:t>
              </w:r>
            </w:hyperlink>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Other Information</w:t>
              </w:r>
            </w:hyperlink>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40" w:type="dxa"/>
            <w:vAlign w:val="bottom"/>
            <w:gridSpan w:val="2"/>
            <w:vMerge w:val="restart"/>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Signature</w:t>
              </w:r>
            </w:hyperlink>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43"/>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6"/>
        </w:trPr>
        <w:tc>
          <w:tcPr>
            <w:tcW w:w="1400" w:type="dxa"/>
            <w:vAlign w:val="bottom"/>
          </w:tcPr>
          <w:p>
            <w:pPr>
              <w:spacing w:after="0"/>
              <w:rPr>
                <w:sz w:val="24"/>
                <w:szCs w:val="24"/>
                <w:color w:val="auto"/>
              </w:rPr>
            </w:pPr>
          </w:p>
        </w:tc>
        <w:tc>
          <w:tcPr>
            <w:tcW w:w="6820" w:type="dxa"/>
            <w:vAlign w:val="bottom"/>
          </w:tcPr>
          <w:p>
            <w:pPr>
              <w:ind w:left="3040"/>
              <w:spacing w:after="0"/>
              <w:rPr>
                <w:sz w:val="20"/>
                <w:szCs w:val="20"/>
                <w:color w:val="auto"/>
              </w:rPr>
            </w:pPr>
            <w:r>
              <w:rPr>
                <w:rFonts w:ascii="Arial" w:cs="Arial" w:eastAsia="Arial" w:hAnsi="Arial"/>
                <w:sz w:val="18"/>
                <w:szCs w:val="18"/>
                <w:b w:val="1"/>
                <w:bCs w:val="1"/>
                <w:color w:val="auto"/>
              </w:rPr>
              <w:t>HURON CONSULTING GROUP INC.</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7"/>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9"/>
        </w:trPr>
        <w:tc>
          <w:tcPr>
            <w:tcW w:w="140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67,177</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$8,809 and $7,680, respectively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87,687</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$3,214 and $2,603,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5,121</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w:t>
            </w: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230,513</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71,030</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39,360</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62,068</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20,483</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594,237</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1,050,975</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14,874</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133,830</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28,247</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186,869</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47,131</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202,780</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61,825</w:t>
            </w:r>
          </w:p>
        </w:tc>
      </w:tr>
      <w:tr>
        <w:trPr>
          <w:trHeight w:val="229"/>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312,164</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88"/>
        </w:trPr>
        <w:tc>
          <w:tcPr>
            <w:tcW w:w="82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$0.01 par value; 500,000,000 shares authorized; 24,877,563 and 25,346,916 shares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at June 30, 2021 and December 31, 2020, respectively</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188"/>
        </w:trPr>
        <w:tc>
          <w:tcPr>
            <w:tcW w:w="8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Treasury stock, at cost, 2,445,818 and 2,584,119 shares at June 30, 2021 and December 31, 2020,</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(129,886)</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454,512</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214,009</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551,942</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1,050,975</w:t>
            </w:r>
          </w:p>
        </w:tc>
      </w:tr>
      <w:tr>
        <w:trPr>
          <w:trHeight w:val="20"/>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22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555"/>
              <w:spacing w:after="0"/>
              <w:rPr>
                <w:sz w:val="20"/>
                <w:szCs w:val="20"/>
                <w:color w:val="auto"/>
              </w:rPr>
            </w:pPr>
            <w:r>
              <w:rPr>
                <w:rFonts w:ascii="Arial" w:cs="Arial" w:eastAsia="Arial" w:hAnsi="Arial"/>
                <w:sz w:val="17"/>
                <w:szCs w:val="17"/>
                <w:b w:val="1"/>
                <w:bCs w:val="1"/>
                <w:color w:val="auto"/>
              </w:rPr>
              <w:t>Six Months Ended</w:t>
            </w:r>
          </w:p>
        </w:tc>
      </w:tr>
      <w:tr>
        <w:trPr>
          <w:trHeight w:val="216"/>
        </w:trPr>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r>
      <w:tr>
        <w:trPr>
          <w:trHeight w:val="19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230,126</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217,857</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433,339</w:t>
            </w:r>
          </w:p>
        </w:tc>
        <w:tc>
          <w:tcPr>
            <w:tcW w:w="12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440,476</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22,273</w:t>
            </w:r>
          </w:p>
        </w:tc>
      </w:tr>
      <w:tr>
        <w:trPr>
          <w:trHeight w:val="208"/>
        </w:trPr>
        <w:tc>
          <w:tcPr>
            <w:tcW w:w="5660" w:type="dxa"/>
            <w:vAlign w:val="bottom"/>
          </w:tcPr>
          <w:p>
            <w:pPr>
              <w:ind w:left="360"/>
              <w:spacing w:after="0" w:line="192" w:lineRule="exact"/>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233,378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220,827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438,525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462,749</w:t>
            </w:r>
          </w:p>
        </w:tc>
      </w:tr>
      <w:tr>
        <w:trPr>
          <w:trHeight w:val="171"/>
        </w:trPr>
        <w:tc>
          <w:tcPr>
            <w:tcW w:w="566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 xml:space="preserve">Direct costs and reimbursable expenses </w:t>
            </w:r>
            <w:r>
              <w:rPr>
                <w:rFonts w:ascii="Arial" w:cs="Arial" w:eastAsia="Arial" w:hAnsi="Arial"/>
                <w:sz w:val="17"/>
                <w:szCs w:val="17"/>
                <w:color w:val="auto"/>
              </w:rPr>
              <w:t>(exclusive of depreciation and</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shown in 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Direct costs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161,526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149,514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309,641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305,762</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 and software development costs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w:t>
            </w:r>
          </w:p>
        </w:tc>
      </w:tr>
      <w:tr>
        <w:trPr>
          <w:trHeight w:val="214"/>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22,255</w:t>
            </w:r>
          </w:p>
        </w:tc>
      </w:tr>
      <w:tr>
        <w:trPr>
          <w:trHeight w:val="212"/>
        </w:trPr>
        <w:tc>
          <w:tcPr>
            <w:tcW w:w="566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direct costs and 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165,752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316,795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330,652</w:t>
            </w:r>
          </w:p>
        </w:tc>
      </w:tr>
      <w:tr>
        <w:trPr>
          <w:trHeight w:val="196"/>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88,303</w:t>
            </w: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1,718</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and other losses (gains)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12,307</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charges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59,816</w:t>
            </w:r>
          </w:p>
        </w:tc>
      </w:tr>
      <w:tr>
        <w:trPr>
          <w:trHeight w:val="207"/>
        </w:trPr>
        <w:tc>
          <w:tcPr>
            <w:tcW w:w="5660" w:type="dxa"/>
            <w:vAlign w:val="bottom"/>
            <w:tcBorders>
              <w:bottom w:val="single" w:sz="8" w:color="CCEEFF"/>
            </w:tcBorders>
          </w:tcPr>
          <w:p>
            <w:pPr>
              <w:ind w:left="360"/>
              <w:spacing w:after="0" w:line="192" w:lineRule="exact"/>
              <w:rPr>
                <w:sz w:val="20"/>
                <w:szCs w:val="20"/>
                <w:color w:val="auto"/>
              </w:rPr>
            </w:pPr>
            <w:r>
              <w:rPr>
                <w:rFonts w:ascii="Arial" w:cs="Arial" w:eastAsia="Arial" w:hAnsi="Arial"/>
                <w:sz w:val="17"/>
                <w:szCs w:val="17"/>
                <w:color w:val="auto"/>
              </w:rPr>
              <w:t>Total operating expenses and other losses (gains), net</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51,497</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51,159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97,361</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161,994</w:t>
            </w:r>
          </w:p>
        </w:tc>
      </w:tr>
      <w:tr>
        <w:trPr>
          <w:trHeight w:val="212"/>
        </w:trPr>
        <w:tc>
          <w:tcPr>
            <w:tcW w:w="5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Operating income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(29,897)</w:t>
            </w:r>
          </w:p>
        </w:tc>
      </w:tr>
      <w:tr>
        <w:trPr>
          <w:trHeight w:val="216"/>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(5,257)</w:t>
            </w:r>
          </w:p>
        </w:tc>
      </w:tr>
      <w:tr>
        <w:trPr>
          <w:trHeight w:val="214"/>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r>
      <w:tr>
        <w:trPr>
          <w:trHeight w:val="211"/>
        </w:trPr>
        <w:tc>
          <w:tcPr>
            <w:tcW w:w="566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(6,605)</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Income (loss) from continuing operations before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16,986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23,192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(36,502)</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(7,801)</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18,202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(28,701)</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12,797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18,202</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(28,761)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56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basic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566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0.84</w:t>
            </w:r>
          </w:p>
        </w:tc>
        <w:tc>
          <w:tcPr>
            <w:tcW w:w="12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18"/>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08"/>
        </w:trPr>
        <w:tc>
          <w:tcPr>
            <w:tcW w:w="5660" w:type="dxa"/>
            <w:vAlign w:val="bottom"/>
          </w:tcPr>
          <w:p>
            <w:pPr>
              <w:ind w:left="36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56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diluted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5660" w:type="dxa"/>
            <w:vAlign w:val="bottom"/>
          </w:tcPr>
          <w:p>
            <w:pPr>
              <w:ind w:left="36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0.82</w:t>
            </w:r>
          </w:p>
        </w:tc>
        <w:tc>
          <w:tcPr>
            <w:tcW w:w="12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18"/>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07"/>
        </w:trPr>
        <w:tc>
          <w:tcPr>
            <w:tcW w:w="5660" w:type="dxa"/>
            <w:vAlign w:val="bottom"/>
          </w:tcPr>
          <w:p>
            <w:pPr>
              <w:ind w:left="36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56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Weighted average shares used in calculating earnings (loss) per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4"/>
        </w:trPr>
        <w:tc>
          <w:tcPr>
            <w:tcW w:w="5660" w:type="dxa"/>
            <w:vAlign w:val="bottom"/>
          </w:tcPr>
          <w:p>
            <w:pPr>
              <w:ind w:left="36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21,848</w:t>
            </w:r>
          </w:p>
        </w:tc>
      </w:tr>
      <w:tr>
        <w:trPr>
          <w:trHeight w:val="218"/>
        </w:trPr>
        <w:tc>
          <w:tcPr>
            <w:tcW w:w="5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21,848</w:t>
            </w:r>
          </w:p>
        </w:tc>
      </w:tr>
      <w:tr>
        <w:trPr>
          <w:trHeight w:val="216"/>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(28,761)</w:t>
            </w:r>
          </w:p>
        </w:tc>
      </w:tr>
      <w:tr>
        <w:trPr>
          <w:trHeight w:val="214"/>
        </w:trPr>
        <w:tc>
          <w:tcPr>
            <w:tcW w:w="56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(675)</w:t>
            </w:r>
          </w:p>
        </w:tc>
      </w:tr>
      <w:tr>
        <w:trPr>
          <w:trHeight w:val="218"/>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(5,936)</w:t>
            </w:r>
          </w:p>
        </w:tc>
      </w:tr>
      <w:tr>
        <w:trPr>
          <w:trHeight w:val="214"/>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 (loss) on cash flow hedging instruments, net of tax</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(3,390)</w:t>
            </w:r>
          </w:p>
        </w:tc>
      </w:tr>
      <w:tr>
        <w:trPr>
          <w:trHeight w:val="211"/>
        </w:trPr>
        <w:tc>
          <w:tcPr>
            <w:tcW w:w="5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w:t>
            </w:r>
          </w:p>
        </w:tc>
      </w:tr>
      <w:tr>
        <w:trPr>
          <w:trHeight w:val="208"/>
        </w:trPr>
        <w:tc>
          <w:tcPr>
            <w:tcW w:w="5660" w:type="dxa"/>
            <w:vAlign w:val="bottom"/>
          </w:tcPr>
          <w:p>
            <w:pPr>
              <w:ind w:left="20"/>
              <w:spacing w:after="0" w:line="192" w:lineRule="exact"/>
              <w:rPr>
                <w:sz w:val="20"/>
                <w:szCs w:val="20"/>
                <w:color w:val="auto"/>
              </w:rPr>
            </w:pPr>
            <w:r>
              <w:rPr>
                <w:rFonts w:ascii="Arial" w:cs="Arial" w:eastAsia="Arial" w:hAnsi="Arial"/>
                <w:sz w:val="17"/>
                <w:szCs w:val="17"/>
                <w:color w:val="auto"/>
              </w:rPr>
              <w:t>Comprehensive income (loss)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(38,762)</w:t>
            </w:r>
          </w:p>
        </w:tc>
      </w:tr>
      <w:tr>
        <w:trPr>
          <w:trHeight w:val="22"/>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jc w:val="center"/>
              <w:ind w:right="6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24,698,499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(2,887,999)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(134,611)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219,414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541,003</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14,519</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21,820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(9,091)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(405,363)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(22,059)</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24,321,728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(2,899,933)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(135,364)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429,084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538,138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32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24,559,854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(2,780,835)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(128,366)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444,974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195,541</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12,214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524,609</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19,582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6,800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24,586,236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(2,786,798)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(128,646)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450,391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536,014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3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24,560,855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(2,812,896)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(129,886)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214,009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551,942</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17,105</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398,551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81,009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3,173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(168,046)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(8,651)</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(651,081)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(35,236)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(35,243)</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24,321,728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(2,899,933)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(135,364)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429,084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538,138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24,603,308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(2,763,302)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585,465</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(38,762)</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60"/>
              <w:spacing w:after="0" w:line="153" w:lineRule="exact"/>
              <w:rPr>
                <w:sz w:val="20"/>
                <w:szCs w:val="20"/>
                <w:color w:val="auto"/>
              </w:rPr>
            </w:pPr>
            <w:r>
              <w:rPr>
                <w:rFonts w:ascii="Arial" w:cs="Arial" w:eastAsia="Arial" w:hAnsi="Arial"/>
                <w:sz w:val="14"/>
                <w:szCs w:val="14"/>
                <w:color w:val="auto"/>
              </w:rPr>
              <w:t>Restricted stock awards, net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270,126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98,310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(6,921)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60"/>
              <w:spacing w:after="0"/>
              <w:rPr>
                <w:sz w:val="20"/>
                <w:szCs w:val="20"/>
                <w:color w:val="auto"/>
              </w:rPr>
            </w:pPr>
            <w:r>
              <w:rPr>
                <w:rFonts w:ascii="Arial" w:cs="Arial" w:eastAsia="Arial" w:hAnsi="Arial"/>
                <w:sz w:val="14"/>
                <w:szCs w:val="14"/>
                <w:color w:val="auto"/>
              </w:rPr>
              <w:t>of 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16,763</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(121,806)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(7,217)</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(20,881)</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24,586,236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(2,786,798)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(128,646)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450,391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536,014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Six Months Ended</w:t>
      </w:r>
    </w:p>
    <w:p>
      <w:pPr>
        <w:jc w:val="center"/>
        <w:ind w:left="706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18,202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(28,761)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14,942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14,527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 impairment charges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 and divestiture: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0" w:type="dxa"/>
            <w:vAlign w:val="bottom"/>
          </w:tcPr>
          <w:p>
            <w:pPr>
              <w:spacing w:after="0"/>
              <w:rPr>
                <w:sz w:val="1"/>
                <w:szCs w:val="1"/>
                <w:color w:val="auto"/>
              </w:rPr>
            </w:pPr>
          </w:p>
        </w:tc>
      </w:tr>
      <w:tr>
        <w:trPr>
          <w:trHeight w:val="213"/>
        </w:trPr>
        <w:tc>
          <w:tcPr>
            <w:tcW w:w="7640" w:type="dxa"/>
            <w:vAlign w:val="bottom"/>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(42,487)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(53,420)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6,638</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(61,970)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 securities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business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(5,184)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(24,141)</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283,000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Repayments of bank borrowings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(160,263)</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94,051</w:t>
            </w:r>
          </w:p>
        </w:tc>
        <w:tc>
          <w:tcPr>
            <w:tcW w:w="0" w:type="dxa"/>
            <w:vAlign w:val="bottom"/>
          </w:tcPr>
          <w:p>
            <w:pPr>
              <w:spacing w:after="0"/>
              <w:rPr>
                <w:sz w:val="1"/>
                <w:szCs w:val="1"/>
                <w:color w:val="auto"/>
              </w:rPr>
            </w:pP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71,608</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640" w:type="dxa"/>
            <w:vAlign w:val="bottom"/>
          </w:tcPr>
          <w:p>
            <w:pPr>
              <w:ind w:left="360"/>
              <w:spacing w:after="0" w:line="178"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360"/>
              <w:spacing w:after="0"/>
              <w:rPr>
                <w:sz w:val="20"/>
                <w:szCs w:val="20"/>
                <w:color w:val="auto"/>
              </w:rPr>
            </w:pPr>
            <w:r>
              <w:rPr>
                <w:rFonts w:ascii="Arial" w:cs="Arial" w:eastAsia="Arial" w:hAnsi="Arial"/>
                <w:sz w:val="16"/>
                <w:szCs w:val="16"/>
                <w:color w:val="auto"/>
              </w:rPr>
              <w:t>expenses and accrued payroll and related benefits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3,315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0680"/>
          </w:cols>
          <w:pgMar w:left="320" w:top="1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 w:right="8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six months ended June 30, 2021 and 2020.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2020 included in our Annual Report on Form 10-K and our Quarterly Report on Form 10-Q for the period ended March 31, 2021. Our results for any interim period are not necessarily indicative of results for a full year or any other interim period.</w:t>
      </w:r>
    </w:p>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first quarter of 2021, we identified an error on our previously reported consolidated balance sheet as of December 31, 2020 related to the classification between receivables from clients, unbilled services, and deferred revenues. Our consolidated balance sheet as of December 31, 2020 presented herein has been revised to reflect the correction of this error. The results of this correction on our consolidated balance sheet were a decrease in unbilled services of $7.2 million, an increase in receivables from clients of $0.7 million, and a decrease in deferred revenues of $6.5 million. This error had no impact on our consolidated statement of operations and other comprehensive income and consolidated statements of cash flows for any current or prior period. We evaluated the materiality of this error from both quantitative and qualitative perspectives and concluded that the impact of the error was not material to the financial statements for the year ended December 31, 2020.</w:t>
      </w:r>
    </w:p>
    <w:p>
      <w:pPr>
        <w:spacing w:after="0" w:line="15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ASU 2020-10 situates all disclosure guidance within the appropriate disclosure section of the Codification and makes other improvements and technical corrections to the Codification. We adopted ASU 2020-10 effective January 1, 2021, which did not have any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Healthcare</w:t>
            </w:r>
          </w:p>
        </w:tc>
        <w:tc>
          <w:tcPr>
            <w:tcW w:w="2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20" w:type="dxa"/>
            <w:vAlign w:val="bottom"/>
          </w:tcPr>
          <w:p>
            <w:pPr>
              <w:spacing w:after="0"/>
              <w:rPr>
                <w:sz w:val="17"/>
                <w:szCs w:val="17"/>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308,935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1,050,129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2020</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594,237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Goodwill recorded in connection with a business acquisition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June 30, 2021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597,552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0" w:hanging="652"/>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February 1, 2021, we completed the acquisition of Unico Solution, a data strategy and technology consulting firm focused on helping clients use their data to speed business transformation and accelerate cloud adoption. The results of operations of Unico Solution are included in our consolidated financial statements and results of operations of our Business Advisory segment from the date of acquisition. This acquisition is not significant to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worldwide spread of the COVID-19 pandemic in the first quarter of 2020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 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seven-year forecasts. Our forecasts are based on historical experience, current backlog, expected market demand, and other industry information.</w:t>
      </w:r>
    </w:p>
    <w:p>
      <w:pPr>
        <w:spacing w:after="0" w:line="15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market approach, we utilized the guideline company method, which involved calculating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reporting units' operating data to arrive at an indication of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2021 and December 31, 2020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June 30, 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2020</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200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tcBorders>
              <w:top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rPr>
              <w:t>3 to 13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2000" w:type="dxa"/>
            <w:vAlign w:val="bottom"/>
          </w:tcPr>
          <w:p>
            <w:pPr>
              <w:jc w:val="center"/>
              <w:ind w:left="53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2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Intangible asset amortization expense was $2.3 million and $3.2 million for the three months ended June 30, 2021 and 2020, respectively; and $4.7 million and $6.4 million for the six months ended June 30, 2021 and 2020. The table below sets forth the estimated annual amortization expense for the intangible assets recorded as of June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0"/>
        </w:trPr>
        <w:tc>
          <w:tcPr>
            <w:tcW w:w="8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months ended June 30, 2021 and 2020, we recognized revenues of $230.1 million and $217.9 million, respectively. Of the $230.1 million recognized in the second quarter of 2021, we recognized revenues of $15.7 million from obligations satisfied, or partially satisfied, in prior periods, of which $13.5 million was due to changes in the estimates of our variable consideration under performance-based billing arrangements and $2.2 million was primarily due to the release of allowances on unbilled services as a result of securing contract amendments. Of the $217.9 million recognized in the second quarter of 2020, we recognized revenues of $5.6 million from obligations satisfied, or partially satisfied, in prior periods, of which $ 4.0 million was primarily due to the release of allowances on unbilled services as a result of securing contract amendments and $1.6 million was due to changes in the estimates of our variable consideration under performance-based billing arrangements.</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six months ended June 30, 2021 and 2020, we recognized revenues of $433.3 million and $440.5 million, respectively. Of the $433.3 million recognized in the first six months of 2021, we recognized revenues of $20.8 million from obligations satisfied, or partially satisfied, in prior periods, of which $ 13.9 million was due to changes in the estimates of our variable consideration under performance-based billing arrangements and $6.9 million was primarily due to the release of allowances on unbilled services as a result of securing contract amendments. Of the $440.5 million recognized in the first six months of 2020, we recognized revenues of $ 10.0 million from obligations satisfied, or partially satisfied, in prior periods, of which $6.2 million was due to changes in the estimates of our variable consideration under performance-based billing arrangements and $3.8 million was primarily due to the release of allowances on unbilled services as a result of securing contract amendments.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June 30, 2021, we had $66.7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$66.7 million of performance obligations, we expect to recognize approximately $29.2 million as revenue in 2021, $23.1 million in 2022, and the remaining $14.4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June 30, 2021 and December 31, 2020 was $25.8 million and $17.3 million, respectively. The $8.5 million increase primarily reflects timing differences between the completion of our performance obligations and the amounts billed or billable to clients in accordance with their contractual billing terms.</w:t>
      </w:r>
    </w:p>
    <w:p>
      <w:pPr>
        <w:spacing w:after="0" w:line="15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June 30, 2021 and December 31, 2020, was $19.2 million and $28.2 million, respectively. The $9.0 million decrease primarily reflects timing differences between client payments in accordance with their contract terms and the completion of our performance obligations. For the three and six months ended June 30, 2021, $5.2 million and $26.0 million of revenues recognized were included in the deferred revenue balance as of December 31, 2020.</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(28,701)</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were as follows:</w:t>
      </w:r>
    </w:p>
    <w:p>
      <w:pPr>
        <w:spacing w:after="0" w:line="24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As of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7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$ 125 million of our common stock through October 31, 2020. During the third quarter of 2021, our board of directors authorized an extension of the 2020 Share Repurchase Program through December 31, 2022 and increased the authorized amount from $50 million to $100 million.The amount and timing of repurchases under both share repurchase programs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2021, we repurchased and retired 405,363 and 651,081 shares for $22.1 million and $35.2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under the 2020 Share Repurchase Program. In the first quarter of 2020, we repurchased 313,998 shares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$20.9 million under the 2015 Share Repurchase Program. Additionally, in the first quarter of 2020, we settled the repurchase of 18,000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for $1.2 million that were accrued as of December 31, 2019. No shares were repurchased in the second quarter of 2020.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$9.7 million remained available for share repurchases under our 2020 Share Repurchase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65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Promissory note due 2024</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r>
      <w:tr>
        <w:trPr>
          <w:trHeight w:val="22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203,279</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48"/>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202,780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040" w:type="dxa"/>
            <w:vAlign w:val="bottom"/>
            <w:gridSpan w:val="2"/>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June 30, 2021.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Principal Payments of</w:t>
            </w:r>
          </w:p>
        </w:tc>
      </w:tr>
      <w:tr>
        <w:trPr>
          <w:trHeight w:val="230"/>
        </w:trPr>
        <w:tc>
          <w:tcPr>
            <w:tcW w:w="9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266,646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4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2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2021, we were in compliance with these financial covenants with a Consolidated Leverage Ratio of 2.80 to 1.00 and a Consolidated Interest Coverage Ratio of 13.83 to 1.00.</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Borrowings outstanding under the Amended Credit Agreement at June 30, 2021 totaled $265.0 million. These borrowings carried a weighted average interest rate of 2.4%, including the effect of the interest rate swaps described in Note 9 “Derivative Instruments and Hedging Activity." Borrowings outstanding under the Amended Credit Agreement at December 31, 2020 were $200.0 million and carried a weighted average interest rate of 2.5%, including the effect of the interest rate swaps. The borrowing capacity under the revolving credit facility is reduced by any outstanding borrowings under the revolving credit facility and outstanding letters of credit. At June 30, 2021, we had outstanding letters of credit totaling $0.7 million, which are used as security deposits for our office facilities. As of June 30, 2021, the unused borrowing capacity under the revolving credit facility was $334.3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June 30, 2021, the outstanding principal amount of the promissory note was $3.1 million, and the aircraft had a carrying amount of $4.1 million. At December 31, 2020, the outstanding principal amount of the promissory note was $3.3 million, and the aircraft had a carrying amount of $4.4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93"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Restructuring charges for the three and six months ended June 30, 2021 were $0.9 million and $1.5 million, respectively, and primarily related to rent and related expenses, net of sublease income, and accelerated depreciation on furniture and fixtures for vacated office spaces.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three and six months ended June 30, 2020 were $0.1 million and $1.7 million, respectively. Restructuring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charges recognized in the first six months of 2020 include a $1.2 million accrual for the termination of a third-party advisor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 million related to workforce reductions to better align resources with market demand, and $0.1 million related to workforce reductions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corporate operations.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 on our business. The restructuring plan, which was substantially complete in the fourth quarter of 2020, provided for a reduction in certain leased office spaces and a reduction in workforce.</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Employee Costs</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Office Space</w:t>
            </w:r>
          </w:p>
        </w:tc>
        <w:tc>
          <w:tcPr>
            <w:tcW w:w="280" w:type="dxa"/>
            <w:vAlign w:val="bottom"/>
          </w:tcPr>
          <w:p>
            <w:pPr>
              <w:spacing w:after="0"/>
              <w:rPr>
                <w:sz w:val="17"/>
                <w:szCs w:val="17"/>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7"/>
                <w:szCs w:val="17"/>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Reductions</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restructuring charge liability related to employee costs at June 30, 2021 is expected to be paid in the next 12 months and is included as a component of accrued payroll and related benefits. The employee related payments made in the first six months of 2021 primarily related to the fourth quarter 2020 restructuring plan. The restructuring charge liability related to office space reductions at June 30, 2021 is included as a component of accrued expenses and other current liabilities. The $0.8 million other restructuring charge liability at June 30, 2021 is primarily related to the termination of a third-party advisor agreement and is expected to be paid over the next 19 months and is included as a component of accrued expenses and other current liabilities and deferred compensation and other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June 30, 2021, it was anticipated that $1.7 million of the losses, net of tax, currently recorded in accumulated other comprehensive income will be reclassified into earnings within the next 12 months.</w:t>
      </w:r>
    </w:p>
    <w:p>
      <w:pPr>
        <w:spacing w:after="0" w:line="15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June 30, 2021 and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Fair Value (Derivative Asset and Liability)</w:t>
            </w:r>
          </w:p>
        </w:tc>
        <w:tc>
          <w:tcPr>
            <w:tcW w:w="0" w:type="dxa"/>
            <w:vAlign w:val="bottom"/>
          </w:tcPr>
          <w:p>
            <w:pPr>
              <w:spacing w:after="0"/>
              <w:rPr>
                <w:sz w:val="1"/>
                <w:szCs w:val="1"/>
                <w:color w:val="auto"/>
              </w:rPr>
            </w:pPr>
          </w:p>
        </w:tc>
      </w:tr>
      <w:tr>
        <w:trPr>
          <w:trHeight w:val="169"/>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00"/>
          </w:cols>
          <w:pgMar w:left="320" w:top="140" w:right="379" w:bottom="1440" w:gutter="0" w:footer="0" w:header="0"/>
        </w:sect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3 Inputs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5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71" w:lineRule="exact"/>
        <w:rPr>
          <w:sz w:val="20"/>
          <w:szCs w:val="20"/>
          <w:color w:val="auto"/>
        </w:rPr>
      </w:pPr>
    </w:p>
    <w:p>
      <w:pPr>
        <w:sectPr>
          <w:pgSz w:w="11900" w:h="16838" w:orient="portrait"/>
          <w:cols w:equalWidth="0" w:num="2">
            <w:col w:w="1820" w:space="720"/>
            <w:col w:w="8660"/>
          </w:cols>
          <w:pgMar w:left="320" w:top="140" w:right="379" w:bottom="1440" w:gutter="0" w:footer="0" w:header="0"/>
          <w:type w:val="continuous"/>
        </w:sectPr>
      </w:pPr>
    </w:p>
    <w:p>
      <w:pPr>
        <w:ind w:right="420"/>
        <w:spacing w:after="0" w:line="261"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2021 and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37,047</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97,019</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98,420</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7,167</w:t>
            </w:r>
          </w:p>
        </w:tc>
      </w:tr>
    </w:tbl>
    <w:p>
      <w:pPr>
        <w:spacing w:after="0" w:line="14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spacing w:after="0" w:line="12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w:t>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senior liquidation preference to the initial convertible notes (the "additional convertible note") and amended our initial convertible notes to extend the maturity date to January 17, 2024, which coincides with the maturity date of the additional convertible note.</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 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22.5% and 24.0% as of June 30, 2021 and December 31, 2020, respectively; and the concluded equity volatility of 45.0% as of both June 30, 2021 and December 31, 2020,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typically reflects a risk-free rate, and was 2.39% and 2.41% as of June 30, 2021 and December 31, 2020, respectively.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six months ended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Pr>
          <w:p>
            <w:pPr>
              <w:jc w:val="right"/>
              <w:ind w:right="210"/>
              <w:spacing w:after="0"/>
              <w:rPr>
                <w:sz w:val="20"/>
                <w:szCs w:val="20"/>
                <w:color w:val="auto"/>
              </w:rPr>
            </w:pPr>
            <w:r>
              <w:rPr>
                <w:rFonts w:ascii="Arial" w:cs="Arial" w:eastAsia="Arial" w:hAnsi="Arial"/>
                <w:sz w:val="18"/>
                <w:szCs w:val="18"/>
                <w:b w:val="1"/>
                <w:bCs w:val="1"/>
                <w:color w:val="auto"/>
              </w:rPr>
              <w:t>Contingent Consideration for</w:t>
            </w:r>
          </w:p>
        </w:tc>
      </w:tr>
      <w:tr>
        <w:trPr>
          <w:trHeight w:val="229"/>
        </w:trPr>
        <w:tc>
          <w:tcPr>
            <w:tcW w:w="8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 for business acquisition</w:t>
            </w: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During the six months ended June 30, 2021, there has been no impairment, nor any observable price change related to our investment. As of June 30, 2021, the carrying amount of our preferred stock investment was $6.7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six months ended June 30,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0"/>
          </w:tcPr>
          <w:p>
            <w:pPr>
              <w:jc w:val="center"/>
              <w:ind w:left="490"/>
              <w:spacing w:after="0"/>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Before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Before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(Expense)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(Expense)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10"/>
          </w:tcPr>
          <w:p>
            <w:pPr>
              <w:jc w:val="center"/>
              <w:ind w:left="570"/>
              <w:spacing w:after="0"/>
              <w:rPr>
                <w:sz w:val="20"/>
                <w:szCs w:val="20"/>
                <w:color w:val="auto"/>
              </w:rPr>
            </w:pPr>
            <w:r>
              <w:rPr>
                <w:rFonts w:ascii="Arial" w:cs="Arial" w:eastAsia="Arial" w:hAnsi="Arial"/>
                <w:sz w:val="18"/>
                <w:szCs w:val="18"/>
                <w:b w:val="1"/>
                <w:bCs w:val="1"/>
                <w:color w:val="auto"/>
                <w:w w:val="99"/>
              </w:rPr>
              <w:t>Six Months Ended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Before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6"/>
              </w:rPr>
              <w:t>Tax</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Before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6"/>
              </w:rPr>
              <w:t>Tax</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9"/>
              </w:rPr>
              <w:t>(Expense)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9"/>
              </w:rPr>
              <w:t>(Expense)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Benefit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Taxes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(3,226)</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(4,579)</w:t>
            </w:r>
          </w:p>
        </w:tc>
        <w:tc>
          <w:tcPr>
            <w:tcW w:w="120" w:type="dxa"/>
            <w:vAlign w:val="bottom"/>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(1,645)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(13,272)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20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Available-for-Sale</w:t>
            </w:r>
          </w:p>
        </w:tc>
        <w:tc>
          <w:tcPr>
            <w:tcW w:w="180" w:type="dxa"/>
            <w:vAlign w:val="bottom"/>
          </w:tcPr>
          <w:p>
            <w:pPr>
              <w:spacing w:after="0"/>
              <w:rPr>
                <w:sz w:val="18"/>
                <w:szCs w:val="18"/>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18"/>
                <w:szCs w:val="18"/>
                <w:color w:val="auto"/>
              </w:rPr>
            </w:pPr>
          </w:p>
        </w:tc>
        <w:tc>
          <w:tcPr>
            <w:tcW w:w="15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rPr>
              <w:t>(3,926)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290"/>
              <w:spacing w:after="0"/>
              <w:rPr>
                <w:sz w:val="20"/>
                <w:szCs w:val="20"/>
                <w:color w:val="auto"/>
              </w:rPr>
            </w:pPr>
            <w:r>
              <w:rPr>
                <w:rFonts w:ascii="Arial" w:cs="Arial" w:eastAsia="Arial" w:hAnsi="Arial"/>
                <w:sz w:val="18"/>
                <w:szCs w:val="18"/>
                <w:color w:val="auto"/>
                <w:w w:val="99"/>
              </w:rPr>
              <w:t>482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7"/>
              </w:rPr>
              <w:t>1,647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the three months ended June 30, 2021, our effective tax rate was 21.3% as we recognized income tax expense from continuing operations of $3.5 million on income from continuing operations of $16.3 million. The effective tax rate of 21.3% was more favorable than the statutory rate, inclusive of state income taxes, of 26.6%, primarily due to a discrete tax benefit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This favorable item was partially offset by certain nondeductible expense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For the three months ended June 30, 2020, our effective tax rate was 20.1% as we recognized an income tax expense from continuing operations of $3.4 million on income from continuing operations of $17.0 million. The effective tax rate of 20.1% was more favorable than the statutory rate, inclusive of state income taxes, of 26.0%, primarily due to the current year-to-date pre-tax losses and the impact during the quarter of certain nondeductible expense items, including the nondeductible portion of the goodwill impairment charges, based on the attribution of those expenses to the quarter in accordance with the allocation of income tax expense on a current year-to-date basis. The effective tax rate also reflected the positive impact of certain federal tax credits.</w:t>
      </w:r>
    </w:p>
    <w:p>
      <w:pPr>
        <w:spacing w:after="0" w:line="1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six months ended June 30, 2021, our effective tax rate was 21.5% as we recognized income tax expense from continuing operations of $5.0 million on income from continuing operations of $23.2 million. The effective tax rate of 21.5% was more favorable than the statutory rate, inclusive of state income taxes, of 26.6% primarily due to the discrete tax benefit related to electing the GILTI high-tax exclusion retroactively for the 2018 tax year and a discrete tax benefit for share-based compensation awards that vested during the first quarter. These favorable items were partially offset by certain nondeductible expense items.</w:t>
      </w:r>
    </w:p>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the six months ended June 30, 2020, our effective tax rate was 21.4% as we recognized an income tax benefit from continuing operations of $7.8 million on a loss from continuing operations of $36.5 million. The effective tax rate of 21.4% was less favorable than the statutory rate, inclusive of state income taxes, of 26.0%, primarily due to certain nondeductible expense items and the nondeductible portion of the goodwill impairment charges recorded during the first quarter of 2020. These unfavorable items were partially offset by a discrete tax benefit for share-based compensation awards that vested during the first quarter and the discrete tax benefit for the remeasurement of a portion of our income tax receivable as a result of the enactment of the Coronavirus Aid, Relief, and Economic Security Act (“CARES Act”) in the first quarter of 2020.</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During 2020, as a result of the CARES Act, we recognized a $1.5 million tax benefit related to the remeasurement of a portion of our income tax receivable for the federal net operating loss incurred in 2018 and the expected federal net operating loss in 2020 that will be carried back to prior year income, both for a refund at the higher, prior year tax rate. As a result of electing the retroactive GILTI high-tax exclusion during 2021, we recognized a $ 1.0 million tax benefit of which $0.4 million related to carrying back our increased 2018 federal net operating loss to prior year income for a refund at the higher, prior year tax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 transferred to the District of South Carolina. As a result of the bankruptcy filing, a Chapter 7 trustee was appointed to oversee the bankruptcy estates, at which time Huron’s services for Oaktree concluded.</w:t>
      </w:r>
    </w:p>
    <w:p>
      <w:pPr>
        <w:spacing w:after="0" w:line="15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 Trustee's counsel has subsequently asserted that certain provisions in the Engagement Letter are unenforceable and/or inapplicable and that Huron and the CRO, among others, did not develop and implement a Chapter 11 restructuring plan on a timely basis and that their failure to do so led to significant damages. We believe the Trustee’s allegations with respect to Huron and the CRO are without merit and will vigorously defend ourselves should any claim arising out of these alleged facts and circumstances be asserted against us by the Trustee. Notwithstanding the foregoing, given the inherent risk and uncertainty associated with all litigation, we cannot estimate the potential liability with respect to such allegations at this time.</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Guarantees in the form of letters of credit totaling $0.7 million and $1.6 million were outstanding at June 30, 2021 and December 31, 2020, respectively, primarily to support certain office lease obligations.</w:t>
      </w:r>
    </w:p>
    <w:p>
      <w:pPr>
        <w:spacing w:after="0" w:line="144"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2021 and December 31, 2020, the total estimated fair value of our outstanding contingent consideration liability was $1.8 million.</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b w:val="1"/>
          <w:bCs w:val="1"/>
          <w:color w:val="auto"/>
        </w:rPr>
      </w:pPr>
    </w:p>
    <w:p>
      <w:pPr>
        <w:ind w:left="66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life sciences,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2021 and 2020, along with the items necessary to reconcile the segment information to the totals reported in the accompanying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101,357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85,356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181,079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180,934</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27,624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48,108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45,221</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70,908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143,775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135,375</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26,526</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57,861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108,485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124,167</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29,244</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23.6 %</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230,126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217,857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433,339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440,476</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22,273</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233,378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220,827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438,525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462,749</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55,709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53,983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97,923</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100,991</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34,325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31,638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63,162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58,784</w:t>
            </w: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other losses (gains)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10,350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12,438</w:t>
            </w:r>
          </w:p>
        </w:tc>
      </w:tr>
      <w:tr>
        <w:trPr>
          <w:trHeight w:val="229"/>
        </w:trPr>
        <w:tc>
          <w:tcPr>
            <w:tcW w:w="51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Goodwill impairment charges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r>
      <w:tr>
        <w:trPr>
          <w:trHeight w:val="230"/>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6,605</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16,251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23,192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(36,502)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20" w:hanging="652"/>
        <w:spacing w:after="0" w:line="256" w:lineRule="auto"/>
        <w:tabs>
          <w:tab w:leader="none" w:pos="47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six months ended June 30, 2021 and 2020.</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conjunction with our continuous evaluation of the appropriate level of disaggregation of revenues as our business evolves and in consideration of a group hire of approximately 300 employees in our Healthcare Managed Services solution within our Healthcare segment in the second quarter of 2021, we began assessing our operating performance by the following three employee types: billable consultants, full-time equivalents, and Healthcare Managed Services employees. The disaggregation of revenues by employee type previously reported for the three and six months ended June 30, 2020 was revised below to reflect this change. This change has no impact on our consolidated total revenues or total revenues by segment.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Three Months Ended June 30, 2021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8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55,095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104,331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87,066</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24,578</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101,357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70,908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230,126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182,152</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33,925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101,357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70,908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230,126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99,884</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228,653</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230,126</w:t>
            </w:r>
          </w:p>
        </w:tc>
        <w:tc>
          <w:tcPr>
            <w:tcW w:w="0" w:type="dxa"/>
            <w:vAlign w:val="bottom"/>
          </w:tcPr>
          <w:p>
            <w:pPr>
              <w:spacing w:after="0"/>
              <w:rPr>
                <w:sz w:val="1"/>
                <w:szCs w:val="1"/>
                <w:color w:val="auto"/>
              </w:rPr>
            </w:pPr>
          </w:p>
        </w:tc>
      </w:tr>
      <w:tr>
        <w:trPr>
          <w:trHeight w:val="405"/>
        </w:trPr>
        <w:tc>
          <w:tcPr>
            <w:tcW w:w="6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8"/>
                <w:szCs w:val="18"/>
                <w:b w:val="1"/>
                <w:bCs w:val="1"/>
                <w:color w:val="auto"/>
                <w:w w:val="99"/>
              </w:rPr>
              <w:t>Six Months Ended June 30, 2021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8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103,390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197,766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164,858</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42,656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181,079</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143,775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433,339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346,272</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65,270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181,079</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143,775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433,339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430,908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181,079</w:t>
            </w:r>
          </w:p>
        </w:tc>
        <w:tc>
          <w:tcPr>
            <w:tcW w:w="3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143,775</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Three Months Ended June 30, 2020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8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2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50,803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27,374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89,574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98,861</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16,761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217,857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billable consultants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175,705</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34,866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85,356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217,857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217,441</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217,857</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8"/>
                <w:szCs w:val="18"/>
                <w:b w:val="1"/>
                <w:bCs w:val="1"/>
                <w:color w:val="auto"/>
                <w:w w:val="99"/>
              </w:rPr>
              <w:t>Six Months Ended June 30, 2020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Healthcare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106,588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183,927</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194,894</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36,328</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25,327</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180,934</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124,167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440,476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117,115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352,964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72,442</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Healthcare Managed Services employees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180,934</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135,375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124,167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440,476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438,827</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440,476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20" w:hanging="652"/>
        <w:spacing w:after="0" w:line="271" w:lineRule="auto"/>
        <w:tabs>
          <w:tab w:leader="none" w:pos="482" w:val="left"/>
        </w:tabs>
        <w:numPr>
          <w:ilvl w:val="0"/>
          <w:numId w:val="6"/>
        </w:numPr>
        <w:rPr>
          <w:rFonts w:ascii="Arial" w:cs="Arial" w:eastAsia="Arial" w:hAnsi="Arial"/>
          <w:sz w:val="17"/>
          <w:szCs w:val="17"/>
          <w:color w:val="auto"/>
        </w:rPr>
      </w:pPr>
      <w:r>
        <w:rPr>
          <w:rFonts w:ascii="Arial" w:cs="Arial" w:eastAsia="Arial" w:hAnsi="Arial"/>
          <w:sz w:val="17"/>
          <w:szCs w:val="17"/>
          <w:color w:val="auto"/>
        </w:rPr>
        <w:t>Billable consultants consist of our consulting professionals who provide consulting services to our clients and are billable to our clients based on the number of hours worked. Full-time equivalent professionals consist of leadership coaches and their support staff within our Culture and Organizational Excellence solution, consultants who work variable schedules as needed by our clients, and full-time employees who provide software support and maintenance services to our clients. Healthcare Managed Services employees manage and provide revenue cycle billing, collections, insurance verification and change integrity services to healthcare clients.</w:t>
      </w:r>
    </w:p>
    <w:p>
      <w:pPr>
        <w:spacing w:after="0" w:line="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June 30, 2021, one client in our Healthcare segment had a total receivable and unbilled services balance that accounted for 10.4%of our combined balance of receivables from clients, net and unbilled services, net. The outstanding balance for this client is the result of outstanding invoices due in the normal course of the contract payment terms and services performed in advance of the contract billing schedule. At December 31, 2020, no single client accounted for greater than 10% of our combined balance of receivables from clients, net</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unbilled services, net. During the three and six months ended June 30, 2021 and 2020, no single client generated greater than 10% of our consolidated revenues.</w:t>
      </w: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2020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4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93" w:lineRule="exact"/>
        <w:rPr>
          <w:rFonts w:ascii="Arial" w:cs="Arial" w:eastAsia="Arial" w:hAnsi="Arial"/>
          <w:sz w:val="18"/>
          <w:szCs w:val="18"/>
          <w:b w:val="1"/>
          <w:bCs w:val="1"/>
          <w:color w:val="auto"/>
        </w:rPr>
      </w:pPr>
    </w:p>
    <w:p>
      <w:pPr>
        <w:ind w:left="66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national and regional hospitals, integrated health systems, academic medical centers, community hospitals, and medical groups. Our Healthcare professionals have a depth of expertise in business operations, including financial and operational improvement, care transformation, and revenue cycle managed services; organizational transformation; and digital, technology and analytic solutions. Most healthcare organizations are focused on changing the way care is delivered; establishing a sustainable business model centered around optimal cost structures, reimbursement models and financial strategies; and evolving their digital, technology and analytic capabilities. Our solutions help clients adapt to this rapidly changing healthcare environment to become a more agile, efficient and consumer-centric organization. We use our deep industry expertise to help clients solve a diverse set of business issues, including, but not limited to, optimizing financial and operational performance, improving care delivery and clinical outcomes, increasing physician, patient and employee satisfaction, evolving organizational culture, and maximizing return on technology investments.</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93" w:lineRule="exact"/>
        <w:rPr>
          <w:rFonts w:ascii="Arial" w:cs="Arial" w:eastAsia="Arial" w:hAnsi="Arial"/>
          <w:sz w:val="18"/>
          <w:szCs w:val="18"/>
          <w:color w:val="auto"/>
        </w:rPr>
      </w:pPr>
    </w:p>
    <w:p>
      <w:pPr>
        <w:ind w:left="660" w:right="60"/>
        <w:spacing w:after="0" w:line="251" w:lineRule="auto"/>
        <w:rPr>
          <w:rFonts w:ascii="Arial" w:cs="Arial" w:eastAsia="Arial" w:hAnsi="Arial"/>
          <w:sz w:val="18"/>
          <w:szCs w:val="18"/>
          <w:color w:val="auto"/>
        </w:rPr>
      </w:pPr>
      <w:r>
        <w:rPr>
          <w:rFonts w:ascii="Arial" w:cs="Arial" w:eastAsia="Arial" w:hAnsi="Arial"/>
          <w:sz w:val="18"/>
          <w:szCs w:val="18"/>
          <w:color w:val="auto"/>
        </w:rPr>
        <w:t>Our Business Advisory segment works with C-suite executives, boards, and business unit and functional leadership across a diverse set of organizations, including healthy, well-capitalized companies to organizations in transition, and across a broad range of industries, including life sciences, financial services, healthcare, education, energy and utilities, industrials and manufacturing, and the public sector. Our Business Advisory professionals have deep industry, functional and technical expertise that they put forward when delivering our digital, technology and analytics, strategy and innovation and corporate finance and restructuring services. In today’s disruptive environment, organizations must reimagine their historical strategies and financial and operating models to sustain and advance their competitive advantage. Organizations also recognize the need to adopt technologies, automation and analytics to improve their operations and compete in a rapidly changing environment. Our experts help organizations across industries with a variety of business challenges, including, but not limited to, embedding technology and analytics throughout their internal and customer-facing operations, developing insights into the needs of tomorrow’s customers in order to evolve their enterprise and business unit strategies, bringing new products to market, and managing through stressed and distressed situations to create a viable path forward for stakeholders.</w:t>
      </w:r>
    </w:p>
    <w:p>
      <w:pPr>
        <w:sectPr>
          <w:pgSz w:w="11900" w:h="16838" w:orient="portrait"/>
          <w:cols w:equalWidth="0" w:num="1">
            <w:col w:w="11240"/>
          </w:cols>
          <w:pgMar w:left="320" w:top="140" w:right="339" w:bottom="914"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14"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academic medical centers, research institutes and other not-for-profit organizations. Our Education professionals have a depth of expertise in strategy and innovation; business operations, including the research enterprise and student lifecycle; digital, technology and analytic solutions; and organizational transformation. Our Education segment clients are increasingly faced with financial and/or demographic challenges as well as increased competition. To remain competitive, organizations must challenge traditional operating and financial models and reimagine strategic, operational and research-centered opportunities that advance their mission while strengthening their business models. We collaborate with clients to address these challenges and ensure they have a sustainable future. We combine our deep industry, functional and technical expertise to help clients solve their most pressing challenges, including, but not limited to, transforming business operations with technology; strengthening research strategies and support services; evolving their organizational strategy; optimizing financial and operational performance; and enhancing the student lifecycle.</w:t>
      </w:r>
    </w:p>
    <w:p>
      <w:pPr>
        <w:spacing w:after="0" w:line="15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Huron is an Oracle partner, a Gold-level consulting partner with Salesforce.com and a Premium Partner with Salesforce.org, a Workday Services and Software Partner, an Amazon Web Services consulting partner, a Silver-level system integrator with Informatica and an SAP Concur implementation partner.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w:t>
      </w:r>
      <w:r>
        <w:rPr>
          <w:rFonts w:ascii="Arial" w:cs="Arial" w:eastAsia="Arial" w:hAnsi="Arial"/>
          <w:sz w:val="18"/>
          <w:szCs w:val="18"/>
          <w:b w:val="1"/>
          <w:bCs w:val="1"/>
          <w:color w:val="auto"/>
        </w:rPr>
        <w:t>19)</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worldwide spread of COVID-19 beginning in 2020 has created significant volatility, uncertainty and disruption to the global economy. This pandemic has had an unfavorable impact on aspects of our business, operations, and financial results, and has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and enhanced available technology allows our revenue-generating professionals to effectively serve clients in a remote work environment. As state and local governments ease their restrictions, we continue to refine our comprehensive plan to return to our offices and client sites with our people’s safety and the needs of our clients guiding how we implement our phased transition. As of June 30, 2021, our employees continue to primarily work from their homes; however, most of our offices are open and we are providing our employees the flexibility to choose to work remotely, from our offices, or from client sites as needed and in accordance with recommended public health guidelines.</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each of our operating segments, we are working closely with our clients to support them and their ongoing business needs and provide relevant services to address their needs caused by the COVID-19 pandemic. However, since the beginning of the pandemic, some clients reprioritized and delayed projects which negatively impacted demand for certain offerings, particularly within our Healthcare and Education segments. Conversely, the COVID-19 pandemic strengthened demand for other services we provide, such as our cloud-based technology and analytics solutions within our Business Advisory segment and our restructuring and capital advisory solutions provided to organizations in transition also within our Business Advisory segment.</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second quarter of 2021, we saw strengthened demand for services in our Healthcare and Business Advisory segments. As a result, while total revenues in the first six months of 2021 decreased 1.6% compared to the first six months of 2020, total revenues in the second quarter of 2021 increased 5.6% compared to the second quarter of 2020 and increased 13.2% from the first quarter of 2021, and we expect continued revenue growth in the second half of 2021 compared to the second half of 2020.</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In the second, third and fourth quarters of 2020, we made repayments on our borrowings to reduce our total debt outstanding to pre-pandemic levels due to our ability to maintain adequate cash flows from operations and improved clarity around access to capital resources. In the first six months of 2021, we borrowed under our credit facility primarily to fund our annual performance bonus payment. To further support our liquidity during the COVID-19 pandemic, we elected to defer the deposit of our employer portion of social security taxes beginning in April 2020 and through December 31, 2020, as provided for under the CARES Act. These deferred payments are due in equal installments in the fourth quarters of 2021 and 2022. See the “Liquidity and Capital Resources” section below for additional information on these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Resource Planning System Implementation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fourth quarter of 2019, we began the implementation of a new cloud-based enterprise resource planning (“ERP”) system designed to improve the efficiency of our internal finance, human resources, resource planning, and administrative operations. In January 2021, we successfully went live with the new ERP system, and we continue to progress with additional functionality and integrations as scheduled. The implementation progressed on schedule and was not significantly impacted by the COVID-19 pandemic due to the ability of our implementation team to work and collaborate remotely and the enhanced technology and cloud-based nature of our new ERP system. We believe our investment in this new system will position our teams to drive efficiencies and provide more robust management reporting and data analytics to support future growth and the goals and vision of the company.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large portion of our revenues is generated by our billable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and our employees who provide software support and maintenance services to our clients. We translate the hours that these other professionals work on client engagements into a full-time equivalent measure that we use to manage our business. Another portion of our revenue is generated by our Healthcare Managed Services employees within our Healthcare segment. Our Healthcare Managed Services employees manage and provide revenue cycle billing, collections, insurance verification and change integrity services to clients. We refer to our billable consultants, full-time equivalents and Healthcare Managed Services employees as revenue-generating professionals.</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generated by our billable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Healthcare Managed Services employees are largely dependent on the number of Healthcare Managed Services employees we employ and the total value, scope and terms of the related contracts.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(“Partner Contracts”), which primarily consist of coaching services, as well as speaking engagements, conferences, publications and software products.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Fixed-fee engagements represented 45.3% and 41.1% of our revenues for the three months ended June 30, 2021 and 2020, respectively, and 45.6% and 41.8% of our revenues for the six months ended June 30, 2021 and 2020, respectively.</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 -expense arrangements. We recognize revenues under time-and-expense billing arrangements as the related services or publications are provided. Time-and-expense engagements represented 37.8% and 45.4% of our revenues for the three months ended June 30, 2021 and 2020, respectively, and 38.0% and 44.2% of our revenues for the six months ended June 30, 2021 and 2020, respectively.</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10.7% and 7.7% of our revenues for the three months ended June 30, 2021 and 2020, respectively, and 9.9% and 8.3% of our revenues for the six months ended June 30, 2021 and 2020, respectively. The level of performance-based fees earned may vary based on our clients' risk sharing preferences and the mix of services we provide.</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ectPr>
          <w:pgSz w:w="11900" w:h="16838" w:orient="portrait"/>
          <w:cols w:equalWidth="0" w:num="1">
            <w:col w:w="11220"/>
          </w:cols>
          <w:pgMar w:left="320" w:top="140" w:right="359" w:bottom="684"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684"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Software support, maintenance and subscription revenues represented 6.2% and 5.8% of our revenues for the three months ended June 30, 2021 and 2020, respectively, and 6.5% and 5.7% of our revenues for the six months ended June 30, 2021 and 2020, respectively.</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quarterly results are impacted principally by our billable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9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conjunction with our continuous evaluation of the appropriate level of disaggregation of revenues as our business evolves and in consideration of a group hire of approximately 300 employees in our Healthcare Managed Services solution within our Healthcare segment in the second quarter of 2021, we began assessing our operating performance by the following three employee types: billable consultants, full-time equivalents, and Healthcare Managed Services employees. The other operating data previously reported for the three and six months ended June 30, 2020 was revised below to reflect this change. This change has no impact on our consolidated total revenues or total revenues by segment.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20" w:right="540"/>
        <w:spacing w:after="0" w:line="256"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9"/>
        </w:trPr>
        <w:tc>
          <w:tcPr>
            <w:tcW w:w="1020" w:type="dxa"/>
            <w:vAlign w:val="bottom"/>
          </w:tcPr>
          <w:p>
            <w:pPr>
              <w:spacing w:after="0"/>
              <w:rPr>
                <w:sz w:val="19"/>
                <w:szCs w:val="19"/>
                <w:color w:val="auto"/>
              </w:rPr>
            </w:pPr>
          </w:p>
        </w:tc>
        <w:tc>
          <w:tcPr>
            <w:tcW w:w="20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June 30,</w:t>
            </w:r>
          </w:p>
        </w:tc>
        <w:tc>
          <w:tcPr>
            <w:tcW w:w="1040" w:type="dxa"/>
            <w:vAlign w:val="bottom"/>
          </w:tcPr>
          <w:p>
            <w:pPr>
              <w:spacing w:after="0"/>
              <w:rPr>
                <w:sz w:val="19"/>
                <w:szCs w:val="19"/>
                <w:color w:val="auto"/>
              </w:rPr>
            </w:pPr>
          </w:p>
        </w:tc>
        <w:tc>
          <w:tcPr>
            <w:tcW w:w="1940" w:type="dxa"/>
            <w:vAlign w:val="bottom"/>
            <w:gridSpan w:val="3"/>
          </w:tcPr>
          <w:p>
            <w:pPr>
              <w:jc w:val="center"/>
              <w:ind w:right="9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480" w:space="720"/>
            <w:col w:w="60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101,357</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85,356</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181,079</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180,934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45,221</w:t>
            </w: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70,908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143,775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135,375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26,526</w:t>
            </w: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57,861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62,031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108,485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124,167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29,244</w:t>
            </w: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23.6 %</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230,126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217,857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433,339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440,476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22,273</w:t>
            </w: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233,378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220,827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462,749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55,709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53,983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97,923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100,991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34,325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31,638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58,784</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Litigation and other losses (gains)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12,438</w:t>
            </w:r>
          </w:p>
        </w:tc>
      </w:tr>
      <w:tr>
        <w:trPr>
          <w:trHeight w:val="230"/>
        </w:trPr>
        <w:tc>
          <w:tcPr>
            <w:tcW w:w="52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16,129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15,954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24,369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(29,897)</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(6,605)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2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16,251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(36,502)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(7,801)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12,797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13,572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(28,701)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r>
      <w:tr>
        <w:trPr>
          <w:trHeight w:val="891"/>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 xml:space="preserve">Number of billable consultants (at period end)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855</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943</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780</w:t>
            </w:r>
          </w:p>
        </w:tc>
      </w:tr>
      <w:tr>
        <w:trPr>
          <w:trHeight w:val="223"/>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2,578</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billable consultants (for the period)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887</w:t>
            </w: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922</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782</w:t>
            </w:r>
          </w:p>
        </w:tc>
      </w:tr>
      <w:tr>
        <w:trPr>
          <w:trHeight w:val="223"/>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2,591</w:t>
            </w:r>
          </w:p>
        </w:tc>
      </w:tr>
      <w:tr>
        <w:trPr>
          <w:trHeight w:val="229"/>
        </w:trPr>
        <w:tc>
          <w:tcPr>
            <w:tcW w:w="524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utilization rate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73.7 %</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74.8 %</w:t>
            </w: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72.7 %</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Billable consultant average billing rate per hour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212</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3"/>
                <w:szCs w:val="23"/>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199</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189</w:t>
            </w:r>
          </w:p>
        </w:tc>
      </w:tr>
      <w:tr>
        <w:trPr>
          <w:trHeight w:val="230"/>
        </w:trPr>
        <w:tc>
          <w:tcPr>
            <w:tcW w:w="52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per billable consultant (in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132</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140</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136</w:t>
            </w:r>
          </w:p>
        </w:tc>
      </w:tr>
      <w:tr>
        <w:trPr>
          <w:trHeight w:val="230"/>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136</w:t>
            </w: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187</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w:t>
            </w:r>
          </w:p>
        </w:tc>
      </w:tr>
      <w:tr>
        <w:trPr>
          <w:trHeight w:val="223"/>
        </w:trPr>
        <w:tc>
          <w:tcPr>
            <w:tcW w:w="5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269</w:t>
            </w: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275</w:t>
            </w: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292</w:t>
            </w:r>
          </w:p>
        </w:tc>
      </w:tr>
      <w:tr>
        <w:trPr>
          <w:trHeight w:val="229"/>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269</w:t>
            </w: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Healthcare Managed Services Employees</w:t>
            </w:r>
            <w:r>
              <w:rPr>
                <w:rFonts w:ascii="Arial" w:cs="Arial" w:eastAsia="Arial" w:hAnsi="Arial"/>
                <w:sz w:val="23"/>
                <w:szCs w:val="23"/>
                <w:b w:val="1"/>
                <w:bCs w:val="1"/>
                <w:color w:val="auto"/>
                <w:vertAlign w:val="superscript"/>
              </w:rPr>
              <w:t>(7)</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revenues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14,049</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21,797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15,069</w:t>
            </w:r>
          </w:p>
        </w:tc>
      </w:tr>
      <w:tr>
        <w:trPr>
          <w:trHeight w:val="188"/>
        </w:trPr>
        <w:tc>
          <w:tcPr>
            <w:tcW w:w="5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Average number of Healthcare Managed Services employees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period)</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r>
    </w:tbl>
    <w:p>
      <w:pPr>
        <w:spacing w:after="0" w:line="94"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w:t>
      </w:r>
    </w:p>
    <w:p>
      <w:pPr>
        <w:spacing w:after="0" w:line="9" w:lineRule="exact"/>
        <w:rPr>
          <w:sz w:val="20"/>
          <w:szCs w:val="20"/>
          <w:color w:val="auto"/>
        </w:rPr>
      </w:pPr>
    </w:p>
    <w:p>
      <w:pPr>
        <w:ind w:left="580" w:right="440"/>
        <w:spacing w:after="0" w:line="261" w:lineRule="auto"/>
        <w:rPr>
          <w:sz w:val="20"/>
          <w:szCs w:val="20"/>
          <w:color w:val="auto"/>
        </w:rPr>
      </w:pPr>
      <w:r>
        <w:rPr>
          <w:rFonts w:ascii="Arial" w:cs="Arial" w:eastAsia="Arial" w:hAnsi="Arial"/>
          <w:sz w:val="18"/>
          <w:szCs w:val="18"/>
          <w:color w:val="auto"/>
        </w:rPr>
        <w:t>of our corporate investment in the segments. We do not include the impact of goodwill impairment charges in our evaluation of segment performance.</w:t>
      </w:r>
    </w:p>
    <w:p>
      <w:pPr>
        <w:spacing w:after="0" w:line="36" w:lineRule="exact"/>
        <w:rPr>
          <w:sz w:val="20"/>
          <w:szCs w:val="20"/>
          <w:color w:val="auto"/>
        </w:rPr>
      </w:pPr>
    </w:p>
    <w:p>
      <w:pPr>
        <w:ind w:left="580" w:right="52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our consulting professionals who provide consulting services and generate revenues based on the number of hours worked.</w:t>
      </w:r>
    </w:p>
    <w:p>
      <w:pPr>
        <w:spacing w:after="0" w:line="35" w:lineRule="exact"/>
        <w:rPr>
          <w:rFonts w:ascii="Arial" w:cs="Arial" w:eastAsia="Arial" w:hAnsi="Arial"/>
          <w:sz w:val="18"/>
          <w:szCs w:val="18"/>
          <w:color w:val="auto"/>
        </w:rPr>
      </w:pPr>
    </w:p>
    <w:p>
      <w:pPr>
        <w:ind w:left="580" w:right="100" w:hanging="572"/>
        <w:spacing w:after="0" w:line="256"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Utilization rate for our billable consultants is calculated by dividing the number of hours our billable consultants worked on client assignments during a period by the total available working hours for these consultants during the same period, assuming a forty-hour work week, less paid holidays and vacation days.</w:t>
      </w:r>
    </w:p>
    <w:p>
      <w:pPr>
        <w:spacing w:after="0" w:line="39" w:lineRule="exact"/>
        <w:rPr>
          <w:rFonts w:ascii="Arial" w:cs="Arial" w:eastAsia="Arial" w:hAnsi="Arial"/>
          <w:sz w:val="18"/>
          <w:szCs w:val="18"/>
          <w:color w:val="auto"/>
        </w:rPr>
      </w:pPr>
    </w:p>
    <w:p>
      <w:pPr>
        <w:ind w:left="580" w:right="2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billing rate per hour for our billable consultants is calculated by dividing revenues for a period by the number of hours worked on client assignments during the same period.</w:t>
      </w:r>
    </w:p>
    <w:p>
      <w:pPr>
        <w:spacing w:after="0" w:line="35" w:lineRule="exact"/>
        <w:rPr>
          <w:rFonts w:ascii="Arial" w:cs="Arial" w:eastAsia="Arial" w:hAnsi="Arial"/>
          <w:sz w:val="18"/>
          <w:szCs w:val="18"/>
          <w:color w:val="auto"/>
        </w:rPr>
      </w:pPr>
    </w:p>
    <w:p>
      <w:pPr>
        <w:jc w:val="both"/>
        <w:ind w:left="580" w:right="200" w:hanging="572"/>
        <w:spacing w:after="0" w:line="256"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Business Advisory segment includes operations of Huron Eurasia India. Absent the impact of Huron Eurasia India, the average billing rate per hour for the Business Advisory segment would have been $201 and $220 for the three months ended June 30, 2021 and 2020, respectively; and $211 and $222 for the six months ended June 30, 2021 and 2020, respectively.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right="100"/>
        <w:spacing w:after="0" w:line="256" w:lineRule="auto"/>
        <w:rPr>
          <w:sz w:val="20"/>
          <w:szCs w:val="20"/>
          <w:color w:val="auto"/>
        </w:rPr>
      </w:pPr>
      <w:r>
        <w:rPr>
          <w:rFonts w:ascii="Arial" w:cs="Arial" w:eastAsia="Arial" w:hAnsi="Arial"/>
          <w:sz w:val="18"/>
          <w:szCs w:val="18"/>
          <w:color w:val="auto"/>
        </w:rPr>
        <w:t>Absent the impact of Huron Eurasia India, Huron's consolidated average billing rate per hour would have been $213 and $207 for the three months ended June 30, 2021 and 2020, respectively; and $209 and $208 for the six months ended June 30, 2021 and 2020, respectively.</w:t>
      </w:r>
    </w:p>
    <w:p>
      <w:pPr>
        <w:spacing w:after="0" w:line="40" w:lineRule="exact"/>
        <w:rPr>
          <w:sz w:val="20"/>
          <w:szCs w:val="20"/>
          <w:color w:val="auto"/>
        </w:rPr>
      </w:pPr>
    </w:p>
    <w:p>
      <w:pPr>
        <w:jc w:val="both"/>
        <w:ind w:left="580" w:right="140" w:hanging="572"/>
        <w:spacing w:after="0" w:line="291" w:lineRule="auto"/>
        <w:tabs>
          <w:tab w:leader="none" w:pos="6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coaches and their support staff within our Culture and Organizational Excellence solution, consultants who work variable schedules as needed by our clients, and full-time employees who provide software support and maintenance services to our clients.</w:t>
      </w:r>
    </w:p>
    <w:p>
      <w:pPr>
        <w:spacing w:after="0" w:line="11" w:lineRule="exact"/>
        <w:rPr>
          <w:rFonts w:ascii="Arial" w:cs="Arial" w:eastAsia="Arial" w:hAnsi="Arial"/>
          <w:sz w:val="17"/>
          <w:szCs w:val="17"/>
          <w:color w:val="auto"/>
        </w:rPr>
      </w:pPr>
    </w:p>
    <w:p>
      <w:pPr>
        <w:ind w:left="580" w:right="680" w:hanging="572"/>
        <w:spacing w:after="0" w:line="261"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employees who manage and provide revenue cycle billing, collections, insurance verification and change integrity services to our healthcare clients.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230,126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217,857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433,339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440,476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12,797</w:t>
            </w:r>
          </w:p>
        </w:tc>
        <w:tc>
          <w:tcPr>
            <w:tcW w:w="100" w:type="dxa"/>
            <w:vAlign w:val="bottom"/>
          </w:tcPr>
          <w:p>
            <w:pPr>
              <w:spacing w:after="0"/>
              <w:rPr>
                <w:sz w:val="17"/>
                <w:szCs w:val="17"/>
                <w:color w:val="auto"/>
              </w:rPr>
            </w:pPr>
          </w:p>
        </w:tc>
        <w:tc>
          <w:tcPr>
            <w:tcW w:w="44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13,572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18,202</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(28,701)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13,106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14,942</w:t>
            </w: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Earnings (loss) before interest, taxes, depreciation and</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24,835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27,429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40,046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
              <w:spacing w:after="0" w:line="169" w:lineRule="exact"/>
              <w:rPr>
                <w:sz w:val="20"/>
                <w:szCs w:val="20"/>
                <w:color w:val="auto"/>
              </w:rPr>
            </w:pPr>
            <w:r>
              <w:rPr>
                <w:rFonts w:ascii="Arial" w:cs="Arial" w:eastAsia="Arial" w:hAnsi="Arial"/>
                <w:sz w:val="18"/>
                <w:szCs w:val="18"/>
                <w:color w:val="auto"/>
              </w:rPr>
              <w:t>(16,303)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 (EBITDA)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Litigation and other losses (gains)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25,619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42,073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46,471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9.7 %</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21,871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22,116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22,105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and other losses (gains)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business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Transaction-related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 of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21,871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22,116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22,105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22,223</w:t>
            </w: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 assets is inconsistent in its amount and frequency and is significantly affected by the timing and size of our acquisitions.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These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have primarily consisted of costs associated with office space consolidations, including lease impairment charges and accelerated depreciation on lease-related property and equipment, and severance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3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Litigation and other losses (gains): </w:t>
      </w:r>
      <w:r>
        <w:rPr>
          <w:rFonts w:ascii="Arial" w:cs="Arial" w:eastAsia="Arial" w:hAnsi="Arial"/>
          <w:sz w:val="18"/>
          <w:szCs w:val="18"/>
          <w:color w:val="auto"/>
        </w:rPr>
        <w:t>We have excluded the effect of a loss in the first quarter of 2021 from an increase in the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liability for contingent consideration payments related to a business acquisition and a litigation settlement gain recognized in the first quarter of 2020 to permit comparability with periods that were not impacted by these items.</w:t>
      </w:r>
    </w:p>
    <w:p>
      <w:pPr>
        <w:spacing w:after="0" w:line="12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charges are infrequent events and their exclusion permits comparability with periods that were not impacted by such charges.</w:t>
      </w:r>
    </w:p>
    <w:p>
      <w:pPr>
        <w:spacing w:after="0" w:line="10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Loss on sale of business: </w:t>
      </w:r>
      <w:r>
        <w:rPr>
          <w:rFonts w:ascii="Arial" w:cs="Arial" w:eastAsia="Arial" w:hAnsi="Arial"/>
          <w:sz w:val="18"/>
          <w:szCs w:val="18"/>
          <w:color w:val="auto"/>
        </w:rPr>
        <w:t>We excluded the effect of the loss on sale of a software-based solution within our Business Advisory segment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2020. Divestitures of businesses are infrequent and are not indicative of the ongoing performance of our business.</w:t>
      </w:r>
    </w:p>
    <w:p>
      <w:pPr>
        <w:spacing w:after="0" w:line="108"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excluded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the first and second quarters of 2021 related to the acquisition of Unico Solution, Inc. and ForceIQ, Inc., which closed effective February 1, 2021 and November 1, 2020, respectively.</w:t>
      </w:r>
    </w:p>
    <w:p>
      <w:pPr>
        <w:spacing w:after="0" w:line="122" w:lineRule="exact"/>
        <w:rPr>
          <w:sz w:val="20"/>
          <w:szCs w:val="20"/>
          <w:color w:val="auto"/>
        </w:rPr>
      </w:pPr>
    </w:p>
    <w:p>
      <w:pPr>
        <w:jc w:val="both"/>
        <w:ind w:right="50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 Included within the depreciation and amortization adjustment is the amortization of capitalized implementation costs of our ERP and other related software, which is included within Selling, general and administrative expenses on our consolidated statement of operations.</w:t>
      </w:r>
    </w:p>
    <w:p>
      <w:pPr>
        <w:spacing w:after="0" w:line="1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first six months of 2020, GAAP diluted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equals the basic weighted average shares outstanding for that period. The non-GAAP adjustments described above resulted in adjusted net income from continuing operations for the first six months of 2020. Therefore, we included the dilutive common stock equivalents in the calculation of adjusted diluted weighted average shares outstanding for that period.</w:t>
      </w:r>
    </w:p>
    <w:p>
      <w:pPr>
        <w:sectPr>
          <w:pgSz w:w="11900" w:h="16838" w:orient="portrait"/>
          <w:cols w:equalWidth="0" w:num="1">
            <w:col w:w="11240"/>
          </w:cols>
          <w:pgMar w:left="320" w:top="140" w:right="339" w:bottom="98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81"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20"/>
        <w:spacing w:after="0" w:line="451" w:lineRule="auto"/>
        <w:rPr>
          <w:sz w:val="20"/>
          <w:szCs w:val="20"/>
          <w:color w:val="auto"/>
        </w:rPr>
      </w:pPr>
      <w:r>
        <w:rPr>
          <w:rFonts w:ascii="Arial" w:cs="Arial" w:eastAsia="Arial" w:hAnsi="Arial"/>
          <w:sz w:val="18"/>
          <w:szCs w:val="18"/>
          <w:b w:val="1"/>
          <w:bCs w:val="1"/>
          <w:color w:val="auto"/>
        </w:rPr>
        <w:t>Three Months Ended June 30, 2021 Compared to Three Months Ended June 30, 2020 Revenues</w:t>
      </w:r>
    </w:p>
    <w:p>
      <w:pPr>
        <w:ind w:right="120"/>
        <w:spacing w:after="0" w:line="252" w:lineRule="auto"/>
        <w:rPr>
          <w:sz w:val="20"/>
          <w:szCs w:val="20"/>
          <w:color w:val="auto"/>
        </w:rPr>
      </w:pPr>
      <w:r>
        <w:rPr>
          <w:rFonts w:ascii="Arial" w:cs="Arial" w:eastAsia="Arial" w:hAnsi="Arial"/>
          <w:sz w:val="18"/>
          <w:szCs w:val="18"/>
          <w:color w:val="auto"/>
        </w:rPr>
        <w:t>Revenues increased $12.3 million, or 5.6%, to $230.1 million for the second quarter of 2021 from $217.9 million for the second quarter of 2020. The increase in revenues is primarily related to strengthened demand for services in our Healthcare and Business Advisory segments as well as the favorable comparison against the second quarter of 2020 for the Healthcare segment, which was more significantly impacted by the COVID-19 pandemic as some clients reprioritized and delayed certain projects as a result of the uncertainties surrounding the pandemic.The increase in revenues is partially offset by a decrease in demand for services in our Education segment during the second quarter of 2021 compared to the second quarter of 2020 as Education segment revenues were not significantly impacted by the COVID-19 pandemic until the second half of 2020.</w:t>
      </w:r>
    </w:p>
    <w:p>
      <w:pPr>
        <w:spacing w:after="0" w:line="15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Of the $12.3 million increase in revenues, $6.8 million was attributable to an increase in revenues generated by our Healthcare Managed Services employees and $6.4 million was attributable to an increase in revenues generated by our billable consultants, partially offset by a $0.9 million decrease in revenues generated by our full-time equivalents.</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increase in Healthcare Managed Services revenues was primarily attributable to an increase in demand for these services, which led to an increase in the average number of managed services employees in the second quarter of 2021 compared to the same prior year period. In the beginning of the second quarter of 2021, we hired approximately 300 employees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w:t>
      </w:r>
    </w:p>
    <w:p>
      <w:pPr>
        <w:spacing w:after="0" w:line="15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increase in billable consultant revenues reflected strengthened demand for services in our Healthcare segment, partially offset by decreases in demand for services in our Education and Business Advisory segments, as discussed below in Segment Results. The overall increase in billable consultant revenues was primarily attributable to overall increases in the average billing rate, the average number of billable consultants, and the consultant utilization rate for the second quarter of 2021 compared to the same prior year period.</w:t>
      </w:r>
    </w:p>
    <w:p>
      <w:pPr>
        <w:spacing w:after="0" w:line="15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decrease in full-time equivalent revenues was primarily attributable to a decrease in full-time equivalent revenues in our Healthcare segment, partially offset by an increase in full-time equivalent revenues in our Business Advisory segment, as discussed below in Segment Results. The overall decrease in full-time equivalent revenues reflected an overall decrease in the average number of full-time equivalents, partially offset by an overall increase in revenue per full-time equivalent in the second quarter of 2021 compared to the same prior year period.</w:t>
      </w:r>
    </w:p>
    <w:p>
      <w:pPr>
        <w:spacing w:after="0" w:line="1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most of 2020 and the first quarter of 2021, the COVID-19 pandemic negatively impacted sales and elongated the sales cycle for new opportunities for certain services, particularly within our Healthcare and Education segments as some clients reprioritized or delayed certain projects. During the first half of 2021, we saw an increase in our sales pipeline and the pace of signings in our Healthcare and Education businesses. As the overall demand for our services strengthened in the second quarter of 2021, we expect continued revenue growth in the second half of 2021 compared to the second half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Direct costs, excluding amortization of intangible assets and software development costs, increased $12.0 million, or 8.0%, to $161.5 million for the three months ended June 30, 2021, from $149.5 million for the three months ended June 30, 2020. The $12.0 million increase primarily related to an $9.2 million increase in salaries and related expenses for our revenue-generating professionals, a $1.8 million increase in signing, retention and other bonus expense for our revenue-generating professionals, and a $1.7 million increase in performance bonus expense for our revenue-generating professionals. These increases in direct costs were partially offset by a $ 1.0 million decrease in contractor expense. As a percentage of revenues, direct costs increased to 70.2% during the second quarter of 2021 compared to 68.6% during the second quarter of 2020, primarily due to the increases in salaries and related expenses and signing, retention and other bonus expense for our revenue-generating professionals, as percentages of revenues, partially offset by the decrease in contractor expense.</w:t>
      </w:r>
    </w:p>
    <w:p>
      <w:pPr>
        <w:spacing w:after="0" w:line="1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Total direct costs for the three months ended June 30, 2021 included $0.9 million of amortization expense for internal software development costs and intangible assets, compared to $1.3 million of amortization expense for the same prior year period. Intangible asset amortization included within direct costs for the three months ended June 30, 2021 and 2020 primarily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Selling, general and administrative expenses increased by $0.3 million, or 0.7%, to $45.2 million in the second quarter of 2021 from $44.9 million in the second quarter of 2020. The overall $ 0.3 million increase primarily related to a $1.0 million increase in legal expenses, a $0.9 million increase in performance bonus expense for our support personnel, and a $0.6 million increase in software and data hosting expenses. These increases were largely offset by a $1.8 million decrease in deferred compensation expense attributable to the change in the market value of our deferred compensation liability, and a $0.7 million decrease in share-based compensation expense for our support personnel. During the second quarter of</w:t>
      </w:r>
    </w:p>
    <w:p>
      <w:pPr>
        <w:sectPr>
          <w:pgSz w:w="11900" w:h="16838" w:orient="portrait"/>
          <w:cols w:equalWidth="0" w:num="1">
            <w:col w:w="11240"/>
          </w:cols>
          <w:pgMar w:left="320" w:top="140" w:right="339" w:bottom="846"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846"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2021, the market value of our deferred compensation liability increased by $2.1 million, compared to a $3.9 million increase in the second quarter of 2020. This $1.8 million decrease in expense is offset by a $1.8 million decrease in the gain recognized for the change in the market value of investments that are used to fund our deferred compensation liability and recognized in other income (expense), net. The decrease in share-based compensation expense primarily related to a decrease in the expected funding of performance-based share awards for our executive officers recorded in the first quarter of 2021. As a percentage of revenues, selling, general and administrative expenses decreased to 19.6% during the second quarter of 2021 compared to 20.6% during the second quarter of 2020. This decrease was primarily attributable to the decrease in deferred compensation expense.</w:t>
      </w:r>
    </w:p>
    <w:p>
      <w:pPr>
        <w:spacing w:after="0" w:line="15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Restructuring charges for the second quarter of 2021 were $0.9 million, compared to $0.1 million for the second quarter of 2020. The $0.9 million of restructuring charges recognized in the second quarter of 2021 primarily related to rent and related expenses, net of sublease income, for vacated office spaces. See Note 8 "Restructuring Charges" within the notes to our consolidated financial statements for additional information on our restructuring charges.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$0.7 million, or 12.1%, to $ 5.4 million for the three months ended June 30, 2021 compared to $6.2 million for the three months ended June 30, 2020. The $0.7 million decrease in depreciation and amortization expense was primarily attributable to decreasing amortization expense for customer relationships acquired in business acquisitions due to the accelerated basis of amortization in prior periods, including the customer relationships acquired in our Studer Group acquisition; and customer relationships acquired in other business acquisitions that were fully amortized in prior periods; as well as a decrease in depreciation expense for leasehold improvements and furniture and fixtures related to vacated office spaces.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Operating income increased $0.2 million to $16.1 million in the second quarter of 2021 from $16.0 million in the second quarter of 2020 as the increase in revenues was largely offset by the increases in direct costs and selling, general and administrative expenses previously discussed. Operating margin, which is defined as operating income expressed as a percentage of revenues, was 7.0% for the three months ended June 30, 2021 compared to 7.3% for the three months ended June 30, 2020. The decrease in operating margin was primarily attributable to the increases in salaries and related expenses for our revenue-generating professionals and signing, retention and other bonus expense for our revenue-generating professionals, partially offset by the decrease in deferred compensation expense attributable to the change in the market value of our deferred compensation liability and the decrease in contractor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Interest expense, net of interest income decreased $0.9 million to $2.0 million in the second quarter of 2021 from $ 2.9 million in the second quarter of 2020. The decrease in interest expense was primarily attributable to lower levels of borrowing under our credit facility during the second quarter of 2021 compared to the same prior year period. See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Other income, net decreased $1.8 million to $2.2 million in the second quarter of 2021 from $3.9 million in the second quarter of 2020. The decrease in other income, net was primarily attributable to the $1.8 million decrease in the gain recognized for the market value of our investments that are used to fund our deferred compensation liability. During the second quarter of 2021, we recognized a $2.1 million gain for the market value of our deferred compensation investments compared to a $3.9 million gain recognized in the second quarter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three months ended June 30, 2021, our effective tax rate was 21.3% as we recognized income tax expense from continuing operations of $3.5 million on income from continuing operations of $16.3 million. The effective tax rate of 21.3% was more favorable than the statutory rate, inclusive of state income taxes, of 26.6%, primarily due to a discrete tax benefit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This favorable item was partially offset by certain nondeductible expense items.</w:t>
      </w:r>
    </w:p>
    <w:p>
      <w:pPr>
        <w:spacing w:after="0" w:line="15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three months ended June 30, 2020, our effective tax rate was 20.1% as we recognized income tax expense from continuing operations of $3.4 million on income from continuing operations of $17.0 million. The effective tax rate of 20.1% was more favorable than the statutory rate, inclusive of state income taxes, of 26.0%, primarily due to the year-to-date pre-tax losses and the impact during the quarter of certain nondeductible expense items, including the nondeductible portion of the goodwill impairment charges, based on the attribution of those expenses to the quarter in accordance with the allocation of income tax expense on a current year-to-date basis. The effective tax rate also reflected the positive impact of certain federal tax credits. See Note 4 "Goodwill and Intangible Assets" within the notes to our consolidated financial statements for additional information on the goodwill impairment charges recognized in the first quarter of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electing the retroactive GILTI high-tax exclusion during the second quarter of 2021, we recognized a $1.0 million tax benefit of which $0.4 million related to carrying back our increased 2018 federal net operating loss to prior year income for a refund at the higher, prior year tax rate, as provided for under the CARES Act.</w:t>
      </w:r>
    </w:p>
    <w:p>
      <w:pPr>
        <w:spacing w:after="0" w:line="151" w:lineRule="exact"/>
        <w:rPr>
          <w:sz w:val="20"/>
          <w:szCs w:val="20"/>
          <w:color w:val="auto"/>
        </w:rPr>
      </w:pPr>
    </w:p>
    <w:p>
      <w:pPr>
        <w:ind w:right="140"/>
        <w:spacing w:after="0" w:line="430"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from Continuing Operations and Earnings per Share</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income from continuing operations decreased $0.8 million to $12.8 million for the three months ended June 30, 2021 from $13.6 million for the same period last year. As a result of the decrease in net income from continuing operations, diluted earnings per share from continuing operations for the second quarter of 2021 was $0.59 compared to $0.61 for the second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EBITDA decreased $2.6 million to $24.8 million for the three months ended June 30, 2021 from $ 27.4 million for the three months ended June 30, 2020. Adjusted EBITDA decreased $ 1.8 million to $25.6 million in the second quarter of 2021 from $27.5 million in the second quarter of 2020. The decrease in EBITDA was primarily attributable to an increase in corporate expenses partially offset by an increase in segment operating income. The decrease in adjusted EBITDA was primarily attributable to an increase in corporate expenses, excluding restructuring charges not allocated at the segment level, partially offset by an increase in segment operating income. See "Segment Results" below for additional information on segment operating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net income from continuing operations increased $0.2 million to $15.1 million in the second quarter of 2021 compared to $14.9 million in the second quarter of 2020. As a result of the increase in adjusted net income from continuing operations, adjusted diluted earnings per share from continuing operations was $0.69 for the second quarter of 2021, compared to $0.68 for the second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Healthcare segment revenues increased $16.0 million, or 18.7%, to $101.4 million for the second quarter of 2021 from $85.4 million for the second quarter of 2020 due to strengthened demand for services in this segment in the second quarter of 2021 as well as the favorable comparison against the second quarter of 2020, which was more significantly impacted by the COVID-19 pandemic as some clients reprioritized and delayed certain projects as a result of the uncertainties surrounding the pandemic.</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three months ended June 30, 2021, revenues from fixed-fee engagements; time-and-expense engagements; performance-based arrangements; and software support, maintenance and subscription arrangements represented 54.3%, 17.8%, 22.8%, and 5.1% of this segment’s revenues, respectively, compared to 59.5%, 16.4%, 17.0%, and 7.1% of this segment’s revenues, respectively, for the same prior year period. Performance-based fee revenue was $23.1 million for the second quarter of 2021 compared to $14.5 million for the second quarter of 2020. The level of performance-based fees earned may vary based on our clients’ risk sharing preferences and the mix of services we provide.</w:t>
      </w:r>
    </w:p>
    <w:p>
      <w:pPr>
        <w:spacing w:after="0" w:line="15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Of the overall $16.0 million increase in revenues, $11.5 million was attributable to an increase in revenues from our billable consultants and $6.8 million was attributable to an increase in revenues from our Healthcare Managed Services employees, partially offset by a $2.3 million decrease in revenues from our full-time equivalents.</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increase in revenues attributable to our billable consultants reflected increases in the average billing rate and the consultant utilization rate, partially offset by a decrease in the average number of billable consultants in the second quarter of 2021 compared to the same prior year period. The increase in Healthcare Managed Services revenues was primarily attributable to an increase in demand for these services, which led to an increase in the average number of managed services employees in the second quarter of 2021 compared to the same prior year period. In the beginning of the second quarter of 2021, we hired approximately 300 employees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 The decrease in revenues from our full-time equivalents was primarily driven by a decrease in demand for certain services and a decreased use of contractors and project consultants; and reflected a decrease in the average number of full-time equivalents, partially offset by an increase in revenue per full-time equivalent in the second quarter of 2021 compared to the same prior year period.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Healthcare segment operating income increased $6.5 million, or 30.5%, to $27.6 million for the three months ended June 30, 2021 from</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$21.2 million for the three months ended June 30, 2020. The Healthcare segment operating margin, defined as segment operating income expressed as a percentage of segment revenues, increased to 27.3% for the second quarter of 2021 from 24.8% in the same period last year. The increase in this segment’s operating margin was primarily attributable to revenue growth that outpaced an increase in salaries and related expenses for our revenue-generating professionals as well as decreases in salaries and related expenses for our support personnel, contractor expense, technology expenses, and amortization of intangible assets included in direct costs. These increases to the operating margin were offset by increases in performance bonus expense for our revenue-generating professionals and signing, retention and other bonus expense for our revenue-generating professionals, as percentages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Business Advisory segment revenues increased $0.4 million, or 0.6%, to $70.9 million for the second quarter of 2021 from $70.5 million for the second quarter of 2020, primarily related to strengthened demand for our cloud-based technology and analytics solutions and our strategy and innovation solutions. Revenues for the second quarter of 2021 included $4.3 million from our acquisitions of ForceIQ and Unico Solutions, which were completed in November 2020 and February 2021, respectively.</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three months ended June 30, 2021, revenues from fixed-fee engagements; time-and-expense engagements; performance-based arrangements; and software support, maintenance and subscription arrangements represented 44.2%, 50.8%, 2.1%, and 2.9% of this segment’s revenues, respectively, compared to 38.8%, 57.1%, 2.3%, and 1.8% of this segment's revenues, respectively, for the same prior year period. Performance-based fee revenue was $1.5 million for the second quarter of 2021 compared to $1.6 million for the second quarter of 2020. The level of performance-based fees earned may vary based on our clients’ preferences, the mix of services we provide, and the timing of transactions or milestones.</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the overall $0.4 million increase in revenues, $1.6 million was attributable to an increase in revenues from our full-time equivalents, partially offset by a $1.2 million decrease in revenues from our billable consultants. The increase in revenues generated by our full-time equivalents was primarily driven by an increased use of contractors and project consultants; and reflected an increase in the average number of full-time equivalents, partially offset by a decrease in revenue per full-time equivalent in the second quarter of 2021 compared to the same prior year period. The decrease in revenues from our billable consultants reflected decreases in the average billing rate and the consultant utilization rate, partially offset by an increase in the average number of billable consultants in the second quarter of 2021 compared to the same prior year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Business Advisory segment operating income decreased by $2.4 million, or 14.2%, to $14.3 million for the three months ended June 30, 2021 from $16.7 million for the three months ended June 30, 2020. The Business Advisory segment operating margin decreased to 20.2% for the second quarter of 2021 from 23.7% in the same period last year. The decrease in this segment’s operating margin was primarily attributable to increases in salaries and related expenses for our revenue-generating professionals and contractor expense, as percentages of revenues, partially offset by a decrease in performance bonus expense for our revenue-generating professionals.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Education segment revenues decreased $4.2 million, or 6.7%, to $57.9 million for the second quarter of 2021 from $62.0 million for the second quarter of 2020. The decrease in revenues was related to the continued negative impact of the COVID-19 pandemic on demand for this segment's services as some clients reprioritized and delayed certain projects as a result of the uncertainties surrounding the pandemic beginning in the second half of 2020, and is also reflective of the difficult second quarter comparison driven by the strong growth we experienced in this segment in the first half of 2020 prior to the impact of the pandemic on this segment.</w:t>
      </w:r>
    </w:p>
    <w:p>
      <w:pPr>
        <w:spacing w:after="0" w:line="1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three months ended June 30, 2021, revenues from fixed-fee engagements; time-and-expense engagements; and software support, maintenance and subscription arrangements represented 30.9%, 57.1%, and 12.0% of this segment’s revenues, respectively. During the three months ended June 30, 2020, revenues from fixed-fee engagements; time-and-expense engagements; performance-based arrangements; and software support, maintenance and subscription arrangements represented 18.4%, 71.8%, 1.1%, and 8.7% of this segment’s revenues, respectively.</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the overall $4.2 million decrease in revenues, $3.9 million was attributable to a decrease in revenues from our billable consultants and $0.3 million was attributable to a decrease in revenues from our full-time equivalents. The decrease in revenues attributable to our billable consultants reflected decreases in the average number of billable consultants and the average billing rate, partially offset by an increase in the consultant utilization rate in the second quarter of 2021 compared to the same prior year period. The decrease in revenues from our full-time equivalents was primarily driven by a decreased use of contractors and project consultants, partially offset by an increase in software subscriptions, software support and maintenance, and data hosting revenues. The overall decrease in full-time equivalent revenues reflected a decrease in the average number of full-time equivalents, partially offset by an increase in revenue per full-time equivalent in the second quarter of 2021 compared to the same prior year period.</w:t>
      </w:r>
    </w:p>
    <w:p>
      <w:pPr>
        <w:sectPr>
          <w:pgSz w:w="11900" w:h="16838" w:orient="portrait"/>
          <w:cols w:equalWidth="0" w:num="1">
            <w:col w:w="11220"/>
          </w:cols>
          <w:pgMar w:left="320" w:top="140" w:right="359" w:bottom="765"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765"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Education segment operating income decreased $ 2.4 million, or 14.6% to $13.8 million for the three months ended June 30, 2021 from $16.1 million for the three months ended June 30, 2020. The Education segment operating margin decreased to 23.8% for the second quarter of 2021 from 26.0% in the same period last year. The decrease in this segment’s operating margin was primarily attributable to an increase in salaries and related expenses for our revenue-generating professionals as a percentage of revenues and increases in performance bonus expense for our revenue-generating professionals, signing, retention and other bonus expense for our revenue-generating professionals and technology expenses. These decreases to the operating margin were partially offset by decreases in contractor expense and promotion and marketing expenses, as percentages of revenues.</w:t>
      </w:r>
    </w:p>
    <w:p>
      <w:pPr>
        <w:spacing w:after="0" w:line="131" w:lineRule="exact"/>
        <w:rPr>
          <w:sz w:val="20"/>
          <w:szCs w:val="20"/>
          <w:color w:val="auto"/>
        </w:rPr>
      </w:pPr>
    </w:p>
    <w:p>
      <w:pPr>
        <w:ind w:right="4460"/>
        <w:spacing w:after="0" w:line="451" w:lineRule="auto"/>
        <w:rPr>
          <w:sz w:val="20"/>
          <w:szCs w:val="20"/>
          <w:color w:val="auto"/>
        </w:rPr>
      </w:pPr>
      <w:r>
        <w:rPr>
          <w:rFonts w:ascii="Arial" w:cs="Arial" w:eastAsia="Arial" w:hAnsi="Arial"/>
          <w:sz w:val="18"/>
          <w:szCs w:val="18"/>
          <w:b w:val="1"/>
          <w:bCs w:val="1"/>
          <w:color w:val="auto"/>
        </w:rPr>
        <w:t>Six Months Ended June 30, 2021 Compared to Six Months Ended June 30, 2020 Revenues</w:t>
      </w:r>
    </w:p>
    <w:p>
      <w:pPr>
        <w:ind w:right="60"/>
        <w:spacing w:after="0" w:line="253" w:lineRule="auto"/>
        <w:rPr>
          <w:sz w:val="20"/>
          <w:szCs w:val="20"/>
          <w:color w:val="auto"/>
        </w:rPr>
      </w:pPr>
      <w:r>
        <w:rPr>
          <w:rFonts w:ascii="Arial" w:cs="Arial" w:eastAsia="Arial" w:hAnsi="Arial"/>
          <w:sz w:val="18"/>
          <w:szCs w:val="18"/>
          <w:color w:val="auto"/>
        </w:rPr>
        <w:t>Revenues decreased $ 7.1 million, or 1.6%, to $433.3 million for the first six months of 2021 from $440.5 million for the first six months of 2020. Revenues in the first half of 2021, and particularly in the first quarter of 2021, were negatively impacted by the COVID-19 pandemic as some clients reprioritized and delayed projects, specifically in our Healthcare and Education segments. However, in the second quarter of 2021, we saw strengthened demand for certain of our services within the Healthcare and Business Advisory segments, which partially offset the overall decrease in revenues in the first six months of 2021 compared to the first six months of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Of the overall $7.1 million decrease in revenues, $7.1 million was attributable to a decrease in revenues from our full-time equivalents and</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$6.7 million was attributable to a decrease in revenues from our our billable consultants, partially offset by a $6.7 million increase in revenues from our Healthcare Managed Services employees.</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decrease in full-time equivalent revenues was primarily attributable to decreases in full-time equivalent revenues in our Healthcare segment, partially offset by an increase in full-time equivalent revenues in our Business Advisory segment, as discussed below in Segment Results; and reflected an overall decrease in the average number of full-time equivalents, partially offset by an overall increase in revenue per full-time equivalent during the first six months of 2021 compared to the first six months of 2020.</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decrease in billable consultant revenues was attributable to a decrease in demand for services in our Education segment, partially offset by an increase in demand for services in our Business Advisory and Healthcare segments, as discussed below in Segment Results. The overall decrease in billable consultant revenues reflected an overall decrease in the consultant utilization rate, partially offset by overall increases in the average number of billable consultants and the average billing rate during the first six months of 2021 compared to the same prior year period.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increase in Healthcare Managed Services revenues was primarily attributable to an increase in demand for these services, which led to an increase in the average number of Healthcare Managed Services employees in the first half of 2021 compared to the same prior year period driven by the hiring of approximately 300 employees in the beginning of the second quarter of 2021 to expand our capacity to manage and provide revenue cycle billing, collections, insurance verification and change integrity services to our healthcare clients.</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most of 2020 and the first quarter of 2021, the COVID-19 pandemic negatively impacted sales and elongated the sales cycle for new opportunities for certain services, particularly within our Healthcare and Education segments as some clients reprioritized or delayed certain projects. During the first half of 2021, we saw an increase in our sales pipeline and the pace of signings in our Healthcare and Education businesses. While overall demand for our services in the first quarter of 2021 was negatively impacted by the COVID-19 pandemic, the overall demand for our services strengthened in the second quarter of 2021 and we expect continued revenue growth in the second half of 2021 compared to the second half of 2020.</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has caused the need for many companies to accelerate their digital transformation to drive operational efficiencies, better engage with their customers, and make better data-driven decisions. This has resulted in strong demand for our digital, technology and analytic offerings, particularly within our Business Advisory segment. Indicative of our expectations for future growth in this segment, we continue to make investments in these offerings, both organically and through strategic acquisitions, such as our acquisitions of ForceIQ in November 2020 and Unico Solutions in February 2021, and the addition of new offerings and capabilities within this segment where we see strategic opportunities.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Direct costs, excluding amortization of intangible assets and software development costs, increased $ 3.9 million, or 1.3%, to $309.6 million for the six months ended June 30, 2021, from $305.8 million for the six months ended June 30, 2020. The overall $3.9 million increase primarily related to a $6.3 million increase in salaries and related expenses for our revenue-generating professionals and a $1.4 million increase in signing, retention and other bonus expense for our revenue-generating professionals, partially offset by a $2.6 million decrease in contractor expense and a $1.1 million decrease in share-based compensation expense for our revenue-generating professionals. As a percentage of revenues, our direct costs increased to 71.5% during the first six months of 2021 compared to 69.4% during the first six months of 2020 primarily due to the increase in salaries and related expenses for our revenue-generating professionals, partially offset by the decrease in contractor expense as a percentage of revenues.</w:t>
      </w:r>
    </w:p>
    <w:p>
      <w:pPr>
        <w:sectPr>
          <w:pgSz w:w="11900" w:h="16838" w:orient="portrait"/>
          <w:cols w:equalWidth="0" w:num="1">
            <w:col w:w="11240"/>
          </w:cols>
          <w:pgMar w:left="320" w:top="140" w:right="339" w:bottom="1062"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062"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Total direct costs for the six months ended June 30, 2021 included $1.8 million of amortization expense for internal software development costs and intangible assets, compared to $2.6 million of amortization expense for the same prior year period. Intangible asset amortization included within direct costs for the six months ended June 30, 2021 and 2020 related to technology and software, certain customer relationships and customer contracts acquired in connection with our business acquisitions. See Note 4 "Goodwill and Intangible Assets" within the notes to our consolidated financial statements for additional information about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Selling, general and administrative expenses decreased $ 3.3 million, or 3.8%, to $85.0 million in the six months ended June 30, 2021 from $88.3 million in the six months ended June 30, 2020. The $3.3 million decrease primarily related to a $ 4.3 million decrease in practice administration and meetings expenses, a $2.1 million decrease in promotion and marketing expenses, and a $2.1 million decrease in share-based compensation expense for our support professionals. The decreases in practice administration and meetings expenses and promotion and marketing expenses primarily relate to the cancellation or delay of in-person meetings and events and business travel due to the COVID-19 pandemic. The</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decrease in share-based compensation expense primarily related to a decrease in the expected funding of performance-based share awards for our executive officers recorded in the first quarter of 2021. These decreases were partially offset by a $3.7 million increase in deferred compensation expense attributable to the change in the market value of our deferred compensation liability. During the first six months of 2021, the market value of our deferred compensation liability increased by $2.9 million, compared to a $0.8 million decrease in the first six months of 2020. This $3.7 million increase in expense is offset by a $3.7 million decrease in the loss recognized for the change in the market value of investments that are used to fund our deferred compensation liability and recognized in other income (expense), net. Additional increases in selling, general and administrative expenses include a $1.4 million increase in performance bonus expense for our support personnel and a $0.9 million increase in legal expenses. As a percentage of revenues, selling, general and administrative expenses decreased to 19.6% during the first six months of 2021 compared to 20.0% during the first six months of 2020. This decrease was primarily attributable to the decreases in practice administration and meetings expenses, promotion and marketing expenses, and share-based compensation expense for our support personnel, as percentages of revenues, partially offset by the increase in deferred compensation expense.</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Restructuring charges for the first six months of 2021 totaled $1.5 million, compared to $1.7 million for the first six months of 2020. The $1.5 million restructuring charge incurred in the first six months of 2021 primarily related to rent and related expenses, net of sublease income, and accelerated depreciation on furniture and fixtures for vacated office spaces. The $1.7 million restructuring charge incurred in the first six months of 2020 primarily related to a $1.2 million accrual for the termination of a third-party advisor agreement; $0.3 million related to workforce reductions to better align resources with market demand; and $0.1 million related to workforce reductions in our corporate operations. See Note 8 "Restructuring Charges" within the notes to our consolidated financial statements for additional information on our restructuring charges.</w:t>
      </w:r>
    </w:p>
    <w:p>
      <w:pPr>
        <w:spacing w:after="0" w:line="15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Litigation and other gains totaled $0.2 million for the six months ended June 30, 2020, which consisted of a litigation settlement gain for the resolution of a claim that was settled in the first quarter of 2020.</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Depreciation and amortization expense decreased by $1.4 million, or 11.6%, to $ 10.9 million for the six months ended June 30, 2021, from $12.3 million for the six months ended June 30, 2020. The $1.4 million decrease was primarily attributable to decreasing amortization expense for customer relationships acquired in business acquisitions due to the accelerated basis of amortization in prior periods, including the customer relationships acquired in our Studer Group acquisition; and customer relationships acquired in other business acquisitions that were fully amortized in prior periods; as well as a decrease in depreciation expense for leasehold improvements and furniture and fixtures related to vacated office spaces.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were non-cash in nature and did not affect our liquidity or debt covenants. See Note 4 "Goodwill and Intangible Assets" within the notes to our consolidated financial statements for additional information on the charges.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increased $54.3 million to income of $ 24.4 million in the first six months of 2021 from a loss of $29.9 million in the first six months of 2020. This increase is primarily attributable to the $59.8 million of non-cash pretax goodwill impairment charges recognized in the first quarter of 2020 related to our Business Advisory segment. Operating margin, which is defined as operating income (loss) expressed as a percentage of revenues, was 5.6% for the six months ended June 30, 2021, compared to (6.8)% for the six months ended June 30, 2020. The increase in operating margin was primarily attributable to the goodwill impairment charges recognized in the first quarter of 2020, as well as the decrease in practice administration and meetings expenses as a percentage of revenues. These increases to the operating margin were partially offset by the increases in salaries and related expenses for our revenue-generating professionals and deferred compensation expense.</w:t>
      </w:r>
    </w:p>
    <w:p>
      <w:pPr>
        <w:sectPr>
          <w:pgSz w:w="11900" w:h="16838" w:orient="portrait"/>
          <w:cols w:equalWidth="0" w:num="1">
            <w:col w:w="11240"/>
          </w:cols>
          <w:pgMar w:left="320" w:top="140" w:right="339" w:bottom="1062"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062"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 expense, net of interest income decreased $ 1.5 million to $3.7 million in the first six months of 2021 from $5.3 million in the first six months of 2020, primarily attributable to lower levels of borrowing under our credit facility during the first six months of 2021 compared to the same prior year period. See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Other income (expense), net increased by $3.9 million to a net gain of $2.6 million in the first six months of 2021 from a net loss of $1.3 million in the first six months of 2020. The increase in total other income, net was primarily attributable to the $2.9 million gain recognized during the first six months of 2021 for the market value of our investments that are used to fund our deferred compensation liability, compared to a $0.8 million loss recognized during the first six months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six months ended June 30, 2021, our effective tax rate was 21.5% as we recognized income tax expense from continuing operations of $5.0 million on income from continuing operations of $23.2 million. The effective tax rate of 21.5% was more favorable than the statutory rate, inclusive of state income taxes, of 26.6% primarily due to a discrete tax benefit related to electing the Global Intangible Low-Taxed Income (“GILTI”) high-tax exclusion retroactively for the 2018 tax year and a discrete tax benefit for share-based compensation awards that vested during the first quarter.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expense items.</w:t>
      </w:r>
    </w:p>
    <w:p>
      <w:pPr>
        <w:spacing w:after="0" w:line="15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For the six months ended June 30, 2020, our effective tax rate was 21.4% as we recognized an income tax benefit from continuing operations of $7.8 million on a loss from continuing operations of $36.5 million. The effective tax rate of 21.4% was less favorable than the statutory rate, inclusive</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of state income taxes, of 26.0%, primarily due to certain nondeductible business expenses and the nondeductible portion of the goodwill impairment</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charges recorded during the first quarter of 2020. These unfavorable items were partially offset by a discrete tax benefit for share-based compensation awards that vested during the first quarter and a discrete tax benefit for the remeasurement portion of our income tax receivable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result of the enactment of the CARES Act in the first quarter of 2020.</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During 2020, as a result of the CARES Act, we recognized a tax benefit related to the remeasurement of a portion of our income tax receivable for the federal net operating loss incurred in 2018 and the expected federal net operating loss in 2020 that will be carried back to prior year income, both for a refund at the higher, prior year tax rate. As a result of electing the retroactive GILTI high-tax exclusion during 2021, we recognized a $ 1.0 million tax benefit of which $0.4 million related to carrying back our increased 2018 federal net operating loss to prior year income for a refund at the higher, prior year tax rate.</w:t>
      </w:r>
    </w:p>
    <w:p>
      <w:pPr>
        <w:spacing w:after="0" w:line="154"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(Loss) from Continuing Operations and Earnings (Loss) Per Share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income from continuing operations increased by $46.9 million to net income from continuing operations of $18.2 million for the six months ended June 30, 2021, from a net loss from continuing operations of $28.7 million for the same prior year period. This increase is primarily attributable to the $ 59.8 million of non-cash pretax goodwill impairment charges recognized in the first quarter of 2020 related to our Business Advisory segment. As a result of the increase in net income from continuing operations, diluted earnings per share from continuing operations for the first six months of 2021 was $0.82 compared to a loss per share from continuing operations of $1.31 for the first six months of 2020. The non-cash goodwill impairment charges had a $2.14 unfavorable impact on diluted earnings per share from continuing operations for the first six months of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EBITDA increased $ 56.3 million to earnings of $40.0 million for the six months ended June 30, 2021, from a loss of $16.3 million for the six months ended June 30, 2020. The increase in EBITDA was primarily attributable to the non-cash goodwill impairment charges of $59.8 million recognized in the first quarter of 2020. Adjusted EBITDA decreased $4.4 million to $42.1 million in the first six months of 2021 from $46.5 million in the first six months of 2020. The decrease in adjusted EBITDA was primarily attributable to the overall decrease in segment operating income discussed below in Segment Results, excluding depreciation and amortization and restructuring charges allocated at the segment level.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Adjusted net income from continuing operations decreased $1.8 million to $22.9 million in the first six months of 2021 compared to $24.7 million in the first six months of 2020. As a result of the decrease in adjusted net income from continuing operations, adjusted diluted earnings per share from continuing operations for the first six months of 2021 was $1.03 compared to $1.11 for the first six months of 2020.</w:t>
      </w:r>
    </w:p>
    <w:p>
      <w:pPr>
        <w:sectPr>
          <w:pgSz w:w="11900" w:h="16838" w:orient="portrait"/>
          <w:cols w:equalWidth="0" w:num="1">
            <w:col w:w="11240"/>
          </w:cols>
          <w:pgMar w:left="320" w:top="140" w:right="339" w:bottom="52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522"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Healthcare segment revenues increased $0.1 million to $181.1 million for the first six months of 2021 from $180.9 million for the first six months of 2020. The overall increase was primarily due to strengthened demand for this segment's services in the second quarter of 2021, largely offset by the negative impact of the COVID-19 pandemic on demand for this segment's services through the first quarter of 2021.</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six months ended June 30, 2021, revenues from fixed-fee engagements; time-and-expense engagements; performance -based arrangements; and software support, maintenance and subscription arrangements represented 57.1%, 16.2%, 20.9%, and 5.8% of this segment’s revenues, respectively, compared to 58.9%, 15.9%, 18.5%, and 6.7% of this segment’s revenues, respectively, for the same prior year period. Performance-based fee revenue was $37.7 million during the first six months of 2021, compared to $33.4 million during the first six months of 2020. The level of performance-based fees earned may vary based on our clients’ risk sharing preferences and the mix of services we provide.</w:t>
      </w:r>
    </w:p>
    <w:p>
      <w:pPr>
        <w:spacing w:after="0" w:line="154"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Of the overall $0.1 million increase in revenues, $6.7 million was attributable to an increase in revenues from our Healthcare Managed Services employees and $1.4 million was attributable to an increase in revenues from our billable consultants, largely offset by an $8.0 million decrease in revenues from our full-time equivalents.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increase in revenues attributable to our Healthcare Managed Services employees was primarily attributable to an increase in demand for these services, which led to an increase in the average number of managed services employees in the first half of 2021 compared to the same prior year period driven by the hiring of approximately 300 employees in the beginning of the second quarter to expand our capacity to manage and provide revenue cycle billing, collections, insurance verification and change integrity services to our healthcare clients. These employees are serving new and existing clients in our Healthcare Managed Services solution, including serving under a short-term contract with an existing client which we entered into in connection with this group hire. The increase in revenues attributable to our billable consultants reflected a decrease in the average number of billable consultants, partially offset by increases in the average billing rate and the consultant utilization rate during the first six months of 2021 compared to the same prior year period. The decrease in full-time equivalent revenues was primarily driven by a decrease in demand for certain services and a decreased use of contractors and project consultants; and reflected decreases in the average number of full-time equivalents and revenue per full-time equivalent in the first six months of 2021 compared to the same prior 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Healthcare segment operating income increased $2.9 million, or 6.4%, to $48.1 million for the six months ended June 30, 2021, from $45.2 million for the six months ended June 30, 2020. The Healthcare segment operating margin increased to 26.6% for the first six months of 2021 from 25.0% in the same period last year. The increase in this segment’s operating margin was primarily attributable to decreases in practice administration and meetings expenses, contractor expenses, salaries and related expenses for our support personnel, salaries and related expenses for our revenue-generating professionals, share-based compensation expense for our revenue-generating professionals, and product and event costs. These increases to the segment operating margin were partially offset by increases in performance bonus expense for our revenue-generating professionals and signing, retention and other bonus expense for our revenue-generating professionals, both as percentages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Advisory segment revenues increased $8.4 million, or 6.2%, to $143.8 million for the first six months of 2021 from $ 135.4 million for the first six months of 2020, primarily related to strengthened demand for our cloud-based technology and analytics solutions and our strategy and innovation solutions. Revenues for the first six months of 2021 included $7.3 million from our acquisitions of ForceIQ and Unico Solutions, which were completed in November 2020 and February 2021, respectively.</w:t>
      </w:r>
    </w:p>
    <w:p>
      <w:pPr>
        <w:spacing w:after="0" w:line="1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first six months of 2021, revenues from fixed -fee engagements; time-and-expense engagements; performance-based arrangements; and software support, maintenance and subscription arrangements represented 42.6%, 51.2%, 3.4%, and 2.8% of this segment’s revenues, respectively, compared to 39.0%, 57.5%, 1.6%, and 1.9% of this segment’s revenues, respectively, during the same prior year period. Performance-based fee revenue was $4.9 million for the first six months of 2021, compared to $ 2.2 million for the first six months of 2020. The level of performance-based fees earned may vary based on our clients’ preferences and the mix of services we provide.</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Of the overall $8.4 million increase in revenues, $6.7 million was attributable to revenues generated by our billable consultants and $1.7 million was attributable to our full-time equivalents. The increase in revenues from our billable consultants was primarily driven by an increase in the average number of billable consultants, partially offset by decreases in consultant utilization rate and the average billing rate in the first six months of 2021 compared to the same prior year period. The increase in revenues from our full-time equivalents was driven by an increased use of contractors and project consultants; and reflected an increase in the average number of full-time equivalents, partially offset by a decrease in revenue per full-time equivalent in the first six months of 2021 compared to the same prior year period.</w:t>
      </w:r>
    </w:p>
    <w:p>
      <w:pPr>
        <w:sectPr>
          <w:pgSz w:w="11900" w:h="16838" w:orient="portrait"/>
          <w:cols w:equalWidth="0" w:num="1">
            <w:col w:w="11220"/>
          </w:cols>
          <w:pgMar w:left="320" w:top="140" w:right="359" w:bottom="90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90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Business Advisory segment operating income increased by $0.9 million, or 3.3%, to $27.4 million for the six months ended June 30, 2021, from $26.5 million for the six months ended June 30, 2020. The Business Advisory segment operating margin decreased to 19.1% for the first six months of 2021 from 19.6% in the same period last year. The decrease in this segment’s operating margin was primarily attributable to increases in salaries and related expenses for our revenue-generating professionals, contractor expense, and salaries and related expenses for our support personnel, as percentages of revenues; largely offset by decreases in performance bonus expense for our revenue-generating professionals, restructuring charges, promotion and marketing expenses, bad debt expense, and signing, retention and other bonus expense for our revenue-generating professionals.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first quarter 2020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Note 4 "Goodwill and Intangible Assets" within the notes to our consolidated financial statements for additional information on the goodwill impairment charges recorded in the first quarter of 2020 and our goodwill balances.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Education segment revenues decreased $15.7 million, or 12.6%, to $108.5 million for the first six months of 2021 from $124.2 million. The decrease in revenues was related to the negative impact of the COVID-19 pandemic on demand for this segment's services beginning in the second half of 2020 as some clients reprioritized and delayed certain projects as a result of the uncertainties surrounding the pandemic, and is also reflective of the difficult first half comparison driven by the strong growth we experienced in this segment in the first half of 2020 prior to the impact of the pandemic on this segment.</w:t>
      </w:r>
    </w:p>
    <w:p>
      <w:pPr>
        <w:spacing w:after="0" w:line="151"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For the six months ended June 30, 2021, revenues from fixed-fee engagements; time-and-expense engagements; and software support, maintenance and subscription arrangements represented 30.5%, 57.0%, and 12.5% of this segment's revenues, respectively. During the same prior year period, revenues from fixed-fee engagements; time-and-expense engagements; performance-based arrangements; and software support, maintenance and subscription arrangements represented 19.8%, 71.1%, 0.6% and 8.5% of this segment’s revenues, respectively.</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Of the overall $15.7 million decrease in revenues, $14.8 million was attributable to a decrease in revenues generated by our full-time billable consultants and $0.9 million was attributable to a decrease in revenues generated by our full-time equivalents. The decrease in revenues from our full-time billable consultants reflected decreases in the average number of billable consultants, the average billing rate and the consultant utilization rate in the first six months of 2021 compared to the same prior year period. The decrease in revenues from our full-time equivalents was primarily driven by a decreased use of contractors and project consultants, partially offset by an increase in software subscriptions, software support and maintenance, and data hosting revenues. The overall decrease in full-time equivalent revenues reflected a decrease in the average number of full-time equivalents, partially offset by an increase in revenue per full-time equivalent in the first six months of 2021 compared to the same prior 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Education segment operating income decreased $6.8 million, or 23.3%, to $22.4 million for the six months ended June 30, 2021, from $29.2 million for the six months ended June 30, 2020. The Education segment operating margin decreased to 20.7% for the first six months of 2021 from 23.6% in the same period last year. The decrease in this segment’s operating margin was primarily attributable to increases in salaries and related expenses for our revenue-generating professionals as a percentage of revenues and an increase in technology expenses, partially offset by decreases in contractor expense and promotion and marketing expenses, as percentages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Cash and cash equivalents decreased $54.2 million to $ 13.0 million at June 30, 2021 from $67.2 million at December 31, 2020. As of June 30, 2021, our primary sources of liquidity are cash on hand, cash flows from our U.S. operations, and borrowing capacity available under our credit facility.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29"/>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(24,141)</w:t>
            </w:r>
          </w:p>
        </w:tc>
      </w:tr>
      <w:tr>
        <w:trPr>
          <w:trHeight w:val="230"/>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94,051</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927"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927"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operating activities totaled $62.0 million for the six months ended June 30, 2021, compared to net cash provided by operating activities of $1.8 million for the six months ended June 30, 2020.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5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increase in cash used in operating activities for the first six months of 2021 compared to the same prior year period was primarily attributable to a decrease in cash collections, partially offset by a decrease in the amount paid for annual performance bonuses in the first quarter of 2021 compared to the first quarter of 2020 and a decrease in selling, general and administrative expenses during the first six months of 2021 compared to the first six months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$13.8 million and $24.1 million for the six months ended June 30, 2021 and 2020, respectively.</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use of cash in the first six months of 2021 primarily consisted of $5.9 million for the purchase of a business; $5.4 million for purchases of property and equipment, primarily related to purchases of leasehold improvements for certain office spaces and computers and related equipment; and $2.5 million for payments related to internally developed software.</w:t>
      </w:r>
    </w:p>
    <w:p>
      <w:pPr>
        <w:spacing w:after="0" w:line="148"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The use of cash in the first six months of 2020 primarily consisted of $13.0 million for the purchase of an additional convertible debt investment in</w:t>
      </w:r>
    </w:p>
    <w:p>
      <w:pPr>
        <w:spacing w:after="0" w:line="1"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Shorelight Holdings, LLC; $5.2 million for payments related to internally developed software; $4.4 million for purchases of property and equipment, primarily related to purchases of furniture and leasehold improvements for certain office spaces and computers and related equipment; and $1.5 million for contributions to our life insurance policies which fund our deferred compensation plan.</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2021 will total approximately $13 million to $17 million; primarily consisting of leasehold improvements for certain office locations, software development costs, and information technology equipment.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Net cash provided by financing activities was $21.3 million and $94.1 million for the six months ended June 30, 2021 and June 30, 2020, respectively.</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first six months of 2021, we borrowed $ 139.0 million, primarily to fund our annual performance bonus payment in the first quarter of 2021, and made repayments on our borrowings of $74.3 million. Additionally, during the first six months of 2021, we repurchased and retired $35.2 million of our common stock under our 2020 Share Repurchase Program, as defined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2020, we borrowed $283.0 million under our credit facility, including $125.0 million prior to March 31, 2020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maintain excess cash and support liquidity during the period of uncertainty created by the COVID-19 pandemic, as well as to fund our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bonus payment. During the first six months of 2020, we made repayments on our borrowings of $160.3 million, including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 million payment in the second quarter of 2020 to repay a portion of the additional borrowings made in the first quarter of 2020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adequate cash flows from operations and improved clarity around access to capital resources. Additionally,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repurchased and retired $20.9 million of our common stock under our 2015 Share Repurchase Program, as defined below, and settled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million of share repurchases that were accrued as of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2020 Share Repurchase Program and 2015 Share Repurchase Program are collectively known as the “Share Repurchase Programs.”</w:t>
      </w:r>
    </w:p>
    <w:p>
      <w:pPr>
        <w:spacing w:after="0" w:line="1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2020 Share Repurchase Program, we repurchased and retired 651,081 shares for $35.2 million, during the six months ended June 30, 2021. Under the 2015 Share Repurchase Program, we repurchased and retired 313,998 shares for $20.9 million, during the six months ended June 30, 2020. Additionally, in the first quarter of 2020, we settled the repurchase of 18,000 shares for $1.2 million that were accrued as of December 31, 2019. As of June 30, 2021, $9.7 million remained available for share repurchases under the 2020 Share Repurchase Program.</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third quarter of 2021, our board of directors authorized an extension of the 2020 Share Repurchase Program through December 31, 2022 and increased the authorized amount from $50 million to $100 million. The amount and timing of repurchases under the Share Repurchase</w:t>
      </w:r>
    </w:p>
    <w:p>
      <w:pPr>
        <w:sectPr>
          <w:pgSz w:w="11900" w:h="16838" w:orient="portrait"/>
          <w:cols w:equalWidth="0" w:num="1">
            <w:col w:w="11220"/>
          </w:cols>
          <w:pgMar w:left="320" w:top="140" w:right="359" w:bottom="1022"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022"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Programs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At June 30, 2021, we had $265.0 million outstanding under our senior secured credit facility and $3.1 million outstanding under a promissory note, as discussed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60" w:firstLine="8"/>
        <w:spacing w:after="0" w:line="251"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2021 and December 31, 2020, we were in compliance with these financial covenants. Our Consolidated Leverage Ratio as of June 30, 2021 was 2.80 to 1.00, compared to 1.94 to 1.00 as of December 31, 2020. Our Consolidated Interest Coverage Ratio as of June 30, 2021 was 13.83 to 1.00, compared to 12.51 to 1.00 as of December 31, 2020.</w:t>
      </w:r>
    </w:p>
    <w:p>
      <w:pPr>
        <w:spacing w:after="0" w:line="15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Principal borrowings outstanding under the Amended Credit Agreement at June 30, 2021 and December 31, 2020 totaled $ 265.0 million and $200.0 million, respectively. These borrowings carried a weighted average interest rate of 2.4% at June 30, 2021 and 2.5% at December 31, 2020,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June 30, 2021, we had outstanding letters of credit totaling $0.7 million, which are primarily used as security deposits for our office facilities. As of June 30, 2021, the unused borrowing capacity under the revolving credit facility was $334.3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June 30, 2021, the outstanding principal amount of the promissory note was $3.1 million, and the aircraft had a carrying amount of $4.1 million. At December 31, 2020, the outstanding principal amount of the promissory note was $3.3 million, and the aircraft had a carrying amount of $4.4 million.</w:t>
      </w:r>
    </w:p>
    <w:p>
      <w:pPr>
        <w:sectPr>
          <w:pgSz w:w="11900" w:h="16838" w:orient="portrait"/>
          <w:cols w:equalWidth="0" w:num="1">
            <w:col w:w="11240"/>
          </w:cols>
          <w:pgMar w:left="320" w:top="140" w:right="339" w:bottom="100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008"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80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current primary financing need is to support our operations during the COVID-19 pandemic. The pandemic has created significant volatility and uncertainty in the economy, which could limit our access to capital resources and could increase our borrowing costs. In order to support our liquidity during the pandemic, we took proactive measures to increase available cash on hand, including, but not limited to, borrowing under our senior secured credit facility in the first quarter of 2020 and reducing discretionary operating and capital expenses. To further support our liquidity, we elected to defer the deposit of our employer portion of social security taxes beginning in April 2020 and through December 2020, as provided for under the CARES Act. These deferred payments are due in equal installments in the fourth quarters of 2021 and 2022. Our long-term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2020. As of June 30, 2021, borrowings outstanding under our senior secured credit facility totaled $265.0 million compared to $200.0 million at December 31, 2020. See the "Liquidity and Capital Resources" section above and Note 7 "Financing Arrangements" within the notes to our consolidated financial statements for additional information on our outstanding borrowings as of June 30, 2021. There have been no other material changes to our contractual obligations since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2020. There have been no material changes to our critical accounting policies during the first six months of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365"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1340"/>
        <w:spacing w:after="0" w:line="438" w:lineRule="auto"/>
        <w:rPr>
          <w:sz w:val="20"/>
          <w:szCs w:val="20"/>
          <w:color w:val="auto"/>
        </w:rPr>
      </w:pPr>
      <w:r>
        <w:rPr>
          <w:rFonts w:ascii="Arial" w:cs="Arial" w:eastAsia="Arial" w:hAnsi="Arial"/>
          <w:sz w:val="18"/>
          <w:szCs w:val="18"/>
          <w:color w:val="auto"/>
        </w:rPr>
        <w:t xml:space="preserve">We are exposed to market risks primarily from changes in interest rates and changes in the market value of our investments. </w:t>
      </w:r>
      <w:r>
        <w:rPr>
          <w:rFonts w:ascii="Arial" w:cs="Arial" w:eastAsia="Arial" w:hAnsi="Arial"/>
          <w:sz w:val="18"/>
          <w:szCs w:val="18"/>
          <w:b w:val="1"/>
          <w:bCs w:val="1"/>
          <w:color w:val="auto"/>
        </w:rPr>
        <w:t>Market Risk and Interest Rate Risk</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June 30, 2021, we had borrowings outstanding under the credit facility totaling $265.0 million that carried a weighted average interest rate of 2.4%, including the impact of the interest rate swaps described below. A hypothetical 100 basis point change in the interest rate would have a $0.7 million effect on our pretax income on an annualized basis, including the effect of the interest rate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swaps. At December 31, 2020, we had borrowings outstanding under the credit facility totaling $200.0 million that carried a weighted average interest rate of 2.5% including the impact of the interest rate swaps. As of December 31, 2020, these variable rate borrowings were fully hedged against changes in interest rates by the interest rate swaps, which have a notional amount of $200.0 million. A hypothetical 100 basis point change in the interest rate would have had no impact on our pretax income, on an annualized basis, including the effect of the interest rate swaps.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June 30, 2021, the outstanding principal amount of the promissory note was $3.1 million and carried an interest rate of 2.1%. A hypothetical 100 basis point change in this interest rate would not have a material effect on our pretax income. At December 31, 2020, the outstanding principal amount of the promissory note was $3.3 million and carried an interest rate of 2.1%. A hypothetical 100 basis point change in the interest rate as of December 31, 2020 would not have had a material effect on our pretax income.</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an investment in the form of 1.69% convertible debt in Shorelight Holdings, LLC, a privately-held company, which we account for as an available-for-sale debt security. As such, the investment is carried at fair value with unrealized holding gains and losses excluded from earnings and reported in other comprehensive income. As of June 30, 2021, the fair value of the investment was $60.0 million, with a total cost basis of $40.9 million. At December 31, 2020, the fair value of the investment was $64.4 million, with a total cost basis of $40.9 million.</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June 30, 2021 and December 31, 2020, the carrying value of the investment was $6.7 million, with a total cost basis of $5.0 million. Following our purchase, we have not identified any impairment of our investment.</w:t>
      </w:r>
    </w:p>
    <w:p>
      <w:pPr>
        <w:spacing w:after="0" w:line="15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See Note 10 “Fair Value of Financial Instruments” for further information on our long-term investments in Shorelight Holdings, LLC and Medically Home Group, Inc.</w:t>
      </w:r>
    </w:p>
    <w:p>
      <w:pPr>
        <w:spacing w:after="0" w:line="16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2021. Based on this evaluation, our Chief Executive Officer and Chief Financial Officer have concluded that, as of June 30, 2021,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2021 that has materially affected, or is reasonably likely to materially affect, our internal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w:t>
      </w:r>
    </w:p>
    <w:p>
      <w:pPr>
        <w:sectPr>
          <w:pgSz w:w="11900" w:h="16838" w:orient="portrait"/>
          <w:cols w:equalWidth="0" w:num="1">
            <w:col w:w="11220"/>
          </w:cols>
          <w:pgMar w:left="320" w:top="140" w:right="359" w:bottom="8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86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Form 10-Q.</w:t>
      </w:r>
    </w:p>
    <w:p>
      <w:pPr>
        <w:spacing w:after="0" w:line="4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6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2020, which was filed with the Securities and Exchange Commission on February 23, 2021, for a complete description of the material risks we face.</w:t>
      </w:r>
    </w:p>
    <w:p>
      <w:pPr>
        <w:spacing w:after="0" w:line="16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June 30, 2021, we reacquired 2,843 shares of common stock with a weighted average fair market value of $52.09 as a result of such tax withholdings.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have a share repurchase program permitting us to repurchase up to $50 million of our common stock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(the "2020 Share Repurchase Program"). During the third quarter of 2021, our board of directors authorized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extension of the 2020 Share Repurchase Program through December 31, 2022 and increased the authorized amount from $50 million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million. The amount and timing of the repurchases will be determined by management and will depend on a variety of factors,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trading price of our common stock, capacity under our line of credit, general market and business conditions, and applicable legal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2021.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5"/>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2021 - April 30, 2021</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365,994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11,972,407</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May 1, 2021 - May 31, 2021</w:t>
            </w:r>
          </w:p>
        </w:tc>
        <w:tc>
          <w:tcPr>
            <w:tcW w:w="1580" w:type="dxa"/>
            <w:vAlign w:val="bottom"/>
          </w:tcPr>
          <w:p>
            <w:pPr>
              <w:jc w:val="right"/>
              <w:spacing w:after="0"/>
              <w:rPr>
                <w:sz w:val="20"/>
                <w:szCs w:val="20"/>
                <w:color w:val="auto"/>
              </w:rPr>
            </w:pPr>
            <w:r>
              <w:rPr>
                <w:rFonts w:ascii="Arial" w:cs="Arial" w:eastAsia="Arial" w:hAnsi="Arial"/>
                <w:sz w:val="18"/>
                <w:szCs w:val="18"/>
                <w:color w:val="auto"/>
              </w:rPr>
              <w:t>39,369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39,369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9,731,354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2021 - June 30, 2021</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9,731,354</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408,206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80" w:right="140" w:hanging="972"/>
        <w:spacing w:after="0" w:line="291" w:lineRule="auto"/>
        <w:tabs>
          <w:tab w:leader="none" w:pos="10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repurchased included 1,122 shares in April 2021 and 1,721 shares in June 2021 to satisfy employee tax withholding requirements. These shares do not reduce the repurchase authority under the 2020 Share Repurchase Program.</w:t>
      </w:r>
    </w:p>
    <w:p>
      <w:pPr>
        <w:spacing w:after="0" w:line="11" w:lineRule="exact"/>
        <w:rPr>
          <w:rFonts w:ascii="Arial" w:cs="Arial" w:eastAsia="Arial" w:hAnsi="Arial"/>
          <w:sz w:val="17"/>
          <w:szCs w:val="17"/>
          <w:color w:val="auto"/>
        </w:rPr>
      </w:pPr>
    </w:p>
    <w:p>
      <w:pPr>
        <w:ind w:left="1020" w:hanging="101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4680" w:type="dxa"/>
            <w:vAlign w:val="bottom"/>
            <w:gridSpan w:val="11"/>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Filed</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Furnished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Period</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900" w:type="dxa"/>
            <w:vAlign w:val="bottom"/>
          </w:tcPr>
          <w:p>
            <w:pPr>
              <w:jc w:val="center"/>
              <w:ind w:right="5"/>
              <w:spacing w:after="0" w:line="142"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4680" w:type="dxa"/>
            <w:vAlign w:val="bottom"/>
            <w:gridSpan w:val="11"/>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55"/>
        </w:trPr>
        <w:tc>
          <w:tcPr>
            <w:tcW w:w="820" w:type="dxa"/>
            <w:vAlign w:val="bottom"/>
          </w:tcPr>
          <w:p>
            <w:pPr>
              <w:ind w:left="20"/>
              <w:spacing w:after="0" w:line="155"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3"/>
                <w:szCs w:val="13"/>
                <w:color w:val="auto"/>
              </w:rPr>
            </w:pPr>
          </w:p>
        </w:tc>
        <w:tc>
          <w:tcPr>
            <w:tcW w:w="4480" w:type="dxa"/>
            <w:vAlign w:val="bottom"/>
            <w:tcBorders>
              <w:bottom w:val="single" w:sz="8" w:color="0000FF"/>
            </w:tcBorders>
            <w:gridSpan w:val="8"/>
          </w:tcPr>
          <w:p>
            <w:pPr>
              <w:spacing w:after="0" w:line="136" w:lineRule="exact"/>
              <w:rPr>
                <w:rFonts w:ascii="Arial" w:cs="Arial" w:eastAsia="Arial" w:hAnsi="Arial"/>
                <w:sz w:val="15"/>
                <w:szCs w:val="15"/>
                <w:color w:val="0000FF"/>
              </w:rPr>
            </w:pPr>
            <w:hyperlink r:id="rId68">
              <w:r>
                <w:rPr>
                  <w:rFonts w:ascii="Arial" w:cs="Arial" w:eastAsia="Arial" w:hAnsi="Arial"/>
                  <w:sz w:val="15"/>
                  <w:szCs w:val="15"/>
                  <w:color w:val="0000FF"/>
                </w:rPr>
                <w:t>Amendment to the Huron Consulting Group Inc. Amended and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8"/>
              </w:rPr>
              <w:t>DEF 14A</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180"/>
              <w:spacing w:after="0" w:line="155" w:lineRule="exact"/>
              <w:rPr>
                <w:sz w:val="20"/>
                <w:szCs w:val="20"/>
                <w:color w:val="auto"/>
              </w:rPr>
            </w:pPr>
            <w:r>
              <w:rPr>
                <w:rFonts w:ascii="Arial" w:cs="Arial" w:eastAsia="Arial" w:hAnsi="Arial"/>
                <w:sz w:val="16"/>
                <w:szCs w:val="16"/>
                <w:color w:val="auto"/>
              </w:rPr>
              <w:t>Appendix A</w:t>
            </w:r>
          </w:p>
        </w:tc>
        <w:tc>
          <w:tcPr>
            <w:tcW w:w="900" w:type="dxa"/>
            <w:vAlign w:val="bottom"/>
          </w:tcPr>
          <w:p>
            <w:pPr>
              <w:jc w:val="center"/>
              <w:spacing w:after="0" w:line="155" w:lineRule="exact"/>
              <w:rPr>
                <w:sz w:val="20"/>
                <w:szCs w:val="20"/>
                <w:color w:val="auto"/>
              </w:rPr>
            </w:pPr>
            <w:r>
              <w:rPr>
                <w:rFonts w:ascii="Arial" w:cs="Arial" w:eastAsia="Arial" w:hAnsi="Arial"/>
                <w:sz w:val="16"/>
                <w:szCs w:val="16"/>
                <w:color w:val="auto"/>
              </w:rPr>
              <w:t>3/26/2021</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80" w:type="dxa"/>
            <w:vAlign w:val="bottom"/>
            <w:tcBorders>
              <w:bottom w:val="single" w:sz="8" w:color="0000FF"/>
            </w:tcBorders>
            <w:gridSpan w:val="8"/>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Restated 2012 Omnibus Incentive Plan, effective May 7, 2021.</w:t>
              </w:r>
            </w:hyperlink>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4680" w:type="dxa"/>
            <w:vAlign w:val="bottom"/>
            <w:gridSpan w:val="11"/>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Certification of the Chief Executive Officer, pursuant to Rule</w:t>
              </w:r>
            </w:hyperlink>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13a-14(a)/15d-14(a), as adopted pursuant to Section 302 of</w:t>
              </w:r>
            </w:hyperlink>
          </w:p>
        </w:tc>
        <w:tc>
          <w:tcPr>
            <w:tcW w:w="40" w:type="dxa"/>
            <w:vAlign w:val="bottom"/>
          </w:tcPr>
          <w:p>
            <w:pPr>
              <w:spacing w:after="0"/>
              <w:rPr>
                <w:sz w:val="12"/>
                <w:szCs w:val="12"/>
                <w:color w:val="auto"/>
              </w:rPr>
            </w:pPr>
          </w:p>
        </w:tc>
        <w:tc>
          <w:tcPr>
            <w:tcW w:w="380" w:type="dxa"/>
            <w:vAlign w:val="bottom"/>
            <w:gridSpan w:val="4"/>
          </w:tcPr>
          <w:p>
            <w:pPr>
              <w:ind w:left="20"/>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the</w:t>
              </w:r>
            </w:hyperlink>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Sarbanes-Oxley Act of 2002.</w:t>
              </w:r>
            </w:hyperlink>
          </w:p>
        </w:tc>
        <w:tc>
          <w:tcPr>
            <w:tcW w:w="2480" w:type="dxa"/>
            <w:vAlign w:val="bottom"/>
            <w:tcBorders>
              <w:top w:val="single" w:sz="8" w:color="0000FF"/>
            </w:tcBorders>
            <w:gridSpan w:val="9"/>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4220" w:type="dxa"/>
            <w:vAlign w:val="bottom"/>
            <w:tcBorders>
              <w:bottom w:val="single" w:sz="8" w:color="0000FF"/>
            </w:tcBorders>
            <w:gridSpan w:val="5"/>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Certification of the Chief Financial Officer, pursuant to Rule</w:t>
              </w:r>
            </w:hyperlink>
          </w:p>
        </w:tc>
        <w:tc>
          <w:tcPr>
            <w:tcW w:w="460" w:type="dxa"/>
            <w:vAlign w:val="bottom"/>
            <w:gridSpan w:val="6"/>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80" w:type="dxa"/>
            <w:vAlign w:val="bottom"/>
            <w:gridSpan w:val="11"/>
          </w:tcPr>
          <w:p>
            <w:pPr>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13a-14(a)/15d-14(a), as adopted pursuant to Section 302 of the</w:t>
              </w:r>
            </w:hyperlink>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Sarbanes-Oxley Act of 2002.</w:t>
              </w:r>
            </w:hyperlink>
          </w:p>
        </w:tc>
        <w:tc>
          <w:tcPr>
            <w:tcW w:w="2480" w:type="dxa"/>
            <w:vAlign w:val="bottom"/>
            <w:tcBorders>
              <w:top w:val="single" w:sz="8" w:color="0000FF"/>
            </w:tcBorders>
            <w:gridSpan w:val="9"/>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4680" w:type="dxa"/>
            <w:vAlign w:val="bottom"/>
            <w:gridSpan w:val="11"/>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Certification of the Chief Executive Officer, pursuant to 18</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2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w:anchor="page52">
              <w:r>
                <w:rPr>
                  <w:rFonts w:ascii="Arial" w:cs="Arial" w:eastAsia="Arial" w:hAnsi="Arial"/>
                  <w:sz w:val="16"/>
                  <w:szCs w:val="16"/>
                  <w:color w:val="0000FF"/>
                </w:rPr>
                <w:t>U.S.C. Section 1350, as adopted pursuant to Section 906</w:t>
              </w:r>
            </w:hyperlink>
          </w:p>
        </w:tc>
        <w:tc>
          <w:tcPr>
            <w:tcW w:w="560" w:type="dxa"/>
            <w:vAlign w:val="bottom"/>
            <w:gridSpan w:val="7"/>
          </w:tcPr>
          <w:p>
            <w:pPr>
              <w:ind w:left="40"/>
              <w:spacing w:after="0" w:line="142" w:lineRule="exact"/>
              <w:rPr>
                <w:rFonts w:ascii="Arial" w:cs="Arial" w:eastAsia="Arial" w:hAnsi="Arial"/>
                <w:sz w:val="16"/>
                <w:szCs w:val="16"/>
                <w:color w:val="0000FF"/>
              </w:rPr>
            </w:pPr>
            <w:hyperlink w:anchor="page52">
              <w:r>
                <w:rPr>
                  <w:rFonts w:ascii="Arial" w:cs="Arial" w:eastAsia="Arial" w:hAnsi="Arial"/>
                  <w:sz w:val="16"/>
                  <w:szCs w:val="16"/>
                  <w:color w:val="0000FF"/>
                </w:rPr>
                <w:t>of</w:t>
              </w:r>
            </w:hyperlink>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2">
              <w:r>
                <w:rPr>
                  <w:rFonts w:ascii="Arial" w:cs="Arial" w:eastAsia="Arial" w:hAnsi="Arial"/>
                  <w:sz w:val="16"/>
                  <w:szCs w:val="16"/>
                  <w:color w:val="0000FF"/>
                </w:rPr>
                <w:t>the Sarbanes-Oxley Act of 2002.</w:t>
              </w:r>
            </w:hyperlink>
          </w:p>
        </w:tc>
        <w:tc>
          <w:tcPr>
            <w:tcW w:w="3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4680" w:type="dxa"/>
            <w:vAlign w:val="bottom"/>
            <w:gridSpan w:val="11"/>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Certification of the Chief Financial Officer, pursuant to 18</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Borders>
              <w:top w:val="single" w:sz="8" w:color="0000FF"/>
            </w:tcBorders>
            <w:gridSpan w:val="3"/>
          </w:tcPr>
          <w:p>
            <w:pPr>
              <w:spacing w:after="0" w:line="142" w:lineRule="exact"/>
              <w:rPr>
                <w:rFonts w:ascii="Arial" w:cs="Arial" w:eastAsia="Arial" w:hAnsi="Arial"/>
                <w:sz w:val="16"/>
                <w:szCs w:val="16"/>
                <w:color w:val="0000FF"/>
                <w:w w:val="99"/>
              </w:rPr>
            </w:pPr>
            <w:hyperlink w:anchor="page53">
              <w:r>
                <w:rPr>
                  <w:rFonts w:ascii="Arial" w:cs="Arial" w:eastAsia="Arial" w:hAnsi="Arial"/>
                  <w:sz w:val="16"/>
                  <w:szCs w:val="16"/>
                  <w:color w:val="0000FF"/>
                  <w:w w:val="99"/>
                </w:rPr>
                <w:t>U.S.C. Section 1350, as adopted pursuant to Section 906</w:t>
              </w:r>
            </w:hyperlink>
          </w:p>
        </w:tc>
        <w:tc>
          <w:tcPr>
            <w:tcW w:w="620" w:type="dxa"/>
            <w:vAlign w:val="bottom"/>
            <w:gridSpan w:val="8"/>
          </w:tcPr>
          <w:p>
            <w:pPr>
              <w:ind w:left="100"/>
              <w:spacing w:after="0" w:line="142" w:lineRule="exact"/>
              <w:rPr>
                <w:rFonts w:ascii="Arial" w:cs="Arial" w:eastAsia="Arial" w:hAnsi="Arial"/>
                <w:sz w:val="16"/>
                <w:szCs w:val="16"/>
                <w:color w:val="0000FF"/>
              </w:rPr>
            </w:pPr>
            <w:hyperlink w:anchor="page53">
              <w:r>
                <w:rPr>
                  <w:rFonts w:ascii="Arial" w:cs="Arial" w:eastAsia="Arial" w:hAnsi="Arial"/>
                  <w:sz w:val="16"/>
                  <w:szCs w:val="16"/>
                  <w:color w:val="0000FF"/>
                </w:rPr>
                <w:t>of</w:t>
              </w:r>
            </w:hyperlink>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w:anchor="page53">
              <w:r>
                <w:rPr>
                  <w:rFonts w:ascii="Arial" w:cs="Arial" w:eastAsia="Arial" w:hAnsi="Arial"/>
                  <w:sz w:val="16"/>
                  <w:szCs w:val="16"/>
                  <w:color w:val="0000FF"/>
                </w:rPr>
                <w:t>the Sarbanes-Oxley Act of 2002.</w:t>
              </w:r>
            </w:hyperlink>
          </w:p>
        </w:tc>
        <w:tc>
          <w:tcPr>
            <w:tcW w:w="38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0" w:type="dxa"/>
            <w:vAlign w:val="bottom"/>
          </w:tcPr>
          <w:p>
            <w:pPr>
              <w:ind w:left="20"/>
              <w:spacing w:after="0"/>
              <w:rPr>
                <w:sz w:val="20"/>
                <w:szCs w:val="20"/>
                <w:color w:val="auto"/>
              </w:rPr>
            </w:pPr>
            <w:r>
              <w:rPr>
                <w:rFonts w:ascii="Arial" w:cs="Arial" w:eastAsia="Arial" w:hAnsi="Arial"/>
                <w:sz w:val="16"/>
                <w:szCs w:val="16"/>
                <w:color w:val="auto"/>
              </w:rPr>
              <w:t>101.INS</w:t>
            </w:r>
          </w:p>
        </w:tc>
        <w:tc>
          <w:tcPr>
            <w:tcW w:w="120" w:type="dxa"/>
            <w:vAlign w:val="bottom"/>
          </w:tcPr>
          <w:p>
            <w:pPr>
              <w:spacing w:after="0"/>
              <w:rPr>
                <w:sz w:val="17"/>
                <w:szCs w:val="17"/>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gridSpan w:val="11"/>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are embedded within the Inline XBRL 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20"/>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18"/>
                <w:szCs w:val="18"/>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20"/>
              <w:spacing w:after="0"/>
              <w:rPr>
                <w:sz w:val="20"/>
                <w:szCs w:val="20"/>
                <w:color w:val="auto"/>
              </w:rPr>
            </w:pPr>
            <w:r>
              <w:rPr>
                <w:rFonts w:ascii="Arial" w:cs="Arial" w:eastAsia="Arial" w:hAnsi="Arial"/>
                <w:sz w:val="16"/>
                <w:szCs w:val="16"/>
                <w:color w:val="auto"/>
              </w:rPr>
              <w:t>101.CAL</w:t>
            </w:r>
          </w:p>
        </w:tc>
        <w:tc>
          <w:tcPr>
            <w:tcW w:w="120" w:type="dxa"/>
            <w:vAlign w:val="bottom"/>
          </w:tcPr>
          <w:p>
            <w:pPr>
              <w:spacing w:after="0"/>
              <w:rPr>
                <w:sz w:val="15"/>
                <w:szCs w:val="15"/>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20"/>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18"/>
                <w:szCs w:val="18"/>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15"/>
                <w:szCs w:val="15"/>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20"/>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15"/>
                <w:szCs w:val="15"/>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5"/>
                <w:szCs w:val="15"/>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80" w:type="dxa"/>
            <w:vAlign w:val="bottom"/>
            <w:gridSpan w:val="11"/>
          </w:tcPr>
          <w:p>
            <w:pPr>
              <w:spacing w:after="0"/>
              <w:rPr>
                <w:sz w:val="20"/>
                <w:szCs w:val="20"/>
                <w:color w:val="auto"/>
              </w:rPr>
            </w:pPr>
            <w:r>
              <w:rPr>
                <w:rFonts w:ascii="Arial" w:cs="Arial" w:eastAsia="Arial" w:hAnsi="Arial"/>
                <w:sz w:val="16"/>
                <w:szCs w:val="16"/>
                <w:color w:val="auto"/>
              </w:rPr>
              <w:t>contained in Exhibit 101)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0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July 29, 2021</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68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Pr>
          <w:p>
            <w:pPr>
              <w:ind w:left="1560"/>
              <w:spacing w:after="0" w:line="189" w:lineRule="exact"/>
              <w:rPr>
                <w:sz w:val="20"/>
                <w:szCs w:val="20"/>
                <w:color w:val="auto"/>
              </w:rPr>
            </w:pPr>
            <w:r>
              <w:rPr>
                <w:rFonts w:ascii="Arial" w:cs="Arial" w:eastAsia="Arial" w:hAnsi="Arial"/>
                <w:sz w:val="18"/>
                <w:szCs w:val="18"/>
                <w:color w:val="auto"/>
              </w:rPr>
              <w:t>Executive Vice President,</w:t>
            </w:r>
          </w:p>
        </w:tc>
      </w:t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0"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29,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30"/>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July 29, 2021</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9"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2021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29, 2021</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30"/>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2021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8"/>
              </w:rPr>
              <w:t>July 29, 2021</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80" w:type="dxa"/>
            <w:vAlign w:val="bottom"/>
          </w:tcPr>
          <w:p>
            <w:pPr>
              <w:jc w:val="center"/>
              <w:spacing w:after="0" w:line="189" w:lineRule="exact"/>
              <w:rPr>
                <w:sz w:val="20"/>
                <w:szCs w:val="20"/>
                <w:color w:val="auto"/>
              </w:rPr>
            </w:pPr>
            <w:r>
              <w:rPr>
                <w:rFonts w:ascii="Arial" w:cs="Arial" w:eastAsia="Arial" w:hAnsi="Arial"/>
                <w:sz w:val="18"/>
                <w:szCs w:val="18"/>
                <w:color w:val="auto"/>
                <w:w w:val="99"/>
              </w:rPr>
              <w:t>Executive Vice President,</w:t>
            </w:r>
          </w:p>
        </w:tc>
      </w:tr>
      <w:tr>
        <w:trPr>
          <w:trHeight w:val="217"/>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6"/>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68" Type="http://schemas.openxmlformats.org/officeDocument/2006/relationships/hyperlink" Target="https://www.sec.gov/Archives/edgar/data/1289848/000119312521096008/d170561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2021-07-30T05:59:08Z</dcterms:created>
  <dcterms:modified xsi:type="dcterms:W3CDTF">2021-07-30T05:59:08Z</dcterms:modified>
</cp:coreProperties>
</file>