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797560</wp:posOffset>
            </wp:positionV>
            <wp:extent cx="67576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711835</wp:posOffset>
            </wp:positionV>
            <wp:extent cx="67576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184785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241935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76" w:lineRule="exact"/>
        <w:rPr>
          <w:sz w:val="24"/>
          <w:szCs w:val="24"/>
          <w:color w:val="auto"/>
        </w:rPr>
      </w:pPr>
    </w:p>
    <w:p>
      <w:pPr>
        <w:ind w:left="680" w:right="1060" w:hanging="645"/>
        <w:spacing w:after="0" w:line="262"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2015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9" w:lineRule="exact"/>
        <w:rPr>
          <w:sz w:val="24"/>
          <w:szCs w:val="24"/>
          <w:color w:val="auto"/>
        </w:rPr>
      </w:pPr>
    </w:p>
    <w:p>
      <w:pPr>
        <w:ind w:left="680" w:right="1040" w:hanging="645"/>
        <w:spacing w:after="0" w:line="262" w:lineRule="auto"/>
        <w:tabs>
          <w:tab w:leader="none" w:pos="6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000-50976</w:t>
      </w:r>
    </w:p>
    <w:p>
      <w:pPr>
        <w:spacing w:after="0" w:line="2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H</w:t>
      </w:r>
      <w:r>
        <w:rPr>
          <w:rFonts w:ascii="Times New Roman" w:cs="Times New Roman" w:eastAsia="Times New Roman" w:hAnsi="Times New Roman"/>
          <w:sz w:val="36"/>
          <w:szCs w:val="36"/>
          <w:b w:val="1"/>
          <w:bCs w:val="1"/>
          <w:color w:val="auto"/>
        </w:rPr>
        <w:t>URON</w:t>
      </w:r>
      <w:r>
        <w:rPr>
          <w:rFonts w:ascii="Times New Roman" w:cs="Times New Roman" w:eastAsia="Times New Roman" w:hAnsi="Times New Roman"/>
          <w:sz w:val="43"/>
          <w:szCs w:val="43"/>
          <w:b w:val="1"/>
          <w:bCs w:val="1"/>
          <w:color w:val="auto"/>
        </w:rPr>
        <w:t xml:space="preserve"> C</w:t>
      </w:r>
      <w:r>
        <w:rPr>
          <w:rFonts w:ascii="Times New Roman" w:cs="Times New Roman" w:eastAsia="Times New Roman" w:hAnsi="Times New Roman"/>
          <w:sz w:val="36"/>
          <w:szCs w:val="36"/>
          <w:b w:val="1"/>
          <w:bCs w:val="1"/>
          <w:color w:val="auto"/>
        </w:rPr>
        <w:t>ONSULTING</w:t>
      </w:r>
      <w:r>
        <w:rPr>
          <w:rFonts w:ascii="Times New Roman" w:cs="Times New Roman" w:eastAsia="Times New Roman" w:hAnsi="Times New Roman"/>
          <w:sz w:val="43"/>
          <w:szCs w:val="43"/>
          <w:b w:val="1"/>
          <w:bCs w:val="1"/>
          <w:color w:val="auto"/>
        </w:rPr>
        <w:t xml:space="preserve"> G</w:t>
      </w:r>
      <w:r>
        <w:rPr>
          <w:rFonts w:ascii="Times New Roman" w:cs="Times New Roman" w:eastAsia="Times New Roman" w:hAnsi="Times New Roman"/>
          <w:sz w:val="36"/>
          <w:szCs w:val="36"/>
          <w:b w:val="1"/>
          <w:bCs w:val="1"/>
          <w:color w:val="auto"/>
        </w:rPr>
        <w:t>ROUP</w:t>
      </w:r>
      <w:r>
        <w:rPr>
          <w:rFonts w:ascii="Times New Roman" w:cs="Times New Roman" w:eastAsia="Times New Roman" w:hAnsi="Times New Roman"/>
          <w:sz w:val="43"/>
          <w:szCs w:val="43"/>
          <w:b w:val="1"/>
          <w:bCs w:val="1"/>
          <w:color w:val="auto"/>
        </w:rPr>
        <w:t xml:space="preserve"> I</w:t>
      </w:r>
      <w:r>
        <w:rPr>
          <w:rFonts w:ascii="Times New Roman" w:cs="Times New Roman" w:eastAsia="Times New Roman" w:hAnsi="Times New Roman"/>
          <w:sz w:val="36"/>
          <w:szCs w:val="36"/>
          <w:b w:val="1"/>
          <w:bCs w:val="1"/>
          <w:color w:val="auto"/>
        </w:rPr>
        <w:t>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-297815</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170815</wp:posOffset>
            </wp:positionV>
            <wp:extent cx="13119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80" w:type="dxa"/>
        <w:tblCellMar>
          <w:top w:w="0" w:type="dxa"/>
          <w:left w:w="0" w:type="dxa"/>
          <w:bottom w:w="0" w:type="dxa"/>
          <w:right w:w="0" w:type="dxa"/>
        </w:tblCellMar>
      </w:tblPr>
      <w:tr>
        <w:trPr>
          <w:trHeight w:val="23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000" w:type="dxa"/>
            <w:vAlign w:val="bottom"/>
          </w:tcPr>
          <w:p>
            <w:pPr>
              <w:jc w:val="center"/>
              <w:ind w:left="3459"/>
              <w:spacing w:after="0"/>
              <w:rPr>
                <w:sz w:val="20"/>
                <w:szCs w:val="20"/>
                <w:color w:val="auto"/>
              </w:rPr>
            </w:pPr>
            <w:r>
              <w:rPr>
                <w:rFonts w:ascii="Times New Roman" w:cs="Times New Roman" w:eastAsia="Times New Roman" w:hAnsi="Times New Roman"/>
                <w:sz w:val="18"/>
                <w:szCs w:val="18"/>
                <w:b w:val="1"/>
                <w:bCs w:val="1"/>
                <w:color w:val="auto"/>
                <w:w w:val="98"/>
              </w:rPr>
              <w:t>01-0666114</w:t>
            </w:r>
          </w:p>
        </w:tc>
      </w:tr>
      <w:tr>
        <w:trPr>
          <w:trHeight w:val="17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000" w:type="dxa"/>
            <w:vAlign w:val="bottom"/>
          </w:tcPr>
          <w:p>
            <w:pPr>
              <w:jc w:val="center"/>
              <w:ind w:left="347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214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000" w:type="dxa"/>
            <w:vAlign w:val="bottom"/>
          </w:tcPr>
          <w:p>
            <w:pPr>
              <w:jc w:val="center"/>
              <w:ind w:left="3479"/>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8"/>
                <w:szCs w:val="18"/>
                <w:b w:val="1"/>
                <w:bCs w:val="1"/>
                <w:color w:val="auto"/>
                <w:w w:val="98"/>
              </w:rPr>
              <w:t>550 West Van Buren Street</w:t>
            </w:r>
          </w:p>
        </w:tc>
      </w:tr>
      <w:tr>
        <w:trPr>
          <w:trHeight w:val="216"/>
        </w:trPr>
        <w:tc>
          <w:tcPr>
            <w:tcW w:w="2140" w:type="dxa"/>
            <w:vAlign w:val="bottom"/>
          </w:tcPr>
          <w:p>
            <w:pPr>
              <w:spacing w:after="0"/>
              <w:rPr>
                <w:sz w:val="18"/>
                <w:szCs w:val="18"/>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8"/>
                <w:szCs w:val="18"/>
                <w:b w:val="1"/>
                <w:bCs w:val="1"/>
                <w:color w:val="auto"/>
              </w:rPr>
              <w:t>Chicago, Illinois</w:t>
            </w:r>
          </w:p>
        </w:tc>
      </w:tr>
      <w:tr>
        <w:trPr>
          <w:trHeight w:val="214"/>
        </w:trPr>
        <w:tc>
          <w:tcPr>
            <w:tcW w:w="2140" w:type="dxa"/>
            <w:vAlign w:val="bottom"/>
          </w:tcPr>
          <w:p>
            <w:pPr>
              <w:spacing w:after="0"/>
              <w:rPr>
                <w:sz w:val="18"/>
                <w:szCs w:val="18"/>
                <w:color w:val="auto"/>
              </w:rPr>
            </w:pPr>
          </w:p>
        </w:tc>
        <w:tc>
          <w:tcPr>
            <w:tcW w:w="5000" w:type="dxa"/>
            <w:vAlign w:val="bottom"/>
          </w:tcPr>
          <w:p>
            <w:pPr>
              <w:jc w:val="right"/>
              <w:ind w:right="2799"/>
              <w:spacing w:after="0"/>
              <w:rPr>
                <w:sz w:val="20"/>
                <w:szCs w:val="20"/>
                <w:color w:val="auto"/>
              </w:rPr>
            </w:pPr>
            <w:r>
              <w:rPr>
                <w:rFonts w:ascii="Times New Roman" w:cs="Times New Roman" w:eastAsia="Times New Roman" w:hAnsi="Times New Roman"/>
                <w:sz w:val="18"/>
                <w:szCs w:val="18"/>
                <w:b w:val="1"/>
                <w:bCs w:val="1"/>
                <w:color w:val="auto"/>
              </w:rPr>
              <w:t>60607</w:t>
            </w:r>
          </w:p>
        </w:tc>
      </w:tr>
      <w:tr>
        <w:trPr>
          <w:trHeight w:val="162"/>
        </w:trPr>
        <w:tc>
          <w:tcPr>
            <w:tcW w:w="2140" w:type="dxa"/>
            <w:vAlign w:val="bottom"/>
          </w:tcPr>
          <w:p>
            <w:pPr>
              <w:spacing w:after="0"/>
              <w:rPr>
                <w:sz w:val="14"/>
                <w:szCs w:val="14"/>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r>
      <w:tr>
        <w:trPr>
          <w:trHeight w:val="190"/>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140" w:type="dxa"/>
            <w:vAlign w:val="bottom"/>
          </w:tcPr>
          <w:p>
            <w:pPr>
              <w:spacing w:after="0"/>
              <w:rPr>
                <w:sz w:val="24"/>
                <w:szCs w:val="24"/>
                <w:color w:val="auto"/>
              </w:rPr>
            </w:pPr>
          </w:p>
        </w:tc>
        <w:tc>
          <w:tcPr>
            <w:tcW w:w="5000" w:type="dxa"/>
            <w:vAlign w:val="bottom"/>
          </w:tcPr>
          <w:p>
            <w:pPr>
              <w:jc w:val="right"/>
              <w:ind w:right="2459"/>
              <w:spacing w:after="0"/>
              <w:rPr>
                <w:sz w:val="20"/>
                <w:szCs w:val="20"/>
                <w:color w:val="auto"/>
              </w:rPr>
            </w:pPr>
            <w:r>
              <w:rPr>
                <w:rFonts w:ascii="Times New Roman" w:cs="Times New Roman" w:eastAsia="Times New Roman" w:hAnsi="Times New Roman"/>
                <w:sz w:val="18"/>
                <w:szCs w:val="18"/>
                <w:b w:val="1"/>
                <w:bCs w:val="1"/>
                <w:color w:val="auto"/>
              </w:rPr>
              <w:t>(312) 583-8700</w:t>
            </w:r>
          </w:p>
        </w:tc>
      </w:tr>
      <w:tr>
        <w:trPr>
          <w:trHeight w:val="190"/>
        </w:trPr>
        <w:tc>
          <w:tcPr>
            <w:tcW w:w="2140" w:type="dxa"/>
            <w:vAlign w:val="bottom"/>
          </w:tcPr>
          <w:p>
            <w:pPr>
              <w:spacing w:after="0"/>
              <w:rPr>
                <w:sz w:val="16"/>
                <w:szCs w:val="16"/>
                <w:color w:val="auto"/>
              </w:rPr>
            </w:pPr>
          </w:p>
        </w:tc>
        <w:tc>
          <w:tcPr>
            <w:tcW w:w="5000" w:type="dxa"/>
            <w:vAlign w:val="bottom"/>
          </w:tcPr>
          <w:p>
            <w:pPr>
              <w:jc w:val="center"/>
              <w:ind w:right="1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160655</wp:posOffset>
            </wp:positionV>
            <wp:extent cx="1311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82" w:lineRule="exact"/>
        <w:rPr>
          <w:sz w:val="24"/>
          <w:szCs w:val="24"/>
          <w:color w:val="auto"/>
        </w:rPr>
      </w:pPr>
    </w:p>
    <w:p>
      <w:pPr>
        <w:ind w:right="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10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85" w:lineRule="exact"/>
        <w:rPr>
          <w:sz w:val="24"/>
          <w:szCs w:val="24"/>
          <w:color w:val="auto"/>
        </w:rPr>
      </w:pPr>
    </w:p>
    <w:p>
      <w:pPr>
        <w:sectPr>
          <w:pgSz w:w="11900" w:h="16838" w:orient="portrait"/>
          <w:cols w:equalWidth="0" w:num="4">
            <w:col w:w="1660" w:space="720"/>
            <w:col w:w="4300" w:space="720"/>
            <w:col w:w="2260" w:space="720"/>
            <w:col w:w="1000"/>
          </w:cols>
          <w:pgMar w:left="240" w:top="229" w:right="2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8"/>
          <w:szCs w:val="18"/>
          <w:color w:val="auto"/>
        </w:rPr>
        <w:t>o</w:t>
      </w:r>
    </w:p>
    <w:p>
      <w:pPr>
        <w:spacing w:after="0" w:line="75" w:lineRule="exact"/>
        <w:rPr>
          <w:sz w:val="24"/>
          <w:szCs w:val="24"/>
          <w:color w:val="auto"/>
        </w:rPr>
      </w:pPr>
    </w:p>
    <w:p>
      <w:pPr>
        <w:sectPr>
          <w:pgSz w:w="11900" w:h="16838" w:orient="portrait"/>
          <w:cols w:equalWidth="0" w:num="4">
            <w:col w:w="1660" w:space="720"/>
            <w:col w:w="4300" w:space="720"/>
            <w:col w:w="2260" w:space="720"/>
            <w:col w:w="1000"/>
          </w:cols>
          <w:pgMar w:left="240" w:top="229" w:right="27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Yes o</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sectPr>
          <w:pgSz w:w="11900" w:h="16838" w:orient="portrait"/>
          <w:cols w:equalWidth="0" w:num="4">
            <w:col w:w="8180" w:space="180"/>
            <w:col w:w="440" w:space="180"/>
            <w:col w:w="220" w:space="100"/>
            <w:col w:w="2080"/>
          </w:cols>
          <w:pgMar w:left="240" w:top="229" w:right="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15, 2015, 22,934,318 shares of the registrant’s common stock, par value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189230</wp:posOffset>
            </wp:positionV>
            <wp:extent cx="67576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5767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102870</wp:posOffset>
            </wp:positionV>
            <wp:extent cx="67576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5767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869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4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86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0000EE"/>
            </w:tcBorders>
            <w:gridSpan w:val="5"/>
          </w:tcPr>
          <w:p>
            <w:pPr>
              <w:spacing w:after="0" w:line="189" w:lineRule="exact"/>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Part I – Financial Information</w:t>
              </w:r>
            </w:hyperlink>
          </w:p>
        </w:tc>
        <w:tc>
          <w:tcPr>
            <w:tcW w:w="7580" w:type="dxa"/>
            <w:vAlign w:val="bottom"/>
            <w:gridSpan w:val="12"/>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34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Consolidated Financial Statements (Unaudited)</w:t>
              </w:r>
            </w:hyperlink>
          </w:p>
        </w:tc>
        <w:tc>
          <w:tcPr>
            <w:tcW w:w="530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1</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Earnings and Other Comprehensive Income</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2</w:t>
              </w:r>
            </w:hyperlink>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6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Consolidated Statement of Stockholders’ Equity</w:t>
              </w:r>
            </w:hyperlink>
          </w:p>
        </w:tc>
        <w:tc>
          <w:tcPr>
            <w:tcW w:w="1700" w:type="dxa"/>
            <w:vAlign w:val="bottom"/>
            <w:tcBorders>
              <w:top w:val="single" w:sz="8" w:color="0000EE"/>
            </w:tcBorders>
            <w:gridSpan w:val="2"/>
          </w:tcPr>
          <w:p>
            <w:pPr>
              <w:spacing w:after="0"/>
              <w:rPr>
                <w:sz w:val="21"/>
                <w:szCs w:val="21"/>
                <w:color w:val="auto"/>
              </w:rPr>
            </w:pPr>
          </w:p>
        </w:tc>
        <w:tc>
          <w:tcPr>
            <w:tcW w:w="3540" w:type="dxa"/>
            <w:vAlign w:val="bottom"/>
            <w:gridSpan w:val="2"/>
          </w:tcPr>
          <w:p>
            <w:pPr>
              <w:spacing w:after="0"/>
              <w:rPr>
                <w:sz w:val="21"/>
                <w:szCs w:val="21"/>
                <w:color w:val="auto"/>
              </w:rPr>
            </w:pPr>
          </w:p>
        </w:tc>
        <w:tc>
          <w:tcPr>
            <w:tcW w:w="74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Cash Flows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Notes to Consolidated Financial Statements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4"/>
          </w:tcPr>
          <w:p>
            <w:pPr>
              <w:spacing w:after="0"/>
              <w:rPr>
                <w:rFonts w:ascii="Times New Roman" w:cs="Times New Roman" w:eastAsia="Times New Roman" w:hAnsi="Times New Roman"/>
                <w:sz w:val="18"/>
                <w:szCs w:val="18"/>
                <w:color w:val="0000EE"/>
                <w:w w:val="99"/>
              </w:rPr>
            </w:pPr>
            <w:hyperlink w:anchor="page2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23</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w w:val="98"/>
              </w:rPr>
            </w:pPr>
            <w:hyperlink w:anchor="page47">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44</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tcBorders>
              <w:left w:val="single" w:sz="8" w:color="0000EE"/>
            </w:tcBorders>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Controls and Procedures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45</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920" w:type="dxa"/>
            <w:vAlign w:val="bottom"/>
            <w:gridSpan w:val="17"/>
          </w:tcPr>
          <w:p>
            <w:pPr>
              <w:spacing w:after="0"/>
              <w:rPr>
                <w:rFonts w:ascii="Times New Roman" w:cs="Times New Roman" w:eastAsia="Times New Roman" w:hAnsi="Times New Roman"/>
                <w:sz w:val="18"/>
                <w:szCs w:val="18"/>
                <w:b w:val="1"/>
                <w:bCs w:val="1"/>
                <w:color w:val="0000EE"/>
              </w:rPr>
            </w:pPr>
            <w:hyperlink w:anchor="page48">
              <w:r>
                <w:rPr>
                  <w:rFonts w:ascii="Times New Roman" w:cs="Times New Roman" w:eastAsia="Times New Roman" w:hAnsi="Times New Roman"/>
                  <w:sz w:val="18"/>
                  <w:szCs w:val="18"/>
                  <w:b w:val="1"/>
                  <w:bCs w:val="1"/>
                  <w:color w:val="0000EE"/>
                </w:rPr>
                <w:t>Part II – Other Information</w:t>
              </w:r>
            </w:hyperlink>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4"/>
          </w:tcPr>
          <w:p>
            <w:pPr>
              <w:spacing w:after="0"/>
              <w:rPr>
                <w:rFonts w:ascii="Times New Roman" w:cs="Times New Roman" w:eastAsia="Times New Roman" w:hAnsi="Times New Roman"/>
                <w:sz w:val="18"/>
                <w:szCs w:val="18"/>
                <w:color w:val="0000EE"/>
                <w:w w:val="94"/>
              </w:rPr>
            </w:pPr>
            <w:hyperlink w:anchor="page49">
              <w:r>
                <w:rPr>
                  <w:rFonts w:ascii="Times New Roman" w:cs="Times New Roman" w:eastAsia="Times New Roman" w:hAnsi="Times New Roman"/>
                  <w:sz w:val="18"/>
                  <w:szCs w:val="18"/>
                  <w:color w:val="0000EE"/>
                  <w:w w:val="94"/>
                </w:rPr>
                <w:t>Legal Proceedings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Risk Factors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2.</w:t>
            </w:r>
          </w:p>
        </w:tc>
        <w:tc>
          <w:tcPr>
            <w:tcW w:w="8700" w:type="dxa"/>
            <w:vAlign w:val="bottom"/>
            <w:gridSpan w:val="15"/>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Unregistered Sales of Equity Securities and Use of Proceeds</w:t>
              </w:r>
            </w:hyperlink>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2020" w:type="dxa"/>
            <w:vAlign w:val="bottom"/>
            <w:gridSpan w:val="5"/>
            <w:shd w:val="clear" w:color="auto" w:fill="0000EE"/>
          </w:tcPr>
          <w:p>
            <w:pPr>
              <w:spacing w:after="0" w:line="20" w:lineRule="exact"/>
              <w:rPr>
                <w:sz w:val="1"/>
                <w:szCs w:val="1"/>
                <w:color w:val="auto"/>
              </w:rPr>
            </w:pPr>
          </w:p>
        </w:tc>
        <w:tc>
          <w:tcPr>
            <w:tcW w:w="43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gridSpan w:val="12"/>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Defaults Upon Senior Securities</w:t>
              </w:r>
            </w:hyperlink>
          </w:p>
        </w:tc>
        <w:tc>
          <w:tcPr>
            <w:tcW w:w="4380" w:type="dxa"/>
            <w:vAlign w:val="bottom"/>
            <w:gridSpan w:val="3"/>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4.</w:t>
            </w:r>
          </w:p>
        </w:tc>
        <w:tc>
          <w:tcPr>
            <w:tcW w:w="2300" w:type="dxa"/>
            <w:vAlign w:val="bottom"/>
            <w:gridSpan w:val="7"/>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Mine Safety Disclosures</w:t>
              </w:r>
            </w:hyperlink>
          </w:p>
        </w:tc>
        <w:tc>
          <w:tcPr>
            <w:tcW w:w="6400" w:type="dxa"/>
            <w:vAlign w:val="bottom"/>
            <w:gridSpan w:val="8"/>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4"/>
          </w:tcPr>
          <w:p>
            <w:pPr>
              <w:spacing w:after="0"/>
              <w:rPr>
                <w:rFonts w:ascii="Times New Roman" w:cs="Times New Roman" w:eastAsia="Times New Roman" w:hAnsi="Times New Roman"/>
                <w:sz w:val="18"/>
                <w:szCs w:val="18"/>
                <w:color w:val="0000EE"/>
                <w:w w:val="95"/>
              </w:rPr>
            </w:pPr>
            <w:hyperlink w:anchor="page50">
              <w:r>
                <w:rPr>
                  <w:rFonts w:ascii="Times New Roman" w:cs="Times New Roman" w:eastAsia="Times New Roman" w:hAnsi="Times New Roman"/>
                  <w:sz w:val="18"/>
                  <w:szCs w:val="18"/>
                  <w:color w:val="0000EE"/>
                  <w:w w:val="95"/>
                </w:rPr>
                <w:t>Other Information</w:t>
              </w:r>
            </w:hyperlink>
          </w:p>
        </w:tc>
        <w:tc>
          <w:tcPr>
            <w:tcW w:w="440" w:type="dxa"/>
            <w:vAlign w:val="bottom"/>
          </w:tcPr>
          <w:p>
            <w:pPr>
              <w:spacing w:after="0"/>
              <w:rPr>
                <w:sz w:val="24"/>
                <w:szCs w:val="24"/>
                <w:color w:val="auto"/>
              </w:rPr>
            </w:pPr>
          </w:p>
        </w:tc>
        <w:tc>
          <w:tcPr>
            <w:tcW w:w="6960" w:type="dxa"/>
            <w:vAlign w:val="bottom"/>
            <w:gridSpan w:val="10"/>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7400" w:type="dxa"/>
            <w:vAlign w:val="bottom"/>
            <w:gridSpan w:val="11"/>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4"/>
          </w:tcPr>
          <w:p>
            <w:pP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Exhibits</w:t>
              </w:r>
            </w:hyperlink>
          </w:p>
        </w:tc>
        <w:tc>
          <w:tcPr>
            <w:tcW w:w="7400" w:type="dxa"/>
            <w:vAlign w:val="bottom"/>
            <w:gridSpan w:val="11"/>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48</w:t>
              </w:r>
            </w:hyperlink>
          </w:p>
        </w:tc>
        <w:tc>
          <w:tcPr>
            <w:tcW w:w="0" w:type="dxa"/>
            <w:vAlign w:val="bottom"/>
          </w:tcPr>
          <w:p>
            <w:pPr>
              <w:spacing w:after="0"/>
              <w:rPr>
                <w:sz w:val="1"/>
                <w:szCs w:val="1"/>
                <w:color w:val="auto"/>
              </w:rPr>
            </w:pPr>
          </w:p>
        </w:tc>
      </w:tr>
      <w:tr>
        <w:trPr>
          <w:trHeight w:val="20"/>
        </w:trPr>
        <w:tc>
          <w:tcPr>
            <w:tcW w:w="1220" w:type="dxa"/>
            <w:vAlign w:val="bottom"/>
            <w:gridSpan w:val="2"/>
            <w:vMerge w:val="restart"/>
          </w:tcPr>
          <w:p>
            <w:pPr>
              <w:spacing w:after="0"/>
              <w:rPr>
                <w:rFonts w:ascii="Times New Roman" w:cs="Times New Roman" w:eastAsia="Times New Roman" w:hAnsi="Times New Roman"/>
                <w:sz w:val="18"/>
                <w:szCs w:val="18"/>
                <w:b w:val="1"/>
                <w:bCs w:val="1"/>
                <w:color w:val="0000EE"/>
              </w:rPr>
            </w:pPr>
            <w:hyperlink w:anchor="page51">
              <w:r>
                <w:rPr>
                  <w:rFonts w:ascii="Times New Roman" w:cs="Times New Roman" w:eastAsia="Times New Roman" w:hAnsi="Times New Roman"/>
                  <w:sz w:val="18"/>
                  <w:szCs w:val="18"/>
                  <w:b w:val="1"/>
                  <w:bCs w:val="1"/>
                  <w:color w:val="0000EE"/>
                </w:rPr>
                <w:t>Signature</w:t>
              </w:r>
            </w:hyperlink>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2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6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49</w:t>
              </w:r>
            </w:hyperlink>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20"/>
          </w:cols>
          <w:pgMar w:left="240" w:top="121" w:right="8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256,872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from clients,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123,984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98,640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Unbilled services,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91,392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8,125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14,772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486,159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47,457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investment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20,998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806,801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567,146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1,272,144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1,155,914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17,315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106,488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12,738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176,376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10,838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419,426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327,852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lease incentives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13,359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504,007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378,904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$0.01 par value; 500,000,000 shares authorized; 25,142,424 and 24,976,395 shares issued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30, 2015 and December 31, 2014, respectively</w:t>
            </w:r>
          </w:p>
        </w:tc>
        <w:tc>
          <w:tcPr>
            <w:tcW w:w="16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Treasury stock, at cost, 2,207,972 and 2,097,173 shares at September 30, 2015 and December 31, 2014,</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254,814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647,871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600,634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1,272,144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1,155,914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1103" w:gutter="0" w:footer="0" w:header="0"/>
        </w:sect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21" w:right="239" w:bottom="1103" w:gutter="0" w:footer="0" w:header="0"/>
          <w:type w:val="continuous"/>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Revenues and reimbursable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209,881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198,049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621,378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618,185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58,923</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227,237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216,728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677,278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677,108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Direct costs and reimbursable expenses </w:t>
            </w:r>
            <w:r>
              <w:rPr>
                <w:rFonts w:ascii="Times New Roman" w:cs="Times New Roman" w:eastAsia="Times New Roman" w:hAnsi="Times New Roman"/>
                <w:sz w:val="18"/>
                <w:szCs w:val="18"/>
                <w:color w:val="auto"/>
              </w:rPr>
              <w:t>(exclusive of depreciation and amortization shown in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 costs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366,078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377,798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 and software development costs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55,826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58,981</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direct costs and reimbursable expenses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137,486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149,777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434,181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440,397</w:t>
            </w:r>
          </w:p>
        </w:tc>
        <w:tc>
          <w:tcPr>
            <w:tcW w:w="0" w:type="dxa"/>
            <w:vAlign w:val="bottom"/>
          </w:tcPr>
          <w:p>
            <w:pPr>
              <w:spacing w:after="0"/>
              <w:rPr>
                <w:sz w:val="1"/>
                <w:szCs w:val="1"/>
                <w:color w:val="auto"/>
              </w:rPr>
            </w:pPr>
          </w:p>
        </w:tc>
      </w:tr>
      <w:tr>
        <w:trPr>
          <w:trHeight w:val="22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 and other operating (gains) losses: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43,629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120,148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charges</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Litigation and other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18,638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operating expenses and other operating (gains) losses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52,926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45,674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161,412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139,592</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81,685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97,119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37"/>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92,567</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26,309</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66,258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used in calculating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22,573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23,052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66,258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loss,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on investment, net of tax</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(loss) on cash flow hedging instruments, net of tax</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18,668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43,391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65,799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right="280"/>
        <w:spacing w:after="0" w:line="345" w:lineRule="auto"/>
        <w:rPr>
          <w:sz w:val="20"/>
          <w:szCs w:val="20"/>
          <w:color w:val="auto"/>
        </w:rPr>
      </w:pPr>
      <w:r>
        <w:rPr>
          <w:rFonts w:ascii="Times New Roman" w:cs="Times New Roman" w:eastAsia="Times New Roman" w:hAnsi="Times New Roman"/>
          <w:sz w:val="14"/>
          <w:szCs w:val="14"/>
          <w:b w:val="1"/>
          <w:bCs w:val="1"/>
          <w:color w:val="auto"/>
        </w:rPr>
        <w:t xml:space="preserve">Balance at December 31, 2014 </w:t>
      </w:r>
      <w:r>
        <w:rPr>
          <w:rFonts w:ascii="Times New Roman" w:cs="Times New Roman" w:eastAsia="Times New Roman" w:hAnsi="Times New Roman"/>
          <w:sz w:val="14"/>
          <w:szCs w:val="14"/>
          <w:color w:val="auto"/>
        </w:rPr>
        <w:t>Comprehensive income</w:t>
      </w:r>
    </w:p>
    <w:p>
      <w:pPr>
        <w:spacing w:after="0" w:line="12" w:lineRule="exact"/>
        <w:rPr>
          <w:sz w:val="20"/>
          <w:szCs w:val="20"/>
          <w:color w:val="auto"/>
        </w:rPr>
      </w:pPr>
    </w:p>
    <w:p>
      <w:pPr>
        <w:ind w:left="40" w:right="440"/>
        <w:spacing w:after="0" w:line="261" w:lineRule="auto"/>
        <w:rPr>
          <w:sz w:val="20"/>
          <w:szCs w:val="20"/>
          <w:color w:val="auto"/>
        </w:rPr>
      </w:pPr>
      <w:r>
        <w:rPr>
          <w:rFonts w:ascii="Times New Roman" w:cs="Times New Roman" w:eastAsia="Times New Roman" w:hAnsi="Times New Roman"/>
          <w:sz w:val="14"/>
          <w:szCs w:val="14"/>
          <w:color w:val="auto"/>
        </w:rPr>
        <w:t>Issuance of common stock in connection with:</w:t>
      </w:r>
    </w:p>
    <w:p>
      <w:pPr>
        <w:spacing w:after="0" w:line="1" w:lineRule="exact"/>
        <w:rPr>
          <w:sz w:val="20"/>
          <w:szCs w:val="20"/>
          <w:color w:val="auto"/>
        </w:rPr>
      </w:pPr>
    </w:p>
    <w:p>
      <w:pPr>
        <w:ind w:left="380"/>
        <w:spacing w:after="0" w:line="261" w:lineRule="auto"/>
        <w:rPr>
          <w:sz w:val="20"/>
          <w:szCs w:val="20"/>
          <w:color w:val="auto"/>
        </w:rPr>
      </w:pPr>
      <w:r>
        <w:rPr>
          <w:rFonts w:ascii="Times New Roman" w:cs="Times New Roman" w:eastAsia="Times New Roman" w:hAnsi="Times New Roman"/>
          <w:sz w:val="14"/>
          <w:szCs w:val="14"/>
          <w:color w:val="auto"/>
        </w:rPr>
        <w:t>Restricted stock awards, net of cancellations</w:t>
      </w:r>
    </w:p>
    <w:p>
      <w:pPr>
        <w:spacing w:after="0" w:line="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Business acquisition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4"/>
          <w:szCs w:val="14"/>
          <w:color w:val="auto"/>
        </w:rPr>
        <w:t>Shares redeemed for employee tax withholdings</w:t>
      </w:r>
    </w:p>
    <w:p>
      <w:pPr>
        <w:spacing w:after="0" w:line="1" w:lineRule="exact"/>
        <w:rPr>
          <w:sz w:val="20"/>
          <w:szCs w:val="20"/>
          <w:color w:val="auto"/>
        </w:rPr>
      </w:pPr>
    </w:p>
    <w:p>
      <w:pPr>
        <w:ind w:left="40" w:right="160"/>
        <w:spacing w:after="0" w:line="261" w:lineRule="auto"/>
        <w:rPr>
          <w:sz w:val="20"/>
          <w:szCs w:val="20"/>
          <w:color w:val="auto"/>
        </w:rPr>
      </w:pPr>
      <w:r>
        <w:rPr>
          <w:rFonts w:ascii="Times New Roman" w:cs="Times New Roman" w:eastAsia="Times New Roman" w:hAnsi="Times New Roman"/>
          <w:sz w:val="14"/>
          <w:szCs w:val="14"/>
          <w:color w:val="auto"/>
        </w:rPr>
        <w:t>Income tax benefit on share-based compensation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 repurchases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at September 30,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840" w:right="2020"/>
        <w:spacing w:after="0" w:line="265" w:lineRule="auto"/>
        <w:rPr>
          <w:sz w:val="20"/>
          <w:szCs w:val="20"/>
          <w:color w:val="auto"/>
        </w:rPr>
      </w:pPr>
      <w:r>
        <w:rPr>
          <w:rFonts w:ascii="Times New Roman" w:cs="Times New Roman" w:eastAsia="Times New Roman" w:hAnsi="Times New Roman"/>
          <w:sz w:val="18"/>
          <w:szCs w:val="18"/>
          <w:b w:val="1"/>
          <w:bCs w:val="1"/>
          <w:color w:val="auto"/>
        </w:rPr>
        <w:t>HURON CONSULTING GROUP INC. CONSOLIDATED STATEMENT OF STOCKHOLDERS’ EQUITY (In thousands, except share amounts) (Unaudited)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4"/>
                <w:szCs w:val="4"/>
                <w:color w:val="auto"/>
              </w:rPr>
            </w:pPr>
          </w:p>
        </w:tc>
        <w:tc>
          <w:tcPr>
            <w:tcW w:w="860" w:type="dxa"/>
            <w:vAlign w:val="bottom"/>
            <w:gridSpan w:val="2"/>
            <w:vMerge w:val="restart"/>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4"/>
                <w:szCs w:val="4"/>
                <w:color w:val="auto"/>
              </w:rPr>
            </w:pPr>
          </w:p>
        </w:tc>
        <w:tc>
          <w:tcPr>
            <w:tcW w:w="154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right"/>
              <w:ind w:right="48"/>
              <w:spacing w:after="0" w:line="13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63"/>
        </w:trPr>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98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45"/>
        </w:trPr>
        <w:tc>
          <w:tcPr>
            <w:tcW w:w="104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24,115,593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21"/>
                <w:szCs w:val="21"/>
                <w:color w:val="auto"/>
              </w:rPr>
            </w:pPr>
          </w:p>
        </w:tc>
        <w:tc>
          <w:tcPr>
            <w:tcW w:w="9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(2,109,316)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(94,074)</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442,308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254,814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600,634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39,709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3,682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43,391</w:t>
            </w:r>
          </w:p>
        </w:tc>
        <w:tc>
          <w:tcPr>
            <w:tcW w:w="0" w:type="dxa"/>
            <w:vAlign w:val="bottom"/>
          </w:tcPr>
          <w:p>
            <w:pPr>
              <w:spacing w:after="0"/>
              <w:rPr>
                <w:sz w:val="1"/>
                <w:szCs w:val="1"/>
                <w:color w:val="auto"/>
              </w:rPr>
            </w:pPr>
          </w:p>
        </w:tc>
      </w:tr>
      <w:tr>
        <w:trPr>
          <w:trHeight w:val="702"/>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404,525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(34,695)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2,204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17,239</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(76,670)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0" w:type="dxa"/>
            <w:vAlign w:val="bottom"/>
          </w:tcPr>
          <w:p>
            <w:pPr>
              <w:spacing w:after="0"/>
              <w:rPr>
                <w:sz w:val="1"/>
                <w:szCs w:val="1"/>
                <w:color w:val="auto"/>
              </w:rPr>
            </w:pPr>
          </w:p>
        </w:tc>
      </w:tr>
      <w:tr>
        <w:trPr>
          <w:trHeight w:val="351"/>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3,095</w:t>
            </w:r>
          </w:p>
        </w:tc>
        <w:tc>
          <w:tcPr>
            <w:tcW w:w="0" w:type="dxa"/>
            <w:vAlign w:val="bottom"/>
          </w:tcPr>
          <w:p>
            <w:pPr>
              <w:spacing w:after="0"/>
              <w:rPr>
                <w:sz w:val="1"/>
                <w:szCs w:val="1"/>
                <w:color w:val="auto"/>
              </w:rPr>
            </w:pPr>
          </w:p>
        </w:tc>
      </w:tr>
      <w:tr>
        <w:trPr>
          <w:trHeight w:val="275"/>
        </w:trPr>
        <w:tc>
          <w:tcPr>
            <w:tcW w:w="10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(217,279)</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(13,498)</w:t>
            </w: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24,331,325</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(2,220,681)</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(101,239)</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453,317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294,523</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1,027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647,871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-1937385</wp:posOffset>
            </wp:positionV>
            <wp:extent cx="71094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946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-1594485</wp:posOffset>
            </wp:positionV>
            <wp:extent cx="7109460"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9460" cy="22288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-1148715</wp:posOffset>
            </wp:positionV>
            <wp:extent cx="710946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9460" cy="17145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-805180</wp:posOffset>
            </wp:positionV>
            <wp:extent cx="7109460"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9460" cy="22288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-359410</wp:posOffset>
            </wp:positionV>
            <wp:extent cx="710946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9460" cy="171450"/>
                    </a:xfrm>
                    <a:prstGeom prst="rect">
                      <a:avLst/>
                    </a:prstGeom>
                    <a:noFill/>
                  </pic:spPr>
                </pic:pic>
              </a:graphicData>
            </a:graphic>
          </wp:anchor>
        </w:drawing>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2">
            <w:col w:w="2160" w:space="80"/>
            <w:col w:w="8960"/>
          </w:cols>
          <w:pgMar w:left="240" w:top="121" w:right="4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2014</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39,709</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66,258</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38,220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22,636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15,504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Allowances for doubtful accounts and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8,829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1,817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receivables from clients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(14,725)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26,807</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unbilled services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15,179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(44,020)</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current income tax receivable / payable, net</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3,258</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accounts payable and accrued liabilities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11,466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Increase (decrease) in accrued payroll and related benefits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(decrease) in deferred revenues</w:t>
            </w:r>
          </w:p>
        </w:tc>
        <w:tc>
          <w:tcPr>
            <w:tcW w:w="34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83,237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92,121</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property and equipment, net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life insurance policies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businesses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(332,766)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(51,694)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Purchases of convertible debt investment</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Capitalization of internally developed software costs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note receivable</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(81,700)</w:t>
            </w:r>
          </w:p>
        </w:tc>
      </w:tr>
      <w:tr>
        <w:trPr>
          <w:trHeight w:val="20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8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848</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redeemed for employee tax withholdings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 from share-based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4,962</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 repurchases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borrowings under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272,000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129,000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Repayments on credit facility</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(147,750)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convertible senior notes issuance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Proceeds from sale of warrants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23,625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convertible senior note hedge</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(42,125)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Payments for debt issue costs</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Payments for capital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payments for purchase of property and equipment</w:t>
            </w:r>
          </w:p>
        </w:tc>
        <w:tc>
          <w:tcPr>
            <w:tcW w:w="34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acquisition payment</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41,877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157,382</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(243,410)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167,782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the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256,872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58,131</w:t>
            </w: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the period</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13,462</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225,913</w:t>
            </w:r>
          </w:p>
        </w:tc>
      </w:tr>
      <w:tr>
        <w:trPr>
          <w:trHeight w:val="73"/>
        </w:trPr>
        <w:tc>
          <w:tcPr>
            <w:tcW w:w="834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Property and equipment expenditures included in accounts payable and accrued expenses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2,755</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Contingent consideration related to business acquisitions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issued related to business acquisition</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88"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 consolidated financial statements.</w:t>
      </w:r>
    </w:p>
    <w:p>
      <w:pPr>
        <w:sectPr>
          <w:pgSz w:w="11900" w:h="16838" w:orient="portrait"/>
          <w:cols w:equalWidth="0" w:num="1">
            <w:col w:w="11420"/>
          </w:cols>
          <w:pgMar w:left="240" w:top="121" w:right="239" w:bottom="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019"/>
          </w:cols>
          <w:pgMar w:left="1440" w:top="364" w:right="1440"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financial position, results of operations, and cash flows as of and for the three and nine months ended September 30, 2015 and 2014.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the Consolidated Financial Statements and notes thereto for the year ended December 31, 2014 included in our Annual Report on Form 10-K and our Quarterly Reports on Form 10-Q for the periods ended March 31, 2015 and June 30, 2015.</w:t>
      </w:r>
    </w:p>
    <w:p>
      <w:pPr>
        <w:spacing w:after="0" w:line="18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amounts reported in the previous year have been reclassified to conform to the 2015 presentation. Our results for any interim period are not necessarily indicative of results for a full year or any other interim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New Accounting Pronouncements</w:t>
      </w:r>
    </w:p>
    <w:p>
      <w:pPr>
        <w:spacing w:after="0" w:line="22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("FASB") issued Accounting Standards Update ("ASU") 2015-05, </w:t>
      </w:r>
      <w:r>
        <w:rPr>
          <w:rFonts w:ascii="Times New Roman" w:cs="Times New Roman" w:eastAsia="Times New Roman" w:hAnsi="Times New Roman"/>
          <w:sz w:val="18"/>
          <w:szCs w:val="18"/>
          <w:i w:val="1"/>
          <w:iCs w:val="1"/>
          <w:color w:val="auto"/>
        </w:rPr>
        <w:t>Intangibles-Goodwill and Other-Internal-Use Software (Subtopic 350-40): Customer's Accounting for Fees Paid in a Cloud Computing Arrangement</w:t>
      </w:r>
      <w:r>
        <w:rPr>
          <w:rFonts w:ascii="Times New Roman" w:cs="Times New Roman" w:eastAsia="Times New Roman" w:hAnsi="Times New Roman"/>
          <w:sz w:val="18"/>
          <w:szCs w:val="18"/>
          <w:color w:val="auto"/>
        </w:rPr>
        <w:t>. The amendments in ASU 2015-</w:t>
      </w:r>
    </w:p>
    <w:p>
      <w:pPr>
        <w:spacing w:after="0" w:line="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05 provide guidance to customers about whether a 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This guidance is effective for us beginning in the first quarter of 2016 with early adoption permitted. The guidance may be applied either prospectively to all arrangements entered into or materially modified after the effective date or retrospectively. We are currently evaluating the potential effect this guidance will have on our consolidated financial statements.</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 April 2015, the FASB issued ASU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xml:space="preserve">. This standard amends existing guidance to require the presentation of debt issuance costs in the balance sheet as a deduction from the carrying amount of the related debt liability, consistent with debt discounts. In August 2015, the FASB issued ASU 2015-15, </w:t>
      </w:r>
      <w:r>
        <w:rPr>
          <w:rFonts w:ascii="Times New Roman" w:cs="Times New Roman" w:eastAsia="Times New Roman" w:hAnsi="Times New Roman"/>
          <w:sz w:val="18"/>
          <w:szCs w:val="18"/>
          <w:i w:val="1"/>
          <w:iCs w:val="1"/>
          <w:color w:val="auto"/>
        </w:rPr>
        <w:t>Presentation and Subsequent Measurement of Debt Issuance Costs Associated with Line-of-Credit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 Amendments to SEC Paragraphs Pursuant to Staff Announcement at June 18, 2015 EITF Meeting</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the treatment of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costs from 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This guidance is effective for us beginning in the first quarter of 2016 and will be applied on a retrospective basis. Early adoption is permitted. We are currently evaluating the potential effect this guidance will have on our consolidated financial statements.</w:t>
      </w:r>
    </w:p>
    <w:p>
      <w:pPr>
        <w:spacing w:after="0" w:line="18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February 2015, the FASB issued ASU 2015-02, </w:t>
      </w:r>
      <w:r>
        <w:rPr>
          <w:rFonts w:ascii="Times New Roman" w:cs="Times New Roman" w:eastAsia="Times New Roman" w:hAnsi="Times New Roman"/>
          <w:sz w:val="18"/>
          <w:szCs w:val="18"/>
          <w:i w:val="1"/>
          <w:iCs w:val="1"/>
          <w:color w:val="auto"/>
        </w:rPr>
        <w:t>Amendments to the Consolidation Analysis</w:t>
      </w:r>
      <w:r>
        <w:rPr>
          <w:rFonts w:ascii="Times New Roman" w:cs="Times New Roman" w:eastAsia="Times New Roman" w:hAnsi="Times New Roman"/>
          <w:sz w:val="18"/>
          <w:szCs w:val="18"/>
          <w:color w:val="auto"/>
        </w:rPr>
        <w:t xml:space="preserve">, which amends the consolidation requirements in Accounting Standards Codification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ASU 2015-02 makes targeted amendments to the current consolidation guidance, which could change consolidation conclusions. This guidance will be effective for us beginning in the first quarter of 2016 and early adoption is permitted. We do not expect the adoption of this guidance to have any impact on our consolidated financial statements.</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121" w:right="27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August 2015, the FASB issued ASU 2015-14, </w:t>
      </w:r>
      <w:r>
        <w:rPr>
          <w:rFonts w:ascii="Times New Roman" w:cs="Times New Roman" w:eastAsia="Times New Roman" w:hAnsi="Times New Roman"/>
          <w:sz w:val="18"/>
          <w:szCs w:val="18"/>
          <w:i w:val="1"/>
          <w:iCs w:val="1"/>
          <w:color w:val="auto"/>
        </w:rPr>
        <w:t>Revenue from Contracts with Customers (Topic 606): Deferral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which delays the effective date of ASU 2014-09 by one year. As a result, ASU 2014-09, as amended, is effective for us beginning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2018 and is to be applied retrospectively to each period presented or as a cumulative-effect adjustment as of the date of adoption. Early adoption will be permitted as of the original effective date in ASU 2014-09 (i.e., annual reporting periods beginning after December 15, 2016). We are currently evaluating the potential effect of adopting this guidance on our consolidated financial statements, as well as the transition methods.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changes in the carrying amount of goodwill by reportable segment for the nine months ended September 30,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Huron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2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Life</w:t>
            </w:r>
          </w:p>
        </w:tc>
        <w:tc>
          <w:tcPr>
            <w:tcW w:w="2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Huron</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Sciences</w:t>
            </w:r>
          </w:p>
        </w:tc>
        <w:tc>
          <w:tcPr>
            <w:tcW w:w="2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Legal</w:t>
            </w:r>
          </w:p>
        </w:tc>
        <w:tc>
          <w:tcPr>
            <w:tcW w:w="22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Advisory</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December 31, 2014: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377,588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102,906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52,555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710,129</w:t>
            </w:r>
          </w:p>
        </w:tc>
      </w:tr>
      <w:tr>
        <w:trPr>
          <w:trHeight w:val="27"/>
        </w:trPr>
        <w:tc>
          <w:tcPr>
            <w:tcW w:w="4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impairment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(142,983)</w:t>
            </w: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net as of December 31, 2014</w:t>
            </w: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377,588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52,555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34,097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567,146</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Goodwill recorded in connection with business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41"/>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240,487</w:t>
            </w:r>
          </w:p>
        </w:tc>
      </w:tr>
      <w:tr>
        <w:trPr>
          <w:trHeight w:val="243"/>
        </w:trPr>
        <w:tc>
          <w:tcPr>
            <w:tcW w:w="4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7"/>
        </w:trPr>
        <w:tc>
          <w:tcPr>
            <w:tcW w:w="4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net as of September 30,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102,906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806,801</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“Acquisitions” for additional information on our recent acquisitions.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September 30, 2015 and December 31, 2014 consisted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260" w:type="dxa"/>
            <w:vAlign w:val="bottom"/>
          </w:tcPr>
          <w:p>
            <w:pPr>
              <w:spacing w:after="0"/>
              <w:rPr>
                <w:sz w:val="20"/>
                <w:szCs w:val="20"/>
                <w:color w:val="auto"/>
              </w:rPr>
            </w:pPr>
          </w:p>
        </w:tc>
        <w:tc>
          <w:tcPr>
            <w:tcW w:w="280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Useful</w:t>
            </w: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6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Life in</w:t>
            </w:r>
          </w:p>
        </w:tc>
        <w:tc>
          <w:tcPr>
            <w:tcW w:w="26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0" w:type="dxa"/>
            <w:vAlign w:val="bottom"/>
          </w:tcPr>
          <w:p>
            <w:pPr>
              <w:spacing w:after="0"/>
              <w:rPr>
                <w:sz w:val="1"/>
                <w:szCs w:val="1"/>
                <w:color w:val="auto"/>
              </w:rPr>
            </w:pPr>
          </w:p>
        </w:tc>
      </w:tr>
      <w:tr>
        <w:trPr>
          <w:trHeight w:val="238"/>
        </w:trPr>
        <w:tc>
          <w:tcPr>
            <w:tcW w:w="366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6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60" w:type="dxa"/>
            <w:vAlign w:val="bottom"/>
          </w:tcPr>
          <w:p>
            <w:pPr>
              <w:spacing w:after="0"/>
              <w:rPr>
                <w:sz w:val="20"/>
                <w:szCs w:val="20"/>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contracts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 to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 to 13</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21,228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2 to 5</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1,072</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names</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5 to 8</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 and software</w:t>
            </w:r>
          </w:p>
        </w:tc>
        <w:tc>
          <w:tcPr>
            <w:tcW w:w="15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3 to 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3,461</w:t>
            </w: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Publishing content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7"/>
        </w:trPr>
        <w:tc>
          <w:tcPr>
            <w:tcW w:w="3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150,115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47,665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50,614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25,930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Identifiable intangible assets with finite lives are amortized over their estimated useful lives. The majority of customer relationships, as well as the customer contracts and trade name acquired in the acquisition of Studer Group, are amortized on an accelerated basis to correspond to the cash flows expected to be derived from the assets. All other intangible assets are amortized on a straight-line basis. Refer to Note 5 “Acquisitions” for additional information on the intangible assets acquired in the Studer Group acquisition.</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Intangible assets amortization expense was $8.3 million and $22.0 million for the three and nine months ended September 30, 2015, respectively. Intangible asset amortization expense was $2.8 million and $8.3 million for the three and nine months ended September 30, 2014, respectively. The table below sets forth the estimated annual amortization expense for the year ending December 31, 2015 and each of the five succeeding years for the intangible assets recorded as of September 30, 2015.</w:t>
      </w:r>
    </w:p>
    <w:p>
      <w:pPr>
        <w:spacing w:after="0" w:line="338" w:lineRule="exact"/>
        <w:rPr>
          <w:sz w:val="20"/>
          <w:szCs w:val="20"/>
          <w:color w:val="auto"/>
        </w:rPr>
      </w:pPr>
    </w:p>
    <w:tbl>
      <w:tblPr>
        <w:tblLayout w:type="fixed"/>
        <w:tblInd w:w="3180" w:type="dxa"/>
        <w:tblCellMar>
          <w:top w:w="0" w:type="dxa"/>
          <w:left w:w="0" w:type="dxa"/>
          <w:bottom w:w="0" w:type="dxa"/>
          <w:right w:w="0" w:type="dxa"/>
        </w:tblCellMar>
      </w:tblPr>
      <w:tr>
        <w:trPr>
          <w:trHeight w:val="238"/>
        </w:trPr>
        <w:tc>
          <w:tcPr>
            <w:tcW w:w="2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Estimated Amount</w:t>
            </w:r>
          </w:p>
        </w:tc>
      </w:tr>
      <w:tr>
        <w:trPr>
          <w:trHeight w:val="27"/>
        </w:trPr>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30,318</w:t>
            </w:r>
          </w:p>
        </w:tc>
      </w:tr>
      <w:tr>
        <w:trPr>
          <w:trHeight w:val="243"/>
        </w:trPr>
        <w:tc>
          <w:tcPr>
            <w:tcW w:w="28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2016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24,950</w:t>
            </w:r>
          </w:p>
        </w:tc>
      </w:tr>
      <w:tr>
        <w:trPr>
          <w:trHeight w:val="243"/>
        </w:trPr>
        <w:tc>
          <w:tcPr>
            <w:tcW w:w="28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14,660</w:t>
            </w:r>
          </w:p>
        </w:tc>
      </w:tr>
      <w:tr>
        <w:trPr>
          <w:trHeight w:val="27"/>
        </w:trPr>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r>
      <w:tr>
        <w:trPr>
          <w:trHeight w:val="243"/>
        </w:trPr>
        <w:tc>
          <w:tcPr>
            <w:tcW w:w="284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w w:val="99"/>
              </w:rPr>
              <w:t>2020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5,664</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future amortization expense could differ from these estimated amounts as a result of future acquisitions and other factors.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Studer Holdings, Inc.</w:t>
      </w:r>
    </w:p>
    <w:p>
      <w:pPr>
        <w:spacing w:after="0" w:line="11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 financial results. The acquisition combines Huron Healthcare’s performance improvement and clinical transformation capabilities with Studer Group’s Evidence-Based Leadership</w:t>
      </w:r>
      <w:r>
        <w:rPr>
          <w:rFonts w:ascii="Times New Roman" w:cs="Times New Roman" w:eastAsia="Times New Roman" w:hAnsi="Times New Roman"/>
          <w:sz w:val="21"/>
          <w:szCs w:val="21"/>
          <w:color w:val="auto"/>
          <w:vertAlign w:val="superscript"/>
        </w:rPr>
        <w:t>SM</w:t>
      </w:r>
      <w:r>
        <w:rPr>
          <w:rFonts w:ascii="Times New Roman" w:cs="Times New Roman" w:eastAsia="Times New Roman" w:hAnsi="Times New Roman"/>
          <w:sz w:val="18"/>
          <w:szCs w:val="18"/>
          <w:color w:val="auto"/>
        </w:rPr>
        <w:t xml:space="preserve"> framework to provide leadership and cultural transformation expertise for healthcare provider clients.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for Studer Group was approximately $325.2 million, which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8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5600" w:type="dxa"/>
            <w:vAlign w:val="bottom"/>
            <w:tcBorders>
              <w:bottom w:val="single" w:sz="8" w:color="auto"/>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323,237</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80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2,204</w:t>
            </w:r>
          </w:p>
        </w:tc>
      </w:tr>
      <w:tr>
        <w:trPr>
          <w:trHeight w:val="27"/>
        </w:trPr>
        <w:tc>
          <w:tcPr>
            <w:tcW w:w="5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working capital adjustment</w:t>
            </w:r>
          </w:p>
        </w:tc>
        <w:tc>
          <w:tcPr>
            <w:tcW w:w="8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7"/>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8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325,186</w:t>
            </w:r>
          </w:p>
        </w:tc>
      </w:tr>
      <w:tr>
        <w:trPr>
          <w:trHeight w:val="27"/>
        </w:trPr>
        <w:tc>
          <w:tcPr>
            <w:tcW w:w="56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acquisition was accounted for using the acquisition method of accounting. Tangible and identifiable intangible assets acquired and liabilities assumed are recorded at fair value as of the acquisition date. The current fair values of assets acquired and liabilities assumed are considered preliminary and are based on the information that was available as of the date of the acquisition. We believe that the information provides a reasonable basis for estimating the preliminary fair values of assets acquired and liabilities assumed, but certain items, such as taxes payable and deferred taxes, among other things, may be subject to change as additional information is received. Thus, the provisional measurements of fair value and goodwill are subject to change. We expect to finalize the valuation as soon as practicable, but not later than one year from the acquisition date.</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121" w:right="29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purchase price to the fair value of assets acquired and liabilities assumed as of the acquisition date.</w:t>
      </w:r>
    </w:p>
    <w:p>
      <w:pPr>
        <w:spacing w:after="0" w:line="200" w:lineRule="exact"/>
        <w:rPr>
          <w:sz w:val="20"/>
          <w:szCs w:val="20"/>
          <w:color w:val="auto"/>
        </w:rPr>
      </w:pPr>
    </w:p>
    <w:p>
      <w:pPr>
        <w:spacing w:after="0" w:line="377"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7"/>
        </w:trPr>
        <w:tc>
          <w:tcPr>
            <w:tcW w:w="5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14,906</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4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4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21,263</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7"/>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92,510</w:t>
            </w:r>
          </w:p>
        </w:tc>
      </w:tr>
      <w:tr>
        <w:trPr>
          <w:trHeight w:val="27"/>
        </w:trPr>
        <w:tc>
          <w:tcPr>
            <w:tcW w:w="5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232,676</w:t>
            </w:r>
          </w:p>
        </w:tc>
      </w:tr>
      <w:tr>
        <w:trPr>
          <w:trHeight w:val="237"/>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purchase price</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325,186</w:t>
            </w:r>
          </w:p>
        </w:tc>
      </w:tr>
      <w:tr>
        <w:trPr>
          <w:trHeight w:val="27"/>
        </w:trPr>
        <w:tc>
          <w:tcPr>
            <w:tcW w:w="56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acquisition date.</w:t>
      </w:r>
    </w:p>
    <w:p>
      <w:pPr>
        <w:spacing w:after="0" w:line="39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in</w:t>
            </w:r>
          </w:p>
        </w:tc>
      </w:tr>
      <w:tr>
        <w:trPr>
          <w:trHeight w:val="238"/>
        </w:trPr>
        <w:tc>
          <w:tcPr>
            <w:tcW w:w="4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7"/>
        </w:trPr>
        <w:tc>
          <w:tcPr>
            <w:tcW w:w="4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software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Publishing content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4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weighted-average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 the expanded market opportunities expected from combining the service offerings of Huron and Studer Group, as well as the assembled workforce of Studer Group. Goodwill recognized in conjunction with the acquisition of Studer Group was recorded in the Huron Healthcare segment. Goodwill of $119.5 million is expected to be deductible for income tax purposes.</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Studer Group’s results of operations have been included in our unaudited consolidated statements of earnings and other comprehensive income and results of operations of our Huron Healthcare segment from the date of acquisition. For the three months ended September 30, 2015, revenues from Studer Group were $22.3 million and operating income was $1.6 million, which included $6.1 million of amortization expense for intangible assets acquired. For the nine months ended September 30, 2015, revenues from Studer Group were $56.0 million and operating income was $3.6 million, which included $15.2 million of amortization expense for intangible assets acquired. In connection with the acquisition of Studer Group, we incurred $2.1 million of transaction and acquisition-related expenses, $0.9 million of which were incurred in the fourth quarter of 2014, $1.0</w:t>
      </w:r>
    </w:p>
    <w:p>
      <w:pPr>
        <w:sectPr>
          <w:pgSz w:w="11900" w:h="16838" w:orient="portrait"/>
          <w:cols w:equalWidth="0" w:num="1">
            <w:col w:w="11400"/>
          </w:cols>
          <w:pgMar w:left="240" w:top="121"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40" w:top="121" w:right="25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million of which were incurred in the first quarter of 2015, and the remaining $0.2 million were incurred in the second quarter of 2015. These costs are recorded in selling, general, and administrative expenses in the period in which they were incurred.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supplemental pro forma information summarizes the combined results of operations for Huron and Studer Group as though the companies were combined on January 1, 2014.</w:t>
      </w:r>
    </w:p>
    <w:p>
      <w:pPr>
        <w:spacing w:after="0" w:line="320"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5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r>
      <w:tr>
        <w:trPr>
          <w:trHeight w:val="27"/>
        </w:trPr>
        <w:tc>
          <w:tcPr>
            <w:tcW w:w="3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2014</w:t>
            </w:r>
          </w:p>
        </w:tc>
      </w:tr>
      <w:tr>
        <w:trPr>
          <w:trHeight w:val="27"/>
        </w:trPr>
        <w:tc>
          <w:tcPr>
            <w:tcW w:w="3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209,881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218,409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632,200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674,118</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10,173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41,016</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60,988</w:t>
            </w:r>
          </w:p>
        </w:tc>
      </w:tr>
      <w:tr>
        <w:trPr>
          <w:trHeight w:val="27"/>
        </w:trPr>
        <w:tc>
          <w:tcPr>
            <w:tcW w:w="3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r>
      <w:tr>
        <w:trPr>
          <w:trHeight w:val="24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r>
    </w:tbl>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historical financial information has been adjusted to give effect to pro forma adjustments, which consist of intangible assets amortization expense, transaction and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Sky Analytics, Inc.</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2015, we completed the acquisition of Sky Analytics, Inc. ("Sky Analytics"), a Massachusetts-based provider of legal spend management software for corporate law departments. The acquisition date fair value of the consideration transferred totaled $9.7 million, which included cash of $8.8 million and the fair value of contingent consideration of $0.9 million. As part of the purchase price allocation, we recorded $2.0 million of intangible assets and $7.4 million of goodwill. The goodwill balance is not deductible for income tax purposes. Sky Analytics' results of operations have been included in our unaudited consolidated financial statements and results of operations of our Huron Legal segment from the date of acquisition.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Rittman Mead India</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July 1, 2015, we completed the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The acquisition date fair value of the consideration transferred totaled $1.2 million. Rittman Mead India's results of operations have been included in our unaudited consolidated financial statements and results of operations of our Huron Business Advisory segment from the date of acquisition.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34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 w:type="dxa"/>
            <w:vAlign w:val="bottom"/>
          </w:tcPr>
          <w:p>
            <w:pPr>
              <w:spacing w:after="0"/>
              <w:rPr>
                <w:sz w:val="18"/>
                <w:szCs w:val="18"/>
                <w:color w:val="auto"/>
              </w:rPr>
            </w:pPr>
          </w:p>
        </w:tc>
        <w:tc>
          <w:tcPr>
            <w:tcW w:w="24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4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66,258</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22,573</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stock equivalents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22,592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22,975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23,052</w:t>
            </w:r>
          </w:p>
        </w:tc>
      </w:tr>
      <w:tr>
        <w:trPr>
          <w:trHeight w:val="67"/>
        </w:trPr>
        <w:tc>
          <w:tcPr>
            <w:tcW w:w="52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r>
        <w:trPr>
          <w:trHeight w:val="231"/>
        </w:trPr>
        <w:tc>
          <w:tcPr>
            <w:tcW w:w="52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0.88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w:t>
            </w: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r>
      <w:tr>
        <w:trPr>
          <w:trHeight w:val="27"/>
        </w:trPr>
        <w:tc>
          <w:tcPr>
            <w:tcW w:w="5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number of anti-dilutive securities excluded from the computation of the weighted average common stock equivalents presented above is shown in the following table.</w:t>
      </w:r>
    </w:p>
    <w:p>
      <w:pPr>
        <w:spacing w:after="0" w:line="3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36830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6640" w:type="dxa"/>
            <w:vAlign w:val="bottom"/>
            <w:gridSpan w:val="2"/>
          </w:tcPr>
          <w:p>
            <w:pPr>
              <w:ind w:left="6160"/>
              <w:spacing w:after="0"/>
              <w:rPr>
                <w:sz w:val="20"/>
                <w:szCs w:val="20"/>
                <w:color w:val="auto"/>
              </w:rPr>
            </w:pPr>
            <w:r>
              <w:rPr>
                <w:rFonts w:ascii="Times New Roman" w:cs="Times New Roman" w:eastAsia="Times New Roman" w:hAnsi="Times New Roman"/>
                <w:sz w:val="18"/>
                <w:szCs w:val="18"/>
                <w:b w:val="1"/>
                <w:bCs w:val="1"/>
                <w:color w:val="auto"/>
              </w:rPr>
              <w:t>2015</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1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7"/>
        </w:trPr>
        <w:tc>
          <w:tcPr>
            <w:tcW w:w="5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related to the issuance of convertible senior notes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1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3,129</w:t>
            </w:r>
          </w:p>
        </w:tc>
      </w:tr>
      <w:tr>
        <w:trPr>
          <w:trHeight w:val="237"/>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12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100" w:type="dxa"/>
            <w:vAlign w:val="bottom"/>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6,272</w:t>
            </w:r>
          </w:p>
        </w:tc>
      </w:tr>
      <w:tr>
        <w:trPr>
          <w:trHeight w:val="27"/>
        </w:trPr>
        <w:tc>
          <w:tcPr>
            <w:tcW w:w="5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7 “Financing Arrangements” for further information on the convertible senior notes and warrants related to the issuance of convertible notes.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October 2014, our board of directors authorized a share repurchase program pursuant to which we may, from time to time, repurchase up to $50 million of our common stock through October 31, 2015 (the “October 2014 Share Repurchase Program”). In October 2015, our board of directors authorized an extension of the October 2014 Share Repurchase Program through October 31, 2016. The amount and timing of the repurchases will be determined by management and will depend on a variety of factors, including the trading price of our common stock, general market and business conditions, and applicable legal requirements. In the second quarter of 2015, 217,279 shares were repurchased and retired for $13.5 million under the October 2014 Share Repurchase Program. No shares were repurchased in the first or third quarter of 2015.</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Financing Arrangements</w:t>
      </w:r>
    </w:p>
    <w:p>
      <w:pPr>
        <w:sectPr>
          <w:pgSz w:w="11900" w:h="16838" w:orient="portrait"/>
          <w:cols w:equalWidth="0" w:num="1">
            <w:col w:w="11400"/>
          </w:cols>
          <w:pgMar w:left="240" w:top="121" w:right="25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carrying amounts of our debt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1.25% convertible senior notes due 2019</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Senior secured credit facility</w:t>
      </w:r>
    </w:p>
    <w:p>
      <w:pPr>
        <w:spacing w:after="0" w:line="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Total debt</w:t>
      </w:r>
    </w:p>
    <w:p>
      <w:pPr>
        <w:spacing w:after="0" w:line="7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Current maturities of debt</w:t>
      </w:r>
    </w:p>
    <w:p>
      <w:pPr>
        <w:spacing w:after="0" w:line="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Long-term debt, net of current portion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2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218,176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212,852</w:t>
            </w:r>
          </w:p>
        </w:tc>
      </w:tr>
      <w:tr>
        <w:trPr>
          <w:trHeight w:val="270"/>
        </w:trPr>
        <w:tc>
          <w:tcPr>
            <w:tcW w:w="2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143,750</w:t>
            </w:r>
          </w:p>
        </w:tc>
      </w:tr>
      <w:tr>
        <w:trPr>
          <w:trHeight w:val="27"/>
        </w:trPr>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356,602</w:t>
            </w:r>
          </w:p>
        </w:tc>
      </w:tr>
      <w:tr>
        <w:trPr>
          <w:trHeight w:val="270"/>
        </w:trPr>
        <w:tc>
          <w:tcPr>
            <w:tcW w:w="220" w:type="dxa"/>
            <w:vAlign w:val="bottom"/>
          </w:tcPr>
          <w:p>
            <w:pPr>
              <w:spacing w:after="0"/>
              <w:rPr>
                <w:sz w:val="23"/>
                <w:szCs w:val="23"/>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r>
      <w:tr>
        <w:trPr>
          <w:trHeight w:val="27"/>
        </w:trPr>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419,426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327,852</w:t>
            </w:r>
          </w:p>
        </w:tc>
      </w:tr>
      <w:tr>
        <w:trPr>
          <w:trHeight w:val="27"/>
        </w:trPr>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-908685</wp:posOffset>
            </wp:positionV>
            <wp:extent cx="583184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31840" cy="18034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-556895</wp:posOffset>
            </wp:positionV>
            <wp:extent cx="583184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31840" cy="180340"/>
                    </a:xfrm>
                    <a:prstGeom prst="rect">
                      <a:avLst/>
                    </a:prstGeom>
                    <a:noFill/>
                  </pic:spPr>
                </pic:pic>
              </a:graphicData>
            </a:graphic>
          </wp:anchor>
        </w:drawing>
        <w:drawing>
          <wp:anchor simplePos="0" relativeHeight="251657728" behindDoc="1" locked="0" layoutInCell="0" allowOverlap="1">
            <wp:simplePos x="0" y="0"/>
            <wp:positionH relativeFrom="column">
              <wp:posOffset>-3409950</wp:posOffset>
            </wp:positionH>
            <wp:positionV relativeFrom="paragraph">
              <wp:posOffset>-205105</wp:posOffset>
            </wp:positionV>
            <wp:extent cx="583184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1840" cy="188595"/>
                    </a:xfrm>
                    <a:prstGeom prst="rect">
                      <a:avLst/>
                    </a:prstGeom>
                    <a:noFill/>
                  </pic:spPr>
                </pic:pic>
              </a:graphicData>
            </a:graphic>
          </wp:anchor>
        </w:drawing>
      </w:r>
    </w:p>
    <w:p>
      <w:pPr>
        <w:spacing w:after="0" w:line="521" w:lineRule="exact"/>
        <w:rPr>
          <w:sz w:val="20"/>
          <w:szCs w:val="20"/>
          <w:color w:val="auto"/>
        </w:rPr>
      </w:pPr>
    </w:p>
    <w:p>
      <w:pPr>
        <w:sectPr>
          <w:pgSz w:w="11900" w:h="16838" w:orient="portrait"/>
          <w:cols w:equalWidth="0" w:num="2">
            <w:col w:w="5780" w:space="720"/>
            <w:col w:w="4900"/>
          </w:cols>
          <w:pgMar w:left="240" w:top="121" w:right="259" w:bottom="1440" w:gutter="0" w:footer="0" w:header="0"/>
          <w:type w:val="continuous"/>
        </w:sect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warrants, which were entered into in connection with the Convertible Notes, effectively raise the price at which economic dilution would occur from the initial conversion price of approximately $79.89 to approximately $97.12 per share.</w:t>
      </w:r>
    </w:p>
    <w:p>
      <w:pPr>
        <w:spacing w:after="0" w:line="189"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Holders of the Convertible Notes may convert their Convertible Notes at their option at any time prior to July 1, 2019, only under the following circumstances:</w:t>
      </w:r>
    </w:p>
    <w:p>
      <w:pPr>
        <w:spacing w:after="0" w:line="135" w:lineRule="exact"/>
        <w:rPr>
          <w:sz w:val="20"/>
          <w:szCs w:val="20"/>
          <w:color w:val="auto"/>
        </w:rPr>
      </w:pPr>
    </w:p>
    <w:p>
      <w:pPr>
        <w:ind w:left="740" w:right="60" w:hanging="73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26" w:lineRule="exact"/>
        <w:rPr>
          <w:rFonts w:ascii="Times New Roman" w:cs="Times New Roman" w:eastAsia="Times New Roman" w:hAnsi="Times New Roman"/>
          <w:sz w:val="18"/>
          <w:szCs w:val="18"/>
          <w:color w:val="auto"/>
        </w:rPr>
      </w:pPr>
    </w:p>
    <w:p>
      <w:pPr>
        <w:ind w:left="740" w:right="160" w:hanging="732"/>
        <w:spacing w:after="0" w:line="261" w:lineRule="auto"/>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26"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transactions described in the Indenture.</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21" w:right="25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6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September 30, 2015, the remaining life of the Convertible Notes is 4.0 years. The equity component will not be remeasured as long as it continues to meet the conditions for equity classification.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2015 and December 31, 2014, the Convertible Notes consisted of the following:</w:t>
      </w:r>
    </w:p>
    <w:p>
      <w:pPr>
        <w:spacing w:after="0" w:line="39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component:</w:t>
            </w:r>
          </w:p>
        </w:tc>
        <w:tc>
          <w:tcPr>
            <w:tcW w:w="2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250,000</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debt discount, net of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(37,148)</w:t>
            </w:r>
          </w:p>
        </w:tc>
      </w:tr>
      <w:tr>
        <w:trPr>
          <w:trHeight w:val="237"/>
        </w:trPr>
        <w:tc>
          <w:tcPr>
            <w:tcW w:w="5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Net carrying amount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218,176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212,852</w:t>
            </w:r>
          </w:p>
        </w:tc>
      </w:tr>
      <w:tr>
        <w:trPr>
          <w:trHeight w:val="67"/>
        </w:trPr>
        <w:tc>
          <w:tcPr>
            <w:tcW w:w="5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r>
      <w:tr>
        <w:trPr>
          <w:trHeight w:val="251"/>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component</w:t>
            </w:r>
            <w:r>
              <w:rPr>
                <w:rFonts w:ascii="Times New Roman" w:cs="Times New Roman" w:eastAsia="Times New Roman" w:hAnsi="Times New Roman"/>
                <w:sz w:val="21"/>
                <w:szCs w:val="21"/>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39,287</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Additional paid-in capital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06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transaction costs related to the issuance of the Convertible Notes were separated into liability and equity components based on their relative values, as determined above. Transaction costs attributable to the liability component are capitalized and amortized to interest expense over the term of the Convertible Notes, and transaction costs attributable to the equity component were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 of interest expense recognized related to the Convertible Notes for the periods presented.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20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290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Contractual interest coupon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9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1,795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interest expense</w:t>
            </w:r>
          </w:p>
        </w:tc>
        <w:tc>
          <w:tcPr>
            <w:tcW w:w="96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2,871</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hedge transactions are intended to reduce the potential future economic dilution associated with the conversion of the Convertible Notes and, combined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effectively raise the price at which economic dilution would occur from the initial conversion price of approximately $79.89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$97.12 per share. For purposes of the computation of diluted earnings per share in accordance with GAAP, dilution will occur when the average share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for a given period exceeds the conversion price of the Convertible Notes, which initially is equal to approximately $79.89 per 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hedge transactions and warrant transactions are discussed separately below.</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660" w:right="100" w:hanging="652"/>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Convertible Note Hedge Transactions</w:t>
      </w:r>
      <w:r>
        <w:rPr>
          <w:rFonts w:ascii="Times New Roman" w:cs="Times New Roman" w:eastAsia="Times New Roman" w:hAnsi="Times New Roman"/>
          <w:sz w:val="18"/>
          <w:szCs w:val="18"/>
          <w:color w:val="auto"/>
        </w:rPr>
        <w:t>. In connection with the issuance of the Convertible Notes, the Company entered into convertible note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in the consolidated balance sheets. The convertible note hedge transactions are separate transactions and are not part of the terms of the Convertible Notes.</w:t>
      </w:r>
    </w:p>
    <w:p>
      <w:pPr>
        <w:spacing w:after="0" w:line="131" w:lineRule="exact"/>
        <w:rPr>
          <w:rFonts w:ascii="Times New Roman" w:cs="Times New Roman" w:eastAsia="Times New Roman" w:hAnsi="Times New Roman"/>
          <w:sz w:val="18"/>
          <w:szCs w:val="18"/>
          <w:color w:val="auto"/>
        </w:rPr>
      </w:pPr>
    </w:p>
    <w:p>
      <w:pPr>
        <w:ind w:left="660" w:hanging="652"/>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In connection with the issuance of the Convertible Notes, the Company sold warrants whereby the holders of the warrants have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in the consolidated balance sheets. The warrants are separate transactions and are not part of the terms of the Convertible Notes or the convertible note hedge transactions.</w:t>
      </w:r>
    </w:p>
    <w:p>
      <w:pPr>
        <w:spacing w:after="0" w:line="18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March 31, 2015, the Company and certain of the Company’s subsidiaries entered into a Second Amended and Restated Credit Agreement dated as of March 31, 2015 (the “Amended Credit Agreement”) by and among the Company, as borrower, certain subsidiaries of the Company, as guarantors, the lenders identified therein, and Bank of America, N.A., as administrative agent and collateral agent, consisting of a $500 million five-year senior secured revolving credit facility. The Amended Credit Agreement becomes due and payable in full upon maturity on March 31, 2020. The Amended Credit Agreement amended and restated, in its entirety, the credit agreement entered into as of April 14, 2011 (as amended and modified, the “Existing Credit Agreement”). The Amended Credit Agreement provides for, among other things, an extension of the maturity date and a reduction in pricing, and replaced the existing revolving credit and term loan facility with an increased revolving credit facility.</w:t>
      </w:r>
    </w:p>
    <w:p>
      <w:pPr>
        <w:spacing w:after="0" w:line="1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w:t>
      </w:r>
    </w:p>
    <w:p>
      <w:pPr>
        <w:spacing w:after="0" w:line="176"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3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21" w:right="25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loans and obligations under the Amended Credit Agreement are secured pursuant to a Second Amended and Restated Security Agreement and a Second Amended and Restated Pledge Agreement (the “Amended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Amended Pledge Agreement).</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of either 3.25 to 1.00 or 3.50 to 1.00, depending on the measurement period, and (ii) a minimum Consolidated Interest Coverage Ratio (as defined in the Amended Credit Agreement) of 3.50 to 1.00. At September 30, 2015, we were in compliance with these financial covenants with a Consolidated Leverage Ratio of 2.49 to 1.00 and a Consolidated Interest Coverage Ratio of 18.30 to 1.00.</w:t>
      </w:r>
    </w:p>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September 30, 2015 totaled $201.3 million. These borrowings carried a weighted average interest rate of 2.3%, including the effect of the interest rate swaps described below in Note 9 “Derivative Instruments and Hedging Activity."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September 30, 2015, we had outstanding letters of credit totaling $5.2 million, which are primarily used as security deposits for our office facilities. As of September 30, 2015, the unused borrowing capacity under the revolving credit facility was $293.5 million.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 Charges</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During the third quarter of 2015, we incurred a $0.3 million pretax restructuring charge primarily related to updated assumptions for the lease accrual of the Washington, D.C. space vacated in the fourth quarter of 2014. During the second quarter of 2015, we incurred a $0.6 million pretax restructuring charge primarily related to workforce reductions in our All Other segment as we continue to wind down our public sector consulting practice and our foreign consulting operations based in the Middle East. During the first quarter of 2015, we incurred a $1.6 million pretax restructuring charge primarily related to workforce reductions. Of the $1.6 million charge, $1.0 million related to our Huron Legal segment, $0.5 million related to our All Other segment, and the remaining $0.1 million related to our corporate operations.</w:t>
      </w:r>
    </w:p>
    <w:p>
      <w:pPr>
        <w:spacing w:after="0" w:line="18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the third quarter of 2014, we incurred a $0.2 million pretax restructuring charge primarily related to updated assumptions for the lease accrual of the London office space vacated in the second quarter of 2014. During the second quarter of 2014, we incurred a $1.0 million pretax restructuring charge related to the consolidation of office spaces in Chicago, New York, and London. Of the total $1.0 million charge, $0.6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 During the first quarter of 2014, we incurred a $0.1 million pretax restructuring charge related to workforce reductions in our London office to better align our resources with market demand in our Huron Legal segment.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September 30, 2015, our restructuring charge liability was $1.0 million which primarily represents the present value of remaining lease payments for our vacated office space in Washington, D.C. As of December 31, 2014, our restructuring charge liability was $1.2 million, and primarily consisted of the present value of remaining lease payments, net of estimated sublease income, for our vacated office spaces in Washington, D.C., Chicago, and New York. The restructuring charge liabilities are included as a component of Accrued expenses and Deferred compensation and other liabilities.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 Instruments and Hedging Activity</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in Note 7 “Financing Arrangements.”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7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on the balance sheet. In accordance with ASC 815, we have designated these derivative instruments as cash flow hedges. As such,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September 30, 2015, it was anticipated that $0.3 million of the losses, net of tax, currently recorded in accumulated other comprehensive income will be reclassified into earnings within the next 12 months. Our interest rate swap agreements were effective during the three and nine months ended September 30, 2015, inclusive of consideration of our credit facility amendment discussed in Note 7 “Financing Arrangements.”</w:t>
      </w:r>
    </w:p>
    <w:p>
      <w:pPr>
        <w:spacing w:after="0" w:line="18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table below sets forth additional information relating to these interest rate swaps designated as cash flow hedging instruments as of September 30, 2015 and December 31, 2014.</w:t>
      </w:r>
    </w:p>
    <w:p>
      <w:pPr>
        <w:spacing w:after="0" w:line="320" w:lineRule="exact"/>
        <w:rPr>
          <w:sz w:val="20"/>
          <w:szCs w:val="20"/>
          <w:color w:val="auto"/>
        </w:rPr>
      </w:pPr>
    </w:p>
    <w:tbl>
      <w:tblPr>
        <w:tblLayout w:type="fixed"/>
        <w:tblInd w:w="122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 (Derivative Asset and Liability)</w:t>
            </w:r>
          </w:p>
        </w:tc>
        <w:tc>
          <w:tcPr>
            <w:tcW w:w="440" w:type="dxa"/>
            <w:vAlign w:val="bottom"/>
          </w:tcPr>
          <w:p>
            <w:pPr>
              <w:spacing w:after="0"/>
              <w:rPr>
                <w:sz w:val="20"/>
                <w:szCs w:val="20"/>
                <w:color w:val="auto"/>
              </w:rPr>
            </w:pP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4"/>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18"/>
                <w:szCs w:val="18"/>
                <w:color w:val="auto"/>
              </w:rPr>
            </w:pPr>
          </w:p>
        </w:tc>
      </w:tr>
      <w:tr>
        <w:trPr>
          <w:trHeight w:val="23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2015</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2014</w:t>
            </w:r>
          </w:p>
        </w:tc>
        <w:tc>
          <w:tcPr>
            <w:tcW w:w="440" w:type="dxa"/>
            <w:vAlign w:val="bottom"/>
          </w:tcPr>
          <w:p>
            <w:pPr>
              <w:spacing w:after="0"/>
              <w:rPr>
                <w:sz w:val="20"/>
                <w:szCs w:val="20"/>
                <w:color w:val="auto"/>
              </w:rPr>
            </w:pPr>
          </w:p>
        </w:tc>
      </w:tr>
      <w:tr>
        <w:trPr>
          <w:trHeight w:val="27"/>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r>
      <w:tr>
        <w:trPr>
          <w:trHeight w:val="24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tcPr>
          <w:p>
            <w:pPr>
              <w:spacing w:after="0"/>
              <w:rPr>
                <w:sz w:val="21"/>
                <w:szCs w:val="21"/>
                <w:color w:val="auto"/>
              </w:rPr>
            </w:pPr>
          </w:p>
        </w:tc>
        <w:tc>
          <w:tcPr>
            <w:tcW w:w="166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r>
      <w:tr>
        <w:trPr>
          <w:trHeight w:val="27"/>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4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and other liabilities</w:t>
            </w: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1660" w:type="dxa"/>
            <w:vAlign w:val="bottom"/>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the Consolidated Balance Sheets. All of the Company’s derivative instruments as of September 30, 2015 and December 31, 2014 were held with the same counterparty.</w:t>
      </w:r>
    </w:p>
    <w:p>
      <w:pPr>
        <w:spacing w:after="0" w:line="18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We do not use derivative instruments for trading or other speculative purposes. Refer to Note 11 “Other Comprehensive Income (Loss)” for additional information on our derivative instruments.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of Financial Instruments</w:t>
      </w:r>
    </w:p>
    <w:p>
      <w:pPr>
        <w:spacing w:after="0" w:line="146" w:lineRule="exact"/>
        <w:rPr>
          <w:sz w:val="20"/>
          <w:szCs w:val="20"/>
          <w:color w:val="auto"/>
        </w:rPr>
      </w:pPr>
    </w:p>
    <w:p>
      <w:pPr>
        <w:ind w:right="40"/>
        <w:spacing w:after="0" w:line="314" w:lineRule="auto"/>
        <w:rPr>
          <w:sz w:val="20"/>
          <w:szCs w:val="20"/>
          <w:color w:val="auto"/>
        </w:rPr>
      </w:pPr>
      <w:r>
        <w:rPr>
          <w:rFonts w:ascii="Times New Roman" w:cs="Times New Roman" w:eastAsia="Times New Roman" w:hAnsi="Times New Roman"/>
          <w:sz w:val="18"/>
          <w:szCs w:val="18"/>
          <w:color w:val="auto"/>
        </w:rPr>
        <w:t xml:space="preserve">Certain of our assets and liabilities are measured at fair value.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defines fair value as the price that would be received to sell an asset or the price that would be paid to transfer a liability in an orderly transaction between market participants at the measurement date. ASC 820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1" w:right="239" w:bottom="1440" w:gutter="0" w:footer="0" w:header="0"/>
        </w:sect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1 Inputs</w:t>
      </w:r>
    </w:p>
    <w:p>
      <w:pPr>
        <w:spacing w:after="0" w:line="30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Level 2 Inputs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Quoted prices in active markets for identical assets or liabilities that the reporting entity has the ability to access at the measurement date.</w:t>
      </w:r>
    </w:p>
    <w:p>
      <w:pPr>
        <w:spacing w:after="0" w:line="12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36" w:lineRule="exact"/>
        <w:rPr>
          <w:sz w:val="20"/>
          <w:szCs w:val="20"/>
          <w:color w:val="auto"/>
        </w:rPr>
      </w:pPr>
    </w:p>
    <w:p>
      <w:pPr>
        <w:sectPr>
          <w:pgSz w:w="11900" w:h="16838" w:orient="portrait"/>
          <w:cols w:equalWidth="0" w:num="2">
            <w:col w:w="1820" w:space="720"/>
            <w:col w:w="8880"/>
          </w:cols>
          <w:pgMar w:left="240" w:top="121" w:right="239" w:bottom="1440" w:gutter="0" w:footer="0" w:header="0"/>
          <w:type w:val="continuous"/>
        </w:sectPr>
      </w:pPr>
    </w:p>
    <w:p>
      <w:pPr>
        <w:ind w:left="40"/>
        <w:spacing w:after="0"/>
        <w:tabs>
          <w:tab w:leader="none" w:pos="2520" w:val="left"/>
        </w:tabs>
        <w:rPr>
          <w:sz w:val="20"/>
          <w:szCs w:val="20"/>
          <w:color w:val="auto"/>
        </w:rPr>
      </w:pPr>
      <w:r>
        <w:rPr>
          <w:rFonts w:ascii="Times New Roman" w:cs="Times New Roman" w:eastAsia="Times New Roman" w:hAnsi="Times New Roman"/>
          <w:sz w:val="18"/>
          <w:szCs w:val="18"/>
          <w:color w:val="auto"/>
        </w:rPr>
        <w:t>Level 3 Inputs</w:t>
      </w:r>
      <w:r>
        <w:rPr>
          <w:sz w:val="20"/>
          <w:szCs w:val="20"/>
          <w:color w:val="auto"/>
        </w:rPr>
        <w:tab/>
      </w:r>
      <w:r>
        <w:rPr>
          <w:rFonts w:ascii="Times New Roman" w:cs="Times New Roman" w:eastAsia="Times New Roman" w:hAnsi="Times New Roman"/>
          <w:sz w:val="17"/>
          <w:szCs w:val="17"/>
          <w:color w:val="auto"/>
        </w:rPr>
        <w:t>Unobservable inputs for the asset or liability, and include situations in which there is little, if any, market activity for the</w:t>
      </w:r>
    </w:p>
    <w:p>
      <w:pPr>
        <w:spacing w:after="0" w:line="2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asset or liability.</w:t>
      </w:r>
    </w:p>
    <w:p>
      <w:pPr>
        <w:spacing w:after="0" w:line="23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 below sets forth our fair value hierarchy for our financial assets and liabilities measured at fair value on a recurring basis as of September 30, 2015 and December 31, 2014.</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Quoted Prices</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 Active</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Markets for</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Observable</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Unobservable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22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8"/>
        </w:trPr>
        <w:tc>
          <w:tcPr>
            <w:tcW w:w="4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2,278</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34,050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36,328</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acquisitions</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1,454</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Promissory note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2,137</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debt investment</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12,250</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14,559</w:t>
            </w:r>
          </w:p>
        </w:tc>
      </w:tr>
      <w:tr>
        <w:trPr>
          <w:trHeight w:val="22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 for business acquisition</w:t>
            </w:r>
          </w:p>
        </w:tc>
        <w:tc>
          <w:tcPr>
            <w:tcW w:w="18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r>
      <w:tr>
        <w:trPr>
          <w:trHeight w:val="27"/>
        </w:trPr>
        <w:tc>
          <w:tcPr>
            <w:tcW w:w="4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4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96" w:lineRule="exact"/>
        <w:rPr>
          <w:sz w:val="20"/>
          <w:szCs w:val="20"/>
          <w:color w:val="auto"/>
        </w:rPr>
      </w:pPr>
    </w:p>
    <w:p>
      <w:pPr>
        <w:ind w:right="40" w:firstLine="36"/>
        <w:spacing w:after="0" w:line="260" w:lineRule="auto"/>
        <w:rPr>
          <w:sz w:val="20"/>
          <w:szCs w:val="20"/>
          <w:color w:val="auto"/>
        </w:rPr>
      </w:pPr>
      <w:r>
        <w:rPr>
          <w:rFonts w:ascii="Times New Roman" w:cs="Times New Roman" w:eastAsia="Times New Roman" w:hAnsi="Times New Roman"/>
          <w:sz w:val="18"/>
          <w:szCs w:val="18"/>
          <w:i w:val="1"/>
          <w:iCs w:val="1"/>
          <w:color w:val="auto"/>
        </w:rPr>
        <w:t>Promissory note</w:t>
      </w:r>
      <w:r>
        <w:rPr>
          <w:rFonts w:ascii="Times New Roman" w:cs="Times New Roman" w:eastAsia="Times New Roman" w:hAnsi="Times New Roman"/>
          <w:sz w:val="18"/>
          <w:szCs w:val="18"/>
          <w:color w:val="auto"/>
        </w:rPr>
        <w:t>: As part of the consideration received for the sale of our Accounting Advisory practice on December 30, 2011, the Company received a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promissory note payable over four years. During the second quarter of 2014, we agreed to amend and restate the note such that principal payments will be paid to the Company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The increase in the fair value of the note during the first nine months of 2015 reflects the accretion of interest income in excess of interest payments received.</w:t>
      </w:r>
    </w:p>
    <w:p>
      <w:pPr>
        <w:sectPr>
          <w:pgSz w:w="11900" w:h="16838" w:orient="portrait"/>
          <w:cols w:equalWidth="0" w:num="1">
            <w:col w:w="11420"/>
          </w:cols>
          <w:pgMar w:left="240" w:top="121" w:right="2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portion of the note expected to be received in the next 12 months is recorded as a receivable in Prepaid expenses and other current assets. The remaining portion of the note is recorded in Other non-current assets.</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rate swaps: </w:t>
      </w:r>
      <w:r>
        <w:rPr>
          <w:rFonts w:ascii="Times New Roman" w:cs="Times New Roman" w:eastAsia="Times New Roman" w:hAnsi="Times New Roman"/>
          <w:sz w:val="18"/>
          <w:szCs w:val="18"/>
          <w:color w:val="auto"/>
        </w:rPr>
        <w:t>The fair value of the interest rate swaps was derived using estimates to settle the interest rate swap agreements, which are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present value of expected future cash flows on each leg of the swaps utilizing market-based inputs and discount rates reflecting the risks involved.</w:t>
      </w:r>
    </w:p>
    <w:p>
      <w:pPr>
        <w:spacing w:after="0" w:line="158"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Convertible debt investment: </w:t>
      </w:r>
      <w:r>
        <w:rPr>
          <w:rFonts w:ascii="Times New Roman" w:cs="Times New Roman" w:eastAsia="Times New Roman" w:hAnsi="Times New Roman"/>
          <w:sz w:val="18"/>
          <w:szCs w:val="18"/>
          <w:color w:val="auto"/>
        </w:rPr>
        <w:t>In the third quarter of 2014, we invested $12.5 million, in the form of zero coupon convertible debt, in Shorelight Holdings,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LLC (“Shorelight”), the parent company of Shorelight Education, a U.S.-based company that partners with leading nonprofit universities to increase access and retention of international students, boost institutional growth, and enhance an institution’s global footprint. In the first nine months of 2015, we invested an additional $15.1 million in convertible notes of Shorelight, including $12.0 million in July 2015 in conjunction with the third-party financing event discussed below. The notes will mature on July 1, 2020, unless converted earlier. As of September 30, 2015, the total cost basis of our investment is $27.6 million.</w:t>
      </w:r>
    </w:p>
    <w:p>
      <w:pPr>
        <w:spacing w:after="0" w:line="1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 in accordance with ASC 320, </w:t>
      </w:r>
      <w:r>
        <w:rPr>
          <w:rFonts w:ascii="Times New Roman" w:cs="Times New Roman" w:eastAsia="Times New Roman" w:hAnsi="Times New Roman"/>
          <w:sz w:val="18"/>
          <w:szCs w:val="18"/>
          <w:i w:val="1"/>
          <w:iCs w:val="1"/>
          <w:color w:val="auto"/>
        </w:rPr>
        <w:t>Investments – Debt and Equity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investment is carried at fair value with unrealized holding gains and losses excluded from earnings and reported in other comprehensive income. We estimated the fair value of our investment using cash flow projections discounted at a risk-adjusted rate and certain assumptions related to equity volatility, default probability, and recovery rate, all of which are Level 3 inputs. In arriving at the estimated fair value, we also considered the probability-weighted likelihood of conversion of the notes, in accordance with the various conversion features of the notes.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of 2015, Shorelight sought additional financing from new third-party investors in order to help fund their continued growth. During the financing process, interest from potential investors indicated that the fair value of the business had increased since our initial investment. As a result, the estimated fair value of our convertible debt investment increased during the second quarter of 2015, and we recorded an unrealized gain of $6.7 million as a component of other comprehensive income during the period. The additional round of financing closed in July 2015. The fair value of the convertible debt investment is recorded in Long-term investment.</w:t>
      </w:r>
    </w:p>
    <w:p>
      <w:pPr>
        <w:spacing w:after="0" w:line="18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for business acquisitions: </w:t>
      </w:r>
      <w:r>
        <w:rPr>
          <w:rFonts w:ascii="Times New Roman" w:cs="Times New Roman" w:eastAsia="Times New Roman" w:hAnsi="Times New Roman"/>
          <w:sz w:val="18"/>
          <w:szCs w:val="18"/>
          <w:color w:val="auto"/>
        </w:rPr>
        <w:t>We estimate the fair value of acquisition-related contingent consideration using either a probability-weighted discounted cash flow model or a Monte Carlo simulation model, as appropriate. These fair value measurements are based on significant inputs not observable in the market and thus represent Level 3 measurements. The significant unobservable inputs used in the fair value measurements of our contingent consideration are our measures of the estimated payouts based on internally generated financial projections and discount rates. The fair value of the contingent consideration is reassessed quarterly based on assumptions used in our latest projections and input provided by practice leaders and management. Any change in the fair value estimate is recorded in the earnings of that period. During the first quarter of 2015, we recorded a $0.9 million contingent consideration liability for one acquisition completed during the quarter. In addition, we determined that the fair value of another contingent consideration liability had declined to zero and recorded a remeasurement gain of $0.3 million. There was no change to the fair value of the outstanding contingent consideration liabilities for the quarters ended June 30, 2015 and September 30, 2015. Refer to Note 5 “Acquisitions” for information on the acquisitions completed in 2015. At September 30, 2015, the current portion of the contingent consideration liability is recorded in Accrued expenses and the long-term portion is recorded in Deferred compensation and other liabilities.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7 “Financing Arrangements.”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the Convertible Notes are as follows:</w:t>
      </w:r>
    </w:p>
    <w:p>
      <w:pPr>
        <w:spacing w:after="0" w:line="181"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September 30, 2015</w:t>
            </w:r>
          </w:p>
        </w:tc>
        <w:tc>
          <w:tcPr>
            <w:tcW w:w="280" w:type="dxa"/>
            <w:vAlign w:val="bottom"/>
          </w:tcPr>
          <w:p>
            <w:pPr>
              <w:spacing w:after="0"/>
              <w:rPr>
                <w:sz w:val="20"/>
                <w:szCs w:val="20"/>
                <w:color w:val="auto"/>
              </w:rPr>
            </w:pPr>
          </w:p>
        </w:tc>
        <w:tc>
          <w:tcPr>
            <w:tcW w:w="294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December 31, 2014</w:t>
            </w:r>
          </w:p>
        </w:tc>
      </w:tr>
      <w:tr>
        <w:trPr>
          <w:trHeight w:val="27"/>
        </w:trPr>
        <w:tc>
          <w:tcPr>
            <w:tcW w:w="3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4"/>
        </w:trPr>
        <w:tc>
          <w:tcPr>
            <w:tcW w:w="3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2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60" w:type="dxa"/>
            <w:vAlign w:val="bottom"/>
          </w:tcPr>
          <w:p>
            <w:pPr>
              <w:spacing w:after="0"/>
              <w:rPr>
                <w:sz w:val="18"/>
                <w:szCs w:val="18"/>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38"/>
        </w:trPr>
        <w:tc>
          <w:tcPr>
            <w:tcW w:w="3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60" w:type="dxa"/>
            <w:vAlign w:val="bottom"/>
          </w:tcPr>
          <w:p>
            <w:pPr>
              <w:spacing w:after="0"/>
              <w:rPr>
                <w:sz w:val="20"/>
                <w:szCs w:val="20"/>
                <w:color w:val="auto"/>
              </w:rPr>
            </w:pPr>
          </w:p>
        </w:tc>
        <w:tc>
          <w:tcPr>
            <w:tcW w:w="13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
        </w:trPr>
        <w:tc>
          <w:tcPr>
            <w:tcW w:w="3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1.25% convertible senior notes due 2019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258,998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212,852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261,903</w:t>
            </w:r>
          </w:p>
        </w:tc>
      </w:tr>
      <w:tr>
        <w:trPr>
          <w:trHeight w:val="27"/>
        </w:trPr>
        <w:tc>
          <w:tcPr>
            <w:tcW w:w="3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difference between the $250 million principal amount of the Convertible Notes and the carrying amount represents the unamortized debt discount. As of September 30, 2015 and December 31, 2014, the carrying value of the equity component of $39.3 million was unchanged from the date of issuance. Refer to Note 7 “Financing Arrangements” for additional details of our Convertible Notes. The estimated fair value of the Convertible Notes was determined based on the quoted bid price of the Convertible Notes in an over-the-counter market, which is a Level 2 input, on the last day of trading for the quarters ended September 30, 2015 and December 31, 2014.</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on the closing price of our common stock of $62.53 on September 30, 2015, the if-converted value of the Convertible Notes was less than the principal amount.</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and cash equivalents are stated at cost, which approximates fair market value. The carrying values for receivables from clients, unbilled services, accounts payable, deferred revenues and other accrued liabilities reasonably approximate fair market value due to the nature of the financial instrument and the short-term maturity of these items.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Comprehensive Income (Loss)</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tables below set forth the components of other comprehensive income (loss), net of tax, for the three and nine months ended September 30, 2015 and 2014.</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8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September 30, 2014</w:t>
            </w:r>
          </w:p>
        </w:tc>
        <w:tc>
          <w:tcPr>
            <w:tcW w:w="8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6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6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r>
      <w:tr>
        <w:trPr>
          <w:trHeight w:val="243"/>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669"/>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900" w:type="dxa"/>
            <w:vAlign w:val="bottom"/>
          </w:tcPr>
          <w:p>
            <w:pPr>
              <w:spacing w:after="0"/>
              <w:rPr>
                <w:sz w:val="18"/>
                <w:szCs w:val="18"/>
                <w:color w:val="auto"/>
              </w:rPr>
            </w:pPr>
          </w:p>
        </w:tc>
      </w:t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 2015</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September 30, 2014</w:t>
            </w:r>
          </w:p>
        </w:tc>
        <w:tc>
          <w:tcPr>
            <w:tcW w:w="9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4"/>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Tax</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Tax</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2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Before</w:t>
            </w:r>
          </w:p>
        </w:tc>
        <w:tc>
          <w:tcPr>
            <w:tcW w:w="16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240" w:type="dxa"/>
            <w:vAlign w:val="bottom"/>
          </w:tcPr>
          <w:p>
            <w:pPr>
              <w:spacing w:after="0"/>
              <w:rPr>
                <w:sz w:val="18"/>
                <w:szCs w:val="18"/>
                <w:color w:val="auto"/>
              </w:rPr>
            </w:pPr>
          </w:p>
        </w:tc>
        <w:tc>
          <w:tcPr>
            <w:tcW w:w="9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Net of</w:t>
            </w:r>
          </w:p>
        </w:tc>
      </w:tr>
      <w:tr>
        <w:trPr>
          <w:trHeight w:val="238"/>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Taxes</w:t>
            </w: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Taxes</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2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Taxes</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 on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r>
      <w:tr>
        <w:trPr>
          <w:trHeight w:val="243"/>
        </w:trPr>
        <w:tc>
          <w:tcPr>
            <w:tcW w:w="4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Unrealized gain (loss) on cash flow hedges: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40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Reclassification adjustments into earnings</w:t>
            </w:r>
          </w:p>
        </w:tc>
        <w:tc>
          <w:tcPr>
            <w:tcW w:w="2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40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unrealized gain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37"/>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3,682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7"/>
        </w:trPr>
        <w:tc>
          <w:tcPr>
            <w:tcW w:w="4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before tax amounts reclassified from accumulated other comprehensive income (loss) related to our cash flow hedges are recorded to Interest expense, net of interest income.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 includes the following components: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Foreign Currency</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Net Unrealized</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 Other</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80" w:type="dxa"/>
            <w:vAlign w:val="bottom"/>
          </w:tcPr>
          <w:p>
            <w:pPr>
              <w:spacing w:after="0"/>
              <w:rPr>
                <w:sz w:val="18"/>
                <w:szCs w:val="18"/>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Gain (Loss) on</w:t>
            </w:r>
          </w:p>
        </w:tc>
        <w:tc>
          <w:tcPr>
            <w:tcW w:w="300" w:type="dxa"/>
            <w:vAlign w:val="bottom"/>
          </w:tcPr>
          <w:p>
            <w:pPr>
              <w:spacing w:after="0"/>
              <w:rPr>
                <w:sz w:val="18"/>
                <w:szCs w:val="18"/>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200" w:type="dxa"/>
            <w:vAlign w:val="bottom"/>
          </w:tcPr>
          <w:p>
            <w:pPr>
              <w:spacing w:after="0"/>
              <w:rPr>
                <w:sz w:val="18"/>
                <w:szCs w:val="18"/>
                <w:color w:val="auto"/>
              </w:rPr>
            </w:pPr>
          </w:p>
        </w:tc>
        <w:tc>
          <w:tcPr>
            <w:tcW w:w="18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r>
      <w:tr>
        <w:trPr>
          <w:trHeight w:val="238"/>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80" w:type="dxa"/>
            <w:vAlign w:val="bottom"/>
          </w:tcPr>
          <w:p>
            <w:pPr>
              <w:spacing w:after="0"/>
              <w:rPr>
                <w:sz w:val="20"/>
                <w:szCs w:val="20"/>
                <w:color w:val="auto"/>
              </w:rPr>
            </w:pPr>
          </w:p>
        </w:tc>
        <w:tc>
          <w:tcPr>
            <w:tcW w:w="18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Investment</w:t>
            </w:r>
          </w:p>
        </w:tc>
        <w:tc>
          <w:tcPr>
            <w:tcW w:w="300" w:type="dxa"/>
            <w:vAlign w:val="bottom"/>
          </w:tcPr>
          <w:p>
            <w:pPr>
              <w:spacing w:after="0"/>
              <w:rPr>
                <w:sz w:val="20"/>
                <w:szCs w:val="20"/>
                <w:color w:val="auto"/>
              </w:rPr>
            </w:pPr>
          </w:p>
        </w:tc>
        <w:tc>
          <w:tcPr>
            <w:tcW w:w="18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Derivatives</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December 31, 2014</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r>
      <w:tr>
        <w:trPr>
          <w:trHeight w:val="243"/>
        </w:trPr>
        <w:tc>
          <w:tcPr>
            <w:tcW w:w="28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period change</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3,682</w:t>
            </w:r>
          </w:p>
        </w:tc>
      </w:tr>
      <w:tr>
        <w:trPr>
          <w:trHeight w:val="27"/>
        </w:trPr>
        <w:tc>
          <w:tcPr>
            <w:tcW w:w="2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9"/>
        </w:trPr>
        <w:tc>
          <w:tcPr>
            <w:tcW w:w="2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September 30, 2015</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1,027</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September 30, 2015 and 2014 were 37.1% and 36.8%, respectively. The Company's effective tax rates for the nine months ended September 30, 2015 and 2014 were 39.8% and 28.4%. The effective tax rate for the three months ended September 30, 2015 was in line with the statutory rate, inclusive of state income taxes, with the negative impact of certain non-deductible business expenses and foreign losses with no tax benefit largely offset by certain credits and deductions. The effective tax rate for the nine months ended September 30, 2015 was higher than the statutory rate, inclusive of state income taxes, primarily due to certain non-deductible business expenses and foreign losses with no tax benefit, partially offset by certain credits and deductions.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effective tax rate for the third quarter of 2014 was lower than the statutory tax rate, inclusive of state income taxes, primarily due to the favorable settlement of the IRS audit for years 2009, 2010, and 2011. The effective tax rate for the first nine months of 2014 was lower than the statutory tax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This recognized benefit was partially offset by $1.2 million in expenses in the first quarter of 2014 related to the establishment of a valuation allowance for certain foreign tax credits and increased deferred tax liabilities as a result of the aforementioned election.</w:t>
      </w:r>
    </w:p>
    <w:p>
      <w:pPr>
        <w:spacing w:after="0" w:line="239" w:lineRule="exact"/>
        <w:rPr>
          <w:sz w:val="20"/>
          <w:szCs w:val="20"/>
          <w:color w:val="auto"/>
        </w:rPr>
      </w:pPr>
    </w:p>
    <w:p>
      <w:pPr>
        <w:ind w:right="7620" w:firstLine="8"/>
        <w:spacing w:after="0" w:line="376" w:lineRule="auto"/>
        <w:tabs>
          <w:tab w:leader="none" w:pos="27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Contingencies and Guarantees Litigation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Tamalluk Business Development LLC v. Huron Consulting Services LLC (Abu Dhabi Court of First Instance)</w:t>
      </w:r>
    </w:p>
    <w:p>
      <w:pPr>
        <w:spacing w:after="0" w:line="11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On August 22, 2013, we learned that Tamalluk Business Development LLC, who was Huron’s agent in Abu Dhabi, and its principal, Mubarak Ahmad Bin Hamouda Al Dhaheri, filed a claim against Huron Consulting Services LLC in the Abu Dhabi</w:t>
      </w:r>
    </w:p>
    <w:p>
      <w:pPr>
        <w:sectPr>
          <w:pgSz w:w="11900" w:h="16838" w:orient="portrait"/>
          <w:cols w:equalWidth="0" w:num="1">
            <w:col w:w="11420"/>
          </w:cols>
          <w:pgMar w:left="240" w:top="121"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Court of First Instance. The lawsuit alleges that under the agency agreement, Tamalluk was entitled to a commission on certain amounts that Huron collected from Abu Dhabi clients, and that Huron breached the agreement with Tamalluk and caused damages by declining to enter into a client engagement in Abu Dhabi and subsequently terminating the agency agreement with Tamalluk. Claimants allege they are entitled to $50 million for damage to reputation and defamation and another $50 million for breach of contract. Huron submitted its written response on September 25, 2013. The response states that Huron had the right to terminate the agency agreement with Tamalluk, and Huron had the sole discretion whether to accept or reject an engagement. Huron also filed a counterclaim on October 10, 2013 seeking a judicial order to permit the cancellation of Huron’s commercial license to allow Huron to cease doing business in Abu Dhabi. On December 17, 2013, the Abu Dhabi court ruled in Huron’s favor on all claims and held that Huron permissibly terminated the contract with Tamalluk and Huron does not owe Tamalluk any compensation related to Tamalluk’s claims. In addition, the court terminated the Local Sponsorship Agreement as requested by Huron in its counterclaim. Tamalluk appealed the decision, and on March 18, 2014, the appellate court upheld the decision in Huron’s favor. Tamalluk filed an appeal on May 18, 2014 to the Court of Cassation, which is the highest court in Abu Dhabi. On October 21, 2014, the Court of Cassation referred the case back to the appellate court for consideration of Claimants’ allegations relating to damage to reputation and defamation, which the appellate court had not previously addressed. The Court of Cassation ruled in Huron’s favor on the other claims and on Huron’s counterclaim. On October 13, 2015, the appellate court ruled in Huron's favor and denied Tamalluk's claims for defamation and damage to reputation. This ruling is appealable to the Court of Cassation.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Physiotherapy Associates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2011, Huron was engaged to design and implement new processes, software, tools, and techniques to assist Physiotherapy Associates, Inc. (“PA”) in reducing older accounts receivable levels and optimizing cash flow. The engagement agreement specifically provides that Huron will not be auditing financial statements and that Huron’s services are not designed, and should not be relied on, to disclose weaknesses in internal controls, financial statement errors, irregularities, illegal acts, or disclosure deficiencies.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2013, Physiotherapy Holdings, Inc., and certain subsidiaries and affiliates (including PA) filed a voluntary petition for bankruptcy pursuant to Chapter 11 of the Bankruptcy Code, which resulted in part from claims related to an alleged overstatement of PA’s revenues and profitability in connection with the sale of PA in 2012. The Joint Prepackaged Plan of Reorganization (the “Plan”), which was confirmed by the Bankruptcy Court in December 2013, establishes and funds a Litigation Trust to pursue certain claims on behalf of certain beneficiaries. The Plan discloses a lengthy list of potential defendants and witnesses regarding these claims, including but not limited to the debtors’ officers, directors, certain employees, former owners, investment bankers, auditors, and various consultants. This list of potential defendants and witnesses includes Huron, as well as three of Huron’s current or former employees.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Plan suggests that Huron, among others, was involved in “actively marketing PA” for sale and provided opinions to unnamed parties “defending the quality of PA’s earnings.” While we believe that we have meritorious defenses, to avoid the time and expense of protracted litigation, in September 2015 we reached an agreement in principle with the Litigation Trust to settle the matter for $3.6 million. As a result, in the third quarter of 2015 we increased our accrued liability from $1.3 million to $3.6 million, and increased our insurance receivable from $0.5 million to $2.8 million. The settlement agreement, once finalized between the parties, will be subject to approval by the Bankruptcy Court.</w:t>
      </w:r>
    </w:p>
    <w:p>
      <w:pPr>
        <w:spacing w:after="0" w:line="1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and litigation arising in the ordinary course of business. As of the date of this Quarterly Report on Form 10-Q, we are not a party to any other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w:t>
      </w:r>
    </w:p>
    <w:p>
      <w:pPr>
        <w:spacing w:after="0" w:line="121"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Guarantees in the form of letters of credit totaling $5.2 million and $5.1 million were outstanding at September 30, 2015 and December 31, 2014, respectively, primarily to support certain office lease obligations.</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1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 xml:space="preserve">Segments are defined by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five operating segments, which are our reportable segments: Huron Healthcare, Huron Education and Life Sciences, Huron Legal, Huron Business Advisory, and All Other.</w:t>
      </w:r>
    </w:p>
    <w:p>
      <w:pPr>
        <w:spacing w:after="0" w:line="8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Healthcare</w:t>
      </w:r>
    </w:p>
    <w:p>
      <w:pPr>
        <w:spacing w:after="0" w:line="121" w:lineRule="exact"/>
        <w:rPr>
          <w:rFonts w:ascii="Times New Roman" w:cs="Times New Roman" w:eastAsia="Times New Roman" w:hAnsi="Times New Roman"/>
          <w:sz w:val="18"/>
          <w:szCs w:val="18"/>
          <w:b w:val="1"/>
          <w:bCs w:val="1"/>
          <w:color w:val="auto"/>
        </w:rPr>
      </w:pPr>
    </w:p>
    <w:p>
      <w:pPr>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rapidly-evolving healthcare environment and to improve quality, increase revenue, reduce expenses, and enhance patient, physician,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04" w:lineRule="exact"/>
        <w:rPr>
          <w:rFonts w:ascii="Times New Roman" w:cs="Times New Roman" w:eastAsia="Times New Roman" w:hAnsi="Times New Roman"/>
          <w:sz w:val="18"/>
          <w:szCs w:val="18"/>
          <w:b w:val="1"/>
          <w:bCs w:val="1"/>
          <w:color w:val="auto"/>
        </w:rPr>
      </w:pPr>
    </w:p>
    <w:p>
      <w:pPr>
        <w:ind w:left="720" w:hanging="71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Huron Education and Life Sciences</w:t>
      </w:r>
    </w:p>
    <w:p>
      <w:pPr>
        <w:spacing w:after="0" w:line="135"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 address challenges relating to financial management, strategy, operational and organizational effectiveness, research administration, and regulatory compliance.</w:t>
      </w:r>
    </w:p>
    <w:p>
      <w:pPr>
        <w:spacing w:after="0" w:line="122" w:lineRule="exact"/>
        <w:rPr>
          <w:sz w:val="20"/>
          <w:szCs w:val="20"/>
          <w:color w:val="auto"/>
        </w:rPr>
      </w:pPr>
    </w:p>
    <w:p>
      <w:pPr>
        <w:ind w:left="720" w:hanging="712"/>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Legal</w:t>
      </w:r>
    </w:p>
    <w:p>
      <w:pPr>
        <w:spacing w:after="0" w:line="135" w:lineRule="exact"/>
        <w:rPr>
          <w:sz w:val="20"/>
          <w:szCs w:val="20"/>
          <w:color w:val="auto"/>
        </w:rPr>
      </w:pPr>
    </w:p>
    <w:p>
      <w:pPr>
        <w:ind w:left="660" w:right="240"/>
        <w:spacing w:after="0" w:line="258" w:lineRule="auto"/>
        <w:rPr>
          <w:sz w:val="20"/>
          <w:szCs w:val="20"/>
          <w:color w:val="auto"/>
        </w:rPr>
      </w:pPr>
      <w:r>
        <w:rPr>
          <w:rFonts w:ascii="Times New Roman" w:cs="Times New Roman" w:eastAsia="Times New Roman" w:hAnsi="Times New Roman"/>
          <w:sz w:val="18"/>
          <w:szCs w:val="18"/>
          <w:color w:val="auto"/>
        </w:rPr>
        <w:t>Our Huron Legal segment provides consulting and technology-enabled services to assist law departments of major global corporations and their associated law firms with cost and risk reduction and operational efficiency. Our professionals and business solutions focus on four primary areas: electronic discovery and litigation management, law department management, information governance and compliance, and legal analytics. Our clients benefit from the experience of business, discovery, and technical consultants who are experts in the legal, compliance, technology, and management fields.</w:t>
      </w:r>
    </w:p>
    <w:p>
      <w:pPr>
        <w:spacing w:after="0" w:line="99" w:lineRule="exact"/>
        <w:rPr>
          <w:sz w:val="20"/>
          <w:szCs w:val="20"/>
          <w:color w:val="auto"/>
        </w:rPr>
      </w:pPr>
    </w:p>
    <w:p>
      <w:pPr>
        <w:ind w:left="720" w:hanging="712"/>
        <w:spacing w:after="0"/>
        <w:tabs>
          <w:tab w:leader="none" w:pos="7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Business Advisory</w:t>
      </w:r>
    </w:p>
    <w:p>
      <w:pPr>
        <w:spacing w:after="0" w:line="135" w:lineRule="exact"/>
        <w:rPr>
          <w:sz w:val="20"/>
          <w:szCs w:val="20"/>
          <w:color w:val="auto"/>
        </w:rPr>
      </w:pPr>
    </w:p>
    <w:p>
      <w:pPr>
        <w:ind w:left="660" w:right="40"/>
        <w:spacing w:after="0" w:line="255" w:lineRule="auto"/>
        <w:rPr>
          <w:sz w:val="20"/>
          <w:szCs w:val="20"/>
          <w:color w:val="auto"/>
        </w:rPr>
      </w:pPr>
      <w:r>
        <w:rPr>
          <w:rFonts w:ascii="Times New Roman" w:cs="Times New Roman" w:eastAsia="Times New Roman" w:hAnsi="Times New Roman"/>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 Also included in the Huron Business Advisory segment is our Enterprise Performance Management and Analytics practice, which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 helps global clients across industries drive results and gain a competitive advantage.</w:t>
      </w:r>
    </w:p>
    <w:p>
      <w:pPr>
        <w:spacing w:after="0" w:line="91"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w:t>
      </w:r>
    </w:p>
    <w:p>
      <w:pPr>
        <w:spacing w:after="0" w:line="121" w:lineRule="exact"/>
        <w:rPr>
          <w:rFonts w:ascii="Times New Roman" w:cs="Times New Roman" w:eastAsia="Times New Roman" w:hAnsi="Times New Roman"/>
          <w:sz w:val="18"/>
          <w:szCs w:val="18"/>
          <w:b w:val="1"/>
          <w:bCs w:val="1"/>
          <w:color w:val="auto"/>
        </w:rPr>
      </w:pPr>
    </w:p>
    <w:p>
      <w:pPr>
        <w:ind w:left="660" w:right="40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Our All Other segment consists of any line of business not managed by our other four operating segments. These businesses include our public sector consulting practice and our foreign consulting operations based in the Middle East, both of which we are in the process of winding down.</w:t>
      </w:r>
    </w:p>
    <w:p>
      <w:pPr>
        <w:spacing w:after="0" w:line="13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HURON CONSULTING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(Tabular amounts 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about our operating segments for the three and nine months ended September 30, 2015 and 2014, along with the items necessary to reconcile the segment information to the totals reported in the accompanying Consolidated Financial Statements.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6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7"/>
        </w:trPr>
        <w:tc>
          <w:tcPr>
            <w:tcW w:w="5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2014</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112,114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97,812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328,624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306,327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47,609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122,120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117,422</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42,056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124,892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107,846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27,539</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Legal: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34,416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107,469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154,417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10,949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39,227</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Huron 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21,249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17,142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59,173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47,098</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4,397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13,514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12,081</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2,497</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209,881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198,049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621,378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618,185</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17,356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18,679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55,900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58,923</w:t>
            </w:r>
          </w:p>
        </w:tc>
      </w:tr>
      <w:tr>
        <w:trPr>
          <w:trHeight w:val="237"/>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227,237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216,728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677,278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677,108</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Earnings reconciliation: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72,765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51,877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192,868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194,636</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operating expenses and gains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26,946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85,412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78,879</w:t>
            </w:r>
          </w:p>
        </w:tc>
      </w:tr>
      <w:tr>
        <w:trPr>
          <w:trHeight w:val="27"/>
        </w:trPr>
        <w:tc>
          <w:tcPr>
            <w:tcW w:w="5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8,994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25,771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18,638</w:t>
            </w:r>
          </w:p>
        </w:tc>
      </w:tr>
      <w:tr>
        <w:trPr>
          <w:trHeight w:val="243"/>
        </w:trPr>
        <w:tc>
          <w:tcPr>
            <w:tcW w:w="5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4,552</w:t>
            </w:r>
          </w:p>
        </w:tc>
      </w:tr>
      <w:tr>
        <w:trPr>
          <w:trHeight w:val="27"/>
        </w:trPr>
        <w:tc>
          <w:tcPr>
            <w:tcW w:w="5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30,804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19,345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65,946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92,567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4065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2015 and December 31, 2014, no single client accounted for greater than 10% of our combined receivables and unbilled services balances.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2015 and 2014, no single client generated greater than 10% of our consolidated revenues.</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Effective October 1, 2015, we completed our acquisition of the assets of Cloud62, a Buffalo, New York-based provider of business consulting services specializing in Salesforce.com implementations and related cloud-based applications. The results of operations of Cloud62 will be included in the Huron Business Advisory segment.</w:t>
      </w:r>
    </w:p>
    <w:p>
      <w:pPr>
        <w:sectPr>
          <w:pgSz w:w="11900" w:h="16838" w:orient="portrait"/>
          <w:cols w:equalWidth="0" w:num="1">
            <w:col w:w="11420"/>
          </w:cols>
          <w:pgMar w:left="240" w:top="121" w:right="239" w:bottom="1440" w:gutter="0" w:footer="0" w:header="0"/>
        </w:sect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4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 this Quarterly Report on Form 10-Q, unless the context otherwise requires, the terms “Huron,” “Company,” “we,” “us” and “our” refer to Huron Consulting Group Inc. and its subsidiaries.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that are not historical in nature, including those concerning the Company’s current expectations about its future requirements and needs, are “forward-looking” statements as defined in Section 21E of the Securities Exchange Act of 1934, as amended, and the Private Securities Litigation Reform Act of 1995. Forward-looking statements are identified by words such as “may,” “should,” “expects,” “provides,” “anticipates,” “assumes,” “can,” “will,” “meets,” “could,” “likely,” “intends,” “might,” “predicts,” “seeks,” “would,” “believes,” “estimates,” “plans,” or “continues.”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2014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are a leading provider of operational and financial consulting services. We help clients in diverse industries improve performance, transform the enterprise, reduce costs, leverage technology, process and review large amounts of complex data, address regulatory changes, recover from distress, and stimulate growth. Our professionals employ their expertise in finance, operations, strategy, analytics, and technology to provide our clients with specialized analyses and customized advice and solutions that are tailored to address each client’s particular challenges and opportunities to deliver sustainable and measurable results. We provide consulting services to a wide variety of both financially sound and distressed organizations, including healthcare organizations, leading academic institutions, Fortune 500 companies, governmental entities, and law firms. We have worked with more than 450 health systems, hospitals, and academic medical centers; more than 400 corporate general counsel; and more than 400 universities and research institutions. We are a Platinum level member of the Oracle PartnerNetwork (OPN), a Workday Services Partner, and a Silver Partner of the Salesforce.com partner network.</w:t>
      </w:r>
    </w:p>
    <w:p>
      <w:pPr>
        <w:spacing w:after="0" w:line="18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provide our services through five operating segments: Huron Healthcare, Huron Education and Life Sciences, Huron Legal, Huron Business Advisory, and All Other.</w:t>
      </w:r>
    </w:p>
    <w:p>
      <w:pPr>
        <w:spacing w:after="0" w:line="131" w:lineRule="exact"/>
        <w:rPr>
          <w:sz w:val="20"/>
          <w:szCs w:val="20"/>
          <w:color w:val="auto"/>
        </w:rPr>
      </w:pPr>
    </w:p>
    <w:p>
      <w:pPr>
        <w:ind w:left="740" w:hanging="732"/>
        <w:spacing w:after="0"/>
        <w:tabs>
          <w:tab w:leader="none" w:pos="7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Healthcare</w:t>
      </w:r>
    </w:p>
    <w:p>
      <w:pPr>
        <w:spacing w:after="0" w:line="121" w:lineRule="exact"/>
        <w:rPr>
          <w:rFonts w:ascii="Times New Roman" w:cs="Times New Roman" w:eastAsia="Times New Roman" w:hAnsi="Times New Roman"/>
          <w:sz w:val="18"/>
          <w:szCs w:val="18"/>
          <w:b w:val="1"/>
          <w:bCs w:val="1"/>
          <w:color w:val="auto"/>
        </w:rPr>
      </w:pPr>
    </w:p>
    <w:p>
      <w:pPr>
        <w:ind w:left="7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Huron Healthcare segment provides consulting services to national and regional hospitals and integrated health systems, academic medical centers, community hospitals, and physician practices. We deliver solutions to enhance the ability of our clients to address challenges in the rapidly-evolving healthcare environment and to improve quality, increase revenue, reduce expenses, and enhance patient, physician, and employee satisfaction across the healthcare enterprise. By partnering with healthcare organizations, we design solutions that teach providers how to achieve cultural transformation and deliver and sustain improvement in clinical outcomes and financial results. Our people provide a depth of expertise across the healthcare industry, and our culture of collaboration extends to our client engagements, enabling teams to effectively implement successful client projects.</w:t>
      </w:r>
    </w:p>
    <w:p>
      <w:pPr>
        <w:spacing w:after="0" w:line="158"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Education and Life Sciences</w:t>
      </w:r>
    </w:p>
    <w:p>
      <w:pPr>
        <w:spacing w:after="0" w:line="121" w:lineRule="exact"/>
        <w:rPr>
          <w:rFonts w:ascii="Times New Roman" w:cs="Times New Roman" w:eastAsia="Times New Roman" w:hAnsi="Times New Roman"/>
          <w:sz w:val="18"/>
          <w:szCs w:val="18"/>
          <w:b w:val="1"/>
          <w:bCs w:val="1"/>
          <w:color w:val="auto"/>
        </w:rPr>
      </w:pPr>
    </w:p>
    <w:p>
      <w:pPr>
        <w:jc w:val="both"/>
        <w:ind w:left="740" w:right="6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Huron Education and Life Sciences segment provides management consulting services and software solutions to the higher education, academic medical center, pharmaceutical and medical device, and research industries. We work with our clients to develop and implement performance improvement, technology, and research enterprise solutions to help them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40" w:right="40"/>
        <w:spacing w:after="0" w:line="282" w:lineRule="auto"/>
        <w:rPr>
          <w:sz w:val="20"/>
          <w:szCs w:val="20"/>
          <w:color w:val="auto"/>
        </w:rPr>
      </w:pPr>
      <w:r>
        <w:rPr>
          <w:rFonts w:ascii="Times New Roman" w:cs="Times New Roman" w:eastAsia="Times New Roman" w:hAnsi="Times New Roman"/>
          <w:sz w:val="18"/>
          <w:szCs w:val="18"/>
          <w:color w:val="auto"/>
        </w:rPr>
        <w:t>address challenges relating to financial management, strategy, operational and organizational effectiveness, research administration, and regulatory compliance.</w:t>
      </w:r>
    </w:p>
    <w:p>
      <w:pPr>
        <w:spacing w:after="0" w:line="104" w:lineRule="exact"/>
        <w:rPr>
          <w:sz w:val="20"/>
          <w:szCs w:val="20"/>
          <w:color w:val="auto"/>
        </w:rPr>
      </w:pPr>
    </w:p>
    <w:p>
      <w:pPr>
        <w:ind w:left="740" w:hanging="732"/>
        <w:spacing w:after="0"/>
        <w:tabs>
          <w:tab w:leader="none" w:pos="7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Legal</w:t>
      </w:r>
    </w:p>
    <w:p>
      <w:pPr>
        <w:spacing w:after="0" w:line="121" w:lineRule="exact"/>
        <w:rPr>
          <w:rFonts w:ascii="Times New Roman" w:cs="Times New Roman" w:eastAsia="Times New Roman" w:hAnsi="Times New Roman"/>
          <w:sz w:val="18"/>
          <w:szCs w:val="18"/>
          <w:b w:val="1"/>
          <w:bCs w:val="1"/>
          <w:color w:val="auto"/>
        </w:rPr>
      </w:pPr>
    </w:p>
    <w:p>
      <w:pPr>
        <w:ind w:left="740" w:right="1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Huron Legal segment provides consulting and technology-enabled services to assist law departments of major global corporations and their associated law firms with cost and risk reduction and operational efficiency. Our professionals and business solutions focus on four primary areas: electronic discovery and litigation management, law department management, information governance and compliance, and legal analytics. Our clients benefit from the experience of business, discovery, and technical consultants who are experts in the legal, compliance, technology, and management fields.</w:t>
      </w:r>
    </w:p>
    <w:p>
      <w:pPr>
        <w:spacing w:after="0" w:line="152"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Huron Business Advisory</w:t>
      </w:r>
    </w:p>
    <w:p>
      <w:pPr>
        <w:spacing w:after="0" w:line="121" w:lineRule="exact"/>
        <w:rPr>
          <w:rFonts w:ascii="Times New Roman" w:cs="Times New Roman" w:eastAsia="Times New Roman" w:hAnsi="Times New Roman"/>
          <w:sz w:val="18"/>
          <w:szCs w:val="18"/>
          <w:b w:val="1"/>
          <w:bCs w:val="1"/>
          <w:color w:val="auto"/>
        </w:rPr>
      </w:pPr>
    </w:p>
    <w:p>
      <w:pPr>
        <w:ind w:left="7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Huron Business Advisory segment provides services to the C-suite of middle market and large organizations, lending institutions, law firms, investment banks, and private equity firms. We assist clients in a broad range of industries and across the spectrum from healthy, well-capitalized companies to organizations in transition, creditors, owners, and other key constituents. Also included in the Huron Business Advisory segment is our Enterprise Performance Management and Analytics practice, which delivers solutions that enable organizations to manage and optimize their financial performance, operational efficiency, and client experience. With expertise in full-service enterprise performance management (EPM), business analytics, customer relationship management (CRM), and big data professional services, Huron helps global clients across industries drive results and gain a competitive advantage.</w:t>
      </w:r>
    </w:p>
    <w:p>
      <w:pPr>
        <w:spacing w:after="0" w:line="131" w:lineRule="exact"/>
        <w:rPr>
          <w:rFonts w:ascii="Times New Roman" w:cs="Times New Roman" w:eastAsia="Times New Roman" w:hAnsi="Times New Roman"/>
          <w:sz w:val="18"/>
          <w:szCs w:val="18"/>
          <w:b w:val="1"/>
          <w:bCs w:val="1"/>
          <w:color w:val="auto"/>
        </w:rPr>
      </w:pPr>
    </w:p>
    <w:p>
      <w:pPr>
        <w:ind w:left="740" w:hanging="732"/>
        <w:spacing w:after="0"/>
        <w:tabs>
          <w:tab w:leader="none" w:pos="7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 Other</w:t>
      </w:r>
    </w:p>
    <w:p>
      <w:pPr>
        <w:spacing w:after="0" w:line="121" w:lineRule="exact"/>
        <w:rPr>
          <w:rFonts w:ascii="Times New Roman" w:cs="Times New Roman" w:eastAsia="Times New Roman" w:hAnsi="Times New Roman"/>
          <w:sz w:val="18"/>
          <w:szCs w:val="18"/>
          <w:b w:val="1"/>
          <w:bCs w:val="1"/>
          <w:color w:val="auto"/>
        </w:rPr>
      </w:pPr>
    </w:p>
    <w:p>
      <w:pPr>
        <w:ind w:left="740" w:right="260"/>
        <w:spacing w:after="0" w:line="31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Our All Other segment consists of any line of business not managed by our other four operating segments. These businesses include our public sector consulting practice and our foreign consulting operations based in the Middle East, both of which we are in the process of winding down.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Rittman Mead India</w:t>
      </w:r>
    </w:p>
    <w:p>
      <w:pPr>
        <w:spacing w:after="0" w:line="121"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Effective July 1, 2015, we completed our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The acquisition date fair value of the consideration transferred totaled $1.2 million. Rittman Mead India's results of operations have been included in our consolidated financial statements and the segment operating results of Huron Business Advisory from the date of acquisition.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Studer Group</w:t>
      </w:r>
    </w:p>
    <w:p>
      <w:pPr>
        <w:spacing w:after="0" w:line="12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On February 12, 2015, we completed our acquisition of Studer Group in exchange for consideration with a fair value of approximately $325.2 million, consisting of $323.2 million in cash and $2.2 million in Huron common stock, less the receipt of a net working capital adjustment payment of $0.2 million. The cash portion of the acquisition was funded with available cash on hand and $102.0 million of borrowings under our senior secured credit facility. Studer Group is a premier professional services firm that assists healthcare providers achieve cultural transformation to deliver and sustain improvement in clinical outcomes and financial results. The acquisition combines our Huron Healthcare segment’s performance improvement and clinical transformation capabilities with Studer Group’s Evidence-Based Leadership</w:t>
      </w:r>
      <w:r>
        <w:rPr>
          <w:rFonts w:ascii="Times New Roman" w:cs="Times New Roman" w:eastAsia="Times New Roman" w:hAnsi="Times New Roman"/>
          <w:sz w:val="25"/>
          <w:szCs w:val="25"/>
          <w:color w:val="auto"/>
          <w:vertAlign w:val="superscript"/>
        </w:rPr>
        <w:t>SM</w:t>
      </w:r>
      <w:r>
        <w:rPr>
          <w:rFonts w:ascii="Times New Roman" w:cs="Times New Roman" w:eastAsia="Times New Roman" w:hAnsi="Times New Roman"/>
          <w:sz w:val="18"/>
          <w:szCs w:val="18"/>
          <w:color w:val="auto"/>
        </w:rPr>
        <w:t xml:space="preserve"> framework to provide leadership and cultural transformation expertise for healthcare provider clients. Studer Group’s results of operations have been included in our consolidated financial statements and the segment operating results of Huron Healthcare from the date of acquisition.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Sky Analytics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January 1, 2015, we completed our acquisition of Sky Analytics, Inc. in exchange for consideration with a fair value of approximately $9.7 million. This included cash of $8.8 million and contingent consideration with a fair value of $0.9 million at the acquisition date. Sky Analytics is a Massachusetts-based provider of legal spend management software for corporate law departments. The addition strengthens our Huron Legal segment’s law department management offering and complements our deep consulting expertise. Sky Analytics’ results of operations have been included in our consolidated financial statements and the segment operating results of Huron Legal from the date of acquisition.</w:t>
      </w: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60"/>
          </w:cols>
          <w:pgMar w:left="240" w:top="121" w:right="29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Generate Revenues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 large portion of our revenues is generated by our full-time billable consultants who provide consulting services to our clients and are billable to our clients based on the number of hours worked. A smaller portion of our revenues is generated by our other professionals, also referred to as full-time equivalents, many of whom work variable schedules as needed by our clients. Full-time equivalents include specialized finance and operational consultants, our document review and electronic data discovery groups, our cultural transformation consultants from the Studer Group acquisition, which include coaches and their support staff, and our employees who provide software support and maintenance services to our clients. Our document review and electronic data discovery groups generate revenues primarily based on the number of hours worked and units produced, such as pages reviewed or amount of data processed.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8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as well as the number of pages reviewed and amount of data processed in the case of our document review and electronic data discovery groups, respectively. Revenues generated by our coaches are largely dependent on the number of coaches we employ and the total value, scope, and terms of the consulting contracts under which they provide services, which are primarily fixed-fee contracts.</w:t>
      </w:r>
    </w:p>
    <w:p>
      <w:pPr>
        <w:spacing w:after="0" w:line="18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generate the majority of our revenues from providing professional services under four types of billing arrangements: time-and-expense, fixed-fee (including software license revenue), performance-based, and support and maintenance for the software we deploy.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Time-and-expense billing arrangements require the client to pay based on either the number of hours worked, the number of pages reviewed, or the amount of data processed by our revenue-generating professionals at agreed upon rates. We recognize revenues under time-and-expense billing arrangements as the related services are rendered. Time-and-expense engagements represented 40.5% and 44.6% of our revenues for the three months ended September 30, 2015 and 2014, respectively, and 40.4% and 45.1% of our revenues for the nine months ended September 30, 2015 and 2014, respectively.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Fixed-fee arrangements also include our software license and subscription revenue, which is primarily derived from revenue cycle management software, research administration and compliance software, and subscriptions to our cloud-based analytic tools and solutions.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 Subscription revenue from our cloud-based solutions is recognized on a straight-line basis over the term of the customer contract.</w:t>
      </w:r>
    </w:p>
    <w:p>
      <w:pPr>
        <w:spacing w:after="0" w:line="18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Fixed-fee engagements represented 50.7% and 39.6% of our revenues for the three months ended September 30, 2015 and 2014, respectively, and 48.6% and 39.4% of our revenues for the nine months ended September 30, 2015 and 2014, respectively.</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5.0% and 12.1% of our revenues for the three months ended September 30, 2015 and 2014, respectively, and 7.1% and 12.3% of our revenues for the nine months ended September 30, 2015 and 2014, respectively. Performance-based fee engagements may cause significant variations in quarterly revenues and operating results depending on the timing of achieving the performance-based criteria.</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Clients who have purchased one of our software licenses can pay an additional fee for software support and maintenance. The software support and maintenance fee revenue is recognized ratably over the support period, which is generally one year. These fees are billed in advance and included in deferred revenues until recognized. Support and maintenance revenues represented 3.8% and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3.7% of our revenues for the three months ended September 30, 2015 and 2014, respectively, and 3.9% and 3.2% of our revenues for the nine months ended September 30, 2015 and 2014, respectively.</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quarterly results are impacted principally by our full-time consultants’ utilization rate, the billing rate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Opportunities and Challenges</w:t>
      </w:r>
    </w:p>
    <w:p>
      <w:pPr>
        <w:spacing w:after="0" w:line="12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primary strategy is to meet the needs of our clients by providing a balanced portfolio of service offerings and capabilities, so that we can adapt quickly and effectively to emerging opportunities in the marketplace. To achieve this, we continue to hire highly qualified professionals and have entered into select acquisitions of complementary businesses.</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expand our business, we will remain focused on growing our existing relationships and developing new relationships, execute our managing director compensation plan to attract and retain senior practitioners, continue to promote and provide an integrated approach to service delivery, broaden the scope of our existing services, and acquire complementary businesses. We will regularly evaluate the performance of our practices to ensure our investments meet these objectives. Furthermore, we intend to enhance our visibility in the marketplace by refining our overarching messaging and value propositions for the organization as well as each practice. We will continue to focus on reaching our client base through clear, concise, endorsed messages.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segment and consolidated operating results and other operating data. 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8"/>
                <w:szCs w:val="18"/>
                <w:color w:val="auto"/>
              </w:rPr>
            </w:pPr>
          </w:p>
        </w:tc>
        <w:tc>
          <w:tcPr>
            <w:tcW w:w="21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10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Segment and Consolidated Operating Results (in thousands):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Huron Healthcare: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97,812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328,624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306,327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47,609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27,727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122,120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117,422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124,892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107,846</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10,473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9,459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35,427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27,539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Huron Legal:</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34,416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46,146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107,469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154,417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9,584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10,949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23,461</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39,227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Huron Business Advisory: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59,173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47,098</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13,514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12,081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loss as a percentage of segment revenues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N/M</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209,881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198,049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621,378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618,185</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Reimbursable expenses</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55,900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58,923</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revenues and reimbursable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227,237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216,728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677,278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677,108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Earnings reconciliation: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72,765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51,877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192,868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194,636</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Items not allocated at the segment level:</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operating expenses and gains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26,946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24,285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85,412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78,879</w:t>
            </w:r>
          </w:p>
        </w:tc>
        <w:tc>
          <w:tcPr>
            <w:tcW w:w="0" w:type="dxa"/>
            <w:vAlign w:val="bottom"/>
          </w:tcPr>
          <w:p>
            <w:pPr>
              <w:spacing w:after="0"/>
              <w:rPr>
                <w:sz w:val="1"/>
                <w:szCs w:val="1"/>
                <w:color w:val="auto"/>
              </w:rPr>
            </w:pPr>
          </w:p>
        </w:tc>
      </w:tr>
      <w:tr>
        <w:trPr>
          <w:trHeight w:val="243"/>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6,315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25,771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18,638</w:t>
            </w:r>
          </w:p>
        </w:tc>
        <w:tc>
          <w:tcPr>
            <w:tcW w:w="0" w:type="dxa"/>
            <w:vAlign w:val="bottom"/>
          </w:tcPr>
          <w:p>
            <w:pPr>
              <w:spacing w:after="0"/>
              <w:rPr>
                <w:sz w:val="1"/>
                <w:szCs w:val="1"/>
                <w:color w:val="auto"/>
              </w:rPr>
            </w:pPr>
          </w:p>
        </w:tc>
      </w:tr>
      <w:tr>
        <w:trPr>
          <w:trHeight w:val="27"/>
        </w:trPr>
        <w:tc>
          <w:tcPr>
            <w:tcW w:w="6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36,825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21,277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81,685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97,119</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 (excluding All Other):</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6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Number of full-time billable consultants (at period end)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1,109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1,910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1,846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number of full-time billable consultants (for the period)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1,057</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43"/>
        </w:trPr>
        <w:tc>
          <w:tcPr>
            <w:tcW w:w="6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spacing w:after="0"/>
              <w:rPr>
                <w:sz w:val="21"/>
                <w:szCs w:val="21"/>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7"/>
        </w:trPr>
        <w:tc>
          <w:tcPr>
            <w:tcW w:w="6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1,827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1,850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85"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85"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40" w:type="dxa"/>
            <w:vAlign w:val="bottom"/>
          </w:tcPr>
          <w:p>
            <w:pPr>
              <w:spacing w:after="0"/>
              <w:rPr>
                <w:sz w:val="18"/>
                <w:szCs w:val="18"/>
                <w:color w:val="auto"/>
              </w:rPr>
            </w:pPr>
          </w:p>
        </w:tc>
        <w:tc>
          <w:tcPr>
            <w:tcW w:w="206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20"/>
                <w:szCs w:val="20"/>
                <w:color w:val="auto"/>
              </w:rPr>
            </w:pPr>
          </w:p>
        </w:tc>
        <w:tc>
          <w:tcPr>
            <w:tcW w:w="206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6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Other Operating Data (continued):</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20" w:type="dxa"/>
            <w:vAlign w:val="bottom"/>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b w:val="1"/>
                <w:bCs w:val="1"/>
                <w:color w:val="auto"/>
              </w:rPr>
              <w:t xml:space="preserve">Full-time billable consultant utilization rate </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Full-time billable consultant average billing rate per hour </w:t>
            </w:r>
            <w:r>
              <w:rPr>
                <w:rFonts w:ascii="Times New Roman" w:cs="Times New Roman" w:eastAsia="Times New Roman" w:hAnsi="Times New Roman"/>
                <w:sz w:val="25"/>
                <w:szCs w:val="25"/>
                <w:b w:val="1"/>
                <w:bCs w:val="1"/>
                <w:color w:val="auto"/>
                <w:vertAlign w:val="superscript"/>
              </w:rPr>
              <w:t>(3)</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Huron Business Advisory </w:t>
            </w:r>
            <w:r>
              <w:rPr>
                <w:rFonts w:ascii="Times New Roman" w:cs="Times New Roman" w:eastAsia="Times New Roman" w:hAnsi="Times New Roman"/>
                <w:sz w:val="25"/>
                <w:szCs w:val="25"/>
                <w:color w:val="auto"/>
                <w:vertAlign w:val="superscript"/>
              </w:rPr>
              <w:t>(4)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per full-time billable consultant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b w:val="1"/>
                <w:bCs w:val="1"/>
                <w:color w:val="auto"/>
              </w:rPr>
              <w:t xml:space="preserve">Average number of full-time equivalents (for the period) </w:t>
            </w:r>
            <w:r>
              <w:rPr>
                <w:rFonts w:ascii="Times New Roman" w:cs="Times New Roman" w:eastAsia="Times New Roman" w:hAnsi="Times New Roman"/>
                <w:sz w:val="25"/>
                <w:szCs w:val="25"/>
                <w:b w:val="1"/>
                <w:bCs w:val="1"/>
                <w:color w:val="auto"/>
                <w:vertAlign w:val="superscript"/>
              </w:rPr>
              <w:t>(5)</w:t>
            </w: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1,264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Revenue per full-time equivalent (in thousands):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Healthcare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Education and Life Sciences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43"/>
        </w:trPr>
        <w:tc>
          <w:tcPr>
            <w:tcW w:w="6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Huron Legal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Huron Business Advisory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6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full-time professionals who provide consulting services and generate revenues based on the number of hours worked.</w:t>
      </w:r>
    </w:p>
    <w:p>
      <w:pPr>
        <w:spacing w:after="0" w:line="27" w:lineRule="exact"/>
        <w:rPr>
          <w:rFonts w:ascii="Times New Roman" w:cs="Times New Roman" w:eastAsia="Times New Roman" w:hAnsi="Times New Roman"/>
          <w:sz w:val="18"/>
          <w:szCs w:val="18"/>
          <w:color w:val="auto"/>
        </w:rPr>
      </w:pPr>
    </w:p>
    <w:p>
      <w:pPr>
        <w:ind w:left="540" w:right="20" w:hanging="532"/>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 w:lineRule="exact"/>
        <w:rPr>
          <w:rFonts w:ascii="Times New Roman" w:cs="Times New Roman" w:eastAsia="Times New Roman" w:hAnsi="Times New Roman"/>
          <w:sz w:val="18"/>
          <w:szCs w:val="18"/>
          <w:color w:val="auto"/>
        </w:rPr>
      </w:pPr>
    </w:p>
    <w:p>
      <w:pPr>
        <w:ind w:left="540" w:right="220" w:hanging="532"/>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billing rate per hour for our full-time billable consultants is calculated by dividing revenues for a period by the number of hours worked on client assignments during the same period.</w:t>
      </w:r>
    </w:p>
    <w:p>
      <w:pPr>
        <w:ind w:left="540" w:right="140" w:hanging="532"/>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Huron Business Advisory segment includes the operations of Rittman Mead India. Absent the impact of Rittman Mead India, the average billing rate per hour for Huron Business Advisory for the three and nine months ended September 30, 2015 would have been $245 and $255 per hour, respectively.</w:t>
      </w:r>
    </w:p>
    <w:p>
      <w:pPr>
        <w:spacing w:after="0" w:line="1" w:lineRule="exact"/>
        <w:rPr>
          <w:rFonts w:ascii="Times New Roman" w:cs="Times New Roman" w:eastAsia="Times New Roman" w:hAnsi="Times New Roman"/>
          <w:sz w:val="18"/>
          <w:szCs w:val="18"/>
          <w:color w:val="auto"/>
        </w:rPr>
      </w:pPr>
    </w:p>
    <w:p>
      <w:pPr>
        <w:ind w:left="540" w:hanging="532"/>
        <w:spacing w:after="0" w:line="250"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consultants who work variable schedules as needed by our clients, as well as other professionals who generate revenues primarily based on number of hours worked and units produced, such as pages reviewed and data processed. Also includes our cultural transformation consultants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-1516380</wp:posOffset>
            </wp:positionV>
            <wp:extent cx="13379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ind w:left="540" w:right="160"/>
        <w:spacing w:after="0" w:line="250" w:lineRule="auto"/>
        <w:rPr>
          <w:sz w:val="20"/>
          <w:szCs w:val="20"/>
          <w:color w:val="auto"/>
        </w:rPr>
      </w:pPr>
      <w:r>
        <w:rPr>
          <w:rFonts w:ascii="Times New Roman" w:cs="Times New Roman" w:eastAsia="Times New Roman" w:hAnsi="Times New Roman"/>
          <w:sz w:val="18"/>
          <w:szCs w:val="18"/>
          <w:color w:val="auto"/>
        </w:rPr>
        <w:t>the Studer Group acquisition, which include coaches and their support staff, and full-time employees who provide software support and maintenance services to our clients.</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and Adjusted diluted earnings per share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reconciliations of these financial measures from GAAP to non-GAAP are as follows (in thousands):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8"/>
                <w:szCs w:val="18"/>
                <w:color w:val="auto"/>
              </w:rPr>
            </w:pPr>
          </w:p>
        </w:tc>
        <w:tc>
          <w:tcPr>
            <w:tcW w:w="25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50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209,881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198,049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621,378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618,185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12,219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39,709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66,258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11,430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26,309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15,739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4,552</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13,790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7,542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38,048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22,256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0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50,615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119,733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119,375</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Litigation and other (gains) losses</w:t>
            </w:r>
          </w:p>
        </w:tc>
        <w:tc>
          <w:tcPr>
            <w:tcW w:w="300" w:type="dxa"/>
            <w:vAlign w:val="bottom"/>
          </w:tcPr>
          <w:p>
            <w:pPr>
              <w:spacing w:after="0"/>
              <w:rPr>
                <w:sz w:val="21"/>
                <w:szCs w:val="21"/>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50,918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28,902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122,747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120,181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percentage of revenues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3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66,258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 diluted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8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23,052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8,265</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charges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Litigation and other (gains) losses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on convertible notes</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tax benefit related to “check-the-box” election</w:t>
            </w:r>
          </w:p>
        </w:tc>
        <w:tc>
          <w:tcPr>
            <w:tcW w:w="3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adjustments,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18,377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0" w:type="dxa"/>
            <w:vAlign w:val="bottom"/>
          </w:tcPr>
          <w:p>
            <w:pPr>
              <w:spacing w:after="0"/>
              <w:rPr>
                <w:sz w:val="1"/>
                <w:szCs w:val="1"/>
                <w:color w:val="auto"/>
              </w:rPr>
            </w:pP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25,695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14,213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58,086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61,700</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Adjusted diluted earnings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21" w:right="299" w:bottom="1440" w:gutter="0" w:footer="0" w:header="0"/>
        </w:sect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121" w:right="29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non-GAAP financial measures include adjustments for the following items:</w:t>
      </w:r>
    </w:p>
    <w:p>
      <w:pPr>
        <w:spacing w:after="0" w:line="115" w:lineRule="exact"/>
        <w:rPr>
          <w:sz w:val="20"/>
          <w:szCs w:val="20"/>
          <w:color w:val="auto"/>
        </w:rPr>
      </w:pPr>
    </w:p>
    <w:p>
      <w:pPr>
        <w:ind w:firstLine="105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We have incurred charges due to the restructuring of various parts of our business. These restructuring charges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80" w:lineRule="exact"/>
        <w:rPr>
          <w:sz w:val="20"/>
          <w:szCs w:val="20"/>
          <w:color w:val="auto"/>
        </w:rPr>
      </w:pPr>
    </w:p>
    <w:p>
      <w:pPr>
        <w:ind w:right="20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Litigation and other (gains) losses: </w:t>
      </w:r>
      <w:r>
        <w:rPr>
          <w:rFonts w:ascii="Times New Roman" w:cs="Times New Roman" w:eastAsia="Times New Roman" w:hAnsi="Times New Roman"/>
          <w:sz w:val="18"/>
          <w:szCs w:val="18"/>
          <w:color w:val="auto"/>
        </w:rPr>
        <w:t>We have excluded the effect of the litigation accrual, net of related insurance recoveries,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remeasurement gains related to contingent consideration liabilities for business acquisitions to permit comparability with periods that were not impacted by these items.</w:t>
      </w:r>
    </w:p>
    <w:p>
      <w:pPr>
        <w:spacing w:after="0" w:line="174" w:lineRule="exact"/>
        <w:rPr>
          <w:sz w:val="20"/>
          <w:szCs w:val="20"/>
          <w:color w:val="auto"/>
        </w:rPr>
      </w:pPr>
    </w:p>
    <w:p>
      <w:pPr>
        <w:ind w:right="4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 assets: </w:t>
      </w:r>
      <w:r>
        <w:rPr>
          <w:rFonts w:ascii="Times New Roman" w:cs="Times New Roman" w:eastAsia="Times New Roman" w:hAnsi="Times New Roman"/>
          <w:sz w:val="18"/>
          <w:szCs w:val="18"/>
          <w:color w:val="auto"/>
        </w:rPr>
        <w:t>We have excluded the effect of amortization of intangible assets from the calculation of Adjusted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above. Amortization of intangibles is inconsistent in its amount and frequency and is significantly affected by the timing and size of our acquisitions.</w:t>
      </w:r>
    </w:p>
    <w:p>
      <w:pPr>
        <w:spacing w:after="0" w:line="174" w:lineRule="exact"/>
        <w:rPr>
          <w:sz w:val="20"/>
          <w:szCs w:val="20"/>
          <w:color w:val="auto"/>
        </w:rPr>
      </w:pPr>
    </w:p>
    <w:p>
      <w:pPr>
        <w:ind w:right="20" w:firstLine="1053"/>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Non-cash interest on convertible notes: </w:t>
      </w:r>
      <w:r>
        <w:rPr>
          <w:rFonts w:ascii="Times New Roman" w:cs="Times New Roman" w:eastAsia="Times New Roman" w:hAnsi="Times New Roman"/>
          <w:sz w:val="18"/>
          <w:szCs w:val="18"/>
          <w:color w:val="auto"/>
        </w:rPr>
        <w:t>We incur non-cash interest expense relating to the implied value of the equity conversion component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made to our note holders from the calculation of Adjusted net income.</w:t>
      </w:r>
    </w:p>
    <w:p>
      <w:pPr>
        <w:spacing w:after="0" w:line="18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 xml:space="preserve">Tax effect: </w:t>
      </w:r>
      <w:r>
        <w:rPr>
          <w:rFonts w:ascii="Times New Roman" w:cs="Times New Roman" w:eastAsia="Times New Roman" w:hAnsi="Times New Roman"/>
          <w:sz w:val="18"/>
          <w:szCs w:val="18"/>
          <w:color w:val="auto"/>
        </w:rPr>
        <w:t>The non-GAAP income tax adjustment reflects the incremental tax rate applicable to the non-GAAP adjustments.</w:t>
      </w:r>
    </w:p>
    <w:p>
      <w:pPr>
        <w:spacing w:after="0" w:line="225" w:lineRule="exact"/>
        <w:rPr>
          <w:sz w:val="20"/>
          <w:szCs w:val="20"/>
          <w:color w:val="auto"/>
        </w:rPr>
      </w:pPr>
    </w:p>
    <w:p>
      <w:pPr>
        <w:jc w:val="both"/>
        <w:ind w:right="30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tax benefit related to “check-the-box” election: </w:t>
      </w:r>
      <w:r>
        <w:rPr>
          <w:rFonts w:ascii="Times New Roman" w:cs="Times New Roman" w:eastAsia="Times New Roman" w:hAnsi="Times New Roman"/>
          <w:sz w:val="18"/>
          <w:szCs w:val="18"/>
          <w:color w:val="auto"/>
        </w:rPr>
        <w:t>We have excluded the effect of the net tax benefit from our “check-the-box” election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 one of our wholly-owned foreign subsidiaries as a disregarded entity for U.S. federal income tax purposes during the first quarter of 2014 because its exclusion permits comparability with periods that were not impacted by this item.</w:t>
      </w:r>
    </w:p>
    <w:p>
      <w:pPr>
        <w:spacing w:after="0" w:line="174" w:lineRule="exact"/>
        <w:rPr>
          <w:sz w:val="20"/>
          <w:szCs w:val="20"/>
          <w:color w:val="auto"/>
        </w:rPr>
      </w:pPr>
    </w:p>
    <w:p>
      <w:pPr>
        <w:ind w:right="80" w:firstLine="1053"/>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 expense, Interest and other expenses, Depreciation and amortization: </w:t>
      </w:r>
      <w:r>
        <w:rPr>
          <w:rFonts w:ascii="Times New Roman" w:cs="Times New Roman" w:eastAsia="Times New Roman" w:hAnsi="Times New Roman"/>
          <w:sz w:val="18"/>
          <w:szCs w:val="18"/>
          <w:color w:val="auto"/>
        </w:rPr>
        <w:t>We have excluded the effects of income tax expense,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expenses, and depreciation and amortization in the calculation of EBITDA as these are customary exclusions as defined by the calculation of EBITDA to arrive at meaningful earnings from core operations excluding the effect of such items.</w:t>
      </w: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940"/>
        <w:spacing w:after="0" w:line="378" w:lineRule="auto"/>
        <w:rPr>
          <w:sz w:val="20"/>
          <w:szCs w:val="20"/>
          <w:color w:val="auto"/>
        </w:rPr>
      </w:pPr>
      <w:r>
        <w:rPr>
          <w:rFonts w:ascii="Times New Roman" w:cs="Times New Roman" w:eastAsia="Times New Roman" w:hAnsi="Times New Roman"/>
          <w:sz w:val="18"/>
          <w:szCs w:val="18"/>
          <w:b w:val="1"/>
          <w:bCs w:val="1"/>
          <w:color w:val="auto"/>
        </w:rPr>
        <w:t>Three Months Ended September 30, 2015 Compared to Three Months Ended September 30, 2014 Revenues</w:t>
      </w: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Revenues increased $11.8 million, or 6.0%, to $209.9 million for the third quarter of 2015 from $198.0 million for the third quarter of 2014. Third quarter 2015 revenues included $23.2 million of incremental revenues from our acquisitions of Studer Group, Sky Analytics, Inc., Threshold Consulting, Inc., and Rittman Mead India.</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overall $11.8 million increase in revenues, $14.4 million was attributable to an increase in revenue from our full-time equivalents, partially offset by a $2.6 million decrease in revenue from our full-time billable consultants.</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increase in revenue attributable to full-time equivalents primarily reflected the revenue generated by our healthcare coaches in the Huron Healthcare segment, which was the result of our acquisition of Studer Group during the first quarter of 2015, partially offset by a decrease in demand for our discovery services in the Huron Legal segment.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decrease in full-time billable consultant revenues was driven by a decrease in the average billing rate, partially offset by increases in consultant utilization rate and average number of billable consultants. As discussed below in Segment Results, this decrease in revenue primarily reflected lower revenues from full-time billable consultants in our Huron Healthcare segment, which was primarily related to lower performance-based fees and a decrease in revenue in our performance improvement practice, both compared to the prior year, and decreased demand for our services in our Huron Legal segment, partially offset by strengthened demand for our services in the Huron Education and Life Sciences and Huron Business Advisory segments.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total direct costs decreased $10.7 million, or 8.2%, to $120.4 million in the three months ended September 30, 2015, from $131.1 million in the three months ended September 30, 2014. The decrease primarily related to a $17.6 million decrease in bonus expense for our revenue-generating professionals and a $2.1 million decrease in contractor expense. These decreases were partially offset by a $3.6 million increase in intangible asset amortization expense, a $3.2 million increase in salaries and related expenses for our revenue-generating professionals, and a $1.0 million increase in product and event costs. As a percentage of revenues, our total direct costs decreased to 57.4% during the third quarter of 2015 compared to 66.2% during the third quarter of 2014. This decrease primarily reflected the decreases in bonus expense for our revenue-generating professionals and contractor expense, as well as revenue growth that outpaced the increase in salaries and related expenses for our revenue-generating professionals, partially offset by increases in intangible asset amortization expense and product and event costs as percentages of revenue.</w:t>
      </w:r>
    </w:p>
    <w:p>
      <w:pPr>
        <w:spacing w:after="0" w:line="1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Total direct costs for the three months ended September 30, 2015 included $3.6 million of share-based compensation expense for our revenue-generating professionals compared to $3.9 million for the same prior year period. Total direct costs for the three months ended September 30, 2015 included $4.8 million of amortization expense for intangible assets and software development costs, primarily representing customer-related assets and software acquired in business combinations, compared to $1.2 million of amortization expense for the same prior year period. The $3.6 million increase in amortization expense was primarily attributable to $4.0 million of amortization of intangible assets acquired in the Studer Group acquisition, which we completed during the first quarter of 2015, partially offset by an intangible asset that became fully amortized during 2014.</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Operating Gains and Losses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increased $4.4 million, or 11.1%, to $43.6 million in the third quarter of 2015 from $39.3 million in the third quarter of 2014. Selling, general and administrative expenses for the third quarter of 2015 included $6.6 million from Studer Group. The $4.4 million increase was primarily related to a $1.9 million increase in salaries and related expenses for our support personnel, a $0.9 million increase in facilities and other office related expenses, a $0.7 million increase in legal expenses, a $0.5 million increase in recruiting expenses, and a $0.4 million increase in outside professional services fees, partially offset by a $1.3 million decrease in bonus expense for our support personnel. As a percentage of revenues, selling, general and administrative expenses increased to 20.8% during the third quarter of 2015 compared to 19.8% during the third quarter of 2014 primarily due to the items described above.</w:t>
      </w:r>
    </w:p>
    <w:p>
      <w:pPr>
        <w:spacing w:after="0" w:line="18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increased by $2.7 million to $9.0 million in the three months ended September 30, 2015, from $6.3 million in the three months ended September 30, 2014. The increase was primarily attributable to $2.1 million of amortization expense for intangible assets acquired in the Studer Group acquisition. Intangible asset amortization included within operating expenses relates to certain customer relationships, non-competition agreements, trade names, and licenses acquired in connection with our business acquisitions.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Operating income increased $15.5 million, or 73.1%, to $36.8 million in the third quarter of 2015 from $21.3 million in the third quarter of 2014. Operating margin, which is defined as operating income expressed as a percentage of revenues, increased to 17.5% in the three months ended September 30, 2015, compared to 10.7% in the three months ended September 30, 2014. The increase in operating margin was primarily attributable to the decrease in bonus expense for both our revenue-generating professionals and support personnel and the decrease in contractor expense, as well as revenue growth that outpaced the increase in salaries and related expenses for our revenue-generating professionals during the third quarter of 2015 compared to the same period last year. The favorable impact of these items was partially offset by the increases in intangible asset amortization expense, product and event costs, facilities and other office related expenses, and legal expenses, all as percentages of revenues, during the third quarter of 2015 compared to the same prior year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other expense, net increased by $4.1 million to $6.0 million in the third quarter of 2015 from $1.9 million in the third quarter of 2014. The increase was primarily attributable to a $2.8 million increase in interest expense due to our Convertible Notes issued in September 2014 and interest expense resulting from higher levels of borrowings under our credit facility. For the three months ended September 30, 2015, cash interest expense related to the coupon of the Convertible Notes was $0.8 million and the non-cash interest expense related to the amortization of the debt discount and amortization of debt issuance costs totaled $2.1 million. For the year ending December 31, 2015, we expect interest expense related to the coupon of the Convertible Notes to be $3.1 million and interest expense for the amortization of the debt discount and debt issuance costs related to the Convertible Notes to be $8.3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the third quarter of 2015, we recognized income tax expense of $11.4 million on income of $30.8 million. For the third quarter of 2014, we recognized income tax expense of $7.1 million on income of $19.3 million. Our effective tax rate for the third quarter of 2015 was 37.1% compared with 36.8% for the same period last year. The effective tax rate for the three months ended September 30, 2015 was in line with the statutory rate, inclusive of state income taxes, with the negative impact of certain non-deductible business expenses and foreign losses with no tax benefit largely offset by certain credits and deductions. The effective tax rate for the three months ended September 30, 2014 was lower than the statutory rate, inclusive of state income taxes, primarily due to the favorable settlement of the IRS audit for years 2009, 2010, and 2011.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income was $19.4 million for the three months ended September 30, 2015, compared to net income of $12.2 million for the same period last year. As a result of the increase in net income, diluted earnings per share for the third quarter of 2015 was $0.86 compared to $0.53 for the third quarter of 2014.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EBITDA increased $21.8 million to $50.6 million for the three months ended September 30, 2015, from $28.8 million for the three months ended September 30, 2014. Adjusted EBITDA increased $22.0 million to $50.9 million in the third quarter of 2015 from $28.9 million in the third quarter of 2014. The increase in both EBITDA and Adjusted EBITDA was primarily due to the increase in segment operating income, as discussed below in Segment Results.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Adjusted net income increased $11.5 million to $25.7 million in the third quarter of 2015 compared to $14.2 million in the third quarter of 2014. The increase was primarily attributable to the increase in operating income, partially offset by the higher tax expense and the increase in interest expense during the third quarter of 2015 compared to the third quarter of 2014. As a result of the increase in adjusted net income, adjusted diluted earnings per share for the third quarter of 2015 was $1.14 compared to $0.62 for the third quarter of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Huron Healthcare segment revenues increased $14.3 million, or 14.6%, to $112.1 million for the third quarter of 2015 from $97.8 million for the third quarter of 2014. Revenues for the third quarter of 2015 included $22.3 million of incremental revenues from our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121"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acquisition of Studer Group. During the three months ended September 30, 2015, revenues from time-and-expense engagements, fixed-fee engagements, performance-based arrangements, and software support and maintenance arrangements represented 7.4%, 78.7%, 8.8%, and 5.1% of this segment’s revenues, respectively, compared to 7.9%, 66.9%, 19.6%, and 5.6%, respectively, for the comparable period in 2014.</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Of the overall $14.3 million increase in revenues, $21.6 million was attributable to an increase in revenue from our full-time equivalents, partially offset by a $7.3 million decrease in revenue attributable to our full-time billable consultants.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increase in revenue attributable to our full-time equivalents reflected increases in both the average number of full-time equivalents and revenue per full-time equivalent in the third quarter of 2015 compared to the same prior year period, and is primarily the result of our Studer Group acquisition.</w:t>
      </w:r>
    </w:p>
    <w:p>
      <w:pPr>
        <w:spacing w:after="0" w:line="162"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8"/>
          <w:szCs w:val="18"/>
          <w:color w:val="auto"/>
        </w:rPr>
        <w:t>The decrease in revenue attributable to our full-time billable consultants reflected decreases in the average billing rate and the average number of full-time billable consultants, partially offset by an increase in consultant utilization rate. This decrease in revenue was primarily related to lower performance-based fees and a decrease in revenue in our performance improvement practice, both compared to the prior year. Performance-based fee revenue was $9.9 million during the third quarter of 2015 compared to $19.0 million during the third quarter of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Huron Healthcare segment operating income increased $19.9 million, or 71.7%, to $47.6 million for the three months ended September 30, 2015, from $27.7 million for the three months ended September 30, 2014. The Huron Healthcare segment operating margin, defined as segment operating income expressed as a percentage of segment revenues, increased to 42.5% for the third quarter of 2015 from 28.3% in the same period last year. The increase in this segment’s operating margin was primarily attributable to a decrease in bonus expense for our revenue-generating professionals, as well as revenue growth that outpaced an increase in salaries and related expenses for our revenue-generating professionals, and was partially offset by increases, as percentages of revenues, in intangible asset amortization expense related to our Studer Group acquisition, salaries and related expenses for our support personnel, and product and event costs.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Huron Education and Life Sciences segment revenues increased $5.5 million, or 15.1%, to $42.1 million for the third quarter of 2015 from $36.5 million for the third quarter of 2014. For the three months ended September 30, 2015, revenues from time-and-expense engagements, fixed-fee engagements, and software support and maintenance arrangements represented 62.5%, 32.5%, and 5.0% of this segment’s revenues, respectively, compared to 71.3%, 23.9%, and 4.8%, respectively, for the comparable period in 2014.</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Of the overall $5.5 million increase in revenues, $4.7 million was attributable to our full-time billable consultants and $0.8 million was attributable to our full-time equivalents. The overall increase in revenues was driven by strong demand across all practices within this segment. The increase in revenue from our full-time billable consultants reflected increases in the average number of full-time billable consultants, consultant utilization rate, and average billing rate. The increase in revenue from our full-time equivalents reflected increases in the average number of full-time equivalents and revenue per full-time equivalent.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Huron Education and Life Sciences segment operating income increased by $1.0 million, or 10.7%, to $10.5 million for the three months ended</w:t>
      </w:r>
    </w:p>
    <w:p>
      <w:pPr>
        <w:spacing w:after="0" w:line="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September 30, 2015, from $9.5 million for the three months ended September 30, 2014. Segment operating margin decreased to 24.9% for the third quarter of 2015 from 25.9% in the same period last year. The decrease in this segment’s operating margin was primarily attributable to an increase in bonus expense for our revenue-generating professionals and increased project costs, both as a percentage of revenues, largely offset by a decrease in contractor expense and revenue growth that outpaced an increase in salaries and related expenses for both our revenue-generating professionals and support personnel.</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380"/>
          </w:cols>
          <w:pgMar w:left="240" w:top="121" w:right="27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Huron Legal segment revenues decreased $11.7 million, or 25.4%, to $34.4 million for the third quarter of 2015 from $46.1 million for the third quarter of 2014. Revenues from time-and-expense engagements, fixed-fee engagements, and software support and maintenance arrangements represented 95.7%, 3.9%, and 0.4% of this segment’s revenues, respectively, during the three months ended September 30, 2015. During the comparable period in 2014, revenues from time-and-expense engagements, fixed-fee engagements, and performance-based arrangements represented 92.3%, 2.8%, and 4.9% of this segment’s revenues, respectively.</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Of the overall $11.7 million decrease in revenues, $8.1 million was attributable to a decrease in revenue generated by our full-time equivalents and $3.6 million was attributable to a decrease in revenue generated by our full-time billable consultants. The decrease in revenue attributable to our full-time equivalents, which was the result of decreased demand for our discovery services as discussed below, reflected decreases in the average number of full-time equivalents and revenue per full-time equivalent. The decrease in full-time billable consultant revenue reflected decreases in the average number of full-time billable consultants, consultant utilization rate, and the average billing 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Huron Legal segment operating income decreased $1.4 million, or 12.5%, to $9.6 million for the three months ended September 30, 2015, from $10.9 million for the three months ended September 30, 2014. The Huron Legal segment operating margin increased to 27.8% for the third quarter of 2015 from 23.7% in the same period last year. The increase in this segment’s operating margin was primarily attributable to decreases, as a percentage of revenue, in bonus expense for both our revenue-generating professionals and support personnel and in salaries and related expenses for our revenue-generating professionals, partially offset by increases, as a percentage of revenue, in contractor expense, salaries and related expenses for our support personnel, and technology expenses during the third quarter of 2015 compared to the same prior year period.</w:t>
      </w:r>
    </w:p>
    <w:p>
      <w:pPr>
        <w:spacing w:after="0" w:line="18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As previously disclosed, Huron Legal revenue and operating income for the fourth quarter of 2014 and first quarter of 2015 were significantly lower than each of the first three quarters of 2014, stemming largely from a more sudden than anticipated downturn in business resulting from client settlements of government investigations related to the credit crisis. To improve the segment's financial performance, the Huron Legal segment leadership team undertook several initiatives to increase sales of their service offerings and reduce expenses. As a result, Huron Legal financial performance for the second and third quarters of 2015 improved compared to the fourth quarter of 2014 and the first quarter of 2015. We believe that the services provided by the Huron Legal segment remain relevant in the marketplace and expect performance to continue to improve during the remainder of 2015. We will perform our annual goodwill impairment analysis as of November 30, 2015; in the event that the segment’s performance does not continue to improve in line with our expectations during the remainder of 2015, we may be required to take an impairment charge as a result of this annual test. For a discussion of our first quarter 2015 interim goodwill impairment test, see “Critical Accounting Policies—Carrying Values of Goodwill and Other Intangible Assets”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Huron Business Advisory segment revenues increased $4.1 million, or 24.0%, to $21.2 million for the third quarter of 2015 from $17.1 million for the third quarter of 2014. Revenues from time-and-expense engagements, fixed-fee engagements, performance-based arrangements, and software support and maintenance arrangements represented 81.4%, 15.8%, 2.4%, and 0.4% of this segment’s revenues, respectively, during the third quarter of 2015. Revenues from time-and-expense engagements, fixed-fee engagements, and performance-based arrangements represented 68.8%, 15.6%, and 15.6% of this segment’s revenues, respectively, during the third quarter of 2014. Performance-based fee revenue was $0.5 million for the third quarter of 2015, of which $0.3 million was generated by Huron Transaction Advisory LLC, our registered broker-dealer established in the first quarter of 2014. Performance-based fee revenue was $2.7 million for the third quarter of 2014, of which $2.5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$4.1 million increase in revenues for Huron Business Advisory was primarily attributable to an increase in revenue generated by our full-time billable consultants. The increase in revenue from our full-time billable consultants reflected increases in the average number of full-time billable consultants and consultant utilization rate, partially offset by a decrease in the average billing rate. The decrease in the average billing rate was largely the result of our acquisition of Rittman Mead India.</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Huron Business Advisory segment operating income increased by $0.8 million, or 19.0%, to $5.2 million for the three months ended September 30, 2015, from $4.4 million for the three months ended September 30, 2014. Segment operating margin decreased to 24.6% for the third quarter of 2015 from 25.7% in the same period last year. The decrease in this segment’s operating margin was primarily attributable to increases, as a percentage of revenues, in salaries and related expenses for both our revenue-generating professionals and support personnel, severance expense, and intangible asset amortization expense, partially offset by a decrease in bonus expenses for our revenue-generating professionals.</w:t>
      </w:r>
    </w:p>
    <w:p>
      <w:pPr>
        <w:spacing w:after="0" w:line="288" w:lineRule="exact"/>
        <w:rPr>
          <w:sz w:val="20"/>
          <w:szCs w:val="20"/>
          <w:color w:val="auto"/>
        </w:rPr>
      </w:pPr>
    </w:p>
    <w:p>
      <w:pPr>
        <w:ind w:right="4120"/>
        <w:spacing w:after="0" w:line="378" w:lineRule="auto"/>
        <w:rPr>
          <w:sz w:val="20"/>
          <w:szCs w:val="20"/>
          <w:color w:val="auto"/>
        </w:rPr>
      </w:pPr>
      <w:r>
        <w:rPr>
          <w:rFonts w:ascii="Times New Roman" w:cs="Times New Roman" w:eastAsia="Times New Roman" w:hAnsi="Times New Roman"/>
          <w:sz w:val="18"/>
          <w:szCs w:val="18"/>
          <w:b w:val="1"/>
          <w:bCs w:val="1"/>
          <w:color w:val="auto"/>
        </w:rPr>
        <w:t>Nine Months Ended September 30, 2015 Compared to Nine Months Ended September 30, 2014 Revenues</w:t>
      </w:r>
    </w:p>
    <w:p>
      <w:pPr>
        <w:spacing w:after="0" w:line="258" w:lineRule="auto"/>
        <w:rPr>
          <w:sz w:val="20"/>
          <w:szCs w:val="20"/>
          <w:color w:val="auto"/>
        </w:rPr>
      </w:pPr>
      <w:r>
        <w:rPr>
          <w:rFonts w:ascii="Times New Roman" w:cs="Times New Roman" w:eastAsia="Times New Roman" w:hAnsi="Times New Roman"/>
          <w:sz w:val="18"/>
          <w:szCs w:val="18"/>
          <w:color w:val="auto"/>
        </w:rPr>
        <w:t>Revenues increased $3.2 million, or 0.5%, to $621.4 million for the first nine months of 2015 from $618.2 million for the first nine months of 2014. Revenues for the first nine months of 2015 included $68.5 million of incremental revenues from our acquisitions of Studer Group, Vonlay, LLC, Sky Analytics, Inc., Threshold Consulting, Inc., and Rittman Mead India. Revenues for the first half of 2015 were negatively impacted by a $0.8 million charge related to the fair value adjustment of deferred revenue acquired in the Studer Group acquisition. We do not expect to incur any additional charges related to this adjustment as the $0.8 million charge reflects the total fair value adjustment.</w:t>
      </w:r>
    </w:p>
    <w:p>
      <w:pPr>
        <w:spacing w:after="0" w:line="18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Of the overall $3.2 million increase in revenues, $19.3 million was attributable to an increase in revenue generated by our full-time equivalents, partially offset by a $16.1 million decrease in revenue from our full-time billable consultants.</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increase in revenue attributable to full-time equivalents primarily reflected the revenue generated by our healthcare coaches in the Huron Healthcare segment, which was the result of our acquisition of Studer Group during the first quarter of 2015, largely offset by a decrease in demand for our discovery services in the Huron Legal segment.</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decrease in full-time billable consultant revenues was driven by a decrease in the average billing rate, partially offset by increases in the average number of billable consultants and consultant utilization rate. As discussed below in Segment Results, this decrease in revenue primarily reflected lower revenues from full-time billable consultants in our Huron Healthcare segment, which was largely driven by lower performance-based fees, a decrease in revenue in our performance improvement practice, and project timing, all compared to the prior year, and decreased demand for our services in our Huron Legal segment, partially offset by strengthened demand for our services in the Huron Education and Life Sciences and Huron Business Advisory segments.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Direct Costs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total direct costs decreased $3.1 million, or 0.8%, to $378.4 million in the nine months ended September 30, 2015, from $381.4 million in the nine months ended September 30, 2014. The decrease primarily related to a $19.7 million decrease in bonus expense for our revenue-generating professionals and a $13.1 million decrease in contractor expense, largely offset by a $19.1 million increase in salaries and related expenses for our revenue-generating professionals, an $8.6 million increase in intangible asset amortization expense, and a $2.1 million increase in product and event costs. As a percentage of revenues, our total direct costs decreased to 60.9% during the first nine months of 2015 compared to 61.7% during the first nine months of 2014 due to the items described above.</w:t>
      </w:r>
    </w:p>
    <w:p>
      <w:pPr>
        <w:spacing w:after="0" w:line="18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Total direct costs for the nine months ended September 30, 2015 included $12.6 million of share-based compensation expense for our revenue-generating professionals compared to $11.7 million for the same prior year period. Share-based compensation expense increased as the value of awards granted during the first half of 2015 was greater than the value of prior year awards that became fully vested during 2014 and the first half of 2015. Total direct costs for the nine months ended September 30, 2015 included $12.3 million of amortization expense for intangible assets and software development costs, primarily representing customer-related assets and software acquired in business combinations, compared to $3.6 million of amortization expense for the same prior year period. The $8.7 million increase in amortization expense was primarily attributable to $9.9 million of amortization of intangible assets acquired in the Studer Group acquisition during the first quarter of 2015, partially offset by an intangible asset that became fully amortized during 2014.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 and Other Operating Gains and Losses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$12.5 million, or 10.4%, to $132.6 million in the nine months ended September 30, 2015, from $120.1 million in the nine months ended September 30, 2014. Selling, general and administrative expenses for the first nine months of 2015 included $16.8 million from Studer Group. The $12.5 million increase was primarily related to an $8.7 million increase in salaries and related expenses for our support personnel, a $2.5 million increase in facilities and other office related expenses, a $1.1 million increase in legal expenses, a $1.0 million increase in outside professional services expenses, and a</w:t>
      </w:r>
    </w:p>
    <w:p>
      <w:pPr>
        <w:sectPr>
          <w:pgSz w:w="11900" w:h="16838" w:orient="portrait"/>
          <w:cols w:equalWidth="0" w:num="1">
            <w:col w:w="11400"/>
          </w:cols>
          <w:pgMar w:left="240" w:top="121" w:right="25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121" w:right="25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$0.8 million increase in computer equipment and supplies. These increases were partially offset by a $3.7 million decrease in bonus expense for our support personnel. As a percentage of revenues, selling, general and administrative expenses increased to 21.3% during the first nine months of 2015 compared to 19.4% during the first nine months of 2014 primarily due to the items described above. We incurred $2.0 million of transaction and acquisition-related costs during the first nine months of 2015, of which $1.2 million was associated with the Studer Group acquisition.</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Restructuring charges for the first nine months of 2015 totaled $2.5 million, which consisted of $2.2 million related to workforce reductions to better align our resources with market demand and $0.3 million related to consolidation of office space. Of the $2.5 million pretax charge, $1.2 million related to our Huron Legal segment, $1.1 million related to our All Other segment as we continue to wind down our public sector consulting practice and our foreign consulting operations based in the Middle East, and $0.2 million related to our corporate operations. During the first nine months of 2014, we incurred a $1.4 million pretax restructuring charge, which primarily consisted of a $1.2 million charge related to the consolidation of office spaces in Chicago, New York, and London. Of the total $1.2 million charge, $0.8 million related to the accrual of our remaining lease obligations at vacated spaces, net of estimated sublease income, and $0.4 million related to accelerated depreciation of assets disposed of as a result of the space consolidation. The vacated locations in Chicago and New York were acquired as part of business acquisitions during 2013 and 2014.</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Litigation and other losses totaled $0.5 million for the first nine months of 2015 compared to a gain of $0.6 million during the same prior year period. During the second quarter of 2015, we recorded a net litigation accrual of $0.8 million related to a pending legal matter, which is discussed in more detail in Note 13 "Commitments, Contingencies and Guarantees" within the notes to the consolidated financial statements. During the first quarter of 2015, we recorded a remeasurement gain of $0.3 million related to a decrease in the fair value of a contingent consideration liability incurred in connection with a business acquisition. During the first nine months of 2014, we recorded remeasurement gains totaling $0.6 million related to a decrease in the fair value of a contingent consideration liability incurred in connection with another business acquisition.</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Depreciation and amortization expense increased by $7.1 million to $25.8 million in the nine months ended September 30, 2015, from $18.6 million in the nine months ended September 30, 2014. The increase was primarily attributable to $5.2 million of amortization expense for intangible assets acquired in the Studer Group acquisition and a $2.0 million increase in depreciation expense primarily related to the depreciation of network and server equipment placed into service during the first nine months of 2015 and fixed assets acquired in the Studer Group acquisition. Intangible asset amortization included within operating expenses relates to certain customer relationships, non-competition agreements, trade names, and licenses acquired in connection with our business acquisitions.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Operating income decreased $15.4 million, or 15.9%, to $81.7 million in the first nine months of 2015 from $97.1 million in the first nine months of 2014. Operating margin decreased to 13.1% in the nine months ended September 30, 2015, compared to 15.7% in the nine months ended September 30, 2014. The decrease in operating margin was primarily attributable to the increases in salaries and related expenses for both our revenue-generating professionals and support personnel during the first nine months of 2015, as well as the increases in intangible asset amortization expense, facilities and other office related expenses, and depreciation expense, all as percentages of revenues, during the first nine months of 2015 compared to the same prior year period. The unfavorable impact of these items was partially offset by the decreases in bonus expense for both our revenue-generating professionals and support personnel and contractor expense during the first nine months of 2015.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Total other expense, net increased by $11.2 million to $15.7 million in the first nine months of 2015 from $4.6 million in the first nine months of 2014. The increase was primarily attributable to a $9.0 million increase in interest expense and a $1.3 million increase in foreign currency transaction losses. The increase in interest expense was due to our Convertible Notes issued in September 2014 and interest expense resulting from higher levels of borrowings under our credit facility. For the nine months ended September 30, 2015, cash interest expense related to the coupon of the Convertible Notes was $2.3 million and the non-cash interest expense related to the amortization of the debt discount and amortization of debt issuance costs totaled $6.2 million. For the year ending December 31, 2015, we expect interest expense related to the coupon of the Convertible Notes to be $3.1 million and interest expense for the amortization of the debt discount and debt issuance costs related to the Convertible Notes to be $8.3 million.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2015, we recognized income tax expense of $26.2 million on income of $65.9 million. For the nine months ended September 30, 2014, we recognized income tax expense of $26.3 million on income of $92.6 million. Our effective tax rate for the first nine months of 2015 was 39.8% compared with 28.4% for the same period last year. The effective tax rate for the nine months ended September 30, 2015 was higher than the statutory rate, inclusive of state income taxes, primarily due to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non-deductible business expenses and foreign losses with no tax benefit, partially offset by certain credits and deductions. The effective tax rate for the nine months ended September 30, 2014 was lower than the statutory rate, inclusive of state income taxes, primarily due to the impact of a tax election made in the first quarter of 2014 to classify one of our wholly-owned foreign subsidiaries as a disregarded entity for U.S. federal income tax purposes (commonly referred to as a “check-the-box” election). As a result of this election, we expect to realize an income tax benefit of $13.8 million, of which $2.4 million is unrecognized, resulting in a net recognized tax benefit of $11.4 million during the quarter. This recognized benefit was partially offset by $1.2 million in expenses related to the establishment of a valuation allowance for certain foreign tax credits and increased deferred tax liabilities as a result of the aforementioned election.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21" w:lineRule="exact"/>
        <w:rPr>
          <w:sz w:val="20"/>
          <w:szCs w:val="20"/>
          <w:color w:val="auto"/>
        </w:rPr>
      </w:pPr>
    </w:p>
    <w:p>
      <w:pPr>
        <w:jc w:val="both"/>
        <w:ind w:right="340"/>
        <w:spacing w:after="0" w:line="261" w:lineRule="auto"/>
        <w:rPr>
          <w:sz w:val="20"/>
          <w:szCs w:val="20"/>
          <w:color w:val="auto"/>
        </w:rPr>
      </w:pPr>
      <w:r>
        <w:rPr>
          <w:rFonts w:ascii="Times New Roman" w:cs="Times New Roman" w:eastAsia="Times New Roman" w:hAnsi="Times New Roman"/>
          <w:sz w:val="18"/>
          <w:szCs w:val="18"/>
          <w:color w:val="auto"/>
        </w:rPr>
        <w:t>Net income was $39.7 million for the nine months ended September 30, 2015, compared to net income of $66.3 million for the same period last year. The $26.5 million decrease in net income was primarily due to the decrease in operating income and the increase in interest expense, as discussed above. As a result of the decrease in net income, diluted earnings per share for the first nine months of 2015 was $1.76 compared to $2.87 for the first nine months of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EBITDA and Adjusted EBITDA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increased $0.4 million to $119.7 million for the nine months ended September 30, 2015, from $119.4 million for the nine months ended</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September 30, 2014. Adjusted EBITDA increased $2.6 million to $122.7 million in the first nine months of 2015 from $120.2 million in the first nine months of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Adjusted net income decreased $3.6 million to $58.1 million in the first nine months of 2015 compared to $61.7 million in the first nine months of 2014. As a result of the decrease in adjusted net income, adjusted diluted earnings per share for the first nine months of 2015 was $2.57 compared to $2.68 for the first nine months of 2014.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Healthcare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Huron Healthcare segment revenues increased $22.3 million, or 7.3%, to $328.6 million for the first nine months of 2015 from $306.3 million for the first nine months of 2014. Revenues for the first nine months of 2015 included $66.7 million of incremental revenues from our acquisitions of Studer Group and Vonlay, LLC. During the nine months ended September 30, 2015, revenues from time-and-expense engagements, fixed-fee engagements, performance-based arrangements, and software support and maintenance arrangements represented 7.5%, 75.0%, 12.1%, and 5.4% of this segment’s revenues, respectively, compared to 5.1%, 67.3%, 22.8%, and 4.8%, respectively, for the comparable period in 2014.</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Of the overall $22.3 million increase in revenues, $56.2 million was attributable to an increase in revenue from our full-time equivalents, partially offset by a $33.9 million decrease in revenue attributable to our full-time billable consultants.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increase in revenue attributable to our full-time equivalents reflected increases in both the average number of full-time equivalents and revenue per full-time equivalent in the first nine months of 2015 compared to the same prior year period, and is primarily the result of our Studer Group acquisition.</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decrease in revenue attributable to our full-time billable consultants reflected decreases in the average billing rate and consultant utilization rate, partially offset by an increase in the average number of full-time billable consultants. This decrease in revenue was largely driven by lower performance-based fees, a decrease in revenue in our performance improvement practice, and project timing, all compared to the prior year. Performance-based fee revenue was $39.7 million during the first nine months of 2015 compared to $69.9 million during the first nine months of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Huron Healthcare segment operating income increased $4.7 million, or 4.0%, to $122.1 million for the nine months ended September 30, 2015, from $117.4 million for the nine months ended September 30, 2014. The Huron Healthcare segment operating margin decreased to 37.2% for the first nine months of 2015 from 38.3% in the same period last year. The decrease in this segment’s operating margin was primarily attributable to increases as a percentage of revenues in salaries and related expenses for our revenue-generating professionals, salaries and related expenses and bonus expense for our support personnel, intangible asset amortization expense related to our acquisition of Studer Group, and product and event costs during the first nine months of 2015 compared to the same prior year period. The unfavorable impact of these items was largely offset by a decrease in bonus expense for our revenue-generating professionals during the first nine months of 2015 compared to the same prior year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Education and Life Sciences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Huron Education and Life Sciences segment revenues increased $17.0 million, or 15.8%, to $124.9 million for the first nine months of 2015 from $107.8 million for the first nine months of 2014. For the nine months ended September 30, 2015, revenues from time-and-expense engagements, fixed-fee engagements, software support and maintenance arrangements, and performance-based arrangements represented 61.7%, 33.3%, 4.6%, and 0.4% of this segment’s revenues, respectively. For the nine months ended September 30, 2014, revenues from time-and-expense engagements, fixed-fee engagements, and software support and maintenance arrangements represented 71.2%, 24.3%, and 4.5% of this segment's revenues, respectively.</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Of the overall $17.0 million increase in revenues, $16.5 million was attributable to our full-time billable consultants and $0.5 million was attributable to our full-time equivalents. The overall increase in revenues was driven by strong demand across all practices within this segment. The increase in revenue from our full-time billable consultants reflected increases in the consultant utilization rate, average billing rate, and average number of full-time billable consultants. The increase in revenue from our full-time equivalents reflected an increase in revenue per full-time equivalent, partially offset by a decrease in the average number of full-time equivalents.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Huron Education and Life Sciences segment operating income increased by $7.9 million, or 28.6%, to $35.4 million for the nine months ended September 30, 2015, from $27.5 million for the nine months ended September 30, 2014. The Huron Education and Life Sciences segment operating margin increased to</w:t>
      </w:r>
    </w:p>
    <w:p>
      <w:pPr>
        <w:spacing w:after="0" w:line="254" w:lineRule="auto"/>
        <w:rPr>
          <w:sz w:val="20"/>
          <w:szCs w:val="20"/>
          <w:color w:val="auto"/>
        </w:rPr>
      </w:pPr>
      <w:r>
        <w:rPr>
          <w:rFonts w:ascii="Times New Roman" w:cs="Times New Roman" w:eastAsia="Times New Roman" w:hAnsi="Times New Roman"/>
          <w:sz w:val="18"/>
          <w:szCs w:val="18"/>
          <w:color w:val="auto"/>
        </w:rPr>
        <w:t>28.4% for the first nine months of 2015 from 25.5% in the same period last year. The increase in this segment’s operating margin was primarily attributable to revenue growth that outpaced the increase in salaries and related expenses for both our revenue-generating professionals and support personnel, as well as decreases in contractor expense and promotion and sponsorship expenses, partially offset by an increase in bonus expense for our revenue-generating professionals and support personnel as a percentage of revenues.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Legal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Huron Legal segment revenues decreased $46.9 million, or 30.4%, to $107.5 million for the first nine months of 2015 from $154.4 million for the first nine months of 2014. Revenues from time-and-expense engagements, fixed-fee engagements, and software support and maintenance arrangements represented 96.1%, 3.5%, and 0.4% of this segment’s revenues, respectively, during the nine months ended September 30, 2015. During the comparable period of 2014, revenues from time-and-expense engagements, fixed-fee engagements, performance-based arrangements, and software support and maintenance arrangements represented 95.9%, 2.5%, 1.5%, and 0.1% of this segment’s revenues, respectively.</w:t>
      </w:r>
    </w:p>
    <w:p>
      <w:pPr>
        <w:spacing w:after="0" w:line="18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Of the overall $46.9 million decrease in revenues, $36.8 million was attributable to a decrease in revenue generated by our full-time equivalents and $10.1 million was attributable to a decrease in revenue generated by our full-time billable consultants. The decrease in revenue attributable to our full-time equivalents, which was the result of decreased demand for our discovery services as discussed below, primarily reflected a decrease in the average number of full-time equivalents, as well as a decrease in revenue per full-time equivalent. The decrease in full-time billable consultant revenue reflected decreases in the average number of full-time billable consultants and consultant utilization 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Huron Legal segment operating income decreased $15.8 million, or 40.2%, to $23.5 million for the nine months ended September 30, 2015, from $39.2 million for the nine months ended September 30, 2014. The Huron Legal segment operating margin decreased to 21.8% for the first nine months of 2015 from 25.4% in the same period last year. The decrease in this segment’s operating margin was</w:t>
      </w:r>
    </w:p>
    <w:p>
      <w:pPr>
        <w:sectPr>
          <w:pgSz w:w="11900" w:h="16838" w:orient="portrait"/>
          <w:cols w:equalWidth="0" w:num="1">
            <w:col w:w="11400"/>
          </w:cols>
          <w:pgMar w:left="240" w:top="121" w:right="259"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primarily attributable to increases, as percentages of revenues, in salaries and related expenses for both our revenue-generating professionals and support personnel, technology expenses, and contractor expense, as well as increases in rent and utilities expenses for our discovery centers and restructuring expenses. The unfavorable impact of these items was partially offset by a decrease in bonus expense for our revenue-generating professionals and support personnel as a percentage of revenues.</w:t>
      </w:r>
    </w:p>
    <w:p>
      <w:pPr>
        <w:spacing w:after="0" w:line="18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As previously disclosed, Huron Legal revenue and operating income for the fourth quarter of 2014 and first quarter of 2015 were significantly lower than each of the first three quarters of 2014, stemming largely from a more sudden than anticipated downturn in business resulting from client settlements of government investigations related to the credit crisis. To improve the segment's financial performance, the Huron Legal segment leadership team undertook several initiatives to increase sales of their service offerings and reduce expenses. As a result, Huron Legal financial performance for the second and third quarters of 2015 improved compared to the fourth quarter of 2014 and the first quarter of 2015. We believe that the services provided by the Huron Legal segment remain relevant in the marketplace and expect performance to continue to improve during the remainder of 2015. We will perform our annual goodwill impairment analysis as of November 30, 2015; in the event that the segment’s performance does not continue to improve in line with our expectations during the remainder of 2015, we may be required to take an impairment charge as a result of this annual test. For a discussion of our first quarter 2015 interim goodwill impairment test, see “Critical Accounting Policies—Carrying Values of Goodwill and Other Intangible Assets”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Huron Business Advisory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Huron Business Advisory segment revenues increased $12.1 million, or 25.6%, to $59.2 million for the first nine months of 2015 from $47.1 million for the first nine months of 2014. Revenues from time-and-expense engagements, fixed-fee engagements, performance-based arrangements, and software support and maintenance arrangements represented 77.8%, 15.2%, 6.6%, and 0.4% of this segment’s revenues, respectively, during the first nine months of 2015. Revenues from time-and-expense engagements, fixed-fee engagements, and performance-based arrangements represented 78.8%, 14.1%, and 7.1% of this segment’s revenues, respectively, during the first nine months of 2014. Performance-based fee revenue was $3.9 million for the first nine months of 2015, of which $2.0 million was generated by Huron Transaction Advisory LLC, our registered broker-dealer. Performance-based fee revenue was $3.3 million for the first nine months of 2014, of which $2.5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8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$12.1 million increase in revenues was attributable to an increase in revenue generated by our full-time billable consultants. This revenue growth reflected increases in the average number of full-time billable consultants and consultant utilization rate, partially offset by a decrease in the average billing rate. The decrease in the average billing rate was largely the result of our acquisition of Rittman Mead India.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Huron Business Advisory segment operating income increased by $1.4 million, or 11.9%, to $13.5 million for the nine months ended September 30, 2015, from $12.1 million for the nine months ended September 30, 2014. The Huron Business Advisory segment operating margin decreased to 22.8% for the first nine months of 2015 from 25.7% in the same period last year. The decrease in this segment’s operating margin was primarily attributable to increases, as a percentage of revenues, in salaries and related expenses for both our revenue-generating professionals and support personnel, bonus expense for our support personnel, and practice administration and meetings expenses, partially offset by a decrease in contractor expense and revenue growth that outpaced an increase in bonus expense for our revenue-generating professionals.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21" w:right="27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Cash and cash equivalents decreased $243.4 million, from $256.9 million at December 31, 2014, to $13.5 million at September 30, 2015. As of September 30, 2015, our primary sources of liquidity are cash on hand, cash flows from our U.S. operations, and borrowing capacity available under our credit facility.</w:t>
      </w:r>
    </w:p>
    <w:p>
      <w:pPr>
        <w:spacing w:after="0" w:line="118"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6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(in thousands):</w:t>
            </w: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2014</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83,237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92,121</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(368,502)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157,382</w:t>
            </w:r>
          </w:p>
        </w:tc>
        <w:tc>
          <w:tcPr>
            <w:tcW w:w="0" w:type="dxa"/>
            <w:vAlign w:val="bottom"/>
          </w:tcPr>
          <w:p>
            <w:pPr>
              <w:spacing w:after="0"/>
              <w:rPr>
                <w:sz w:val="1"/>
                <w:szCs w:val="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167,782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totaled $83.2 million for the nine months ended September 30, 2015, and $92.1 million for the same period last year.</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benefits to employees affect these account balances.</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decrease in cash provided by operations was primarily attributable to an increase in operating expenditures and an increase in the amount paid for annual performance bonuses during the first quarter of 2015 compared to the first quarter of 2014, partially offset by increased cash collections from clients and lower tax payments during the first nine months of 2015.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$368.5 million for the nine months ended September 30, 2015, and $81.7 million for the same period last year.</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use of cash in the first nine months of 2015 primarily consisted of $332.8 million for purchases of businesses and $15.0 million for purchases of property and equipment. Additionally, during the first nine months of 2015, we invested $15.1 million in Shorelight, in the form of zero coupon convertible debt instruments, increasing the total cost basis of our investment to $27.6 million, as described in Note 10 “Fair Value of Financial Instruments” within the notes to the consolidated financial statements.</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use of cash in the first nine months of 2014 primarily consisted of $51.7 million for purchases of businesses, $16.7 million for purchases of property and equipment, and $12.5 million for purchases of Shorelight zero coupon convertible debt instruments.</w:t>
      </w:r>
    </w:p>
    <w:p>
      <w:pPr>
        <w:spacing w:after="0" w:line="16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estimate that the cash utilized for purchases of property and equipment for full year 2015 will be approximately $20.0 million, primarily consisting of information technology-related equipment and leasehold improvements to support our corporate infrastructure and our document review and processing services.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$41.9 million for the nine months ended September 30, 2015, and $157.4 million for the same period last year.</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first nine months of 2015, we borrowed $272.0 million under our credit facility, including $102.0 million for the Studer Group acquisition, made repayments on our credit facility of $214.5 million, and repurchased and retired $13.5 million of our common stock under our October 2014 Share Repurchase Program, as defined below.</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During the first nine months of 2014, we issued $250.0 million principal amount of the Convertible Notes, which provided proceeds of $242.7 million, net of issuance costs. In connection with the issuance of the Convertible Notes, we paid $42.1 million for the convertible note hedge transactions and received $23.6 million for the sale of warrants. Borrowings made under our credit facility to fund operations during the first nine months of 2014 totaled $129.0 million, with repayments during the period totaling $147.8 million. During the first nine months of 2014, we repurchased and retired $45.1 million of our common stock under the February 2014 Share Repurchase Program, as defined below.</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2014, our board of directors authorized a share repurchase program pursuant to which we may, from time to time, repurchase up to $50 million of our common stock through October 31, 2015 (the “October 2014 Share Repurchase Program”). In October 2015, our board of directors authorized an extension of the October 2014 Share Repurchase Program through October 31, 2016. The amount and timing of the repurchases will be determined by management and will depend on a variety of factors, including the trading price of our common stock, general market and business conditions, and applicable legal requirements. As of September 30, 2015, $36.5 million remains available for share repurchases under the October 2014 Share Repurchase Program.</w:t>
      </w:r>
    </w:p>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February 2014, our board of directors authorized a share repurchase program permitting us to repurchase up to $50 million of our common stock through February 28, 2015 (the “February 2014 Share Repurchase Program”). We completed the February 2014 Share Repurchase Program in October 2014.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September 30, 2015, we had $250.0 million principal amount of our 1.25% convertible senior notes outstanding and $201.3 million outstanding under our senior secured credit facility, as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1.25% Convertible Senior Notes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6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7 “Financing Arrangements” within the notes to the consolidated financial statements.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31, 2015, the Company and certain of the Company’s subsidiaries entered into a Second Amended and Restated Credit Agreement dated as of March 31, 2015 (the “Amended Credit Agreement”). The Amended Credit Agreement amended and restated, in its entirety, the credit agreement entered into as of April 14, 2011 (as amended and modified, the “Existing Credit Agreement”).</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Amended Credit Agreement consists of a $500 million senior secured revolving credit facility that becomes due and payable in full upon maturity on March 31, 2020. The Amended Credit Agreement provides for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the Existing Credit Agreement, and future borrowings under the Amended Credit Agreement may be used for working capital, capital expenditures, share repurchases, and general corporate purposes.</w:t>
      </w:r>
    </w:p>
    <w:p>
      <w:pPr>
        <w:spacing w:after="0" w:line="18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right="180"/>
        <w:spacing w:after="0" w:line="257" w:lineRule="auto"/>
        <w:rPr>
          <w:sz w:val="20"/>
          <w:szCs w:val="20"/>
          <w:color w:val="auto"/>
        </w:rPr>
      </w:pPr>
      <w:r>
        <w:rPr>
          <w:rFonts w:ascii="Times New Roman" w:cs="Times New Roman" w:eastAsia="Times New Roman" w:hAnsi="Times New Roman"/>
          <w:sz w:val="18"/>
          <w:szCs w:val="18"/>
          <w:color w:val="auto"/>
        </w:rPr>
        <w:t>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w:t>
      </w:r>
    </w:p>
    <w:p>
      <w:pPr>
        <w:spacing w:after="0" w:line="2" w:lineRule="exact"/>
        <w:rPr>
          <w:sz w:val="20"/>
          <w:szCs w:val="20"/>
          <w:color w:val="auto"/>
        </w:rPr>
      </w:pPr>
    </w:p>
    <w:p>
      <w:pPr>
        <w:ind w:right="80" w:firstLine="8"/>
        <w:spacing w:after="0" w:line="255"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of either 3.25 to 1.00 or 3.50 to 1.00, depending on the measurement period, and (ii) a minimum Consolidated Interest Coverage Ratio (as defined in the Amended Credit Agreement) of 3.50 to 1.00. At September 30, 2015, we were in compliance with these financial covenants with a Consolidated Leverage Ratio of 2.49 to 1.00 and a Consolidated Interest Coverage Ratio of 18.30 to 1.00.</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Borrowings outstanding under the Amended Credit Agreement at September 30, 2015 totaled $201.3 million. These borrowings carried a weighted average interest rate of 2.3%, including the effect of the interest rate swaps described in Note 9 “Derivative Instruments and Hedging Activity” within the notes to the consolidated financial statements. Borrowings outstanding under the Existing Credit Agreement at December 31, 2014 were $143.8 million and carried a weighted average interest rate of 2.3%. The borrowing capacity under the revolving credit facility is reduced by any outstanding borrowings under the revolving credit facility and outstanding letters of credit. At September 30, 2015, we had outstanding letters of credit totaling $5.2 million, which are primarily used as security deposits for our office facilities. As of September 30, 2015, the unused borrowing capacity under the revolving credit facility was $293.5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see Note 7 “Financing Arrangements” within the notes to the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Needs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 a summary of our commitments to make future payments under contractual obligations, see “Item 7. Management’s Discussion and Analysis of Financial Condition and Results of Operations – Contractual Obligations” in our Annual Report on Form 10-K for the year ended December 31, 2014.</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discussed above in “Liquidity and Capital Resources,” on March 31, 2015 we entered into the Amended Credit Agreement consisting of a $500 million five-year senior secured revolving credit facility. The Amended Credit Agreement becomes due and payable in full upon maturity on March 31, 2020. The Amended Credit Agreement provides for, among other things, an extension of the maturity date and a reduction in pricing, and replaced the existing revolving credit and term loan facility with an increased revolving credit facility. Borrowings outstanding under the Amended Credit Agreement at September 30, 2015 totaled $201.3 million. Refer to “Liquidity and Capital Resources” and Note 7 “Financing Arrangements” within the notes to the consolidated financial statements for more information on our outstanding borrowings.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material changes in our contractual obligations since December 31, 2014.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 party to any off-balance sheet arrangements.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our consolidated financial statements, which have been prepared in accordance with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four accounting policies that could be considered critical: revenue recognition, allowances for doubtful accounts and unbilled services,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2014. Below is an update to our critical accounting policy relating to the carrying values of goodwill and other intangible assets. There have been no material changes to our other critical accounting policies during the first nine months of 2015.</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Values of Goodwill and Other Intangible Assets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fourth quarter of 2014, as part of our annual goodwill impairment test, we performed the first step of the quantitative two-step impairment test for our Huron Legal segment. Based on the results of that test, in which we compared the fair value of the reporting unit to its carrying value, including goodwill, we determined that the fair value of the Huron Legal reporting unit exceeded its carrying value by 28%, or $28.7 million; however, this represented a significant decrease compared to the prior quantitative impairment analysis performed as of November 30, 2012. The decrease was primarily a result of a decrease in expected after-tax cash flows that will be generated by the reporting unit, which was driven by the decline in revenue and operating income during the second half of 2014, and especially the fourth quarter of 2014. The fourth quarter 2014 results for the Huron Legal reporting unit were significantly lower than each of the first three quarters of 2014 and did not meet management’s expectations, stemming largely from a more sudden than anticipated downturn in business resulting from client settlements of government investigations related to the credit crisis.</w:t>
      </w:r>
    </w:p>
    <w:p>
      <w:pPr>
        <w:spacing w:after="0" w:line="18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2015, the operating results for Huron Legal were generally in line with management’s expectations for the quarter but still significantly below the results achieved during the first three quarters of 2014. Given the increase in the reporting unit’s carrying value as a result of the Sky Analytics acquisition and continued weakened results compared to the first nine months of 2014, we performed an interim impairment test for the goodwill balances within our Huron Legal reporting unit as of March 31, 2015. Our goodwill impairment test was performed using the quantitative two-step process. Based on the results of the first step of the goodwill impairment test, we determined that the fair value of our Huron Legal reporting unit exceeded its carrying value by 25%, or $28.8 million. Since the fair value of the reporting unit exceeded its carrying value, the second step of the goodwill impairment test was not necessary.</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estimating the fair value of our Huron Legal reporting unit, we relied on a combination of the income approach and the market approach, utilizing the guideline company method, with a fifty-fifty weighting. For companies providing services similar to those provided by us, the income and market approaches will generally provide the most reliable indications of value because the value of such companies is dependent on their ability to generate earnings.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income approach, we utilized a discounted cash flow analysis, which involved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discount rates reflecting the risk inherent in future cash flows, revenue growth, perpetual growth rates, and profitability, among others. In estimating future cash flows, we relied on an internally generated seven-year forecast. For periods after the seven-year forecast, we assumed a long-term annual revenue growth rate of 3.5%. Our forecast is based on historical experience, current backlog, expected market demand, and other industry information. Our discounted cash flow analysis assumed a weighted average cost of capital (“WACC”) discount rate of 13.0%.</w:t>
      </w:r>
    </w:p>
    <w:p>
      <w:pPr>
        <w:spacing w:after="0" w:line="18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These multiples were then evaluated and adjusted based on our specific characteristics relative to the selected guideline companies and applied to the operating data for the Huron Legal reporting unit to arrive at an indication of value.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an impairment charge is recognized and also the magnitude of any such charge. The results of an impairment analysis are as of a point in time. There is no assurance that the actual future earnings or cash flows of our reporting units will not differ significantly from our projections. We will monitor any changes to our assumptions and will evaluate goodwill as deemed warranted during future periods. Any significant decline in our operations could result in goodwill impairment charges.</w:t>
      </w:r>
    </w:p>
    <w:p>
      <w:pPr>
        <w:spacing w:after="0" w:line="18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table below presents, based on the goodwill impairment test performed as of March 31, 2015, the decrease in the fair value of our Huron Legal reporting unit given a 100 basis point increase in the assumed discount rate or a 100 basis point decrease in the assumed long-term annual revenue growth rate.</w:t>
      </w:r>
    </w:p>
    <w:p>
      <w:pPr>
        <w:spacing w:after="0" w:line="212"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Decrease in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by</w:t>
            </w:r>
          </w:p>
        </w:tc>
      </w:t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 of</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Fair</w:t>
            </w:r>
          </w:p>
        </w:tc>
      </w:tr>
      <w:tr>
        <w:trPr>
          <w:trHeight w:val="216"/>
        </w:trPr>
        <w:tc>
          <w:tcPr>
            <w:tcW w:w="4120" w:type="dxa"/>
            <w:vAlign w:val="bottom"/>
          </w:tcPr>
          <w:p>
            <w:pPr>
              <w:spacing w:after="0"/>
              <w:rPr>
                <w:sz w:val="18"/>
                <w:szCs w:val="18"/>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Reporting Unit</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Exceeds</w:t>
            </w:r>
          </w:p>
        </w:tc>
      </w:tr>
      <w:tr>
        <w:trPr>
          <w:trHeight w:val="238"/>
        </w:trPr>
        <w:tc>
          <w:tcPr>
            <w:tcW w:w="4120" w:type="dxa"/>
            <w:vAlign w:val="bottom"/>
          </w:tcPr>
          <w:p>
            <w:pPr>
              <w:spacing w:after="0"/>
              <w:rPr>
                <w:sz w:val="20"/>
                <w:szCs w:val="20"/>
                <w:color w:val="auto"/>
              </w:rPr>
            </w:pP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Carrying Amount</w:t>
            </w:r>
          </w:p>
        </w:tc>
      </w:tr>
      <w:tr>
        <w:trPr>
          <w:trHeight w:val="27"/>
        </w:trPr>
        <w:tc>
          <w:tcPr>
            <w:tcW w:w="4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 increase by 100 bps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growth rate – decrease by 100 bps</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improve the segment's financial performance, the Huron Legal segment leadership team undertook several initiatives to increase sales of their service offerings and reduce expenses. As a result, Huron Legal segment financial performance for the second and third quarters of 2015 improved compared to the fourth quarter of 2014 and the first quarter of 2015. We believe that the services provided by the Huron Legal segment remain relevant in the marketplace and expect performance to continue to improve during the remainder of 2015. We will perform our annual goodwill impairment analysis as of November 30, 2015; in the event that the segment’s performance does not continue to improve in line with our expectations during the remainder of 2015, we may be required to take an impairment charge as a result of this annual test.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Refer to Note 3 “New Accounting Pronouncements” within the notes to the consolidated financial statements for information on new accounting pronouncements.</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primarily from changes in interest rates and changes in the market value of our investments.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and Interest Rate Risk</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value of the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$218.2 million as of September 30, 2015, which represents the liability component of the $250 million principal balance. The total estimated fair value of our Convertible Notes at September 30, 2015 was $259.0 million, and was determined based on the quoted bid price of the Convertible Notes in an over-the-counter market as of the last day of trading for the quarter ended September 30, 2015, which was $103.599 per $100 principal amount.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with the issuance of the Convertible Notes, we entered into separate convertible note hedge and warrant transactions. The convertible note hedge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are intended to reduce the potential future economic dilution associated with the conversion of the Convertible Notes and, combined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effectively raise the price at which economic dilution would occur from the initial conversion price of approximately $79.89 to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$97.12 per share. Under the convertible note hedge transactions, we have the option to purchase a total of approximately 3.1 million shares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which is the number of shares initially issuable upon conversion of the Convertible Notes in full, at a price of approximately $79.89, which corresponds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initial conversion price of the Convertible Notes, subject to customary anti-dilution adjustments substantially similar to those in the Convertible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warrant transactions, the holders of the warrants have the option to purchase a total of approximately 3.1 million shares of our common stock at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approximately $97.12. If the average market value per share of our common stock for the reporting period exceeds the strike price of the warrants,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will have a dilutive effect on our earnings per share.</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exposure to changes in interest rates associated with borrowings under our bank credit facility, which has variable interest rates tied to LIBOR or an alternate base rate, at our option. At September 30, 2015, we had borrowings outstanding under the credit facility totaling $201.3 million that carried a weighted average interest rate of 2.3% including the effect of the interest rate swaps described below. A hypothetical 100 basis point change in this interest rate would have a $1.0 million effect on our pretax income including the effect of the interest rate swaps described below.</w:t>
      </w:r>
    </w:p>
    <w:p>
      <w:pPr>
        <w:sectPr>
          <w:pgSz w:w="11900" w:h="16838" w:orient="portrait"/>
          <w:cols w:equalWidth="0" w:num="1">
            <w:col w:w="11420"/>
          </w:cols>
          <w:pgMar w:left="240" w:top="121"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December 8, 2011, we entered into a forward amortizing interest rate swap agreement effective on February 29, 2012 and ending on April 14, 2016. We entered into this derivative instrument to hedge against the interest rate risks of our variable-rate borrowings described above. The swap had an initial notional amount of $56.6 million and amortizes throughout the term. Under the terms of the interest rate swap agreement, we receive from the counterparty interest on the notional amount based on one-month LIBOR and we pay to the counterparty a fixed rate of 0.9875%.</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May 30, 2012, we entered into an amortizing interest rate swap agreement effective on May 31, 2012 and ending on April 14, 2016. We entered into this derivative instrument to further hedge against the interest rate risks of our variable-rate borrowings described above. The swap had an initial notional amount of $37.0 million and amortizes throughout the term. Under the terms of the interest rate swap agreement, we receive from the counterparty interest on the notional amount based on one-month LIBOR and we pay to the counterparty a fixed rate of 0.70%.</w:t>
      </w:r>
    </w:p>
    <w:p>
      <w:pPr>
        <w:spacing w:after="0" w:line="12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April 4, 2013, we entered into a forward amortizing interest rate swap agreement effective on March 31, 2014 and ending on August 31, 2017. We entered into this derivative instrument to further hedge against the interest rate risks of our variable-rate borrowings described above. The swap has an initial notional amount of $60.0 million and amortizes throughout the term. Under the terms of the interest rate swap agreement, we will receive from the counterparty interest on the notional amount based on one-month LIBOR and we will pay to the counterparty a fixed rate of 0.985%.</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Including the impact of the above swap agreements, the weighted average interest rate on $98.0 million of our variable-rate debt, which equals the notional amount of the swap agreements in effect at September 30, 2015, was 2.7%.</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September 30, 2015, the fair value of the investment was $34.1 million, with a total cost basis of $27.6 million.</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266"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September 30, 2015. Based on this evaluation, our Chief Executive Officer and Chief Financial Officer have concluded that, as of September 30, 2015,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and 15d-15(f) under the Exchange Act) during the three months ended September 30, 2015 that has materially affected, or is reasonably likely to materially affect, our internal control over financial reporting.</w:t>
      </w:r>
    </w:p>
    <w:p>
      <w:pPr>
        <w:spacing w:after="0" w:line="17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first quarter of 2015, we completed the acquisition of Studer Group, as discussed in Note 5 “Acquisitions” within the notes to the consolidated financial statements. We intend to evaluate Studer Group’s internal controls and, if necessary, make any changes that we believe to be appropriate to those internal controls as we integrate the acquired business with ours. Management intends to exclude the internal controls of Studer Group in its annual assessment of the effectiveness of the Company’s internal control over financial reporting pursuant to Section 404 of the Sarbanes-Oxley Act of 2002 for the year ended December 31, 2015. This exclusion is in accordance with the general guidance issued by the Securities and Exchange Commission that an assessment of a recent business combination may be omitted from management’s report on internal control over financial reporting in the first year of consolidation.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Note 13 "Commitments, Contingencies and Guarantees" included in Part I, Item 1 of this Form 10-Q.</w:t>
      </w:r>
    </w:p>
    <w:p>
      <w:pPr>
        <w:spacing w:after="0" w:line="374"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“Risk Factors” in our Annual Report on Form 10-K for the fiscal year ended December 31, 2014 for a complete description of the material risks we face.</w:t>
      </w:r>
    </w:p>
    <w:p>
      <w:pPr>
        <w:spacing w:after="0" w:line="2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340"/>
          </w:cols>
          <w:pgMar w:left="240" w:top="121" w:right="3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February 12, 2015, as partial consideration for our acquisition of Studer Group, we issued 28,486 shares of the Company’s common stock, par value $0.01 per share, with an aggregate value of approximately $2.2 million, to certain Studer Group shareholders. The issuance was exempt from registration under Section 4(a)(2) of the Securities Act of 1933, as amended, as a transaction by an issuer not involving a public offering.</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Stock Ownership Participation Program, 2012 Omnibus Incentive Plan and our 2004 Omnibus Stock Plan, which was replaced by the 2012 Omnibus Incentive Plan, permit the netting of common stock upon vesting of restricted stock awards to satisfy individual tax withholding requirements. During the quarter ended September 30, 2015, we reacquired 7,450 shares of common stock with a weighted average fair market value of $73.01 as a result of such tax withholdings.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October 2014, our board of directors authorized a share repurchase program pursuant to which we may, from time to time, repurchase up to $50 million of our common stock through October 31, 2015 (the “October 2014 Share Repurchase Program”). In October 2015, our board of directors authorized an extension of the October 2014 Share Repurchase Program through October 31, 2016. The amount and timing of the repurchases will be determined by management and will depend on a variety of factors, including the trading price of our common stock, general market and business conditions, and applicable legal requirements.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purchases we made of our common stock during the quarter ended September 30, 2015.</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18"/>
                <w:szCs w:val="18"/>
                <w:color w:val="auto"/>
              </w:rPr>
            </w:pP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Dollar Value of Shares</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that may yet be</w:t>
            </w: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2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65"/>
        </w:trPr>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Purchased</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Borders>
              <w:bottom w:val="single" w:sz="8" w:color="CCEEFF"/>
            </w:tcBorders>
          </w:tcPr>
          <w:p>
            <w:pPr>
              <w:spacing w:after="0"/>
              <w:rPr>
                <w:sz w:val="23"/>
                <w:szCs w:val="23"/>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20" w:type="dxa"/>
            <w:vAlign w:val="bottom"/>
            <w:tcBorders>
              <w:bottom w:val="single" w:sz="8" w:color="CCEEFF"/>
            </w:tcBorders>
          </w:tcPr>
          <w:p>
            <w:pPr>
              <w:spacing w:after="0"/>
              <w:rPr>
                <w:sz w:val="23"/>
                <w:szCs w:val="23"/>
                <w:color w:val="auto"/>
              </w:rPr>
            </w:pPr>
          </w:p>
        </w:tc>
        <w:tc>
          <w:tcPr>
            <w:tcW w:w="1760" w:type="dxa"/>
            <w:vAlign w:val="bottom"/>
            <w:tcBorders>
              <w:bottom w:val="single" w:sz="8" w:color="auto"/>
            </w:tcBorders>
            <w:gridSpan w:val="2"/>
          </w:tcPr>
          <w:p>
            <w:pPr>
              <w:jc w:val="center"/>
              <w:spacing w:after="0" w:line="265" w:lineRule="exact"/>
              <w:rPr>
                <w:sz w:val="20"/>
                <w:szCs w:val="20"/>
                <w:color w:val="auto"/>
              </w:rPr>
            </w:pPr>
            <w:r>
              <w:rPr>
                <w:rFonts w:ascii="Times New Roman" w:cs="Times New Roman" w:eastAsia="Times New Roman" w:hAnsi="Times New Roman"/>
                <w:sz w:val="18"/>
                <w:szCs w:val="18"/>
                <w:b w:val="1"/>
                <w:bCs w:val="1"/>
                <w:color w:val="auto"/>
                <w:w w:val="96"/>
              </w:rPr>
              <w:t>Plans or Programs</w:t>
            </w:r>
            <w:r>
              <w:rPr>
                <w:rFonts w:ascii="Times New Roman" w:cs="Times New Roman" w:eastAsia="Times New Roman" w:hAnsi="Times New Roman"/>
                <w:sz w:val="25"/>
                <w:szCs w:val="25"/>
                <w:b w:val="1"/>
                <w:bCs w:val="1"/>
                <w:color w:val="auto"/>
                <w:w w:val="96"/>
                <w:vertAlign w:val="superscript"/>
              </w:rPr>
              <w:t>(2)</w:t>
            </w:r>
          </w:p>
        </w:tc>
      </w:tr>
      <w:tr>
        <w:trPr>
          <w:trHeight w:val="244"/>
        </w:trPr>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July 1, 2015 - July 31, 2015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36,501,715</w:t>
            </w:r>
          </w:p>
        </w:tc>
      </w:tr>
      <w:tr>
        <w:trPr>
          <w:trHeight w:val="243"/>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August 1, 2015 - August 31, 2015</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76.47</w:t>
            </w:r>
          </w:p>
        </w:tc>
        <w:tc>
          <w:tcPr>
            <w:tcW w:w="100" w:type="dxa"/>
            <w:vAlign w:val="bottom"/>
          </w:tcPr>
          <w:p>
            <w:pPr>
              <w:spacing w:after="0"/>
              <w:rPr>
                <w:sz w:val="21"/>
                <w:szCs w:val="21"/>
                <w:color w:val="auto"/>
              </w:rPr>
            </w:pPr>
          </w:p>
        </w:tc>
        <w:tc>
          <w:tcPr>
            <w:tcW w:w="17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36,501,715</w:t>
            </w:r>
          </w:p>
        </w:tc>
      </w:tr>
      <w:tr>
        <w:trPr>
          <w:trHeight w:val="27"/>
        </w:trPr>
        <w:tc>
          <w:tcPr>
            <w:tcW w:w="3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38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September 1, 2015 - September 30, 2015</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36,501,715</w:t>
            </w:r>
          </w:p>
        </w:tc>
      </w:tr>
      <w:tr>
        <w:trPr>
          <w:trHeight w:val="257"/>
        </w:trPr>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22"/>
                <w:szCs w:val="22"/>
                <w:color w:val="auto"/>
              </w:rPr>
            </w:pPr>
          </w:p>
        </w:tc>
        <w:tc>
          <w:tcPr>
            <w:tcW w:w="1740" w:type="dxa"/>
            <w:vAlign w:val="bottom"/>
            <w:tcBorders>
              <w:top w:val="single" w:sz="8" w:color="auto"/>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52" w:lineRule="exact"/>
        <w:rPr>
          <w:sz w:val="20"/>
          <w:szCs w:val="20"/>
          <w:color w:val="auto"/>
        </w:rPr>
      </w:pPr>
    </w:p>
    <w:p>
      <w:pPr>
        <w:ind w:left="980" w:right="180" w:hanging="972"/>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repurchased for each period presented represents shares to satisfy employee tax withholding requirements. These shares do not reduce the repurchase authority under the October 2014 Share Repurchase Program.</w:t>
      </w:r>
    </w:p>
    <w:p>
      <w:pPr>
        <w:ind w:left="980" w:hanging="972"/>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3379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1"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2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exhibits are filed as part of this Quarterly Report on Form 10-Q.</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78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488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00" w:type="dxa"/>
            <w:vAlign w:val="bottom"/>
            <w:vMerge w:val="restart"/>
          </w:tcPr>
          <w:p>
            <w:pPr>
              <w:spacing w:after="0"/>
              <w:rPr>
                <w:sz w:val="13"/>
                <w:szCs w:val="13"/>
                <w:color w:val="auto"/>
              </w:rPr>
            </w:pPr>
          </w:p>
        </w:tc>
        <w:tc>
          <w:tcPr>
            <w:tcW w:w="9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10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Furnished</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780" w:type="dxa"/>
            <w:vAlign w:val="bottom"/>
            <w:gridSpan w:val="2"/>
          </w:tcPr>
          <w:p>
            <w:pPr>
              <w:ind w:left="140"/>
              <w:spacing w:after="0" w:line="151" w:lineRule="exact"/>
              <w:rPr>
                <w:sz w:val="20"/>
                <w:szCs w:val="20"/>
                <w:color w:val="auto"/>
              </w:rPr>
            </w:pPr>
            <w:r>
              <w:rPr>
                <w:rFonts w:ascii="Times New Roman" w:cs="Times New Roman" w:eastAsia="Times New Roman" w:hAnsi="Times New Roman"/>
                <w:sz w:val="14"/>
                <w:szCs w:val="14"/>
                <w:b w:val="1"/>
                <w:bCs w:val="1"/>
                <w:color w:val="auto"/>
              </w:rPr>
              <w:t>Period</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7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Filing</w:t>
            </w:r>
          </w:p>
        </w:tc>
        <w:tc>
          <w:tcPr>
            <w:tcW w:w="0" w:type="dxa"/>
            <w:vAlign w:val="bottom"/>
          </w:tcPr>
          <w:p>
            <w:pPr>
              <w:spacing w:after="0"/>
              <w:rPr>
                <w:sz w:val="1"/>
                <w:szCs w:val="1"/>
                <w:color w:val="auto"/>
              </w:rPr>
            </w:pPr>
          </w:p>
        </w:tc>
      </w:tr>
      <w:tr>
        <w:trPr>
          <w:trHeight w:val="195"/>
        </w:trPr>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0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14"/>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Executive Officer, pursuant to Rule 13a-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Oxley 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Financial Officer, pursuant to Rule 13a-</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14(a)/15d-14(a), as adopted pursuant to Section 302 of the Sarbanes-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Oxley 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Executive Officer, pursuant to 18 U.S.C.</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Section 1350, as adopted pursuant to Section 906 of the Sarbanes-Oxley</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Act of 2002.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1"/>
                <w:szCs w:val="21"/>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Certification of the Chief Financial Officer, pursuant to 18 U.S.C. Section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X</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1350, as adopted pursuant to Section 906 of the Sarbanes-Oxley Act of</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2002.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101.INS</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Instance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101.SCH</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101.CAL</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101.LAB</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101.PRE</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101.DEF</w:t>
            </w:r>
          </w:p>
        </w:tc>
        <w:tc>
          <w:tcPr>
            <w:tcW w:w="4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121" w:right="29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40"/>
        <w:spacing w:after="0"/>
        <w:tabs>
          <w:tab w:leader="none" w:pos="1140" w:val="left"/>
          <w:tab w:leader="none" w:pos="8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22, 2015</w:t>
      </w:r>
      <w:r>
        <w:rPr>
          <w:sz w:val="20"/>
          <w:szCs w:val="20"/>
          <w:color w:val="auto"/>
        </w:rPr>
        <w:tab/>
      </w:r>
      <w:r>
        <w:rPr>
          <w:rFonts w:ascii="Times New Roman" w:cs="Times New Roman" w:eastAsia="Times New Roman" w:hAnsi="Times New Roman"/>
          <w:sz w:val="18"/>
          <w:szCs w:val="18"/>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34290</wp:posOffset>
            </wp:positionV>
            <wp:extent cx="15265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0" w:lineRule="exact"/>
        <w:rPr>
          <w:sz w:val="20"/>
          <w:szCs w:val="20"/>
          <w:color w:val="auto"/>
        </w:rPr>
      </w:pPr>
    </w:p>
    <w:p>
      <w:pPr>
        <w:spacing w:after="0" w:line="27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240" w:top="121" w:right="4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RULE 13a-14(a)/15d-14(a),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Roth, certify that:</w:t>
      </w:r>
    </w:p>
    <w:p>
      <w:pPr>
        <w:spacing w:after="0" w:line="117"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117" w:lineRule="exact"/>
        <w:rPr>
          <w:rFonts w:ascii="Times New Roman" w:cs="Times New Roman" w:eastAsia="Times New Roman" w:hAnsi="Times New Roman"/>
          <w:sz w:val="18"/>
          <w:szCs w:val="18"/>
          <w:color w:val="auto"/>
        </w:rPr>
      </w:pPr>
    </w:p>
    <w:p>
      <w:pPr>
        <w:jc w:val="both"/>
        <w:ind w:left="500" w:right="46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00" w:right="42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64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64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646"/>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646"/>
        <w:spacing w:after="0" w:line="266"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800" w:hanging="646"/>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480" w:hanging="646"/>
        <w:spacing w:after="0" w:line="282" w:lineRule="auto"/>
        <w:tabs>
          <w:tab w:leader="none" w:pos="1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160"/>
        <w:spacing w:after="0"/>
        <w:tabs>
          <w:tab w:leader="none" w:pos="1480" w:val="left"/>
          <w:tab w:leader="none" w:pos="5800" w:val="left"/>
          <w:tab w:leader="none" w:pos="83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22,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8091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RULE 13a-14(a)/15d-14(a), 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 Mark Hussey, certify that:</w:t>
      </w:r>
    </w:p>
    <w:p>
      <w:pPr>
        <w:spacing w:after="0" w:line="117"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Huron Consulting Group Inc.;</w:t>
      </w:r>
    </w:p>
    <w:p>
      <w:pPr>
        <w:spacing w:after="0" w:line="117" w:lineRule="exact"/>
        <w:rPr>
          <w:rFonts w:ascii="Times New Roman" w:cs="Times New Roman" w:eastAsia="Times New Roman" w:hAnsi="Times New Roman"/>
          <w:sz w:val="18"/>
          <w:szCs w:val="18"/>
          <w:color w:val="auto"/>
        </w:rPr>
      </w:pPr>
    </w:p>
    <w:p>
      <w:pPr>
        <w:jc w:val="both"/>
        <w:ind w:left="500" w:right="46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00" w:right="42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00" w:right="2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140" w:right="60" w:hanging="64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140" w:right="380" w:hanging="64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140" w:right="540" w:hanging="64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140" w:right="60" w:hanging="646"/>
        <w:spacing w:after="0" w:line="266"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00" w:right="34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800" w:hanging="64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480" w:hanging="646"/>
        <w:spacing w:after="0" w:line="282"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40"/>
        <w:spacing w:after="0"/>
        <w:tabs>
          <w:tab w:leader="none" w:pos="1600" w:val="left"/>
          <w:tab w:leader="none" w:pos="5640" w:val="left"/>
          <w:tab w:leader="none" w:pos="8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22,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697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7980" cy="8890"/>
                    </a:xfrm>
                    <a:prstGeom prst="rect">
                      <a:avLst/>
                    </a:prstGeom>
                    <a:noFill/>
                  </pic:spPr>
                </pic:pic>
              </a:graphicData>
            </a:graphic>
          </wp:anchor>
        </w:drawing>
      </w:r>
    </w:p>
    <w:p>
      <w:pPr>
        <w:spacing w:after="0" w:line="5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w:t>
      </w:r>
    </w:p>
    <w:p>
      <w:pPr>
        <w:spacing w:after="0" w:line="27"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color w:val="auto"/>
        </w:rPr>
        <w:t>Officer and Treasurer</w:t>
      </w:r>
    </w:p>
    <w:p>
      <w:pPr>
        <w:sectPr>
          <w:pgSz w:w="11900" w:h="16838" w:orient="portrait"/>
          <w:cols w:equalWidth="0" w:num="1">
            <w:col w:w="11420"/>
          </w:cols>
          <w:pgMar w:left="240" w:top="576"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6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September 30, 2015 as filed with the Securities and Exchange Commission on the date hereof (the “Report”), I, James H. Roth, President and Chief Executive Officer of the Company, hereby certify, pursuant to 18 U.S.C. Section 1350, as adopted pursuant to Section 906 of the Sarbanes-Oxley Act of 2002, that to the best of my knowledge:</w:t>
      </w:r>
    </w:p>
    <w:p>
      <w:pPr>
        <w:spacing w:after="0" w:line="7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40" w:lineRule="exact"/>
        <w:rPr>
          <w:sz w:val="20"/>
          <w:szCs w:val="20"/>
          <w:color w:val="auto"/>
        </w:rPr>
      </w:pPr>
    </w:p>
    <w:p>
      <w:pPr>
        <w:ind w:left="380"/>
        <w:spacing w:after="0"/>
        <w:tabs>
          <w:tab w:leader="none" w:pos="1800" w:val="left"/>
          <w:tab w:leader="none" w:pos="6380" w:val="left"/>
          <w:tab w:leader="none" w:pos="83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22,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34290</wp:posOffset>
            </wp:positionV>
            <wp:extent cx="62687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57"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color w:val="auto"/>
        </w:rPr>
        <w:t>James H. Roth</w:t>
      </w:r>
    </w:p>
    <w:p>
      <w:pPr>
        <w:spacing w:after="0" w:line="63" w:lineRule="exact"/>
        <w:rPr>
          <w:sz w:val="20"/>
          <w:szCs w:val="20"/>
          <w:color w:val="auto"/>
        </w:rPr>
      </w:pPr>
    </w:p>
    <w:p>
      <w:pPr>
        <w:jc w:val="center"/>
        <w:ind w:left="66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4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p>
      <w:pPr>
        <w:sectPr>
          <w:pgSz w:w="11900" w:h="16838" w:orient="portrait"/>
          <w:cols w:equalWidth="0" w:num="1">
            <w:col w:w="11420"/>
          </w:cols>
          <w:pgMar w:left="240" w:top="576"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left="260" w:right="27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67"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Huron Consulting Group Inc. (the “Company”) on Form 10-Q for the quarter ended September 30, 2015 as filed with the Securities and Exchange Commission on the date hereof (the “Report”), I, C. Mark Hussey, Executive Vice President, Chief Operating Officer, Chief Financial Officer and Treasurer of the Company, hereby certify, pursuant to 18 U.S.C. Section 1350, as adopted pursuant to Section 906 of the Sarbanes-Oxley Act of 2002, that to the best of my knowledge:</w:t>
      </w:r>
    </w:p>
    <w:p>
      <w:pPr>
        <w:spacing w:after="0" w:line="7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presented therein.</w:t>
      </w:r>
    </w:p>
    <w:p>
      <w:pPr>
        <w:spacing w:after="0" w:line="200" w:lineRule="exact"/>
        <w:rPr>
          <w:sz w:val="20"/>
          <w:szCs w:val="20"/>
          <w:color w:val="auto"/>
        </w:rPr>
      </w:pPr>
    </w:p>
    <w:p>
      <w:pPr>
        <w:spacing w:after="0" w:line="340" w:lineRule="exact"/>
        <w:rPr>
          <w:sz w:val="20"/>
          <w:szCs w:val="20"/>
          <w:color w:val="auto"/>
        </w:rPr>
      </w:pPr>
    </w:p>
    <w:p>
      <w:pPr>
        <w:ind w:left="40"/>
        <w:spacing w:after="0"/>
        <w:tabs>
          <w:tab w:leader="none" w:pos="1140" w:val="left"/>
          <w:tab w:leader="none" w:pos="5740" w:val="left"/>
          <w:tab w:leader="none" w:pos="8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22,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 Mark Hussey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34290</wp:posOffset>
            </wp:positionV>
            <wp:extent cx="67919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57"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color w:val="auto"/>
        </w:rPr>
        <w:t>C. Mark Hussey</w:t>
      </w:r>
    </w:p>
    <w:p>
      <w:pPr>
        <w:spacing w:after="0" w:line="6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Executive Vice President, Chief Operating Officer, Chief Financial</w:t>
      </w:r>
    </w:p>
    <w:p>
      <w:pPr>
        <w:spacing w:after="0" w:line="27"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Officer and Treasurer</w:t>
      </w:r>
    </w:p>
    <w:p>
      <w:pPr>
        <w:spacing w:after="0" w:line="12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Form 10-Q and shall not be considered filed as part of the Form 10-Q.</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3"/>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2"/>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2019-12-29T14:40:45Z</dcterms:created>
  <dcterms:modified xsi:type="dcterms:W3CDTF">2019-12-29T14:40:45Z</dcterms:modified>
</cp:coreProperties>
</file>