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1980" w:type="dxa"/>
            <w:vAlign w:val="bottom"/>
          </w:tcPr>
          <w:p>
            <w:pPr>
              <w:jc w:val="center"/>
              <w:ind w:right="126"/>
              <w:spacing w:after="0"/>
              <w:rPr>
                <w:sz w:val="20"/>
                <w:szCs w:val="20"/>
                <w:color w:val="auto"/>
              </w:rPr>
            </w:pPr>
            <w:r>
              <w:rPr>
                <w:rFonts w:ascii="Arial" w:cs="Arial" w:eastAsia="Arial" w:hAnsi="Arial"/>
                <w:sz w:val="18"/>
                <w:szCs w:val="18"/>
                <w:b w:val="1"/>
                <w:bCs w:val="1"/>
                <w:color w:val="auto"/>
                <w:w w:val="88"/>
              </w:rPr>
              <w:t>Delaware</w:t>
            </w:r>
          </w:p>
        </w:tc>
        <w:tc>
          <w:tcPr>
            <w:tcW w:w="5400" w:type="dxa"/>
            <w:vAlign w:val="bottom"/>
          </w:tcPr>
          <w:p>
            <w:pPr>
              <w:jc w:val="center"/>
              <w:ind w:left="3962"/>
              <w:spacing w:after="0"/>
              <w:rPr>
                <w:sz w:val="20"/>
                <w:szCs w:val="20"/>
                <w:color w:val="auto"/>
              </w:rPr>
            </w:pPr>
            <w:r>
              <w:rPr>
                <w:rFonts w:ascii="Arial" w:cs="Arial" w:eastAsia="Arial" w:hAnsi="Arial"/>
                <w:sz w:val="18"/>
                <w:szCs w:val="18"/>
                <w:b w:val="1"/>
                <w:bCs w:val="1"/>
                <w:color w:val="auto"/>
                <w:w w:val="87"/>
              </w:rPr>
              <w:t>01-0666114</w:t>
            </w:r>
          </w:p>
        </w:tc>
      </w:tr>
      <w:tr>
        <w:trPr>
          <w:trHeight w:val="149"/>
        </w:trPr>
        <w:tc>
          <w:tcPr>
            <w:tcW w:w="198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400" w:type="dxa"/>
            <w:vAlign w:val="bottom"/>
          </w:tcPr>
          <w:p>
            <w:pPr>
              <w:jc w:val="center"/>
              <w:ind w:left="396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980" w:type="dxa"/>
            <w:vAlign w:val="bottom"/>
          </w:tcPr>
          <w:p>
            <w:pPr>
              <w:jc w:val="center"/>
              <w:ind w:right="146"/>
              <w:spacing w:after="0"/>
              <w:rPr>
                <w:sz w:val="20"/>
                <w:szCs w:val="20"/>
                <w:color w:val="auto"/>
              </w:rPr>
            </w:pPr>
            <w:r>
              <w:rPr>
                <w:rFonts w:ascii="Arial" w:cs="Arial" w:eastAsia="Arial" w:hAnsi="Arial"/>
                <w:sz w:val="14"/>
                <w:szCs w:val="14"/>
                <w:b w:val="1"/>
                <w:bCs w:val="1"/>
                <w:color w:val="auto"/>
                <w:w w:val="88"/>
              </w:rPr>
              <w:t>incorporation or organization)</w:t>
            </w:r>
          </w:p>
        </w:tc>
        <w:tc>
          <w:tcPr>
            <w:tcW w:w="5400" w:type="dxa"/>
            <w:vAlign w:val="bottom"/>
          </w:tcPr>
          <w:p>
            <w:pPr>
              <w:jc w:val="center"/>
              <w:ind w:left="3982"/>
              <w:spacing w:after="0"/>
              <w:rPr>
                <w:sz w:val="20"/>
                <w:szCs w:val="20"/>
                <w:color w:val="auto"/>
              </w:rPr>
            </w:pPr>
            <w:r>
              <w:rPr>
                <w:rFonts w:ascii="Arial" w:cs="Arial" w:eastAsia="Arial" w:hAnsi="Arial"/>
                <w:sz w:val="14"/>
                <w:szCs w:val="14"/>
                <w:b w:val="1"/>
                <w:bCs w:val="1"/>
                <w:color w:val="auto"/>
                <w:w w:val="90"/>
              </w:rPr>
              <w:t>Identification Number)</w:t>
            </w:r>
          </w:p>
        </w:tc>
      </w:tr>
      <w:tr>
        <w:trPr>
          <w:trHeight w:val="364"/>
        </w:trPr>
        <w:tc>
          <w:tcPr>
            <w:tcW w:w="1980" w:type="dxa"/>
            <w:vAlign w:val="bottom"/>
          </w:tcPr>
          <w:p>
            <w:pPr>
              <w:spacing w:after="0"/>
              <w:rPr>
                <w:sz w:val="24"/>
                <w:szCs w:val="24"/>
                <w:color w:val="auto"/>
              </w:rPr>
            </w:pPr>
          </w:p>
        </w:tc>
        <w:tc>
          <w:tcPr>
            <w:tcW w:w="5400" w:type="dxa"/>
            <w:vAlign w:val="bottom"/>
          </w:tcPr>
          <w:p>
            <w:pPr>
              <w:jc w:val="center"/>
              <w:ind w:right="1822"/>
              <w:spacing w:after="0"/>
              <w:rPr>
                <w:sz w:val="20"/>
                <w:szCs w:val="20"/>
                <w:color w:val="auto"/>
              </w:rPr>
            </w:pPr>
            <w:r>
              <w:rPr>
                <w:rFonts w:ascii="Arial" w:cs="Arial" w:eastAsia="Arial" w:hAnsi="Arial"/>
                <w:sz w:val="18"/>
                <w:szCs w:val="18"/>
                <w:b w:val="1"/>
                <w:bCs w:val="1"/>
                <w:color w:val="auto"/>
                <w:w w:val="88"/>
              </w:rPr>
              <w:t>550 West Van Buren Street</w:t>
            </w:r>
          </w:p>
        </w:tc>
      </w:tr>
      <w:tr>
        <w:trPr>
          <w:trHeight w:val="216"/>
        </w:trPr>
        <w:tc>
          <w:tcPr>
            <w:tcW w:w="1980" w:type="dxa"/>
            <w:vAlign w:val="bottom"/>
          </w:tcPr>
          <w:p>
            <w:pPr>
              <w:spacing w:after="0"/>
              <w:rPr>
                <w:sz w:val="18"/>
                <w:szCs w:val="18"/>
                <w:color w:val="auto"/>
              </w:rPr>
            </w:pPr>
          </w:p>
        </w:tc>
        <w:tc>
          <w:tcPr>
            <w:tcW w:w="5400" w:type="dxa"/>
            <w:vAlign w:val="bottom"/>
          </w:tcPr>
          <w:p>
            <w:pPr>
              <w:jc w:val="center"/>
              <w:ind w:right="1822"/>
              <w:spacing w:after="0"/>
              <w:rPr>
                <w:sz w:val="20"/>
                <w:szCs w:val="20"/>
                <w:color w:val="auto"/>
              </w:rPr>
            </w:pPr>
            <w:r>
              <w:rPr>
                <w:rFonts w:ascii="Arial" w:cs="Arial" w:eastAsia="Arial" w:hAnsi="Arial"/>
                <w:sz w:val="18"/>
                <w:szCs w:val="18"/>
                <w:b w:val="1"/>
                <w:bCs w:val="1"/>
                <w:color w:val="auto"/>
                <w:w w:val="88"/>
              </w:rPr>
              <w:t>Chicago, Illinois</w:t>
            </w:r>
          </w:p>
        </w:tc>
      </w:tr>
      <w:tr>
        <w:trPr>
          <w:trHeight w:val="218"/>
        </w:trPr>
        <w:tc>
          <w:tcPr>
            <w:tcW w:w="1980" w:type="dxa"/>
            <w:vAlign w:val="bottom"/>
          </w:tcPr>
          <w:p>
            <w:pPr>
              <w:spacing w:after="0"/>
              <w:rPr>
                <w:sz w:val="18"/>
                <w:szCs w:val="18"/>
                <w:color w:val="auto"/>
              </w:rPr>
            </w:pPr>
          </w:p>
        </w:tc>
        <w:tc>
          <w:tcPr>
            <w:tcW w:w="5400" w:type="dxa"/>
            <w:vAlign w:val="bottom"/>
          </w:tcPr>
          <w:p>
            <w:pPr>
              <w:jc w:val="right"/>
              <w:ind w:right="3342"/>
              <w:spacing w:after="0"/>
              <w:rPr>
                <w:sz w:val="20"/>
                <w:szCs w:val="20"/>
                <w:color w:val="auto"/>
              </w:rPr>
            </w:pPr>
            <w:r>
              <w:rPr>
                <w:rFonts w:ascii="Arial" w:cs="Arial" w:eastAsia="Arial" w:hAnsi="Arial"/>
                <w:sz w:val="18"/>
                <w:szCs w:val="18"/>
                <w:b w:val="1"/>
                <w:bCs w:val="1"/>
                <w:color w:val="auto"/>
              </w:rPr>
              <w:t>60607</w:t>
            </w:r>
          </w:p>
        </w:tc>
      </w:tr>
      <w:tr>
        <w:trPr>
          <w:trHeight w:val="149"/>
        </w:trPr>
        <w:tc>
          <w:tcPr>
            <w:tcW w:w="1980" w:type="dxa"/>
            <w:vAlign w:val="bottom"/>
          </w:tcPr>
          <w:p>
            <w:pPr>
              <w:spacing w:after="0"/>
              <w:rPr>
                <w:sz w:val="12"/>
                <w:szCs w:val="12"/>
                <w:color w:val="auto"/>
              </w:rPr>
            </w:pPr>
          </w:p>
        </w:tc>
        <w:tc>
          <w:tcPr>
            <w:tcW w:w="5400" w:type="dxa"/>
            <w:vAlign w:val="bottom"/>
          </w:tcPr>
          <w:p>
            <w:pPr>
              <w:jc w:val="center"/>
              <w:ind w:right="1802"/>
              <w:spacing w:after="0" w:line="149" w:lineRule="exact"/>
              <w:rPr>
                <w:sz w:val="20"/>
                <w:szCs w:val="20"/>
                <w:color w:val="auto"/>
              </w:rPr>
            </w:pPr>
            <w:r>
              <w:rPr>
                <w:rFonts w:ascii="Arial" w:cs="Arial" w:eastAsia="Arial" w:hAnsi="Arial"/>
                <w:sz w:val="14"/>
                <w:szCs w:val="14"/>
                <w:b w:val="1"/>
                <w:bCs w:val="1"/>
                <w:color w:val="auto"/>
                <w:w w:val="85"/>
              </w:rPr>
              <w:t>(Address of principal executive offices)</w:t>
            </w:r>
          </w:p>
        </w:tc>
      </w:tr>
      <w:tr>
        <w:trPr>
          <w:trHeight w:val="174"/>
        </w:trPr>
        <w:tc>
          <w:tcPr>
            <w:tcW w:w="1980" w:type="dxa"/>
            <w:vAlign w:val="bottom"/>
          </w:tcPr>
          <w:p>
            <w:pPr>
              <w:spacing w:after="0"/>
              <w:rPr>
                <w:sz w:val="15"/>
                <w:szCs w:val="15"/>
                <w:color w:val="auto"/>
              </w:rPr>
            </w:pPr>
          </w:p>
        </w:tc>
        <w:tc>
          <w:tcPr>
            <w:tcW w:w="5400" w:type="dxa"/>
            <w:vAlign w:val="bottom"/>
          </w:tcPr>
          <w:p>
            <w:pPr>
              <w:jc w:val="center"/>
              <w:ind w:right="182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1980" w:type="dxa"/>
            <w:vAlign w:val="bottom"/>
          </w:tcPr>
          <w:p>
            <w:pPr>
              <w:spacing w:after="0"/>
              <w:rPr>
                <w:sz w:val="24"/>
                <w:szCs w:val="24"/>
                <w:color w:val="auto"/>
              </w:rPr>
            </w:pPr>
          </w:p>
        </w:tc>
        <w:tc>
          <w:tcPr>
            <w:tcW w:w="5400" w:type="dxa"/>
            <w:vAlign w:val="bottom"/>
          </w:tcPr>
          <w:p>
            <w:pPr>
              <w:jc w:val="right"/>
              <w:ind w:right="3022"/>
              <w:spacing w:after="0"/>
              <w:rPr>
                <w:sz w:val="20"/>
                <w:szCs w:val="20"/>
                <w:color w:val="auto"/>
              </w:rPr>
            </w:pPr>
            <w:r>
              <w:rPr>
                <w:rFonts w:ascii="Arial" w:cs="Arial" w:eastAsia="Arial" w:hAnsi="Arial"/>
                <w:sz w:val="18"/>
                <w:szCs w:val="18"/>
                <w:b w:val="1"/>
                <w:bCs w:val="1"/>
                <w:color w:val="auto"/>
              </w:rPr>
              <w:t>(312) 583-8700</w:t>
            </w:r>
          </w:p>
        </w:tc>
      </w:tr>
      <w:tr>
        <w:trPr>
          <w:trHeight w:val="174"/>
        </w:trPr>
        <w:tc>
          <w:tcPr>
            <w:tcW w:w="1980" w:type="dxa"/>
            <w:vAlign w:val="bottom"/>
          </w:tcPr>
          <w:p>
            <w:pPr>
              <w:spacing w:after="0"/>
              <w:rPr>
                <w:sz w:val="15"/>
                <w:szCs w:val="15"/>
                <w:color w:val="auto"/>
              </w:rPr>
            </w:pPr>
          </w:p>
        </w:tc>
        <w:tc>
          <w:tcPr>
            <w:tcW w:w="5400" w:type="dxa"/>
            <w:vAlign w:val="bottom"/>
          </w:tcPr>
          <w:p>
            <w:pPr>
              <w:jc w:val="center"/>
              <w:ind w:right="182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88"/>
              </w:rPr>
              <w:t>Indicate the number of shares outstanding of each of the issuer’s classes of common stock, as of the latest practicable date.</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8740" w:type="dxa"/>
            <w:vAlign w:val="bottom"/>
            <w:gridSpan w:val="2"/>
          </w:tcPr>
          <w:p>
            <w:pPr>
              <w:spacing w:after="0"/>
              <w:rPr>
                <w:sz w:val="20"/>
                <w:szCs w:val="20"/>
                <w:color w:val="auto"/>
              </w:rPr>
            </w:pPr>
            <w:r>
              <w:rPr>
                <w:rFonts w:ascii="Arial" w:cs="Arial" w:eastAsia="Arial" w:hAnsi="Arial"/>
                <w:sz w:val="18"/>
                <w:szCs w:val="18"/>
                <w:color w:val="auto"/>
                <w:w w:val="92"/>
              </w:rPr>
              <w:t>As of April 18, 2012, 22,924,420 shares of the registrant’s common stock, par value $0.01 per share, were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7"/>
            <w:vMerge w:val="restart"/>
          </w:tcPr>
          <w:p>
            <w:pP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8740" w:type="dxa"/>
            <w:vAlign w:val="bottom"/>
            <w:gridSpan w:val="13"/>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300" w:type="dxa"/>
            <w:vAlign w:val="bottom"/>
            <w:tcBorders>
              <w:bottom w:val="single" w:sz="8" w:color="0000EE"/>
            </w:tcBorders>
            <w:gridSpan w:val="7"/>
            <w:vMerge w:val="continue"/>
          </w:tcPr>
          <w:p>
            <w:pPr>
              <w:spacing w:after="0"/>
              <w:rPr>
                <w:sz w:val="13"/>
                <w:szCs w:val="13"/>
                <w:color w:val="auto"/>
              </w:rPr>
            </w:pPr>
          </w:p>
        </w:tc>
        <w:tc>
          <w:tcPr>
            <w:tcW w:w="8740" w:type="dxa"/>
            <w:vAlign w:val="bottom"/>
            <w:gridSpan w:val="1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9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180" w:type="dxa"/>
            <w:vAlign w:val="bottom"/>
            <w:tcBorders>
              <w:top w:val="single" w:sz="8" w:color="0000EE"/>
            </w:tcBorders>
          </w:tcPr>
          <w:p>
            <w:pPr>
              <w:spacing w:after="0"/>
              <w:rPr>
                <w:sz w:val="17"/>
                <w:szCs w:val="17"/>
                <w:color w:val="auto"/>
              </w:rPr>
            </w:pPr>
          </w:p>
        </w:tc>
        <w:tc>
          <w:tcPr>
            <w:tcW w:w="75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Earnings and Comprehensive Income</w:t>
              </w:r>
            </w:hyperlink>
          </w:p>
        </w:tc>
        <w:tc>
          <w:tcPr>
            <w:tcW w:w="51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 of Stockholders’ Equity</w:t>
              </w:r>
            </w:hyperlink>
          </w:p>
        </w:tc>
        <w:tc>
          <w:tcPr>
            <w:tcW w:w="63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69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w:t>
              </w:r>
            </w:hyperlink>
          </w:p>
        </w:tc>
        <w:tc>
          <w:tcPr>
            <w:tcW w:w="66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9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4.</w:t>
            </w:r>
          </w:p>
        </w:tc>
        <w:tc>
          <w:tcPr>
            <w:tcW w:w="99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99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86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9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57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6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82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00" w:type="dxa"/>
            <w:vAlign w:val="bottom"/>
            <w:gridSpan w:val="2"/>
          </w:tcPr>
          <w:p>
            <w:pPr>
              <w:ind w:left="26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86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38">
              <w:r>
                <w:rPr>
                  <w:rFonts w:ascii="Arial" w:cs="Arial" w:eastAsia="Arial" w:hAnsi="Arial"/>
                  <w:sz w:val="18"/>
                  <w:szCs w:val="18"/>
                  <w:b w:val="1"/>
                  <w:bCs w:val="1"/>
                  <w:color w:val="0000EE"/>
                  <w:w w:val="86"/>
                </w:rPr>
                <w:t>Signature</w:t>
              </w:r>
            </w:hyperlink>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Receivables from clients,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108,173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services,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41,758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13,282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194,187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211,524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14,366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15,301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512,120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512,185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767,550</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24,846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related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28,740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consideration for business acquisitions, current portion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28,279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94,983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169,702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compensation and other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7,946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borrowings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244,000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lease incentives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7,410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11,936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Non-current liabilities of discontinued operations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271,341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220,153</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2"/>
              </w:rPr>
              <w:t>Common stock; $0.01 par value; 500,000,000 shares authorized; 24,703,317 and 24,208,549 shares issued at March 31, 2012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and December 31, 2011, respectively</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1,777,733 and 1,642,018 shares at March 31, 2012 and December 31, 2011, respectively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(80,425)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408,577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73,758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401,226</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396,789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767,550</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Revenues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138,637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152,433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148,545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Direct costs and reimbursable expenses </w:t>
            </w:r>
            <w:r>
              <w:rPr>
                <w:rFonts w:ascii="Arial" w:cs="Arial" w:eastAsia="Arial" w:hAnsi="Arial"/>
                <w:sz w:val="18"/>
                <w:szCs w:val="18"/>
                <w:color w:val="auto"/>
                <w:w w:val="94"/>
              </w:rPr>
              <w:t>(exclusive of depreciation and amortization shown in operating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Direct costs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96,781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Reimbursable expenses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101,563</w:t>
            </w: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Restructuring charge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Restatement related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Litigation settlement,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income</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earnings (loss) per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21,157</w:t>
            </w:r>
          </w:p>
        </w:tc>
        <w:tc>
          <w:tcPr>
            <w:tcW w:w="0" w:type="dxa"/>
            <w:vAlign w:val="bottom"/>
          </w:tcPr>
          <w:p>
            <w:pPr>
              <w:spacing w:after="0"/>
              <w:rPr>
                <w:sz w:val="1"/>
                <w:szCs w:val="1"/>
                <w:color w:val="auto"/>
              </w:rPr>
            </w:pPr>
          </w:p>
        </w:tc>
      </w:tr>
      <w:tr>
        <w:trPr>
          <w:trHeight w:val="32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Foreign currency translation gain, net of 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cash flow hedging instruments, net of tax</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40" w:type="dxa"/>
            <w:vAlign w:val="bottom"/>
            <w:gridSpan w:val="4"/>
          </w:tcPr>
          <w:p>
            <w:pPr>
              <w:ind w:left="320"/>
              <w:spacing w:after="0"/>
              <w:rPr>
                <w:sz w:val="20"/>
                <w:szCs w:val="20"/>
                <w:color w:val="auto"/>
              </w:rPr>
            </w:pPr>
            <w:r>
              <w:rPr>
                <w:rFonts w:ascii="Arial" w:cs="Arial" w:eastAsia="Arial" w:hAnsi="Arial"/>
                <w:sz w:val="14"/>
                <w:szCs w:val="14"/>
                <w:b w:val="1"/>
                <w:bCs w:val="1"/>
                <w:color w:val="auto"/>
                <w:w w:val="87"/>
              </w:rPr>
              <w:t>Common 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Treasury 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3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23,362,828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234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(1,679,033)</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(75,735)</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$400,597</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$72,902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396,789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w w:val="79"/>
              </w:rPr>
              <w:t>856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Restricted stock awards, net of cancellations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310,802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w w:val="71"/>
              </w:rPr>
              <w:t>3</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(6,403)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660" w:type="dxa"/>
            <w:vAlign w:val="bottom"/>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6,387</w:t>
            </w:r>
          </w:p>
        </w:tc>
        <w:tc>
          <w:tcPr>
            <w:tcW w:w="2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for employee tax withholdings</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(97,769)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benefit on share-based compensation</w:t>
            </w: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23,685,913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237</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(1,783,205)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(80,425)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408,577</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73,758</w:t>
            </w:r>
          </w:p>
        </w:tc>
        <w:tc>
          <w:tcPr>
            <w:tcW w:w="3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401,226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Gain on disposal of property and equipment</w:t>
            </w:r>
          </w:p>
        </w:tc>
        <w:tc>
          <w:tcPr>
            <w:tcW w:w="10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portion of litigation settlement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receivables from clients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ind w:left="420"/>
              <w:spacing w:after="0"/>
              <w:rPr>
                <w:sz w:val="20"/>
                <w:szCs w:val="20"/>
                <w:color w:val="auto"/>
              </w:rPr>
            </w:pPr>
            <w:r>
              <w:rPr>
                <w:rFonts w:ascii="Arial" w:cs="Arial" w:eastAsia="Arial" w:hAnsi="Arial"/>
                <w:sz w:val="18"/>
                <w:szCs w:val="18"/>
                <w:color w:val="auto"/>
              </w:rPr>
              <w:t>Decrease (increase) in unbilled services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4,456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(increase) in current income tax receivable,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ind w:left="420"/>
              <w:spacing w:after="0"/>
              <w:rPr>
                <w:sz w:val="20"/>
                <w:szCs w:val="20"/>
                <w:color w:val="auto"/>
              </w:rPr>
            </w:pPr>
            <w:r>
              <w:rPr>
                <w:rFonts w:ascii="Arial" w:cs="Arial" w:eastAsia="Arial" w:hAnsi="Arial"/>
                <w:sz w:val="18"/>
                <w:szCs w:val="18"/>
                <w:color w:val="auto"/>
              </w:rPr>
              <w:t>Decrease in other assets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accounts payable and accrued liabilities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ind w:left="420"/>
              <w:spacing w:after="0"/>
              <w:rPr>
                <w:sz w:val="20"/>
                <w:szCs w:val="20"/>
                <w:color w:val="auto"/>
              </w:rPr>
            </w:pPr>
            <w:r>
              <w:rPr>
                <w:rFonts w:ascii="Arial" w:cs="Arial" w:eastAsia="Arial" w:hAnsi="Arial"/>
                <w:sz w:val="18"/>
                <w:szCs w:val="18"/>
                <w:color w:val="auto"/>
              </w:rPr>
              <w:t>(Decrease) in accrued payroll and related benefits</w:t>
            </w: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(36,795)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increase in deferred revenues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(7,978)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(12,551)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(5,267)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 life insurance policies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Purchases of businesses</w:t>
            </w: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(31,298)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of business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gridSpan w:val="2"/>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(36,926)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(26,366)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redeemed for employee tax withholdings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Tax benefit from share-based compensation</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borrowings under credit facility</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93,000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Repayments on credit facility</w:t>
            </w: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(42,500)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47,930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27,396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322"/>
        </w:trPr>
        <w:tc>
          <w:tcPr>
            <w:tcW w:w="9460" w:type="dxa"/>
            <w:vAlign w:val="bottom"/>
            <w:gridSpan w:val="3"/>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4"/>
                <w:szCs w:val="2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(1,117)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Cash and cash equivalents at beginning of the period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0"/>
        </w:trPr>
        <w:tc>
          <w:tcPr>
            <w:tcW w:w="9460" w:type="dxa"/>
            <w:vAlign w:val="bottom"/>
            <w:gridSpan w:val="3"/>
            <w:vMerge w:val="restart"/>
          </w:tcPr>
          <w:p>
            <w:pPr>
              <w:spacing w:after="0"/>
              <w:rPr>
                <w:sz w:val="20"/>
                <w:szCs w:val="20"/>
                <w:color w:val="auto"/>
              </w:rPr>
            </w:pPr>
            <w:r>
              <w:rPr>
                <w:rFonts w:ascii="Arial" w:cs="Arial" w:eastAsia="Arial" w:hAnsi="Arial"/>
                <w:sz w:val="18"/>
                <w:szCs w:val="18"/>
                <w:color w:val="auto"/>
              </w:rPr>
              <w:t>Cash and cash equivalents at end of the period</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3,963</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presented herein includes $0.1 million of cash and cash equivalents classified as discontinued operations as of December 31, 2010.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complex data, and stimulate growth. We team with our clients to deliver sustainable and measurable results. Our professionals employ their expertise in healthcare administration, finance and operations to provide our clients with specialized analyses and customized advice and solutions that are tailored to address each client’s particular challenges and opportunities. 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w:t>
      </w:r>
    </w:p>
    <w:p>
      <w:pPr>
        <w:spacing w:after="0" w:line="23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accompanying unaudited Consolidated Financial Statements reflect the financial position, results of operations and cash flows as of and for the three months ended March 31, 2012 and 2011.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presentation of our financial position, results of operations and cash flows for the interim periods presented in conformity with GAAP. These financial statements should be read in conjunction with the Consolidated Financial Statements and notes thereto for the year ended December 31, 2011 included in our Annual Report on Form 10-K.</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Certain amounts reported in the previous year have been reclassified to conform to the 2012 presentation. Our results for any interim period are not necessarily indicative of results for a full year or any other interim period.</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The Company adopted this pronouncement in the first quarter of 2012. However, ASU 2011-12, “Deferral of the Effective Date for Amendments to the Presentation of Reclassifications of Items Out of Accumulated Other Comprehensive Income in Accounting Standards Update No. 2011-05,” has deferred the specific requirement within ASU 2011-05 to present on the face of the financial statements items that are reclassified from accumulated other comprehensive income to net income separately with their respective components of net income and other comprehensive income. ASU 2011-12 would still require companies to report reclassifications out of accumulated other comprehensive income consistent with the presentation requirements in effect before ASU 2011-05. The Company does not expect the guidance in ASU 2011-12 to impact its Consolidated Financial Statements, as it only requires a change in the format of presentation.</w:t>
      </w:r>
    </w:p>
    <w:p>
      <w:pPr>
        <w:spacing w:after="0" w:line="23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In recent years, we have undertaken several separate initiatives to divest certain practices within the Financial Consulting segment in order to enable us to devote more of our energy and financial resources to the remaining businesses of the Company where we have a more substantial market presence. On December 30, 2011, we sold the Accounting Advisory (“AA”) practice to a group of investors including the managing director of the practice at the time. On September 30, 2010, we completed a sale of a portion of the Disputes and Investigations (“D&amp;I”) practice and wound down the remaining practice operations as of that same date. Additionally, during the third quarter of 2010 we exited the Utilities Consulting (“Utilities”) practice. In December 2009, our Board of Directors approved a plan to divest the businesses that included the international operations of our Japan office (“Japan”). On June 30, 2010, we exited Japan via a wind down of the business. The Company recognized a loss of $1.9 million in connection with the sale of AA and a gain of $1.2 million in connection with the sale of D&amp;I.</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a result of these actions, the operating results of AA, D&amp;I, Utilities and Japan are reported as “discontinued operations.” All other operations of the business are considered “continuing operations.” Amounts previously reported have been reclassified to conform to this presentation in accordance with FASB ASC Topic 205, “Presentation of Financial Statements,” to allow for meaningful comparison of continuing operations. The Consolidated Balance Sheets as of March 31, 2012 and December 31, 2011 aggregate amounts associated with the discontinued operations as described above. Summarized operating results of discontinued operations are presented in the following table (amounts in thousands):</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before income tax expense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$ 424</w:t>
            </w:r>
          </w:p>
        </w:tc>
        <w:tc>
          <w:tcPr>
            <w:tcW w:w="6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$ 269</w:t>
            </w:r>
          </w:p>
        </w:tc>
        <w:tc>
          <w:tcPr>
            <w:tcW w:w="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carrying amounts of the major classes of assets and liabilities aggregated in discontinued operations in the Consolidated Balance Sheets as of March 31, 2012 and December 31, 2011 are presented in the following table.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80" w:type="dxa"/>
            <w:vAlign w:val="bottom"/>
            <w:gridSpan w:val="3"/>
          </w:tcPr>
          <w:p>
            <w:pPr>
              <w:ind w:left="1300"/>
              <w:spacing w:after="0"/>
              <w:rPr>
                <w:sz w:val="20"/>
                <w:szCs w:val="20"/>
                <w:color w:val="auto"/>
              </w:rPr>
            </w:pPr>
            <w:r>
              <w:rPr>
                <w:rFonts w:ascii="Arial" w:cs="Arial" w:eastAsia="Arial" w:hAnsi="Arial"/>
                <w:sz w:val="14"/>
                <w:szCs w:val="14"/>
                <w:b w:val="1"/>
                <w:bCs w:val="1"/>
                <w:color w:val="auto"/>
                <w:w w:val="86"/>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52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Receivables from clients, net</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1,504</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1,504</w:t>
            </w: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benefits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segment for the three months ended March 31,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Health and</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Education</w:t>
            </w:r>
          </w:p>
        </w:tc>
        <w:tc>
          <w:tcPr>
            <w:tcW w:w="4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Legal</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Financial</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Consulting</w:t>
            </w:r>
          </w:p>
        </w:tc>
        <w:tc>
          <w:tcPr>
            <w:tcW w:w="48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Consulting</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Consulting</w:t>
            </w:r>
          </w:p>
        </w:tc>
        <w:tc>
          <w:tcPr>
            <w:tcW w:w="2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96"/>
        </w:trPr>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2011:</w:t>
            </w:r>
          </w:p>
        </w:tc>
        <w:tc>
          <w:tcPr>
            <w:tcW w:w="2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Goodwill</w:t>
            </w:r>
          </w:p>
        </w:tc>
        <w:tc>
          <w:tcPr>
            <w:tcW w:w="3020" w:type="dxa"/>
            <w:vAlign w:val="bottom"/>
            <w:gridSpan w:val="2"/>
          </w:tcPr>
          <w:p>
            <w:pPr>
              <w:jc w:val="center"/>
              <w:ind w:left="2252"/>
              <w:spacing w:after="0"/>
              <w:rPr>
                <w:sz w:val="20"/>
                <w:szCs w:val="20"/>
                <w:color w:val="auto"/>
              </w:rPr>
            </w:pPr>
            <w:r>
              <w:rPr>
                <w:rFonts w:ascii="Arial" w:cs="Arial" w:eastAsia="Arial" w:hAnsi="Arial"/>
                <w:sz w:val="18"/>
                <w:szCs w:val="18"/>
                <w:color w:val="auto"/>
                <w:w w:val="90"/>
              </w:rPr>
              <w:t>$450,828</w:t>
            </w:r>
          </w:p>
        </w:tc>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1"/>
              </w:rPr>
              <w:t>$ 33,180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$ 158,077</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$ 642,085</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(129,900)</w:t>
            </w:r>
          </w:p>
        </w:tc>
      </w:tr>
      <w:tr>
        <w:trPr>
          <w:trHeight w:val="370"/>
        </w:trPr>
        <w:tc>
          <w:tcPr>
            <w:tcW w:w="3820" w:type="dxa"/>
            <w:vAlign w:val="bottom"/>
          </w:tcPr>
          <w:p>
            <w:pPr>
              <w:spacing w:after="0"/>
              <w:rPr>
                <w:sz w:val="24"/>
                <w:szCs w:val="24"/>
                <w:color w:val="auto"/>
              </w:rPr>
            </w:pPr>
          </w:p>
        </w:tc>
        <w:tc>
          <w:tcPr>
            <w:tcW w:w="2340" w:type="dxa"/>
            <w:vAlign w:val="bottom"/>
          </w:tcPr>
          <w:p>
            <w:pPr>
              <w:jc w:val="right"/>
              <w:ind w:right="772"/>
              <w:spacing w:after="0"/>
              <w:rPr>
                <w:sz w:val="20"/>
                <w:szCs w:val="20"/>
                <w:color w:val="auto"/>
              </w:rPr>
            </w:pPr>
            <w:r>
              <w:rPr>
                <w:rFonts w:ascii="Arial" w:cs="Arial" w:eastAsia="Arial" w:hAnsi="Arial"/>
                <w:sz w:val="18"/>
                <w:szCs w:val="18"/>
                <w:color w:val="auto"/>
              </w:rPr>
              <w:t>6</w:t>
            </w:r>
          </w:p>
        </w:tc>
        <w:tc>
          <w:tcPr>
            <w:tcW w:w="6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Health and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Education</w:t>
            </w:r>
          </w:p>
        </w:tc>
        <w:tc>
          <w:tcPr>
            <w:tcW w:w="22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Legal</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Financial</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Consulting</w:t>
            </w:r>
          </w:p>
        </w:tc>
        <w:tc>
          <w:tcPr>
            <w:tcW w:w="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Consulting</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2"/>
              </w:rPr>
              <w:t>Consulting</w:t>
            </w:r>
          </w:p>
        </w:tc>
        <w:tc>
          <w:tcPr>
            <w:tcW w:w="4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 net as of December 31, 2011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450,828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33,180</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28,177</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20" w:type="dxa"/>
            <w:vAlign w:val="bottom"/>
            <w:gridSpan w:val="2"/>
          </w:tcPr>
          <w:p>
            <w:pPr>
              <w:spacing w:after="0"/>
              <w:rPr>
                <w:sz w:val="20"/>
                <w:szCs w:val="20"/>
                <w:color w:val="auto"/>
              </w:rPr>
            </w:pPr>
            <w:r>
              <w:rPr>
                <w:rFonts w:ascii="Arial" w:cs="Arial" w:eastAsia="Arial" w:hAnsi="Arial"/>
                <w:sz w:val="18"/>
                <w:szCs w:val="18"/>
                <w:color w:val="auto"/>
              </w:rPr>
              <w:t>Goodwill recorded in connection with business combinations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9"/>
                <w:szCs w:val="19"/>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299</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Goodwill reallocation</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Goodwill, net as of March 31, 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449,464</w:t>
            </w: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$ 33,479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$ 29,177</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512,120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From time to time, we reorganize our internal organizational structure to better align our service offerings. During the first quarter of 2012, we moved our healthcare valuation consulting practice from our Health and Education Consulting segment to our Financial Consulting segment. As a result, $1.0 million of related goodwill was also reallocated between these segments using a relative fair value approach.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2012 and December 31, 2011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 2012</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40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Accumulated</w:t>
            </w:r>
          </w:p>
        </w:tc>
      </w:tr>
      <w:tr>
        <w:trPr>
          <w:trHeight w:val="161"/>
        </w:trPr>
        <w:tc>
          <w:tcPr>
            <w:tcW w:w="4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9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$17,419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$17,367</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840" w:type="dxa"/>
            <w:vAlign w:val="bottom"/>
            <w:gridSpan w:val="3"/>
          </w:tcPr>
          <w:p>
            <w:pPr>
              <w:jc w:val="right"/>
              <w:ind w:right="280"/>
              <w:spacing w:after="0"/>
              <w:rPr>
                <w:sz w:val="20"/>
                <w:szCs w:val="20"/>
                <w:color w:val="auto"/>
              </w:rPr>
            </w:pPr>
            <w:r>
              <w:rPr>
                <w:rFonts w:ascii="Arial" w:cs="Arial" w:eastAsia="Arial" w:hAnsi="Arial"/>
                <w:sz w:val="18"/>
                <w:szCs w:val="18"/>
                <w:color w:val="auto"/>
              </w:rPr>
              <w:t>6,693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4,755</w:t>
            </w:r>
          </w:p>
        </w:tc>
        <w:tc>
          <w:tcPr>
            <w:tcW w:w="580" w:type="dxa"/>
            <w:vAlign w:val="bottom"/>
          </w:tcPr>
          <w:p>
            <w:pPr>
              <w:jc w:val="right"/>
              <w:spacing w:after="0"/>
              <w:rPr>
                <w:sz w:val="20"/>
                <w:szCs w:val="20"/>
                <w:color w:val="auto"/>
              </w:rPr>
            </w:pPr>
            <w:r>
              <w:rPr>
                <w:rFonts w:ascii="Arial" w:cs="Arial" w:eastAsia="Arial" w:hAnsi="Arial"/>
                <w:sz w:val="18"/>
                <w:szCs w:val="18"/>
                <w:color w:val="auto"/>
              </w:rPr>
              <w:t>6,693</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Technology and software</w:t>
            </w:r>
          </w:p>
        </w:tc>
        <w:tc>
          <w:tcPr>
            <w:tcW w:w="19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8,504</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36,308</w:t>
            </w:r>
          </w:p>
        </w:tc>
        <w:tc>
          <w:tcPr>
            <w:tcW w:w="5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21,007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36,256</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19,389</w:t>
            </w:r>
          </w:p>
        </w:tc>
        <w:tc>
          <w:tcPr>
            <w:tcW w:w="100" w:type="dxa"/>
            <w:vAlign w:val="bottom"/>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contracts are amortized on a straight-line basis over relatively short lives due to the short-term nature of the services provided under these contracts. The majority of customer relationships are amortized on an accelerated basis to correspond to the cash flows expected to be derived from the relationships. All other customer relationships, non-competition agreements, trade names, and technology and software are amortized on a straight-line basis.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Intangible assets amortization expense was $1.6 million and $2.2 million for the three months ended March 31, 2012 and 2011, respectively. Estimated annual intangible assets amortization expense is $5.4 million for 2012, $3.2 million for 2013, $2.5 million for 2014, $1.7 million for 2015, $0.9 million for 2016 and $0.8 million for 2017. Actual future amortization expense could differ from these estimated amounts as a result of future acquisitions and other factors.</w:t>
      </w:r>
    </w:p>
    <w:p>
      <w:pPr>
        <w:spacing w:after="0" w:line="22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3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60" w:type="dxa"/>
            <w:vAlign w:val="bottom"/>
            <w:vMerge w:val="restart"/>
          </w:tcPr>
          <w:p>
            <w:pPr>
              <w:jc w:val="right"/>
              <w:ind w:right="26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21,775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Weighted average common stock equivalents</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22,164</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basic share:</w:t>
            </w: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3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diluted share:</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3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computation of diluted earnings per share excludes outstanding options and other common stock equivalents in periods where inclusion of such potential common stock instruments would be anti-dilutive in the periods presented. The weighted average common stock equivalents presented above do not include the effect of approximately 22,000 and 481,700 common stock equivalents for the three months ended March 31, 2012 and 2011, respectively, because their inclusion would be anti-dilutive.</w:t>
      </w:r>
    </w:p>
    <w:p>
      <w:pPr>
        <w:spacing w:after="0" w:line="25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During 2011, the Company and certain of the Company’s subsidiaries as guarantors entered into an Amended and Restated Credit Agreement (the “2011 Credit Agreement”) with various financial institutions including Bank of America, N.A., as lender, administrative agent and collateral agent for the lenders; JPMorgan Chase Bank, N.A., as lender and syndication agent; PNC Bank, National Association; Harris N.A. and KeyBank National Association as lenders and Co-Documentation Agents; Fifth Third Bank, The Northern Trust Company, RBS Citizens, N.A., The PrivateBank and Trust Company, FirstMerit Bank, N.A., and Northbrook Bank &amp; Trust Company as lenders (collectively the “Lenders”); and Merrill Lynch, Pierce, Fenner &amp; Smith Incorporated and J.P. Morgan Securities LLC, as joint lead arrangers and joint book managers. The 2011 Credit Agreement replaces the previous Credit Agreement, dated as of June 7, 2006, and all subsequent amendments thereto, by and among the Company and the lenders therein.</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2011 Credit Agreement consists of a senior secured credit facility in an aggregate principal amount of $350.0 million comprised of a five-year revolving credit facility (“Revolver”) under which the Company may borrow from time to time up to $150.0 million and a $200.0 million five-year term loan facility (“Term Loan”) that was funded in a single advance on the closing date.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under the 2011 Credit Agreement are secured pursuant to a Security Agreement with Bank of America as Administrative Agent. The Security Agreement grants Bank of America, N.A. for the ratable benefit of the lenders under the 2011 Credit Agreement, a first-priority lien, subject to permitted liens, on substantially all of the personal property assets of the Company and the subsidiary grantors. The Revolver and Term Loan are also secured by a pledge of 100% of the voting stock or other equity interests in our domestic subsidiaries and 65% of the voting stock or other equity interests in our foreign subsidiaries.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Term Loan is subject to scheduled quarterly amortization payments equal to 7.5% of the original principal balance in year one, 10.0% in year two, 12.5% in years three and four, and 57.5% in year five, as set forth in the 2011 Credit Agreement. The maturity date for the Term Loan is April 14, 2016, at which time the outstanding principal balance and all accrued interest will be due and payable in full. All outstanding borrowings under the Revolver will be due upon expiration of the 2011 Credit Agreement on April 14, 2016.</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$10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The 2011 Credit Agreement contains quarterly financial covenants that require us to maintain a minimum fixed charge coverage ratio of 2.25 to 1.00 and a maximum leverage ratio of 3.00 to 1.00 with step-downs in subsequent periods, as those ratios are defined therein, as well as a minimum net worth greater than $150 million. At March 31, 2012, we were in compliance with these financial covenants with a fixed charge coverage ratio of 3.66 to 1.00, a leverage ratio of</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2.09 to 1.00, and net worth greater than $150 million. Furthermore, based upon projected operating results, management believes it is probable that we will meet the financial debt covenants at future covenant measurement dates. At December 31, 2011, we were in compliance with our financial debt covenants.</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March 31, 2012, outstanding letters of credit totaled $4.1 million and are primarily used as security deposits for our office facilities. As of March 31, 2012, the borrowing capacity under the 2011 Credit Agreement was $86.9 million. Borrowings outstanding under this credit facility at March 31, 2012 totaled $244.0 million. These borrowings carried a weighted average interest rate of 2.9%, including the effect of the interest rate swap described below in Note 9 “Derivative Instrument and Hedging Activity.” All of the borrowings outstanding under the 2011 Credit Agreement are classified as long-term on our Consolidated Balance Sheets as the principal under the Revolver is not due until 2016 and we intend to fund scheduled quarterly payments under the Term Loan with availability under the Revolver. Borrowings outstanding at December 31, 2011 were $193.5 million and carried a weighted average interest rate of 3.3%.</w:t>
      </w:r>
    </w:p>
    <w:p>
      <w:pPr>
        <w:spacing w:after="0" w:line="2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the first quarter of 2012, we incurred a $0.8 million pre-tax restructuring charge, primarily consisting of accelerated depreciation on leasehold improvements related to the anticipated relocation of our New York City office location. We expect the remaining accelerated depreciation charge in 2012 related to our New York office to be $1.7 million. We also expect to incur additional charges in 2012 upon exiting our New York office space, for which we have a lease agreement that expires in 2016. We estimate the expense associated with the exit of this office to be approximately $2 million in 2012; however, the actual expense could vary significantly depending on factors such as the office rental market in New York City at the time we exit.</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2011, we incurred a $0.5 million pre-tax restructuring charge related to the consolidation of office space within our Chicago office. The $0.5 million charge was primarily comprised of the discounted future cash flows of rent expenses we are obligated to pay under the lease agreement, partially offset by future sublease income which we calculated based on certain sublease assumptions.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2012, our restructuring charge liability is $2.1 million, and primarily consists of the present value of remaining lease payments, net of estimated sublease income, for our vacated office space in San Francisco, Boston and Chicago. The restructuring charge liability is included as a component of Accrued expenses and Deferred compensation and other liabilities.</w:t>
      </w:r>
    </w:p>
    <w:p>
      <w:pPr>
        <w:spacing w:after="0" w:line="25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 and Hedging Activity</w:t>
      </w:r>
    </w:p>
    <w:p>
      <w:pPr>
        <w:spacing w:after="0" w:line="9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March 20, 2009, we entered into an interest rate swap agreement for a notional amount of $100.0 million effective on March 31, 2009 and ending on February 23, 2012. We entered into this derivative instrument to hedge against the risk of changes in future cash flows related to changes in interest rates on $100.0 million of the total variable-rate borrowings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outstanding described above in Note 7 “Borrowings.” Under the terms of the interest rate swap agreement, we received from the counterparty interest on the $100.0 million notional amount based on one-month LIBOR and we paid to the counterparty a fixed rate of 1.715%. This swap effectively converted $100.0 million of our variable-rate borrowings to fixed-rate borrowings beginning on March 31, 2009 and through February 23, 2012.</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has an initial notional amount of $56.6 million and amortizes throughout the term, which effectively fixes the interest rate on 30% of our Term Loan. Under the terms of the interest rate swap agreement, we receive from the counterparty interest on the notional amount based on one-month LIBOR and we pay to the counterparty a fixed rate of 0.9875%.</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FASB 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March 31, 2012, it was anticipated that all $0.2 million of the net losses, net of tax, currently recorded in OCI will be reclassified into earnings within the next 12 months. Our interest rate swap agreements were effective during the three months ended March 31, 2012.</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tables below set forth additional information relating to these interest rate swaps designated as cash flow hedging instruments as of March 31, 2012 and December 31, 2011, and for the three months ended March 31, 2012 and 2011.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9"/>
              </w:rPr>
              <w:t>Fair Value (Derivative Liability)</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88"/>
              </w:rPr>
              <w:t>Balance Sheet Location</w:t>
            </w:r>
          </w:p>
        </w:tc>
        <w:tc>
          <w:tcPr>
            <w:tcW w:w="418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jc w:val="right"/>
              <w:ind w:right="371"/>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4"/>
          </w:tcPr>
          <w:p>
            <w:pPr>
              <w:jc w:val="right"/>
              <w:ind w:right="100"/>
              <w:spacing w:after="0" w:line="129"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20" w:type="dxa"/>
            <w:vAlign w:val="bottom"/>
            <w:tcBorders>
              <w:bottom w:val="single" w:sz="8" w:color="auto"/>
            </w:tcBorders>
            <w:vMerge w:val="continue"/>
          </w:tcPr>
          <w:p>
            <w:pPr>
              <w:spacing w:after="0"/>
              <w:rPr>
                <w:sz w:val="14"/>
                <w:szCs w:val="14"/>
                <w:color w:val="auto"/>
              </w:rPr>
            </w:pPr>
          </w:p>
        </w:tc>
        <w:tc>
          <w:tcPr>
            <w:tcW w:w="41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346</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2"/>
              <w:spacing w:after="0" w:line="203"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Deferred compensation and other liabilities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4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4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ind w:right="103"/>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2"/>
                <w:szCs w:val="12"/>
                <w:color w:val="auto"/>
              </w:rPr>
            </w:pPr>
          </w:p>
        </w:tc>
        <w:tc>
          <w:tcPr>
            <w:tcW w:w="980" w:type="dxa"/>
            <w:vAlign w:val="bottom"/>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Net unrealized losses on cash flow hedges, net of tax, beginning of period</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(275)</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(872)</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Change in fair value, net of tax</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660" w:type="dxa"/>
            <w:vAlign w:val="bottom"/>
            <w:gridSpan w:val="3"/>
          </w:tcPr>
          <w:p>
            <w:pPr>
              <w:jc w:val="right"/>
              <w:ind w:right="63"/>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(232)</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adjustments into earnings, net of tax</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unrealized losses on cash flow hedges, net of tax, end of period</w:t>
            </w: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660" w:type="dxa"/>
            <w:vAlign w:val="bottom"/>
            <w:gridSpan w:val="3"/>
          </w:tcPr>
          <w:p>
            <w:pPr>
              <w:jc w:val="right"/>
              <w:ind w:right="63"/>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(740)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do not use derivative instruments for trading or other speculative purposes, and we did not have any other derivative instruments or hedging activities as of March 31, 2012.</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Certain of our assets and liabilities are measured at fair value. FASB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300"/>
          </w:cols>
          <w:pgMar w:left="240" w:top="459" w:right="35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Quoted prices in active markets for identical assets or liabilities that the reporting entity has the ability to access at the measurement date.</w:t>
      </w:r>
    </w:p>
    <w:p>
      <w:pPr>
        <w:spacing w:after="0" w:line="151" w:lineRule="exact"/>
        <w:rPr>
          <w:sz w:val="20"/>
          <w:szCs w:val="20"/>
          <w:color w:val="auto"/>
        </w:rPr>
      </w:pPr>
    </w:p>
    <w:p>
      <w:pPr>
        <w:sectPr>
          <w:pgSz w:w="11900" w:h="16838" w:orient="portrait"/>
          <w:cols w:equalWidth="0" w:num="2">
            <w:col w:w="1020" w:space="600"/>
            <w:col w:w="9680"/>
          </w:cols>
          <w:pgMar w:left="240" w:top="459" w:right="359" w:bottom="1440" w:gutter="0" w:footer="0" w:header="0"/>
          <w:type w:val="continuous"/>
        </w:sect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86" w:lineRule="exact"/>
        <w:rPr>
          <w:sz w:val="20"/>
          <w:szCs w:val="20"/>
          <w:color w:val="auto"/>
        </w:rPr>
      </w:pPr>
    </w:p>
    <w:p>
      <w:pPr>
        <w:sectPr>
          <w:pgSz w:w="11900" w:h="16838" w:orient="portrait"/>
          <w:cols w:equalWidth="0" w:num="2">
            <w:col w:w="1020" w:space="600"/>
            <w:col w:w="9680"/>
          </w:cols>
          <w:pgMar w:left="240" w:top="459" w:right="35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for the asset or liability, and include situations in which there is little, if any, market activity for the asset or liability.</w:t>
      </w:r>
    </w:p>
    <w:p>
      <w:pPr>
        <w:spacing w:after="0" w:line="194" w:lineRule="exact"/>
        <w:rPr>
          <w:sz w:val="20"/>
          <w:szCs w:val="20"/>
          <w:color w:val="auto"/>
        </w:rPr>
      </w:pPr>
    </w:p>
    <w:p>
      <w:pPr>
        <w:sectPr>
          <w:pgSz w:w="11900" w:h="16838" w:orient="portrait"/>
          <w:cols w:equalWidth="0" w:num="2">
            <w:col w:w="1020" w:space="600"/>
            <w:col w:w="9680"/>
          </w:cols>
          <w:pgMar w:left="240" w:top="459" w:right="359" w:bottom="1440" w:gutter="0" w:footer="0" w:header="0"/>
          <w:type w:val="continuous"/>
        </w:sectPr>
      </w:pPr>
    </w:p>
    <w:p>
      <w:pPr>
        <w:spacing w:after="0" w:line="298"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7 “Borrowings.”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459" w:right="3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2012 and December 31,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in Active</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Significant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20" w:type="dxa"/>
            <w:vAlign w:val="bottom"/>
          </w:tcPr>
          <w:p>
            <w:pPr>
              <w:spacing w:after="0"/>
              <w:rPr>
                <w:sz w:val="12"/>
                <w:szCs w:val="12"/>
                <w:color w:val="auto"/>
              </w:rPr>
            </w:pPr>
          </w:p>
        </w:tc>
        <w:tc>
          <w:tcPr>
            <w:tcW w:w="1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3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Identical</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78"/>
              </w:rPr>
              <w:t>Assets</w:t>
            </w:r>
          </w:p>
        </w:tc>
        <w:tc>
          <w:tcPr>
            <w:tcW w:w="120" w:type="dxa"/>
            <w:vAlign w:val="bottom"/>
          </w:tcPr>
          <w:p>
            <w:pPr>
              <w:spacing w:after="0"/>
              <w:rPr>
                <w:sz w:val="12"/>
                <w:szCs w:val="12"/>
                <w:color w:val="auto"/>
              </w:rPr>
            </w:pPr>
          </w:p>
        </w:tc>
        <w:tc>
          <w:tcPr>
            <w:tcW w:w="1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(Level 1)</w:t>
            </w:r>
          </w:p>
        </w:tc>
        <w:tc>
          <w:tcPr>
            <w:tcW w:w="12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(Level 2)</w:t>
            </w:r>
          </w:p>
        </w:tc>
        <w:tc>
          <w:tcPr>
            <w:tcW w:w="8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March 31, 2012</w:t>
            </w:r>
          </w:p>
        </w:tc>
        <w:tc>
          <w:tcPr>
            <w:tcW w:w="2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Asset:</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Liability:</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385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December 31, 2011</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Promissory note</w:t>
            </w:r>
          </w:p>
        </w:tc>
        <w:tc>
          <w:tcPr>
            <w:tcW w:w="2340" w:type="dxa"/>
            <w:vAlign w:val="bottom"/>
            <w:gridSpan w:val="2"/>
          </w:tcPr>
          <w:p>
            <w:pPr>
              <w:ind w:left="2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2,680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Interest rate swaps</w:t>
            </w:r>
          </w:p>
        </w:tc>
        <w:tc>
          <w:tcPr>
            <w:tcW w:w="2340" w:type="dxa"/>
            <w:vAlign w:val="bottom"/>
            <w:gridSpan w:val="2"/>
          </w:tcPr>
          <w:p>
            <w:pPr>
              <w:ind w:left="2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466</w:t>
            </w:r>
          </w:p>
        </w:tc>
        <w:tc>
          <w:tcPr>
            <w:tcW w:w="6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part of the consideration received for the sale of our AA practice on December 30, 2011, the Company received a $3.5 million promissory note payable over four years. The note will be paid to the Company in quarterly installments of approximately $0.2 million beginning in April 2013 with a final payment of approximately $1.1 million on the maturity date in December 2015. The fair value of the note was derived by multiplying the projected cash flows by a discount rate of 14%, which accounts for the risks associated with the note.</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fair value of the interest rate swap was derived using estimates to settle the interest rate swap agreement, which is based on the net present value of expected future cash flows on each leg of the swap utilizing market-based inputs and discount rates reflecting the risks involved.</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components of comprehensive income for the three months ended March 31,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 2011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9"/>
              </w:rPr>
              <w:t>Tax</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Before</w:t>
            </w:r>
          </w:p>
        </w:tc>
        <w:tc>
          <w:tcPr>
            <w:tcW w:w="2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Net of</w:t>
            </w: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Before</w:t>
            </w:r>
          </w:p>
        </w:tc>
        <w:tc>
          <w:tcPr>
            <w:tcW w:w="3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Net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Taxes</w:t>
            </w:r>
          </w:p>
        </w:tc>
        <w:tc>
          <w:tcPr>
            <w:tcW w:w="28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5"/>
              </w:rPr>
              <w:t>Taxes</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5"/>
              </w:rPr>
              <w:t>Taxes</w:t>
            </w:r>
          </w:p>
        </w:tc>
        <w:tc>
          <w:tcPr>
            <w:tcW w:w="30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Benefit</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$ 353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Unrealized gain on cash flow hedging instrument</w:t>
            </w:r>
          </w:p>
        </w:tc>
        <w:tc>
          <w:tcPr>
            <w:tcW w:w="14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$ 434</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1,144</w:t>
            </w:r>
          </w:p>
        </w:tc>
        <w:tc>
          <w:tcPr>
            <w:tcW w:w="3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effective tax rates for the three months ended March 31, 2012 and 2011 were 72.1% and 52.7%, respectively. The effective rates for both periods were higher than the statutory rate, inclusive of state income taxes, due primarily to the impact of foreign losses with no tax benefit and certain non-deductible expenses. The impact of these items on the effective rate was higher in the first quarter of 2012 due to the lower pre-tax income level when compared to the same period last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7500" w:firstLine="8"/>
        <w:spacing w:after="0" w:line="347" w:lineRule="auto"/>
        <w:tabs>
          <w:tab w:leader="none" w:pos="44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Restatement Matters</w:t>
      </w:r>
    </w:p>
    <w:p>
      <w:pPr>
        <w:spacing w:after="0" w:line="9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As previously disclosed, on August 17, 2009, we restated our financial statements for the years ended December 31, 2008, 2007 and 2006, as well as the three months ended March 31, 2009. The restatement related to the accounting for certain acquisition-related payments received by the selling shareholders of four acquired businesses.</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Between August 4, 2009 and September 3, 2009, seven purported shareholder class action complaints were filed in connection with our restatement in the United States District Court for the Northern District of Illinois. One of those complaints was dismissed voluntarily in October 2009, and in November 2009, the remaining suits were consolidated. On December 6, 2010, we reached an agreement in principle to settle the litigation (“the Class Action Settlement”). The Class Action Settlement received final Court approval and the case was terminated on May 6, 2011. Pursuant to the Class Action Settlement, plaintiffs received total consideration of approximately $39.6 million, comprised of $27.0 million in cash which was funded in its entirety by our insurers and the issuance by the Company of 474,547 shares of our common stock with a fair value of $13.7 million on June 6, 2011, the date of issuance. The total amount of insurance coverage under the related policy was $35.0 million and the insurers had previously paid out approximately $8.0 million in claims prior to the final $27.0 million cash payment. The settlement contained no admission of wrongdoing.</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also was named as a nominal defendant in two state derivative suits filed in connection with the Company’s restatement: (1) a complaint in the matter of Curtis Peters, derivatively on behalf of Huron Consulting Group Inc. v. Gary E. Holdren, Gary L. Burge, Wayne Lipski, each of the members of the Board of Directors and PricewaterhouseCoopers LLP, filed on August 28, 2009; and (2) a complaint in the matter of Brian Hacias, derivatively on behalf of Huron Consulting Group Inc. v. Gary E. Holdren, Gary L. Burge and Wayne Lipski, filed on August 28, 2009. The cases were consolidated in the Circuit Court of Cook County, Illinois, Chancery Division on September 21, 2009 under the caption “In Re Huron Consulting Group, Inc. Shareholder Derivative Litigation.” On March 8, 2010, plaintiffs filed a consolidated complaint. The consolidated complaint asserted claims for breach of fiduciary duty, unjust enrichment, abuse of control, gross mismanagement and waste of corporate assets. The consolidated complaint also alleged claims for professional negligence and breach of contract against PricewaterhouseCoopers LLP, the Company’s independent auditors. Plaintiffs sought to recoup for the Company unspecified damages allegedly sustained by the Company resulting from the restatement and related matters, disgorgement and reimbursement for fees and expenses incurred in connection with the suits, including attorneys’ fees. Huron filed a motion to dismiss plaintiffs’ consolidated complaint on April 22, 2010. On October 25, 2010, the Court granted Huron’s motion to dismiss and dismissed plaintiffs’ consolidated complaint with prejudice. Plaintiffs appealed the dismissal, and, on March 27, 2012, the Appellate Court of Illinois affirmed the Circuit Court’s decision. Plaintiffs have until May 1, 2012 to file a notice of appeal.</w:t>
      </w:r>
    </w:p>
    <w:p>
      <w:pPr>
        <w:spacing w:after="0" w:line="12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was also named as a nominal defendant in three federal derivative suits filed in connection with the Company’s restatement, which were consolidated in the United States District Court for the Northern District of Illinois on November 23, 2009 and dismissed with prejudice on March 22, 2011. Plaintiffs did not appeal the Court’s dismissal.</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SEC is conducting an investigation with respect to the restatement. In addition, as often happens in these circumstances, shortly after the filing of our restated financial statements, the United States Attorney’s Office (“USAO”) for the Northern District of Illinois contacted our counsel and made a telephonic request for copies of certain documents that we previously provided to the SEC, which we then voluntarily provided to the USAO. We have been cooperating fully with the investigation and are currently engaged in discussions with the SEC about a potential settlement. In the fourth quarter of 2011, we recorded a charge of $1.0 million with respect to this matter. While an agreement has not been reached with the SEC, the Company believes that any resolution would include monetary penalties and other relief within the SEC’s authority. There can be no assurance that we will be able to reach a settlement with the SEC or that the amount of monetary penalties agreed in any settlement will not exceed the accrued amount, perhaps materially. We also cannot provide assurance with respect to the other terms and conditions of any potential settlement.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Certain of our former employees have received “Wells notices” from the SEC staff in connection with the matters underlying the restatement. Wells notices typically indicate that the staff is considering recommending that the SEC bring a civil enforcement action. Under the SEC’s procedures, a recipient of a Wells notice has an opportunity to respond in the form of a written submission that seeks to persuade the SEC that such an action should not be brought. Each of the former employees has advised the Company that they have made such a submission. We are obligated to indemnify the former employees for their defense costs in connection with responding to the Wells notices and in connection with the defense of civil enforcement actions, if any, brought by the SEC against them, subject to certain limitations. We expect that our indemnity obligations to the recipients will be material in the first half of 2012 and may be material until resolution of the restatement matters.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final payment by the insurance carriers, we will not receive any further contributions from our insurance carriers for the reimbursement of any amounts (including any damages, settlement costs, legal fees or indemnity obligations) with respect to the SEC investigation into the restatement and the USAO’s request for certain documents (collectively, the “remaining restatement matters”). For the three months ended March 31, 2012 and 2011, expenses incurred in connection with the restatement totaled $1.5 million and $1.2 million, respectively, and were primarily comprised of legal fees and indemnification obligations for legal fees. All legal fees are expensed as incurred.</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Given the uncertain nature of the remaining restatement matters, and the uncertainties related to the incurrence and amount of loss, including with respect to the imposition of fines, penalties, damages, administrative remedies and liabilities for additional amounts, with respect to the remaining restatement matters, we are unable to predict the ultimate outcome of the remaining restatement matters or make a reasonable estimate of the liability in excess of the existing accrual that could result from an unfavorable outcome in the remaining restatement matters. Any such liability could be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relator filed a second amended complaint alleging that Huron and others caused St. Vincent Catholic Medical Center to receive more than $30 million in inflated outlier payments under the Medicare and Medicaid programs in violation of the federal and state FCA and is also seeking to recover an unspecified amount of civil penalties. On June 20, 2011, Huron filed a motion to dismiss under the FCA public disclosure jurisdictional bar, contending that relator’s action is barred because it is based upon publicly disclosed information and relator cannot qualify as an original source. On February 16, 2012, the Court denied the motion. The suit is in the pretrial stage and no trial date has been set. We believe that the claims are without merit and intend to vigorously defend ourselves in this matter.</w:t>
      </w:r>
    </w:p>
    <w:p>
      <w:pPr>
        <w:spacing w:after="0" w:line="12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Guarantees in the form of letters of credit totaling $4.1 million and $4.0 million were outstanding at March 31, 2012 and December 31, 2011, respectively, to support certain office lease obligations as well as Middle East performance and bid bonds.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certain business acquisitions, we were required to pay additional purchase consideration to the sellers if specific performance targets and conditions were met over a number of years as specified in the related purchase agreements. These amounts were calculated and payable at the end of each year based on full year financial results. Additional purchase consideration earned by certain sellers totaled $32.2 million for the year ended December 31, 2011, of which $0.9 million remains payable as of March 31, 2012. After payment of this amount in the second quarter of 2012, we have no further obligations under these arrangements.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 However, we will not receive any further contributions from our insurance carriers for the reimbursement of legal fees expended on the finalization of the Class Action Settlement or any amounts (including any damages, settlement costs or legal fees) with respect to the remaining restatement matters.</w:t>
      </w:r>
    </w:p>
    <w:p>
      <w:pPr>
        <w:spacing w:after="0" w:line="2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Segments are defined by FASB ASC Topic 280, “Segment Reporting,” as components of a company in which separate financial information is available and is evaluated regularly by the chief operating decision maker, or decision-making group, in deciding how to allocate resources and in assessing performance. Our chief operating decision maker manages the business under three operating segments: Health and Education Consulting, Legal Consulting, and Financial Consulting.</w:t>
      </w:r>
    </w:p>
    <w:p>
      <w:pPr>
        <w:spacing w:after="0" w:line="56" w:lineRule="exact"/>
        <w:rPr>
          <w:sz w:val="20"/>
          <w:szCs w:val="20"/>
          <w:color w:val="auto"/>
        </w:rPr>
      </w:pPr>
    </w:p>
    <w:p>
      <w:pPr>
        <w:ind w:left="900" w:right="260" w:hanging="325"/>
        <w:spacing w:after="0" w:line="29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Health and Education Consulting. </w:t>
      </w:r>
      <w:r>
        <w:rPr>
          <w:rFonts w:ascii="Arial" w:cs="Arial" w:eastAsia="Arial" w:hAnsi="Arial"/>
          <w:sz w:val="16"/>
          <w:szCs w:val="16"/>
          <w:color w:val="auto"/>
        </w:rPr>
        <w:t>Our Health and Education Consulting segment provides consulting services to hospitals, health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physicians, managed care organizations, academic medical centers, colleges, universities, and pharmaceutical and medical device manufacturers. This segment’s professionals develop and implement solutions to help clients address challenges relating to financial management, strategy, operational and organizational effectiveness, research administration, and regulatory compliance. This segment also provides consulting services related to hospital or healthcare organization performance improvement, revenue cycle improvement, turnarounds, merger or affiliation strategies, labor productivity, non-labor cost management, information technology, patient flow improvement, physician practice management, interim management, clinical quality and medical management, and governance and board development.</w:t>
      </w:r>
    </w:p>
    <w:p>
      <w:pPr>
        <w:spacing w:after="0" w:line="32" w:lineRule="exact"/>
        <w:rPr>
          <w:rFonts w:ascii="Arial" w:cs="Arial" w:eastAsia="Arial" w:hAnsi="Arial"/>
          <w:sz w:val="16"/>
          <w:szCs w:val="16"/>
          <w:color w:val="auto"/>
        </w:rPr>
      </w:pPr>
    </w:p>
    <w:p>
      <w:pPr>
        <w:ind w:left="900" w:right="100" w:hanging="325"/>
        <w:spacing w:after="0" w:line="293"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Legal Consulting. </w:t>
      </w:r>
      <w:r>
        <w:rPr>
          <w:rFonts w:ascii="Arial" w:cs="Arial" w:eastAsia="Arial" w:hAnsi="Arial"/>
          <w:sz w:val="16"/>
          <w:szCs w:val="16"/>
          <w:color w:val="auto"/>
        </w:rPr>
        <w:t>Our Legal Consulting segment provides advisory and business services to assist law departments of major corporations and law</w:t>
      </w:r>
      <w:r>
        <w:rPr>
          <w:rFonts w:ascii="Arial" w:cs="Arial" w:eastAsia="Arial" w:hAnsi="Arial"/>
          <w:sz w:val="16"/>
          <w:szCs w:val="16"/>
          <w:b w:val="1"/>
          <w:bCs w:val="1"/>
          <w:color w:val="auto"/>
        </w:rPr>
        <w:t xml:space="preserve"> </w:t>
      </w:r>
      <w:r>
        <w:rPr>
          <w:rFonts w:ascii="Arial" w:cs="Arial" w:eastAsia="Arial" w:hAnsi="Arial"/>
          <w:sz w:val="16"/>
          <w:szCs w:val="16"/>
          <w:color w:val="auto"/>
        </w:rPr>
        <w:t>firms with their strategy, organizational design and development, operational efficiency, and cost effectiveness. These results-driven services add value to organizations by helping reduce the amounts they spend on legal services and enhance client service. Our expertise focuses on strategic and management consulting, cost management, and technology and information management including matter management, records management, document review and discovery services. Included in this segment’s offerings is our V3locity</w:t>
      </w:r>
      <w:r>
        <w:rPr>
          <w:rFonts w:ascii="Arial" w:cs="Arial" w:eastAsia="Arial" w:hAnsi="Arial"/>
          <w:sz w:val="10"/>
          <w:szCs w:val="10"/>
          <w:color w:val="auto"/>
        </w:rPr>
        <w:t>®</w:t>
      </w:r>
      <w:r>
        <w:rPr>
          <w:rFonts w:ascii="Arial" w:cs="Arial" w:eastAsia="Arial" w:hAnsi="Arial"/>
          <w:sz w:val="16"/>
          <w:szCs w:val="16"/>
          <w:color w:val="auto"/>
        </w:rPr>
        <w:t xml:space="preserve"> solution, which delivers a streamlined e-discovery process resulting in more affordable and predictable discovery costs.</w:t>
      </w:r>
    </w:p>
    <w:p>
      <w:pPr>
        <w:spacing w:after="0" w:line="29" w:lineRule="exact"/>
        <w:rPr>
          <w:rFonts w:ascii="Arial" w:cs="Arial" w:eastAsia="Arial" w:hAnsi="Arial"/>
          <w:sz w:val="16"/>
          <w:szCs w:val="16"/>
          <w:color w:val="auto"/>
        </w:rPr>
      </w:pPr>
    </w:p>
    <w:p>
      <w:pPr>
        <w:ind w:left="900" w:right="200" w:hanging="325"/>
        <w:spacing w:after="0" w:line="290"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Financial Consulting. </w:t>
      </w:r>
      <w:r>
        <w:rPr>
          <w:rFonts w:ascii="Arial" w:cs="Arial" w:eastAsia="Arial" w:hAnsi="Arial"/>
          <w:sz w:val="16"/>
          <w:szCs w:val="16"/>
          <w:color w:val="auto"/>
        </w:rPr>
        <w:t>Our Financial Consulting segment provides financial advisory, interim management and operational consulting services to</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including companies in transition, creditor constituencies, and other stakeholders in connection with out-of-court restructurings and bankruptcy proceedings. For companies in financial distress, we work with management to assess the viability of their business, to develop and implement a turnaround plan to improve cash flow, and to implement a debt-restructuring plan to improve the balance sheet. In some instances, we serve in interim management roles. When out-of-court solutions are not achievable, we assist clients in preparing for Chapter 11 bankruptcy filings and with all aspects of the bankruptcy process by gathering, analyzing, and presenting financial and business information needed to achieve successful reorganizations. We also provide claims management services to help companies process and analyze complex and voluminous claims filed in bankruptcies and related litigation matters. We have an array of services that are flexible and responsive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event- and transaction-based needs across industries.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board of directors members.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From time to time, we will reorganize our internal organizational structure to better align our service offerings. During the first quarter of 2012, we moved our healthcare valuation consulting practice from our Health and Education Consulting segment to our Financial Consulting segment. Previously reported segment information has been restated to reflect this move.</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2012 and 2011, along with the items necessary to reconcile the segment information to the totals reported in the accompanying Consolidated Financial Statements.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Health and Education Consulting:</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91,405</w:t>
            </w:r>
          </w:p>
        </w:tc>
        <w:tc>
          <w:tcPr>
            <w:tcW w:w="6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89,658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21,497</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Legal Consulting:</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41,383</w:t>
            </w:r>
          </w:p>
        </w:tc>
        <w:tc>
          <w:tcPr>
            <w:tcW w:w="6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37,317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Consulting:</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1"/>
                <w:szCs w:val="11"/>
                <w:color w:val="auto"/>
              </w:rPr>
              <w:t>(1)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5,849</w:t>
            </w:r>
          </w:p>
        </w:tc>
        <w:tc>
          <w:tcPr>
            <w:tcW w:w="6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9,646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138,637</w:t>
            </w:r>
          </w:p>
        </w:tc>
        <w:tc>
          <w:tcPr>
            <w:tcW w:w="6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136,621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200" w:type="dxa"/>
            <w:vAlign w:val="bottom"/>
            <w:shd w:val="clear" w:color="auto" w:fill="CCEEFF"/>
          </w:tcPr>
          <w:p>
            <w:pPr>
              <w:spacing w:after="0"/>
              <w:rPr>
                <w:sz w:val="18"/>
                <w:szCs w:val="18"/>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Total revenues and reimbursable expenses</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152,433</w:t>
            </w:r>
          </w:p>
        </w:tc>
        <w:tc>
          <w:tcPr>
            <w:tcW w:w="6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148,545</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31,241</w:t>
            </w:r>
          </w:p>
        </w:tc>
        <w:tc>
          <w:tcPr>
            <w:tcW w:w="6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38,456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Other selling, general and administrative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22,951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23,395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1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2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Consulting segment revenues for the three months ended March 31, 2012 and 2011 include $1.3 million and $1.4 million, respectively, related to our healthcare valuation consulting practice.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March 31, 2012, one client in our Legal Consulting segment accounted for 10.1% of the Company’s combined receivables and unbilled services balances. At December 31, 2011, no single client accounted for greater than 10% of our combined receivables and unbilled services balances. Furthermore, no single client generated greater than 10% of our consolidated revenues during the three months ended March 31, 2012 and 2011.</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Quarterly Report on Form 10-Q, including the information incorporated by reference herein,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“meets,” “could,” “intends,” “might,” “predicts,” “seeks,” “would,” “believes,” “estimates” or “continues.” Risks, uncertainties and assumptions that could impact the Company’s forward-looking statements relate, among other things, to (i) the restatement, (ii) the Securities and Exchange Commission investigation with respect to the restatement and the related purported derivative lawsuit, and (iii) the request by the United States Attorney’s Office for the Northern District of Illinois for certain documents. In addition, these forward-looking statements reflect our current expectation about our future requirements and needs, results, levels of activity, performance, or achievements, including, without limitation, that our business continues to grow at the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2011 that may cause actual results, levels of activity, performance or achievements to be materially different from any anticipated results, levels of activity, performance or achievements expressed or implied by these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complex data, and stimulate growth. We team with our clients to deliver sustainable and measurable results. Our professionals employ their expertise in healthcare administration, finance and operations to provide our clients with specialized analyses and customized advice and solutions that are tailored to address each client’s particular challenges and opportunities. 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services through three operating segments: Health and Education Consulting, Legal Consulting and Financial Consulting.</w:t>
      </w:r>
    </w:p>
    <w:p>
      <w:pPr>
        <w:spacing w:after="0" w:line="8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Health and Education Consulting</w:t>
      </w:r>
    </w:p>
    <w:p>
      <w:pPr>
        <w:spacing w:after="0" w:line="96"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Our Health and Education Consulting segment provides consulting services to hospitals, health systems, physicians, managed care organizations, academic medical centers, colleges, universities, and pharmaceutical and medical device manufacturers. This segment’s professionals develop and implement solutions to help clients address challenges relating to financial management, strategy, operational and organizational effectiveness, research administration, and regulatory compliance. This segment also provides consulting services related to hospital or healthcare organization performance improvement, revenue cycle improvement, turnarounds, merger or affiliation strategies, labor productivity, non-labor cost management, information technology, patient flow improvement, physician practice management, interim management, clinical quality and medical management, and governance and board development.</w:t>
      </w:r>
    </w:p>
    <w:p>
      <w:pPr>
        <w:spacing w:after="0" w:line="3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Legal Consulting</w:t>
      </w:r>
    </w:p>
    <w:p>
      <w:pPr>
        <w:spacing w:after="0" w:line="96" w:lineRule="exact"/>
        <w:rPr>
          <w:sz w:val="20"/>
          <w:szCs w:val="20"/>
          <w:color w:val="auto"/>
        </w:rPr>
      </w:pPr>
    </w:p>
    <w:p>
      <w:pPr>
        <w:ind w:left="920" w:right="220"/>
        <w:spacing w:after="0" w:line="291" w:lineRule="auto"/>
        <w:rPr>
          <w:sz w:val="20"/>
          <w:szCs w:val="20"/>
          <w:color w:val="auto"/>
        </w:rPr>
      </w:pPr>
      <w:r>
        <w:rPr>
          <w:rFonts w:ascii="Arial" w:cs="Arial" w:eastAsia="Arial" w:hAnsi="Arial"/>
          <w:sz w:val="16"/>
          <w:szCs w:val="16"/>
          <w:color w:val="auto"/>
        </w:rPr>
        <w:t>Our Legal Consulting segment provides advisory and business services to assist law departments of major corporations and law firms with their strategy, organizational design and development, operational efficiency, and cost effectiveness. These results-driven services add value to organizations by helping reduce the amounts they spend on legal services and enhance client service. Our expertise focuses on strategic and management consulting, cost management, and technology and information management including matter management, records management, document review and discovery services. Included in this segment’s offerings is our V3locity® solution, which delivers a streamlined e-discovery process resulting in more affordable and predictable discovery costs.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Financial Consulting</w:t>
      </w:r>
    </w:p>
    <w:p>
      <w:pPr>
        <w:spacing w:after="0" w:line="9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Our Financial Consulting segment provides financial advisory, interim management and operational consulting services to companies including companies in transition, creditor constituencies, and other stakeholders in connection with out-of-court restructurings and bankruptcy proceedings. For companies in financial distress, we work with management to assess the viability of their business, to develop and implement a turnaround plan to improve cash flow, and to implement a debt-restructuring plan to improve the balance sheet. In some instances, we serve in interim management roles. When out-of-court solutions are not achievable, we assist clients in preparing for Chapter 11 bankruptcy filings and with all aspects of the bankruptcy process by gathering, analyzing, and presenting financial and business information needed to achieve successful reorganizations. We also provide claims management services to help companies process and analyze complex and voluminous claims filed in bankruptcies and related litigation matters. We have an array of services that are flexible and responsive to event- and transaction-based needs across industries.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board of directors members.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consisting of specialized finance and operational consultants and contract reviewers, all of whom work variable schedules as needed by our clients. Other professionals also include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From time to time, our full-time consultants may provide software support and maintenance or document review and electronic data discovery services based on demand for such services and the availability of our full-time consultants. We refer to our full-time consultants and other professionals collectively as revenue-generating professionals.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4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generate the majority of our revenues from providing professional services under three types of billing arrangements: time-and-expense, fixed-fee, and performance-based.</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46.7% and 45.1% of our revenues in the three months ended March 31, 2012 and 2011, respectively.</w:t>
      </w:r>
    </w:p>
    <w:p>
      <w:pPr>
        <w:spacing w:after="0" w:line="143"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recognize revenues under fixed-fee billing arrangements using a proportionate performance approach, which is based on our estimates of work completed to-date versus the total services to be provided under the engagement. For the quarters ended March 31, 2012 and 2011, fixed-fee engagements represented approximately 38.5% and 42.0%, respectively, of our revenues.</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11.2% and 10.2% of our revenues in the first quarters of 2012 and 2011, respectively. Performance-based fee engagements may cause significant variations in quarterly revenues and operating results depending on the timing of achievement of the performance-based criteria.</w:t>
      </w:r>
    </w:p>
    <w:p>
      <w:pPr>
        <w:spacing w:after="0" w:line="14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also generate revenues from licensing two types of proprietary software to clients. License revenue from our research administration and compliance software is recognized in accordance with FASB ASC Topic 985-605, generally in the month in which the software is delivered. License revenue from our revenue cycle management software is sold only as a component of our consulting projects and the services we provide are essential to the functionality of the software. Therefore, revenues from these software licenses are recognized over the term of the related consulting services contract in accordance with FASB ASC Topic 605-35. 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3.6% and 2.7% of our revenues in the first quarters of 2012 and 2011, respectively.</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quarterly results are impacted principally by our full-time consultants’ utilization rate, the number of business days in each quarter and the number of our revenue-generating professionals who are available to work. Our utilization rate can be negatively affected by increased hiring because there is generally a transition period for new professionals that results in a temporary drop in our utilization rate. The number of business work days is also affected by the number of vacation days taken by our consultants and holidays in each quarter. Our utilization rate can also be affected by seasonal variations in the demand for our services from our clients.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have entered into select acquisitions of complementary businesses and continue to hire highly qualified professionals.</w:t>
      </w:r>
    </w:p>
    <w:p>
      <w:pPr>
        <w:spacing w:after="0" w:line="140"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the new managing director compensation plan implemented in 2010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The launch of our Huron Legal, Huron Healthcare, Huron Education and Huron Life Sciences brand identities during the first half of 2011 was a major step in clearly articulating the benefits we offer our clients. We will continue to focus on reaching our client base through clear, concise, endorsed messages.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four accounting policies that could be considered critical. These critical accounting policies relate to revenue recognition, allowances for doubtful accounts and unbilled services, carrying values of goodwill and other intangible assets, and valuation of net deferred tax assets. For a detailed discussion of these critical accounting policies, see “Item 7. Management’s Discussion and Analysis of Financial Condition and Results of Operations – Critical Accounting Policies” in our Annual Report on Form 10-K for the year ended December 31, 2011. There have been no material changes to our critical accounting policies during the first quarter of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 See Note 4 “Discontinued Operations” of this Quarterly Report for information related to our discontinued operations.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Segment and Consolidated Operating Results (in thousands):</w:t>
            </w:r>
          </w:p>
        </w:tc>
        <w:tc>
          <w:tcPr>
            <w:tcW w:w="1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91,405</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41,383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gridSpan w:val="3"/>
          </w:tcPr>
          <w:p>
            <w:pPr>
              <w:ind w:left="420"/>
              <w:spacing w:after="0"/>
              <w:rPr>
                <w:sz w:val="20"/>
                <w:szCs w:val="20"/>
                <w:color w:val="auto"/>
              </w:rPr>
            </w:pPr>
            <w:r>
              <w:rPr>
                <w:rFonts w:ascii="Arial" w:cs="Arial" w:eastAsia="Arial" w:hAnsi="Arial"/>
                <w:sz w:val="18"/>
                <w:szCs w:val="18"/>
                <w:color w:val="auto"/>
              </w:rPr>
              <w:t>Total revenues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138,637</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136,621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reimbursable expenses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13,796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gridSpan w:val="4"/>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152,433</w:t>
            </w:r>
          </w:p>
        </w:tc>
        <w:tc>
          <w:tcPr>
            <w:tcW w:w="6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148,545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r>
              <w:rPr>
                <w:rFonts w:ascii="Arial" w:cs="Arial" w:eastAsia="Arial" w:hAnsi="Arial"/>
                <w:sz w:val="11"/>
                <w:szCs w:val="11"/>
                <w:color w:val="auto"/>
              </w:rPr>
              <w:t>(1)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21,497</w:t>
            </w:r>
          </w:p>
        </w:tc>
        <w:tc>
          <w:tcPr>
            <w:tcW w:w="6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25,891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segment operating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31,241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Operating expenses not allocated to segments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27,604</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Other Operating Data:</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60" w:type="dxa"/>
            <w:vAlign w:val="bottom"/>
            <w:gridSpan w:val="4"/>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1,253</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77.6%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363"/>
        </w:trPr>
        <w:tc>
          <w:tcPr>
            <w:tcW w:w="458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Other Operating Data (Continued):</w:t>
            </w:r>
          </w:p>
        </w:tc>
        <w:tc>
          <w:tcPr>
            <w:tcW w:w="30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1,013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4"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Reflects the reclassification of our healthcare valuation consulting practice from our Health and Education Consulting segment to our Financial Consulting segment in conjunction with an internal reorganization. Financial Consulting segment revenues for the three months ended March 31, 2012 and 2011 include $1.3 million and $1.4 million, respectively, related to our healthcare valuation consulting practice.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right="6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contract reviewers and other professionals who generate revenues primarily based on number of hours worked and units produced, such as pages reviewed and data processed. Also includes full-time employees who provide software support and maintenance services to our clients.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also assess our results of operations using certain non-GAAP financial measures. These non-GAAP financial measures differ from GAAP because the non-GAAP financial measures we calculate to measure adjusted EBITDA, adjusted net income from continuing operations and adjusted diluted earnings per share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(a) in understanding and evaluating Huron’s current operating performance and future prospects in the same manner as management does, (b) in comparing in a consistent manner Huron’s current financial results with Huron’s past financial results and (c) in understanding the Company’s ability to generate cash flows from operations that are available for taxes, capital expenditures, and debt repayment.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non-GAAP financial measures from GAAP to non-GAAP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138,637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136,621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587</w:t>
            </w:r>
          </w:p>
        </w:tc>
        <w:tc>
          <w:tcPr>
            <w:tcW w:w="6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3,474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Earnings before interest, taxes, depreciation and amortization (EBITDA)</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Add back: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Restatement related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net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11,767</w:t>
            </w:r>
          </w:p>
        </w:tc>
        <w:tc>
          <w:tcPr>
            <w:tcW w:w="6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22,164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Add back: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Restatement related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Litigation settlement,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effect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(1,582)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40" w:type="dxa"/>
            <w:vAlign w:val="bottom"/>
          </w:tcPr>
          <w:p>
            <w:pPr>
              <w:ind w:left="840"/>
              <w:spacing w:after="0"/>
              <w:rPr>
                <w:sz w:val="20"/>
                <w:szCs w:val="20"/>
                <w:color w:val="auto"/>
              </w:rPr>
            </w:pPr>
            <w:r>
              <w:rPr>
                <w:rFonts w:ascii="Arial" w:cs="Arial" w:eastAsia="Arial" w:hAnsi="Arial"/>
                <w:sz w:val="18"/>
                <w:szCs w:val="18"/>
                <w:color w:val="auto"/>
              </w:rPr>
              <w:t>Total adjustments, net of tax</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6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Restatement related expenses: </w:t>
      </w:r>
      <w:r>
        <w:rPr>
          <w:rFonts w:ascii="Arial" w:cs="Arial" w:eastAsia="Arial" w:hAnsi="Arial"/>
          <w:sz w:val="18"/>
          <w:szCs w:val="18"/>
          <w:color w:val="auto"/>
        </w:rPr>
        <w:t>We have incurred significant expenses related to our 2009 financial statement restatement. We have excluded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restatement related expenses from our non-GAAP measures due to the nonrecurring nature of the underlying event as a means to provide comparability with periods that were not impacted by the restatement related expenses.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the restructuring of various parts of our business. These restructuring charges have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severance charges and office space reductions, including the accelerated depreciation of certain leasehold improvements. We have excluded the effect of the restructuring charges from our non-GAAP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Litigation settlements: </w:t>
      </w:r>
      <w:r>
        <w:rPr>
          <w:rFonts w:ascii="Arial" w:cs="Arial" w:eastAsia="Arial" w:hAnsi="Arial"/>
          <w:sz w:val="18"/>
          <w:szCs w:val="18"/>
          <w:color w:val="auto"/>
        </w:rPr>
        <w:t>We have excluded the effect of the litigation settlement in 2011 from our non-GAAP measures because its exclusion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comparability with periods that were not impacted by this 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We have excluded the effect of amortization of intangible assets from the non-GAAP measures presented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is inconsistent in its amount and frequency and is significantly affected by the timing and size of our acquisitions.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depreciation and amortization in the calculation of EBITDA as these are customary exclusions as defined by the calculation of EBITDA to arrive at meaningful earnings from core operations excluding the effect of such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 Compared to Three Months Ended March 31,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$2.0 million, or 1.5%, to $138.6 million for the first quarter of 2012 from $136.6 million for the first quarter of 2011.</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Of the overall $2.0 million increase in revenues, $1.8 million was generated by our full-time billable consultants, while $0.2 million was attributable to our full-time equivalents. The increase in full-time billable consultant revenues was driven by a 12% increase in the average number of full-time billable consultants, partially offset by decreases in consultant utilization and average billing rates. The increase in revenue attributable to our full-time billable consultants was the result of an increase in demand for services in our Health and Education Consulting and Legal Consulting segments, partially offset by a decrease in demand for our Financial Consulting segment services. The increase in full-time equivalent revenue was primarily attributable to an increase in the average number of full-time equivalents, partially offset by a decrease in revenue per full-time equivalent. Revenue attributable to full-time equivalents primarily reflected an increase in demand for our document review and electronic data discovery services in the Legal Consulting segment, partially offset by decreased use of contractors in our Health and Education Consulting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Our total direct costs increased $8.4 million, or 9.4%, to $97.9 million in the three months ended March 31, 2012 from $89.5 million in the three months ended March 31, 2011. The increase was primarily related to a $9.7 million increase in salaries, bonuses and related expenses for our revenue-generating professionals and a $1.2 million increase in technology expense, partially offset by a $2.7 million decrease in contractor expense.</w:t>
      </w:r>
    </w:p>
    <w:p>
      <w:pPr>
        <w:spacing w:after="0" w:line="107"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Total direct costs for the three months ended March 31, 2012 included $3.8 million of share-based compensation expense and $1.2 million of intangible asset amortization expense, primarily representing customer-related assets and software. Total direct costs for the three months ended March 31, 2011 included $3.6 million of share-based compensation expense and $1.4 million of intangible asset amortization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Selling, general and administrative expenses increased $0.5 million, or 1.7%, to $30.1 million in the first quarter of 2012 from $29.6 million in the first quarter of 2011. This increase was primarily related to a $0.5 million increase in legal expenses, a $0.4 million increase in professional services expenses, a $0.4 million increase in training expenses and a $0.3 million increase in salaries, bonus and related expenses for our non-revenue-generating professionals. These increases were partially offset by a $0.7 million decrease in facilities expenses and a $0.5 million decrease in promotion and sponsorship 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2012, we recorded $0.8 million in restructuring expense, primarily consisting of accelerated depreciation on leasehold improvements at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New York office location, which we plan to relocate during the second half of 2012. See Note 8 “Restructuring Charges” for further discussion of this charge.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 was $0.5 million in the first quarter of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Expenses incurred in connection with our 2009 restatement increased by $0.3 million to $1.5 million in the first quarter of 2012 from $1.2 million in the first quarter of 2011. These expenses primarily consist of legal fees in both periods. For additional information about the restatement, see “Legal Proceedings” and Note 13 “Commitments, Contingencies and Guarantees.”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Depreciation and amortization expense increased by $0.4 million to $4.6 million in the three months ended March 31, 2012 from $4.2 million in the three months ended March 31, 2011. This increase was primarily attributable to an increase in depreciation expense for certain internal use software for which we decreased our estimate of the expected useful life during 2011. This internal use software is fully depreciated as of March 31, 2012. Non-direct intangible asset amortization relates to customer relationships, non-competition agreements and trade names acquired in connection with our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Operating income decreased $7.2 million, or 67%, to $3.6 million in the first quarter of 2012 from $10.8 million in the first quarter of 2011. Operating margin, which is defined as operating income expressed as a percentage of revenues, decreased to 2.6% in the three months ended March 31, 2012 compared to 7.9% in the three months ended March 31, 2011. This decrease is primarily attributable to the increase in salaries, bonuses and related expenses for our revenue-generating professionals, as discussed above.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Other expense decreased by $2.0 million to $1.5 million in the first quarter of 2012 from $3.5 million in the first quarter of 2011. The decrease in expense was primarily attributable to a $1.7 million, or 48%, decrease in interest expense. The decrease in interest expense was the result of lower borrowing levels during the first quarter of 2012 when compared to the first quarter of 2011 and a decrease in our effective interest rate. The remaining decrease in other expense was the result of an increase in the performance of the investments that are used to fund our deferred compensation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first quarter of 2012, we recognized income tax expense from continuing operations of $1.5 million on income from continuing operations of $2.1 million. For the first quarter of 2011, we recognized income tax expense from continuing operations of $3.9 million on income from continuing operations of $7.3 million. Our effective income tax rate increased to 72.1% in the first quarter of 2012 from 52.7% in the first quarter of 2011. The effective rates for both periods were higher than the statutory rate, inclusive of state income taxes, due primarily to the impact of foreign losses with no tax benefit and certain non-deductible expenses. The impact of these items on the effective rate was higher in the first quarter of 2012 due to the lower pre-tax income level when compared to the same period last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income from continuing operations was $0.6 million for the three months ended March 31, 2012 compared to net income from continuing operations of $3.5 million for the same period last year. The decrease in net income from continuing operations was primarily due to the decrease in operating income, as discussed above, and the increase in our effective tax rate, partially offset by a decrease in other expense, net. As a result of the decrease in net income from continuing operations, diluted earnings per share from continuing operations for the first quarter of 2012 was $0.03 compared to diluted earnings per share from continuing operations of $0.16 for the first quarter of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Net income from discontinued operations was $0.3 million in the first quarter of 2012, compared to a net income from discontinued operations of $0.6 million in the first quarter of 2011. See Note 4 “Discontinued Operations” of this Quarterly Report for further information about our discontinued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Education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Health and Education Consulting segment revenues increased $1.7 million, or 1.9%, to $91.4 million for the first quarter of 2012 from $89.7 million for the first quarter of 2011. Revenues from time-and-expense engagements, fixed-fee engagements, performance-based arrangements and software support and maintenance arrangements represented 22.9%, 54.6%, 17.0% and 5.5% of this segment’s revenues during the three months ended March 31, 2012, respectively, compared to 22.7%, 57.8%, 15.4% and 4.1%, respectively, for the comparable period in 2011.</w:t>
      </w:r>
    </w:p>
    <w:p>
      <w:pPr>
        <w:spacing w:after="0" w:line="11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Of the overall $1.7 million increase in revenues, $3.1 million was attributable to our full-time billable consultants, partially offset by a decrease of $1.4 million related to our full-time equivalents. The overall increase in revenues reflected an increase in the overall demand for our services. The average number of full-time billable consultants increased by 15.9% to 1,069 during the first quarter of 2012 compared to 922 during the first quarter of 2011. The increase in revenue attributable to the increase in full-time billable consultants was partially offset by decreases in consultant utilization and average billing rates. Performance-based revenues increased $1.7 million to $15.5 million during the first quarter of 2012 from $13.8 million during the first quarter of 2011. Performance-based fee engagements may cause significant variations in quarterly revenues, operating results and average billing rates due to the timing of achieving the performance-based criteria.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Health and Education Consulting segment operating income decreased $4.4 million, or 17.0%, to $21.5 million in the three months ended March 31, 2012 from $25.9 million in the three months ended March 31, 2011. The Health and Education Consulting segment operating margin, defined as segment operating income expressed as a percentage of segment revenues, decreased to 23.5% for the first quarter of 2012 from 28.9% in the same period last year. The decrease in this segment’s operating margin was primarily attributable to an increase in salaries, bonus and related expenses for both our revenue-generating professionals and our support personnel as a percentage of revenues, partially offset by a decrease in contractor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Legal Consulting segment revenues increased $4.1 million, or 11.0%, to $41.4 million for the first quarter of 2012 from $37.3 million for the first quarter of 2011.</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Revenues from time-and-expense engagements and fixed-fee engagements represented 95.6% and 4.4% of this segment’s revenues during the three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March 31, 2012, respectively, compared to 90.2% and 9.8%, respectively, for the comparable period in 2011.</w:t>
      </w:r>
    </w:p>
    <w:p>
      <w:pPr>
        <w:spacing w:after="0" w:line="16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Of the overall $4.1 million increase in revenues, $2.8 million was attributable to our full-time billable consultants and $1.3 million was attributable to our full-time equivalents. The increase in revenues reflected both an increase in demand for our advisory services as well as an increase in demand for our document review and electronic data discovery services. The increase in full-time billable consultant revenue reflected higher consultant utilization, partially offset by a decrease in our average number of consultants and our average billing rate. The increase in revenue attributable to our full-time equivalents was driven by an increase in the average number of full-time equivalents as well as a slight increase in the average revenue per full-time equivalent.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Legal Consulting segment operating income decreased slightly by $0.1 million, or less than 1%, to $9.5 million in the three months ended March 31, 2012 from $9.6 million in the three months ended March 31, 2011. Segment operating margin decreased to 23.0% for the first quarter of 2012 from 25.7% in the same period last year. The decrease in this segment’s operating margin was attributable to higher salaries, bonuses and related expenses for our revenue-generating professionals, technology expense and facilities expenses for our document review centers as a percentage of segment revenues. These increases were partially offset by a decrease in contractor expense.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Financial Consulting segment revenues decreased $3.8 million, or 39.6%, to $5.8 million for the first quarter of 2012 from $9.6 million for the first quarter of 2011. Revenues from time-and-expense engagements and fixed-fee engagements represented 72.4% and 27.6% of this segment’s revenues during the first quarter of 2012, respectively. For the first quarter of 2011, time-and-expense engagements, fixed-fee engagements, and performance-based arrangements represented 79.1%, 20.3%, and 0.6% of this segment’s revenues, respectively.</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the overall $3.8 million decrease in revenues, $4.1 million was attributable to a decrease in revenues from our full-time billable consultants, partially offset by an increase of $0.3 million related to our full-time equivalents. The overall decrease in revenues reflects lower consultant utilization and average billing rates during the quarter as the result of lower demand for our restructuring and turnaround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Financial Consulting segment operating income decreased by $2.8 million to $0.2 million in the three months ended March 31, 2012 compared to $3.0 million in the three months ended March 31, 2011. Segment operating margin decreased to 4.0% for the first quarter of 2012 from 30.8% in the same period last year. This segment’s operating margin decreased primarily due to increased salaries and related expenses for our revenue-generating professionals as a percentage of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Cash and cash equivalents decreased $1.1 million, from $5.1 million at December 31, 2011 to $4.0 million at March 31, 2012. Our primary sources of liquidity are cash flows from operations and debt capacity available under our credit facility.</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flows used in operating activities totaled $12.6 million for the three months ended March 31, 2012, compared to cash flows used in operating activities of $3.4 million for the same period last year. Our operating assets and liabilities consist primarily of receivables from billed and unbilled services, accounts payable and accrued expenses, and accrued payroll and related benefits. The volume of services rendered and the related billings and timing of collections on those billings, as well as payments of our accounts payable and salaries, bonuses and benefits to employees affect these account balances. The increase in cash used in operations in the first quarter of 2012 compared to cash used in operations for the first quarter of 2011 was primarily attributable to an increase in the amount paid for the annual performance bonuses during the first quarter of 2012 compared to the same period in the prior year, partially offset by the receipt of an income tax receivable.</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Cash used in investing activities was $36.9 million for the three months ended March 31, 2012 and $26.4 million for the same period in the prior year. The use of cash in both periods primarily consisted of payments for acquired businesses totaling $31.3 million and $22.9 million in the first three months of 2012 and 2011, respectively. These payments for acquired businesses were primarily comprised of additional purchase consideration earned by the selling shareholders of businesses that we acquired in prior periods based on the achievement of financial performance targets as specified in the related purchase agreements. The use of cash in the first three months of 2012 and 2011 also included purchases of property and equipment needed to meet the ongoing needs relating to the hiring of additional employees and supporting our operations. We estimate that the cash utilized for capital expenditures in 2012 will be approximately $18.1 million, primarily for information technology related equipment and software and leasehold improvements. We also expect to continue to invest in capital expenditures related to our document review and processing business for information technology related equipment and software.</w:t>
      </w:r>
    </w:p>
    <w:p>
      <w:pPr>
        <w:spacing w:after="0" w:line="11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During 2011, the Company and certain of the Company’s subsidiaries as guarantors entered into an Amended and Restated Credit Agreement (the “2011 Credit Agreement”) with various financial institutions including Bank of America, N.A., as lender, administrative agent and collateral agent for the lenders; JPMorgan Chase Bank, N.A., as lender and syndication agent; PNC Bank, National Association; Harris N.A. and KeyBank National Association as lenders and Co-Documentation Agents; Fifth Third Bank, The Northern Trust Company, RBS Citizens, N.A., The PrivateBank and Trust Company, FirstMerit Bank, N.A., and Northbrook Bank &amp; Trust Company as lenders (collectively the “Lenders”); and Merrill Lynch, Pierce, Fenner &amp; Smith Incorporated and J.P. Morgan Securities LLC, as joint lead arrangers and joint book managers. The 2011 Credit Agreement replaces the previous Credit Agreement, dated as of June 7, 2006, and all subsequent amendments thereto, by and among the Company and the lenders therein.</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2011 Credit Agreement consisted of a senior secured credit facility in an aggregate principal amount of $350.0 million comprised of a five-year revolving credit facility (“Revolver”) under which the Company may borrow from time to time up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 $150.0 million and a $200.0 million five-year term loan facility (“Term Loan”).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borrowing capacity under the 2011 Credit Agreement is reduced by any outstanding letters of credit and payments under the Term Loan. At March 31, 2012, outstanding letters of credit totaled $4.1 million and are primarily used as security deposits for our office facilities.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2012, the borrowing capacity under the 2011 Credit Agreement was $86.9 million. During the first three months of 2012, we made borrowings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pay bonuses and additional purchase consideration earned by selling shareholders of businesses that we acquired. During the first three months of 2012,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outstanding balance under our credit facility was $202.3 million. Borrowings outstanding under this credit facility at March 31, 2012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$244.0 million, all of which are classified as long-term on our consolidated balance sheet as the principal under the Revolver is not due until 2016 and we intend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fund scheduled quarterly payments under the Term Loan with availability under the Revolver. These borrowings carried a weighted average interest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including the effect of the interest rate swaps described below in “Item 3. Quantitative and Qualitative Disclosures About Market Risk.”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December 31, 2011 totaled $193.5 million and carried a weighted average interest rate of 3.3% including the effect of the interest rate swap.</w:t>
      </w:r>
    </w:p>
    <w:p>
      <w:pPr>
        <w:spacing w:after="0" w:line="188"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As discussed in Note 7 “Borrowings”, the obligations under the 2011 Credit Agreement are secured pursuant to the Security Agreement and a pledge of 100% of the voting stock or other equity interests in our domestic subsidiaries and 65% of the voting stock or other equity interests in our foreign subsidiaries.</w:t>
      </w:r>
    </w:p>
    <w:p>
      <w:pPr>
        <w:spacing w:after="0" w:line="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Fees and interest on borrowings vary based on our total debt to EBITDA ratio as set forth in the 2011 Credit Agreement. Interest is based on a spread over LIBOR or a spread over the base rate, as selected by the Company. The base rate is the greater of (a) the Federal Funds Rate plus 0.5%, (b) the Prime Rate and (c) except during a Eurodollar Unavailability Period, the Eurodollar Rate plus 1.0%.</w:t>
      </w:r>
    </w:p>
    <w:p>
      <w:pPr>
        <w:spacing w:after="0" w:line="14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Term Loan is subject to scheduled quarterly amortization payments equal to 7.5% of the original principal balance in year one, 10.0% in year two, 12.5% in years three and four, and 57.5% in year five, as set forth in the 2011 Credit Agreement. The maturity date for the Term Loan is April 14, 2016, at which time the outstanding principal balance and all accrued interest will be due and payable in full. All outstanding borrowings under the Revolver will be due upon expiration of the 2011 Credit Agreement on April 14, 2016.</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$10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200"/>
        <w:spacing w:after="0" w:line="303" w:lineRule="auto"/>
        <w:rPr>
          <w:sz w:val="20"/>
          <w:szCs w:val="20"/>
          <w:color w:val="auto"/>
        </w:rPr>
      </w:pPr>
      <w:r>
        <w:rPr>
          <w:rFonts w:ascii="Arial" w:cs="Arial" w:eastAsia="Arial" w:hAnsi="Arial"/>
          <w:sz w:val="15"/>
          <w:szCs w:val="15"/>
          <w:color w:val="auto"/>
        </w:rPr>
        <w:t>The 2011 Credit Agreement contains quarterly financial covenants that require us to maintain a minimum fixed charge coverage ratio of 2.25 to 1.00 and a maximum leverage ratio of 3.00 to 1.00 with step-downs in subsequent periods, as those ratios are defined therein, as well as a minimum net worth greater than $150 million. At March 31, 2012, we were in compliance with these financial covenants with a fixed charge coverage ratio of 3.66 to 1.00, a leverage ratio of</w:t>
      </w:r>
    </w:p>
    <w:p>
      <w:pPr>
        <w:spacing w:after="0" w:line="1"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2.09 to 1.00, and net worth greater than $150 million. Furthermore, based upon projected operating results, management believes it is probable that we will meet the financial debt covenants of the 2011 Credit Agreement discussed above at future covenant measurement dates.</w:t>
      </w:r>
    </w:p>
    <w:p>
      <w:pPr>
        <w:spacing w:after="0" w:line="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See “Risk Factors” in our Annual Report on Form 10-K for the year ended December 31, 2011 for a discussion of certain risks and uncertainties related to the 2011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Because we expect that our future annual growth rate in revenues and related percentage increases in working capital balances will moderate, we believe our internally generated liquidity, together with the borrowing capacity available under our revolving credit facility and access to external capital resources, will be adequate to fund our long-term growth,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2011. There have been no significant changes in our contractual obligations since December 31, 2011 except as described below:</w:t>
      </w:r>
    </w:p>
    <w:p>
      <w:pPr>
        <w:spacing w:after="0" w:line="26" w:lineRule="exact"/>
        <w:rPr>
          <w:sz w:val="20"/>
          <w:szCs w:val="20"/>
          <w:color w:val="auto"/>
        </w:rPr>
      </w:pPr>
    </w:p>
    <w:p>
      <w:pPr>
        <w:ind w:left="460" w:right="40" w:hanging="452"/>
        <w:spacing w:after="0" w:line="294"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connection with certain past business acquisitions, we were required to pay additional purchase consideration to the sellers if specific performance targets were met over a number of years as specified in the related purchase agreements. During the first three months of 2012, we paid additional purchase consideration of $31.3 million to selling shareholders of a business that we acquired as financial performance targets were met in 2011. We anticipate paying $0.9 million of additional purchase consideration to selling shareholders under such an arrangement during the second quarter of 2012. After these payments, we have no further obligations under these arrangements.</w:t>
      </w:r>
    </w:p>
    <w:p>
      <w:pPr>
        <w:spacing w:after="0" w:line="34"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first three months of 2012, our long-term borrowings increased from $193.5 million as of December 31, 2011 to $244.0 million as of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The Company adopted this pronouncement in the first quarter of 2012. However, ASU 2011-12, “Deferral of the Effective Date for Amendments to the Presentation of Reclassifications of Items Out of Accumulated Other Comprehensive Income in Accounting Standards Update No. 2011-05,” has deferred the specific requirement within ASU 2011-05 to present on the face of the financial statements items that are reclassified from accumulated other comprehensive income to net income separately with their respective components of net income and other comprehensive income. ASU 2011-12 would still require companies to report reclassifications out of accumulated other comprehensive income consistent with the presentation requirements in effect before ASU 2011-05. The Company does not expect the guidance in ASU 2011-12 to impact its Consolidated Financial Statements, as it only requires a change in the format of presentation.</w:t>
      </w:r>
    </w:p>
    <w:p>
      <w:pPr>
        <w:spacing w:after="0" w:line="2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exposure to changes in interest rates is limited to borrowings under our bank credit facility, which has variable interest rates tied to the LIBOR, Federal Funds Rate, Prime Rate, or Eurodollar Rate. At March 31, 2012, we had borrowings outstanding totaling $244.0 million that carried a weighted average interest rate of 2.9%. A hypothetical one percent change in this interest rate would have a $2.4 million effect on our pre-tax income.</w:t>
      </w:r>
    </w:p>
    <w:p>
      <w:pPr>
        <w:spacing w:after="0" w:line="10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has an initial notional amount of $56.6 million and amortizes throughout the term, which effectively fixes the interest rate on 30% of our Term Loan. Under the terms of the interest rate swap agreement, we receive from the counterparty interest on the notional amount based on one-month LIBOR and we pay to the counterparty a fixed rate of 0.9875%. Including the impact of the swap, the effective interest rate on $55.5 million of our debt was 3.2% as of March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March 31, 2012.</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2012. Based on this evaluation, our Chief Executive Officer and Chief Financial Officer have concluded that, as of March 31, 2012,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Control over Financial Reporting</w:t>
      </w:r>
    </w:p>
    <w:p>
      <w:pPr>
        <w:spacing w:after="0" w:line="9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March 31, 2012 that has materially affected, or is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Matters</w:t>
      </w:r>
    </w:p>
    <w:p>
      <w:pPr>
        <w:spacing w:after="0" w:line="9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As previously disclosed, on August 17, 2009, we restated our financial statements for the years ended December 31, 2008, 2007 and 2006, as well as the three months ended March 31, 2009. The restatement related to the accounting for certain acquisition-related payments received by the selling shareholders of four acquired businesses.</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Between August 4, 2009 and September 3, 2009, seven purported shareholder class action complaints were filed in connection with our restatement in the United States District Court for the Northern District of Illinois. One of those complaints was dismissed voluntarily in October 2009, and in November 2009, the remaining suits were consolidated. On December 6, 2010, we reached an agreement in principle to settle the litigation (“the Class Action Settlement”). The Class Action Settlement received final Court approval and the case was terminated on May 6, 2011. Pursuant to the Class Action Settlement, plaintiffs received total consideration of approximately $39.6 million, comprised of $27.0 million in cash which was funded in its entirety by our insurers and the issuance by the Company of 474,547 shares of our common stock with a fair value of $13.7 million on June 6, 2011, the date of issuance. The total amount of insurance coverage under the related policy was $35.0 million and the insurers had previously paid out approximately $8.0 million in claims prior to the final $27.0 million cash payment. The settlement contained no admission of wrongdoing.</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also was named as a nominal defendant in two state derivative suits filed in connection with the Company’s restatement: (1) a complaint in the matter of Curtis Peters, derivatively on behalf of Huron Consulting Group Inc. v. Gary E. Holdren, Gary L. Burge, Wayne Lipski, each of the members of the Board of Directors and PricewaterhouseCoopers LLP, filed on August 28, 2009; and (2) a complaint in the matter of Brian Hacias, derivatively on behalf of Huron Consulting Group Inc. v. Gary E. Holdren, Gary L. Burge and Wayne Lipski, filed on August 28, 2009. The cases were consolidated in the Circuit Court of Cook County, Illinois, Chancery Division on September 21, 2009 under the caption “In Re Huron Consulting Group, Inc. Shareholder Derivative Litigation.” On March 8, 2010, plaintiffs filed a consolidated complaint. The consolidated complaint asserted claims for breach of fiduciary duty, unjust enrichment, abuse of control, gross mismanagement and waste of corporate assets. The consolidated complaint also alleged claims for professional negligence and breach of contract against PricewaterhouseCoopers LLP, the Company’s independent auditors. Plaintiffs sought to recoup for the Company unspecified damages allegedly sustained by the Company resulting from the restatement and related matters, disgorgement and reimbursement for fees and expenses incurred in connection with the suits, including attorneys’ fees. Huron filed a motion to dismiss plaintiffs’ consolidated complaint on April 22, 2010. On October 25, 2010, the Court granted Huron’s motion to dismiss and dismissed plaintiffs’ consolidated complaint with prejudice. Plaintiffs appealed the dismissal, and, on March 27, 2012, the Appellate Court of Illinois affirmed the Circuit Court’s decision. Plaintiffs have until May 1, 2012 to file a notice of appeal.</w:t>
      </w:r>
    </w:p>
    <w:p>
      <w:pPr>
        <w:spacing w:after="0" w:line="12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was also named as a nominal defendant in three federal derivative suits filed in connection with the Company’s restatement, which were consolidated in the United States District Court for the Northern District of Illinois on November 23, 2009 and dismissed with prejudice on March 22, 2011. Plaintiffs did not appeal the Court’s dismissal.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SEC is conducting an investigation with respect to the restatement. In addition, as often happens in these circumstances, shortly after the filing of our restated financial statements, the USAO for the Northern District of Illinois contacted our counsel and made a telephonic request for copies of certain documents that we previously provided to the SEC, which we then voluntarily provided to the USAO. We have been cooperating fully with the investigation and are currently engaged in discussions with the SEC about a potential settlement. In the fourth quarter of 2011, we recorded a charge of $1.0 million with respect to this matter. While an agreement has not been reached with the SEC, the Company believes that any resolution would include monetary penalties and other relief within the SEC’s authority. There can be no assurance that we will be able to reach a settlement with the SEC or that the amount of monetary penalties agreed in any settlement will not exceed the accrued amount, perhaps materially. We also cannot provide assurance with respect to the other terms and conditions of any potential settlement.</w:t>
      </w:r>
    </w:p>
    <w:p>
      <w:pPr>
        <w:spacing w:after="0" w:line="11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Certain of our former employees have received “Wells notices” from the SEC staff in connection with the matters underlying the restatement. Wells notices typically indicate that the staff is considering recommending that the SEC bring a civil enforcement action. Under the SEC’s procedures, a recipient of a Wells notice has an opportunity to respond in the form of a written submission that seeks to persuade the SEC that such an action should not be brought. Each of the former employees has advised the Company that they have made such a submission. We are obligated to indemnify the former employees for their defense costs in connection with responding to the Wells notices and in connection with the defense of civil enforcement actions, if any, brought by the SEC against them, subject to certain limitations. We expect that our indemnity obligations to the recipients will be material in the first half of 2012 and may be material until resolution of the restatement matters.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final payment by the insurance carriers, we will not receive any further contributions from our insurance carriers for the reimbursement of any amounts (including any damages, settlement costs, legal fees or indemnity obligations) with respect to the SEC investigation into the restatement and the USAO’s request for certain documents (collectively, the “remaining restatement matters”). For the three months ended March 31, 2012 and 2011, expenses incurred in connection with the restatement totaled $1.5 million and $1.2 million, respectively, and were primarily comprised of legal fees and indemnification obligations for legal fees. All legal fees are expensed as incurred.</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Given the uncertain nature of the remaining restatement matters, and the uncertainties related to the incurrence and amount of loss, including with respect to the imposition of fines, penalties, damages, administrative remedies and liabilities for additional amounts, with respect to the remaining restatement matters, we are unable to predict the ultimate outcome of the remaining restatement matters or make a reasonable estimate of the liability in excess of the existing accrual that could result from an unfavorable outcome in the remaining restatement matters. Any such liability could be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relator filed a second amended complaint alleging that Huron and others caused St. Vincent Catholic Medical Center to receive more than $30 million in inflated outlier payments under the Medicare and Medicaid programs in violation of the federal and state FCA and is also seeking to recover an unspecified amount of civil penalties. On June 20, 2011, Huron filed a motion to dismiss under the FCA public disclosure jurisdictional bar, contending that relator’s action is barred because it is based upon publicly disclosed information and relator cannot qualify as an original source. On February 16, 2012, the Court denied the motion. The suit is in the pretrial stage and no trial date has been set. We believe that the claims are without merit and intend to vigorously defend ourselves in this matter.</w:t>
      </w:r>
    </w:p>
    <w:p>
      <w:pPr>
        <w:spacing w:after="0" w:line="12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our 2011 Annual Report on Form 10-K for a complete description of the material risks we face.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2004 Omnibus Stock Plan permits the netting of common stock upon vesting of restricted stock awards to satisfy individual tax withholding requirements. During the quarter ended March 31, 2012, we re-acquired 97,769 shares of common stock with a weighted average fair market value of $38.17 as a result of such tax withholdings as presented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840" w:type="dxa"/>
            <w:vAlign w:val="bottom"/>
          </w:tcPr>
          <w:p>
            <w:pPr>
              <w:spacing w:after="0"/>
              <w:rPr>
                <w:sz w:val="12"/>
                <w:szCs w:val="12"/>
                <w:color w:val="auto"/>
              </w:rPr>
            </w:pPr>
          </w:p>
        </w:tc>
        <w:tc>
          <w:tcPr>
            <w:tcW w:w="19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Withheld to</w:t>
            </w:r>
          </w:p>
        </w:tc>
        <w:tc>
          <w:tcPr>
            <w:tcW w:w="8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Average Fair</w:t>
            </w:r>
          </w:p>
        </w:tc>
        <w:tc>
          <w:tcPr>
            <w:tcW w:w="840" w:type="dxa"/>
            <w:vAlign w:val="bottom"/>
          </w:tcPr>
          <w:p>
            <w:pPr>
              <w:spacing w:after="0"/>
              <w:rPr>
                <w:sz w:val="12"/>
                <w:szCs w:val="12"/>
                <w:color w:val="auto"/>
              </w:rPr>
            </w:pPr>
          </w:p>
        </w:tc>
        <w:tc>
          <w:tcPr>
            <w:tcW w:w="19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5"/>
              </w:rPr>
              <w:t>Shares Purchased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that May Yet Be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Satisfy Employee</w:t>
            </w:r>
          </w:p>
        </w:tc>
        <w:tc>
          <w:tcPr>
            <w:tcW w:w="8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840" w:type="dxa"/>
            <w:vAlign w:val="bottom"/>
          </w:tcPr>
          <w:p>
            <w:pPr>
              <w:spacing w:after="0"/>
              <w:rPr>
                <w:sz w:val="12"/>
                <w:szCs w:val="12"/>
                <w:color w:val="auto"/>
              </w:rPr>
            </w:pPr>
          </w:p>
        </w:tc>
        <w:tc>
          <w:tcPr>
            <w:tcW w:w="19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5"/>
              </w:rPr>
              <w:t>as Part of Publicly</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600" w:type="dxa"/>
            <w:vAlign w:val="bottom"/>
            <w:gridSpan w:val="2"/>
            <w:vMerge w:val="restart"/>
          </w:tcPr>
          <w:p>
            <w:pPr>
              <w:spacing w:after="0"/>
              <w:rPr>
                <w:sz w:val="12"/>
                <w:szCs w:val="12"/>
                <w:color w:val="auto"/>
              </w:rPr>
            </w:pPr>
          </w:p>
        </w:tc>
        <w:tc>
          <w:tcPr>
            <w:tcW w:w="10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Tax Withholding</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Per Share</w:t>
            </w:r>
          </w:p>
        </w:tc>
        <w:tc>
          <w:tcPr>
            <w:tcW w:w="840" w:type="dxa"/>
            <w:vAlign w:val="bottom"/>
          </w:tcPr>
          <w:p>
            <w:pPr>
              <w:spacing w:after="0"/>
              <w:rPr>
                <w:sz w:val="12"/>
                <w:szCs w:val="12"/>
                <w:color w:val="auto"/>
              </w:rPr>
            </w:pPr>
          </w:p>
        </w:tc>
        <w:tc>
          <w:tcPr>
            <w:tcW w:w="19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600" w:type="dxa"/>
            <w:vAlign w:val="bottom"/>
            <w:gridSpan w:val="2"/>
            <w:vMerge w:val="continue"/>
          </w:tcPr>
          <w:p>
            <w:pPr>
              <w:spacing w:after="0"/>
              <w:rPr>
                <w:sz w:val="14"/>
                <w:szCs w:val="14"/>
                <w:color w:val="auto"/>
              </w:rPr>
            </w:pPr>
          </w:p>
        </w:tc>
        <w:tc>
          <w:tcPr>
            <w:tcW w:w="10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Requirements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Withheld</w:t>
            </w:r>
          </w:p>
        </w:tc>
        <w:tc>
          <w:tcPr>
            <w:tcW w:w="840" w:type="dxa"/>
            <w:vAlign w:val="bottom"/>
          </w:tcPr>
          <w:p>
            <w:pPr>
              <w:spacing w:after="0"/>
              <w:rPr>
                <w:sz w:val="14"/>
                <w:szCs w:val="14"/>
                <w:color w:val="auto"/>
              </w:rPr>
            </w:pPr>
          </w:p>
        </w:tc>
        <w:tc>
          <w:tcPr>
            <w:tcW w:w="192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8"/>
              </w:rPr>
              <w:t>or Programs</w:t>
            </w: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0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January 2012</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10,509</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38.50</w:t>
            </w:r>
          </w:p>
        </w:tc>
        <w:tc>
          <w:tcPr>
            <w:tcW w:w="8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8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February 2012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5,536</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37.66</w:t>
            </w:r>
          </w:p>
        </w:tc>
        <w:tc>
          <w:tcPr>
            <w:tcW w:w="840" w:type="dxa"/>
            <w:vAlign w:val="bottom"/>
          </w:tcPr>
          <w:p>
            <w:pPr>
              <w:spacing w:after="0"/>
              <w:rPr>
                <w:sz w:val="18"/>
                <w:szCs w:val="18"/>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2012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81,724</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8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46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gridSpan w:val="4"/>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97,769</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38.17</w:t>
            </w:r>
          </w:p>
        </w:tc>
        <w:tc>
          <w:tcPr>
            <w:tcW w:w="840" w:type="dxa"/>
            <w:vAlign w:val="bottom"/>
          </w:tcPr>
          <w:p>
            <w:pPr>
              <w:spacing w:after="0"/>
              <w:rPr>
                <w:sz w:val="19"/>
                <w:szCs w:val="19"/>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420"/>
          </w:cols>
          <w:pgMar w:left="240" w:top="459" w:right="2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Exhibit</w:t>
            </w: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5"/>
              </w:rPr>
              <w:t>Filed</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here-</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284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with</w:t>
            </w:r>
          </w:p>
        </w:tc>
        <w:tc>
          <w:tcPr>
            <w:tcW w:w="0" w:type="dxa"/>
            <w:vAlign w:val="bottom"/>
          </w:tcPr>
          <w:p>
            <w:pPr>
              <w:spacing w:after="0"/>
              <w:rPr>
                <w:sz w:val="1"/>
                <w:szCs w:val="1"/>
                <w:color w:val="auto"/>
              </w:rPr>
            </w:pPr>
          </w:p>
        </w:tc>
      </w:tr>
      <w:tr>
        <w:trPr>
          <w:trHeight w:val="296"/>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w w:val="94"/>
              </w:rPr>
              <w:t>Third Amended and Restated Certificate of Incorporation of Huron Consulting Group Inc.</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Amended and Restated Bylaws of Huron Consulting Group Inc.</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Specimen Stock Certificate.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w w:val="99"/>
              </w:rPr>
              <w:t>Certification of the Chief Executive Officer, pursuant to Rule 13a-14(a)/15d-14(a), as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adopted pursuant to Section 302 of the Sarbanes-Oxley Act of 2002.</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w w:val="99"/>
              </w:rPr>
              <w:t>Certification of the Chief Financial Officer, pursuant to Rule 13a-14(a)/15d-14(a), as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adopted pursuant to Section 302 of the Sarbanes-Oxley Act of 2002.</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Certification of the Chief Executive Officer, pursuant to 18 U.S.C. Section 1350, as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w w:val="92"/>
              </w:rPr>
              <w:t>Certification of the Chief Financial Officer, pursuant to 18 U.S.C. Section 1350, as adopted</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pursuant to Section 906 of the Sarbanes-Oxley Act of 2002.</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101.SCH*</w:t>
            </w: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101.CAL*</w:t>
            </w: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101.LAB*</w:t>
            </w: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101.PRE*</w:t>
            </w: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101.DEF*</w:t>
            </w:r>
          </w:p>
        </w:tc>
        <w:tc>
          <w:tcPr>
            <w:tcW w:w="67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29"/>
        </w:trPr>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Period</w:t>
            </w:r>
          </w:p>
        </w:tc>
        <w:tc>
          <w:tcPr>
            <w:tcW w:w="4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Filing</w:t>
            </w:r>
          </w:p>
        </w:tc>
      </w:tr>
      <w:tr>
        <w:trPr>
          <w:trHeight w:val="161"/>
        </w:trPr>
        <w:tc>
          <w:tcPr>
            <w:tcW w:w="28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38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Ending</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360" w:type="dxa"/>
            <w:vAlign w:val="bottom"/>
          </w:tcPr>
          <w:p>
            <w:pPr>
              <w:spacing w:after="0"/>
              <w:rPr>
                <w:sz w:val="14"/>
                <w:szCs w:val="1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r>
      <w:tr>
        <w:trPr>
          <w:trHeight w:val="27"/>
        </w:trPr>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22"/>
        </w:trPr>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10-K</w:t>
            </w:r>
          </w:p>
        </w:tc>
        <w:tc>
          <w:tcPr>
            <w:tcW w:w="9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12/31/04</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2/16/05</w:t>
            </w:r>
          </w:p>
        </w:tc>
      </w:tr>
      <w:tr>
        <w:trPr>
          <w:trHeight w:val="324"/>
        </w:trPr>
        <w:tc>
          <w:tcPr>
            <w:tcW w:w="280" w:type="dxa"/>
            <w:vAlign w:val="bottom"/>
          </w:tcPr>
          <w:p>
            <w:pPr>
              <w:spacing w:after="0"/>
              <w:rPr>
                <w:sz w:val="24"/>
                <w:szCs w:val="2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4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04/14/11</w:t>
            </w:r>
          </w:p>
        </w:tc>
      </w:tr>
      <w:tr>
        <w:trPr>
          <w:trHeight w:val="318"/>
        </w:trPr>
        <w:tc>
          <w:tcPr>
            <w:tcW w:w="280" w:type="dxa"/>
            <w:vAlign w:val="bottom"/>
          </w:tcPr>
          <w:p>
            <w:pPr>
              <w:spacing w:after="0"/>
              <w:rPr>
                <w:sz w:val="24"/>
                <w:szCs w:val="2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S-1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(File No.</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333-115434)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10/5/04</w:t>
            </w:r>
          </w:p>
        </w:tc>
      </w:tr>
    </w:tbl>
    <w:p>
      <w:pPr>
        <w:spacing w:after="0" w:line="4247" w:lineRule="exact"/>
        <w:rPr>
          <w:sz w:val="20"/>
          <w:szCs w:val="20"/>
          <w:color w:val="auto"/>
        </w:rPr>
      </w:pPr>
    </w:p>
    <w:p>
      <w:pPr>
        <w:sectPr>
          <w:pgSz w:w="11900" w:h="16838" w:orient="portrait"/>
          <w:cols w:equalWidth="0" w:num="2">
            <w:col w:w="7940" w:space="220"/>
            <w:col w:w="3260"/>
          </w:cols>
          <w:pgMar w:left="240" w:top="459" w:right="239" w:bottom="1440" w:gutter="0" w:footer="0" w:header="0"/>
          <w:type w:val="continuous"/>
        </w:sectPr>
      </w:pPr>
    </w:p>
    <w:p>
      <w:pPr>
        <w:ind w:left="220" w:right="340" w:hanging="212"/>
        <w:spacing w:after="0" w:line="259"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740" w:val="left"/>
          <w:tab w:leader="none" w:pos="8100" w:val="left"/>
          <w:tab w:leader="none" w:pos="8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-13970</wp:posOffset>
            </wp:positionV>
            <wp:extent cx="15392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Officer and Treasurer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240" w:top="459" w:right="7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9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20" w:val="left"/>
          <w:tab w:leader="none" w:pos="6360" w:val="left"/>
          <w:tab w:leader="none" w:pos="8200" w:val="left"/>
          <w:tab w:leader="none" w:pos="8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-13970</wp:posOffset>
            </wp:positionV>
            <wp:extent cx="15392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James H. Roth</w:t>
      </w:r>
    </w:p>
    <w:p>
      <w:pPr>
        <w:spacing w:after="0" w:line="1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20" w:val="left"/>
          <w:tab w:leader="none" w:pos="6360" w:val="left"/>
          <w:tab w:leader="none" w:pos="81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-13970</wp:posOffset>
            </wp:positionV>
            <wp:extent cx="1539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March 31, 2012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2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720" w:val="left"/>
          <w:tab w:leader="none" w:pos="6360" w:val="left"/>
          <w:tab w:leader="none" w:pos="8200" w:val="left"/>
          <w:tab w:leader="none" w:pos="8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-13970</wp:posOffset>
            </wp:positionV>
            <wp:extent cx="1539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James H. Roth</w:t>
      </w:r>
    </w:p>
    <w:p>
      <w:pPr>
        <w:spacing w:after="0" w:line="1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March 31, 2012 as filed with the Securities and Exchange Commission on the date hereof (the “Report”), I, C. Mark Hussey, Executive Vice President, Chief Financial Officer and Treasurer of the Company,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720" w:val="left"/>
          <w:tab w:leader="none" w:pos="6360" w:val="left"/>
          <w:tab w:leader="none" w:pos="81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-13970</wp:posOffset>
            </wp:positionV>
            <wp:extent cx="1539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1."/>
      <w:numFmt w:val="decimal"/>
      <w:start w:val="12"/>
    </w:lvl>
  </w:abstractNum>
  <w:abstractNum w:abstractNumId="15">
    <w:nsid w:val="2D1D5AE9"/>
    <w:multiLevelType w:val="hybridMultilevel"/>
    <w:lvl w:ilvl="0">
      <w:lvlJc w:val="left"/>
      <w:lvlText w:val="%1."/>
      <w:numFmt w:val="decimal"/>
      <w:start w:val="13"/>
    </w:lvl>
  </w:abstractNum>
  <w:abstractNum w:abstractNumId="16">
    <w:nsid w:val="6763845E"/>
    <w:multiLevelType w:val="hybridMultilevel"/>
    <w:lvl w:ilvl="0">
      <w:lvlJc w:val="left"/>
      <w:lvlText w:val="%1."/>
      <w:numFmt w:val="decimal"/>
      <w:start w:val="14"/>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2019-12-09T16:23:52Z</dcterms:created>
  <dcterms:modified xsi:type="dcterms:W3CDTF">2019-12-09T16:23:52Z</dcterms:modified>
</cp:coreProperties>
</file>