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170561ddefa14a.htm"/>
      <w:bookmarkStart w:id="1" w:name="ksd170561ddefa14a"/>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12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 </w:t>
      </w:r>
    </w:p>
    <w:p>
      <w:pPr>
        <w:pStyle w:val="TextBody"/>
        <w:spacing w:before="120" w:after="0"/>
        <w:rPr>
          <w:rFonts w:ascii="Times New Roman" w:hAnsi="Times New Roman"/>
          <w:sz w:val="20"/>
        </w:rPr>
      </w:pPr>
      <w:r>
        <w:rPr>
          <w:rFonts w:ascii="Times New Roman" w:hAnsi="Times New Roman"/>
          <w:sz w:val="20"/>
        </w:rPr>
        <w:t>Filed by the Registrant  ☒                            Filed by a Party other than the Registrant  ☐</w:t>
      </w:r>
    </w:p>
    <w:p>
      <w:pPr>
        <w:pStyle w:val="TextBody"/>
        <w:spacing w:before="12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under §240.14a-12 </w:t>
            </w:r>
          </w:p>
        </w:tc>
      </w:tr>
    </w:tbl>
    <w:p>
      <w:pPr>
        <w:pStyle w:val="TextBody"/>
        <w:spacing w:before="120" w:after="0"/>
        <w:jc w:val="center"/>
        <w:rPr>
          <w:rFonts w:ascii="Times New Roman" w:hAnsi="Times New Roman"/>
          <w:b/>
          <w:sz w:val="48"/>
        </w:rPr>
      </w:pPr>
      <w:r>
        <w:rPr>
          <w:rFonts w:ascii="Times New Roman" w:hAnsi="Times New Roman"/>
          <w:b/>
          <w:sz w:val="48"/>
        </w:rPr>
        <w:t xml:space="preserve">HURON CONSULTING GROUP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pPr>
      <w:r>
        <w:rPr/>
        <w:t>    </w:t>
      </w:r>
      <w:r>
        <w:rPr>
          <w:rFonts w:ascii="Times New Roman" w:hAnsi="Times New Roman"/>
          <w:b/>
          <w:sz w:val="20"/>
        </w:rPr>
        <w:t xml:space="preserve">^     </w:t>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the registrant) </w:t>
      </w:r>
    </w:p>
    <w:p>
      <w:pPr>
        <w:pStyle w:val="TextBody"/>
        <w:spacing w:before="12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the transaction applies: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the transaction applies: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the transaction computed pursuant to Exchange Act Rule 0-11 (set forth the amount on which the filing fee is calculated and state how it was determined):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the transaction: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7610475" cy="432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10475" cy="4324350"/>
                    </a:xfrm>
                    <a:prstGeom prst="rect">
                      <a:avLst/>
                    </a:prstGeom>
                  </pic:spPr>
                </pic:pic>
              </a:graphicData>
            </a:graphic>
          </wp:inline>
        </w:drawing>
      </w:r>
      <w:r>
        <w:rPr/>
        <w:t xml:space="preserve"> </w:t>
      </w:r>
    </w:p>
    <w:p>
      <w:pPr>
        <w:pStyle w:val="TextBody"/>
        <w:spacing w:before="240" w:after="0"/>
        <w:jc w:val="left"/>
        <w:rPr>
          <w:rFonts w:ascii="Times New Roman" w:hAnsi="Times New Roman"/>
          <w:sz w:val="30"/>
        </w:rPr>
      </w:pPr>
      <w:r>
        <w:rPr>
          <w:rFonts w:ascii="Times New Roman" w:hAnsi="Times New Roman"/>
          <w:sz w:val="30"/>
        </w:rPr>
        <w:t xml:space="preserve">You invested in HURON CONSULTING GROUP INC. and its time to vote! </w:t>
      </w:r>
    </w:p>
    <w:p>
      <w:pPr>
        <w:pStyle w:val="TextBody"/>
        <w:spacing w:before="0" w:after="0"/>
        <w:jc w:val="left"/>
        <w:rPr>
          <w:rFonts w:ascii="Times New Roman" w:hAnsi="Times New Roman"/>
          <w:sz w:val="20"/>
        </w:rPr>
      </w:pPr>
      <w:r>
        <w:rPr>
          <w:rFonts w:ascii="Times New Roman" w:hAnsi="Times New Roman"/>
          <w:sz w:val="20"/>
        </w:rPr>
        <w:t xml:space="preserve">You have the right to vote on proposals being presented at the Annual Meeting. </w:t>
      </w:r>
      <w:r>
        <w:rPr>
          <w:rFonts w:ascii="Times New Roman" w:hAnsi="Times New Roman"/>
          <w:b/>
          <w:sz w:val="20"/>
        </w:rPr>
        <w:t>This is an important notice regarding the availability of proxy material for the stockholder meeting to be held on May 7, 2021.</w:t>
      </w:r>
      <w:r>
        <w:rPr>
          <w:rFonts w:ascii="Times New Roman" w:hAnsi="Times New Roman"/>
          <w:sz w:val="20"/>
        </w:rPr>
        <w:t xml:space="preserve"> </w:t>
      </w:r>
    </w:p>
    <w:p>
      <w:pPr>
        <w:pStyle w:val="TextBody"/>
        <w:spacing w:before="360" w:after="0"/>
        <w:jc w:val="left"/>
        <w:rPr>
          <w:rFonts w:ascii="Times New Roman" w:hAnsi="Times New Roman"/>
          <w:sz w:val="30"/>
        </w:rPr>
      </w:pPr>
      <w:r>
        <w:rPr>
          <w:rFonts w:ascii="Times New Roman" w:hAnsi="Times New Roman"/>
          <w:sz w:val="30"/>
        </w:rPr>
        <w:t xml:space="preserve">Get informed before you vote </w:t>
      </w:r>
    </w:p>
    <w:p>
      <w:pPr>
        <w:pStyle w:val="TextBody"/>
        <w:spacing w:before="0" w:after="0"/>
        <w:jc w:val="left"/>
        <w:rPr>
          <w:rFonts w:ascii="Times New Roman" w:hAnsi="Times New Roman"/>
          <w:sz w:val="20"/>
        </w:rPr>
      </w:pPr>
      <w:r>
        <w:rPr>
          <w:rFonts w:ascii="Times New Roman" w:hAnsi="Times New Roman"/>
          <w:sz w:val="20"/>
        </w:rPr>
        <w:t xml:space="preserve">View the Annual Report and Notice and Proxy Statement online OR you can receive a free paper or email copy of the material(s) by requesting prior to April 23, 2021.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TextBody"/>
        <w:spacing w:before="0" w:after="0"/>
        <w:jc w:val="left"/>
        <w:rPr/>
      </w:pPr>
      <w:r>
        <w:rPr/>
        <w:t> </w:t>
      </w:r>
    </w:p>
    <w:p>
      <w:pPr>
        <w:pStyle w:val="TextBody"/>
        <w:spacing w:before="0" w:after="0"/>
        <w:jc w:val="left"/>
        <w:rPr/>
      </w:pPr>
      <w:r>
        <w:rPr/>
        <w:drawing>
          <wp:inline distT="0" distB="0" distL="0" distR="0">
            <wp:extent cx="7610475" cy="2638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10475" cy="2638425"/>
                    </a:xfrm>
                    <a:prstGeom prst="rect">
                      <a:avLst/>
                    </a:prstGeom>
                  </pic:spPr>
                </pic:pic>
              </a:graphicData>
            </a:graphic>
          </wp:inline>
        </w:drawing>
      </w:r>
      <w:r>
        <w:rPr/>
        <w:t xml:space="preserve"> </w:t>
      </w:r>
    </w:p>
    <w:p>
      <w:pPr>
        <w:pStyle w:val="TextBody"/>
        <w:spacing w:before="240" w:after="0"/>
        <w:jc w:val="left"/>
        <w:rPr>
          <w:rFonts w:ascii="Times New Roman" w:hAnsi="Times New Roman"/>
          <w:sz w:val="16"/>
        </w:rPr>
      </w:pPr>
      <w:r>
        <w:rPr>
          <w:rFonts w:ascii="Times New Roman" w:hAnsi="Times New Roman"/>
          <w:sz w:val="16"/>
        </w:rPr>
        <w:t xml:space="preserve">*Many stockholder meetings have attendance requirements including, but not limited to, the possession of an attendance ticket issued by the entity holding the meeting. Please check the meeting materials for any special requirements for meeting attendance. </w:t>
      </w:r>
    </w:p>
    <w:p>
      <w:pPr>
        <w:pStyle w:val="TextBody"/>
        <w:spacing w:before="40" w:after="0"/>
        <w:jc w:val="right"/>
        <w:rPr>
          <w:rFonts w:ascii="Times New Roman" w:hAnsi="Times New Roman"/>
          <w:sz w:val="10"/>
        </w:rPr>
      </w:pPr>
      <w:r>
        <w:rPr>
          <w:rFonts w:ascii="Times New Roman" w:hAnsi="Times New Roman"/>
          <w:sz w:val="10"/>
        </w:rPr>
        <w:t xml:space="preserve">V1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30"/>
        </w:rPr>
      </w:pPr>
      <w:r>
        <w:rPr>
          <w:rFonts w:ascii="Times New Roman" w:hAnsi="Times New Roman"/>
          <w:b/>
          <w:sz w:val="30"/>
        </w:rPr>
        <w:t>Vote at www.ProxyVote.com</w:t>
      </w:r>
      <w:r>
        <w:rPr>
          <w:rFonts w:ascii="Times New Roman" w:hAnsi="Times New Roman"/>
          <w:sz w:val="30"/>
        </w:rPr>
        <w:t xml:space="preserve"> </w:t>
      </w:r>
    </w:p>
    <w:p>
      <w:pPr>
        <w:pStyle w:val="TextBody"/>
        <w:spacing w:before="0" w:after="0"/>
        <w:jc w:val="left"/>
        <w:rPr/>
      </w:pPr>
      <w:r>
        <w:rPr/>
        <w:t> </w:t>
      </w:r>
    </w:p>
    <w:p>
      <w:pPr>
        <w:pStyle w:val="TextBody"/>
        <w:pBdr>
          <w:bottom w:val="single" w:sz="32" w:space="1" w:color="000000"/>
        </w:pBdr>
        <w:spacing w:lineRule="atLeast" w:line="141" w:before="0" w:after="40"/>
        <w:jc w:val="left"/>
        <w:rPr/>
      </w:pPr>
      <w:r>
        <w:rPr/>
        <w:t> </w:t>
      </w:r>
    </w:p>
    <w:p>
      <w:pPr>
        <w:pStyle w:val="TextBody"/>
        <w:spacing w:before="240" w:after="0"/>
        <w:jc w:val="left"/>
        <w:rPr>
          <w:rFonts w:ascii="Times New Roman" w:hAnsi="Times New Roman"/>
          <w:sz w:val="32"/>
        </w:rPr>
      </w:pPr>
      <w:r>
        <w:rPr>
          <w:rFonts w:ascii="Times New Roman" w:hAnsi="Times New Roman"/>
          <w:b/>
          <w:sz w:val="32"/>
        </w:rPr>
        <w:t>THIS IS NOT A VOTABLE BALLOT</w:t>
      </w:r>
      <w:r>
        <w:rPr>
          <w:rFonts w:ascii="Times New Roman" w:hAnsi="Times New Roman"/>
          <w:sz w:val="32"/>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This is an overview of the proposals being presented at the </w:t>
      </w:r>
    </w:p>
    <w:p>
      <w:pPr>
        <w:pStyle w:val="TextBody"/>
        <w:spacing w:before="0" w:after="0"/>
        <w:jc w:val="left"/>
        <w:rPr>
          <w:rFonts w:ascii="Times New Roman" w:hAnsi="Times New Roman"/>
          <w:sz w:val="20"/>
        </w:rPr>
      </w:pPr>
      <w:r>
        <w:rPr>
          <w:rFonts w:ascii="Times New Roman" w:hAnsi="Times New Roman"/>
          <w:sz w:val="20"/>
        </w:rPr>
        <w:t xml:space="preserve">upcoming stockholder meeting. Please follow the instructions on </w:t>
      </w:r>
    </w:p>
    <w:p>
      <w:pPr>
        <w:pStyle w:val="TextBody"/>
        <w:spacing w:before="0" w:after="0"/>
        <w:jc w:val="left"/>
        <w:rPr>
          <w:rFonts w:ascii="Times New Roman" w:hAnsi="Times New Roman"/>
          <w:sz w:val="20"/>
        </w:rPr>
      </w:pPr>
      <w:r>
        <w:rPr>
          <w:rFonts w:ascii="Times New Roman" w:hAnsi="Times New Roman"/>
          <w:sz w:val="20"/>
        </w:rPr>
        <w:t xml:space="preserve">the reverse side to vote these important matters.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9"/>
        <w:gridCol w:w="132"/>
        <w:gridCol w:w="8425"/>
        <w:gridCol w:w="109"/>
        <w:gridCol w:w="1400"/>
      </w:tblGrid>
      <w:tr>
        <w:trPr/>
        <w:tc>
          <w:tcPr>
            <w:tcW w:w="13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8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8696" w:type="dxa"/>
            <w:gridSpan w:val="3"/>
            <w:tcBorders/>
            <w:shd w:fill="auto" w:val="clear"/>
            <w:vAlign w:val="bottom"/>
          </w:tcPr>
          <w:p>
            <w:pPr>
              <w:pStyle w:val="TableContents"/>
              <w:spacing w:before="0" w:after="283"/>
              <w:rPr>
                <w:b/>
              </w:rPr>
            </w:pPr>
            <w:r>
              <w:rPr>
                <w:b/>
              </w:rPr>
              <w:t>Voting Items</w:t>
            </w:r>
          </w:p>
        </w:tc>
        <w:tc>
          <w:tcPr>
            <w:tcW w:w="109" w:type="dxa"/>
            <w:tcBorders/>
            <w:shd w:fill="auto" w:val="clear"/>
            <w:vAlign w:val="bottom"/>
          </w:tcPr>
          <w:p>
            <w:pPr>
              <w:pStyle w:val="TableContents"/>
              <w:spacing w:before="0" w:after="283"/>
              <w:rPr/>
            </w:pPr>
            <w:r>
              <w:rPr/>
              <w:t> </w:t>
            </w:r>
          </w:p>
        </w:tc>
        <w:tc>
          <w:tcPr>
            <w:tcW w:w="1400" w:type="dxa"/>
            <w:tcBorders/>
            <w:shd w:fill="auto" w:val="clear"/>
          </w:tcPr>
          <w:p>
            <w:pPr>
              <w:pStyle w:val="TableContents"/>
              <w:spacing w:before="0" w:after="283"/>
              <w:jc w:val="center"/>
              <w:rPr>
                <w:b/>
              </w:rPr>
            </w:pPr>
            <w:r>
              <w:rPr>
                <w:b/>
              </w:rPr>
              <w:t>Board</w:t>
              <w:br/>
              <w:t>Recommends</w:t>
            </w:r>
          </w:p>
        </w:tc>
      </w:tr>
      <w:tr>
        <w:trPr>
          <w:trHeight w:val="120" w:hRule="atLeast"/>
        </w:trPr>
        <w:tc>
          <w:tcPr>
            <w:tcW w:w="139" w:type="dxa"/>
            <w:tcBorders/>
            <w:shd w:fill="auto" w:val="clear"/>
            <w:vAlign w:val="center"/>
          </w:tcPr>
          <w:p>
            <w:pPr>
              <w:pStyle w:val="TableContents"/>
              <w:spacing w:before="0" w:after="283"/>
              <w:rPr>
                <w:sz w:val="4"/>
                <w:szCs w:val="4"/>
              </w:rPr>
            </w:pPr>
            <w:r>
              <w:rPr>
                <w:sz w:val="4"/>
                <w:szCs w:val="4"/>
              </w:rPr>
            </w:r>
          </w:p>
        </w:tc>
        <w:tc>
          <w:tcPr>
            <w:tcW w:w="8557" w:type="dxa"/>
            <w:gridSpan w:val="2"/>
            <w:tcBorders/>
            <w:shd w:fill="auto" w:val="clear"/>
            <w:vAlign w:val="center"/>
          </w:tcPr>
          <w:p>
            <w:pPr>
              <w:pStyle w:val="TableContents"/>
              <w:spacing w:before="0" w:after="283"/>
              <w:rPr>
                <w:sz w:val="4"/>
                <w:szCs w:val="4"/>
              </w:rPr>
            </w:pPr>
            <w:r>
              <w:rPr>
                <w:sz w:val="4"/>
                <w:szCs w:val="4"/>
              </w:rPr>
            </w:r>
          </w:p>
        </w:tc>
        <w:tc>
          <w:tcPr>
            <w:tcW w:w="150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139" w:type="dxa"/>
            <w:tcBorders/>
            <w:shd w:fill="auto" w:val="clear"/>
          </w:tcPr>
          <w:p>
            <w:pPr>
              <w:pStyle w:val="TableContents"/>
              <w:spacing w:before="0" w:after="283"/>
              <w:rPr/>
            </w:pPr>
            <w:r>
              <w:rPr/>
              <w:t>1.</w:t>
            </w:r>
          </w:p>
        </w:tc>
        <w:tc>
          <w:tcPr>
            <w:tcW w:w="132" w:type="dxa"/>
            <w:tcBorders/>
            <w:shd w:fill="auto" w:val="clear"/>
            <w:vAlign w:val="bottom"/>
          </w:tcPr>
          <w:p>
            <w:pPr>
              <w:pStyle w:val="TableContents"/>
              <w:spacing w:before="0" w:after="283"/>
              <w:rPr/>
            </w:pPr>
            <w:r>
              <w:rPr/>
              <w:t>  </w:t>
            </w:r>
          </w:p>
        </w:tc>
        <w:tc>
          <w:tcPr>
            <w:tcW w:w="8425" w:type="dxa"/>
            <w:tcBorders/>
            <w:shd w:fill="auto" w:val="clear"/>
          </w:tcPr>
          <w:p>
            <w:pPr>
              <w:pStyle w:val="TableContents"/>
              <w:spacing w:before="0" w:after="283"/>
              <w:rPr/>
            </w:pPr>
            <w:r>
              <w:rPr/>
              <w:t>Election of Directors*</w:t>
            </w:r>
          </w:p>
        </w:tc>
        <w:tc>
          <w:tcPr>
            <w:tcW w:w="109" w:type="dxa"/>
            <w:tcBorders>
              <w:left w:val="single" w:sz="2" w:space="0" w:color="000000"/>
            </w:tcBorders>
            <w:shd w:fill="auto" w:val="clear"/>
            <w:tcMar>
              <w:left w:w="28" w:type="dxa"/>
            </w:tcMar>
            <w:vAlign w:val="bottom"/>
          </w:tcPr>
          <w:p>
            <w:pPr>
              <w:pStyle w:val="TableContents"/>
              <w:spacing w:before="0" w:after="283"/>
              <w:rPr/>
            </w:pPr>
            <w:r>
              <w:rPr/>
              <w:t> </w:t>
            </w:r>
          </w:p>
        </w:tc>
        <w:tc>
          <w:tcPr>
            <w:tcW w:w="1400" w:type="dxa"/>
            <w:tcBorders/>
            <w:shd w:fill="auto" w:val="clear"/>
          </w:tcPr>
          <w:p>
            <w:pPr>
              <w:pStyle w:val="TableContents"/>
              <w:spacing w:before="0" w:after="283"/>
              <w:rPr>
                <w:sz w:val="4"/>
                <w:szCs w:val="4"/>
              </w:rPr>
            </w:pPr>
            <w:r>
              <w:rPr>
                <w:sz w:val="4"/>
                <w:szCs w:val="4"/>
              </w:rPr>
            </w:r>
          </w:p>
        </w:tc>
      </w:tr>
      <w:tr>
        <w:trPr/>
        <w:tc>
          <w:tcPr>
            <w:tcW w:w="139"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8425" w:type="dxa"/>
            <w:tcBorders/>
            <w:shd w:fill="auto" w:val="clear"/>
          </w:tcPr>
          <w:p>
            <w:pPr>
              <w:pStyle w:val="TableContents"/>
              <w:spacing w:before="0" w:after="0"/>
              <w:rPr>
                <w:rFonts w:ascii="Times New Roman" w:hAnsi="Times New Roman"/>
                <w:b/>
                <w:sz w:val="20"/>
              </w:rPr>
            </w:pPr>
            <w:r>
              <w:rPr>
                <w:rFonts w:ascii="Times New Roman" w:hAnsi="Times New Roman"/>
                <w:b/>
                <w:sz w:val="20"/>
              </w:rPr>
              <w:t>Nominees:</w:t>
            </w:r>
          </w:p>
          <w:p>
            <w:pPr>
              <w:pStyle w:val="TableContents"/>
              <w:spacing w:before="0" w:after="20"/>
              <w:rPr/>
            </w:pPr>
            <w:r>
              <w:rPr/>
              <w:t> </w:t>
            </w:r>
          </w:p>
        </w:tc>
        <w:tc>
          <w:tcPr>
            <w:tcW w:w="109" w:type="dxa"/>
            <w:tcBorders>
              <w:left w:val="single" w:sz="2" w:space="0" w:color="000000"/>
            </w:tcBorders>
            <w:shd w:fill="auto" w:val="clear"/>
            <w:tcMar>
              <w:left w:w="28" w:type="dxa"/>
            </w:tcMar>
            <w:vAlign w:val="bottom"/>
          </w:tcPr>
          <w:p>
            <w:pPr>
              <w:pStyle w:val="TableContents"/>
              <w:spacing w:before="0" w:after="283"/>
              <w:rPr/>
            </w:pPr>
            <w:r>
              <w:rPr/>
              <w:t> </w:t>
            </w:r>
          </w:p>
        </w:tc>
        <w:tc>
          <w:tcPr>
            <w:tcW w:w="1400" w:type="dxa"/>
            <w:tcBorders/>
            <w:shd w:fill="auto" w:val="clear"/>
          </w:tcPr>
          <w:p>
            <w:pPr>
              <w:pStyle w:val="TableContents"/>
              <w:spacing w:before="0" w:after="283"/>
              <w:rPr/>
            </w:pPr>
            <w:r>
              <w:rPr/>
              <w:drawing>
                <wp:inline distT="0" distB="0" distL="0" distR="0">
                  <wp:extent cx="152400"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142875"/>
                          </a:xfrm>
                          <a:prstGeom prst="rect">
                            <a:avLst/>
                          </a:prstGeom>
                        </pic:spPr>
                      </pic:pic>
                    </a:graphicData>
                  </a:graphic>
                </wp:inline>
              </w:drawing>
            </w:r>
            <w:r>
              <w:rPr/>
              <w:t xml:space="preserve">  </w:t>
            </w:r>
            <w:r>
              <w:rPr/>
              <w:t>For</w:t>
            </w:r>
          </w:p>
        </w:tc>
      </w:tr>
      <w:tr>
        <w:trPr>
          <w:trHeight w:val="75" w:hRule="atLeast"/>
        </w:trPr>
        <w:tc>
          <w:tcPr>
            <w:tcW w:w="139" w:type="dxa"/>
            <w:tcBorders/>
            <w:shd w:fill="auto" w:val="clear"/>
            <w:vAlign w:val="center"/>
          </w:tcPr>
          <w:p>
            <w:pPr>
              <w:pStyle w:val="TableContents"/>
              <w:spacing w:before="0" w:after="283"/>
              <w:rPr>
                <w:sz w:val="4"/>
                <w:szCs w:val="4"/>
              </w:rPr>
            </w:pPr>
            <w:r>
              <w:rPr>
                <w:sz w:val="4"/>
                <w:szCs w:val="4"/>
              </w:rPr>
            </w:r>
          </w:p>
        </w:tc>
        <w:tc>
          <w:tcPr>
            <w:tcW w:w="8557" w:type="dxa"/>
            <w:gridSpan w:val="2"/>
            <w:tcBorders/>
            <w:shd w:fill="auto" w:val="clear"/>
            <w:vAlign w:val="center"/>
          </w:tcPr>
          <w:p>
            <w:pPr>
              <w:pStyle w:val="TableContents"/>
              <w:spacing w:before="0" w:after="283"/>
              <w:rPr>
                <w:sz w:val="4"/>
                <w:szCs w:val="4"/>
              </w:rPr>
            </w:pPr>
            <w:r>
              <w:rPr>
                <w:sz w:val="4"/>
                <w:szCs w:val="4"/>
              </w:rPr>
            </w:r>
          </w:p>
        </w:tc>
        <w:tc>
          <w:tcPr>
            <w:tcW w:w="150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139"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8425" w:type="dxa"/>
            <w:tcBorders/>
            <w:shd w:fill="auto" w:val="clear"/>
          </w:tcPr>
          <w:p>
            <w:pPr>
              <w:pStyle w:val="TableContents"/>
              <w:spacing w:before="0" w:after="283"/>
              <w:rPr/>
            </w:pPr>
            <w:r>
              <w:rPr/>
              <w:t>01) Hugh E. Sawyer</w:t>
            </w:r>
          </w:p>
        </w:tc>
        <w:tc>
          <w:tcPr>
            <w:tcW w:w="109" w:type="dxa"/>
            <w:tcBorders>
              <w:left w:val="single" w:sz="2" w:space="0" w:color="000000"/>
            </w:tcBorders>
            <w:shd w:fill="auto" w:val="clear"/>
            <w:tcMar>
              <w:left w:w="28" w:type="dxa"/>
            </w:tcMar>
            <w:vAlign w:val="bottom"/>
          </w:tcPr>
          <w:p>
            <w:pPr>
              <w:pStyle w:val="TableContents"/>
              <w:spacing w:before="0" w:after="283"/>
              <w:rPr/>
            </w:pPr>
            <w:r>
              <w:rPr/>
              <w:t> </w:t>
            </w:r>
          </w:p>
        </w:tc>
        <w:tc>
          <w:tcPr>
            <w:tcW w:w="1400" w:type="dxa"/>
            <w:tcBorders/>
            <w:shd w:fill="auto" w:val="clear"/>
          </w:tcPr>
          <w:p>
            <w:pPr>
              <w:pStyle w:val="TableContents"/>
              <w:spacing w:before="0" w:after="283"/>
              <w:rPr>
                <w:sz w:val="4"/>
                <w:szCs w:val="4"/>
              </w:rPr>
            </w:pPr>
            <w:r>
              <w:rPr>
                <w:sz w:val="4"/>
                <w:szCs w:val="4"/>
              </w:rPr>
            </w:r>
          </w:p>
        </w:tc>
      </w:tr>
      <w:tr>
        <w:trPr/>
        <w:tc>
          <w:tcPr>
            <w:tcW w:w="139" w:type="dxa"/>
            <w:tcBorders>
              <w:bottom w:val="single" w:sz="2" w:space="0" w:color="000000"/>
            </w:tcBorders>
            <w:shd w:fill="auto" w:val="clear"/>
            <w:tcMar>
              <w:bottom w:w="28" w:type="dxa"/>
            </w:tcMar>
          </w:tcPr>
          <w:p>
            <w:pPr>
              <w:pStyle w:val="TableContents"/>
              <w:spacing w:before="0" w:after="283"/>
              <w:rPr/>
            </w:pPr>
            <w:r>
              <w:rPr/>
              <w:t> </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8425" w:type="dxa"/>
            <w:tcBorders>
              <w:bottom w:val="single" w:sz="2" w:space="0" w:color="000000"/>
            </w:tcBorders>
            <w:shd w:fill="auto" w:val="clear"/>
            <w:tcMar>
              <w:bottom w:w="80" w:type="dxa"/>
            </w:tcMar>
          </w:tcPr>
          <w:p>
            <w:pPr>
              <w:pStyle w:val="TableContents"/>
              <w:spacing w:before="0" w:after="283"/>
              <w:rPr/>
            </w:pPr>
            <w:r>
              <w:rPr/>
              <w:t>02) Debra L. Zumwalt</w:t>
            </w:r>
          </w:p>
        </w:tc>
        <w:tc>
          <w:tcPr>
            <w:tcW w:w="10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28" w:type="dxa"/>
            </w:tcMar>
          </w:tcPr>
          <w:p>
            <w:pPr>
              <w:pStyle w:val="TableContents"/>
              <w:spacing w:before="0" w:after="283"/>
              <w:rPr/>
            </w:pPr>
            <w:r>
              <w:rPr/>
              <w:t> </w:t>
            </w:r>
          </w:p>
        </w:tc>
      </w:tr>
      <w:tr>
        <w:trPr>
          <w:trHeight w:val="30" w:hRule="atLeast"/>
        </w:trPr>
        <w:tc>
          <w:tcPr>
            <w:tcW w:w="139" w:type="dxa"/>
            <w:tcBorders/>
            <w:shd w:fill="auto" w:val="clear"/>
            <w:vAlign w:val="center"/>
          </w:tcPr>
          <w:p>
            <w:pPr>
              <w:pStyle w:val="TableContents"/>
              <w:spacing w:before="0" w:after="283"/>
              <w:rPr>
                <w:sz w:val="4"/>
                <w:szCs w:val="4"/>
              </w:rPr>
            </w:pPr>
            <w:r>
              <w:rPr>
                <w:sz w:val="4"/>
                <w:szCs w:val="4"/>
              </w:rPr>
            </w:r>
          </w:p>
        </w:tc>
        <w:tc>
          <w:tcPr>
            <w:tcW w:w="8557" w:type="dxa"/>
            <w:gridSpan w:val="2"/>
            <w:tcBorders/>
            <w:shd w:fill="auto" w:val="clear"/>
            <w:vAlign w:val="center"/>
          </w:tcPr>
          <w:p>
            <w:pPr>
              <w:pStyle w:val="TableContents"/>
              <w:spacing w:before="0" w:after="283"/>
              <w:rPr>
                <w:sz w:val="4"/>
                <w:szCs w:val="4"/>
              </w:rPr>
            </w:pPr>
            <w:r>
              <w:rPr>
                <w:sz w:val="4"/>
                <w:szCs w:val="4"/>
              </w:rPr>
            </w:r>
          </w:p>
        </w:tc>
        <w:tc>
          <w:tcPr>
            <w:tcW w:w="150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139" w:type="dxa"/>
            <w:tcBorders>
              <w:bottom w:val="single" w:sz="2" w:space="0" w:color="000000"/>
            </w:tcBorders>
            <w:shd w:fill="auto" w:val="clear"/>
            <w:tcMar>
              <w:bottom w:w="40" w:type="dxa"/>
            </w:tcMar>
          </w:tcPr>
          <w:p>
            <w:pPr>
              <w:pStyle w:val="TableContents"/>
              <w:spacing w:before="0" w:after="283"/>
              <w:rPr/>
            </w:pPr>
            <w:r>
              <w:rPr/>
              <w:t>2.</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8425" w:type="dxa"/>
            <w:tcBorders>
              <w:bottom w:val="single" w:sz="2" w:space="0" w:color="000000"/>
            </w:tcBorders>
            <w:shd w:fill="auto" w:val="clear"/>
            <w:tcMar>
              <w:bottom w:w="40" w:type="dxa"/>
            </w:tcMar>
          </w:tcPr>
          <w:p>
            <w:pPr>
              <w:pStyle w:val="TableContents"/>
              <w:spacing w:before="0" w:after="283"/>
              <w:rPr/>
            </w:pPr>
            <w:r>
              <w:rPr/>
              <w:t xml:space="preserve">To approve an amendment to the Companys Amended and Restated 2012 Omnibus Incentive Plan. </w:t>
            </w:r>
          </w:p>
        </w:tc>
        <w:tc>
          <w:tcPr>
            <w:tcW w:w="10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tcPr>
          <w:p>
            <w:pPr>
              <w:pStyle w:val="TableContents"/>
              <w:spacing w:before="0" w:after="283"/>
              <w:rPr/>
            </w:pPr>
            <w:r>
              <w:rPr/>
              <w:drawing>
                <wp:inline distT="0" distB="0" distL="0" distR="0">
                  <wp:extent cx="152400"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142875"/>
                          </a:xfrm>
                          <a:prstGeom prst="rect">
                            <a:avLst/>
                          </a:prstGeom>
                        </pic:spPr>
                      </pic:pic>
                    </a:graphicData>
                  </a:graphic>
                </wp:inline>
              </w:drawing>
            </w:r>
            <w:r>
              <w:rPr/>
              <w:t xml:space="preserve">  </w:t>
            </w:r>
            <w:r>
              <w:rPr/>
              <w:t>For</w:t>
            </w:r>
          </w:p>
        </w:tc>
      </w:tr>
      <w:tr>
        <w:trPr>
          <w:trHeight w:val="30" w:hRule="atLeast"/>
        </w:trPr>
        <w:tc>
          <w:tcPr>
            <w:tcW w:w="139" w:type="dxa"/>
            <w:tcBorders/>
            <w:shd w:fill="auto" w:val="clear"/>
            <w:vAlign w:val="center"/>
          </w:tcPr>
          <w:p>
            <w:pPr>
              <w:pStyle w:val="TableContents"/>
              <w:spacing w:before="0" w:after="283"/>
              <w:rPr>
                <w:sz w:val="4"/>
                <w:szCs w:val="4"/>
              </w:rPr>
            </w:pPr>
            <w:r>
              <w:rPr>
                <w:sz w:val="4"/>
                <w:szCs w:val="4"/>
              </w:rPr>
            </w:r>
          </w:p>
        </w:tc>
        <w:tc>
          <w:tcPr>
            <w:tcW w:w="8557" w:type="dxa"/>
            <w:gridSpan w:val="2"/>
            <w:tcBorders/>
            <w:shd w:fill="auto" w:val="clear"/>
            <w:vAlign w:val="center"/>
          </w:tcPr>
          <w:p>
            <w:pPr>
              <w:pStyle w:val="TableContents"/>
              <w:spacing w:before="0" w:after="283"/>
              <w:rPr>
                <w:sz w:val="4"/>
                <w:szCs w:val="4"/>
              </w:rPr>
            </w:pPr>
            <w:r>
              <w:rPr>
                <w:sz w:val="4"/>
                <w:szCs w:val="4"/>
              </w:rPr>
            </w:r>
          </w:p>
        </w:tc>
        <w:tc>
          <w:tcPr>
            <w:tcW w:w="150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139" w:type="dxa"/>
            <w:tcBorders>
              <w:bottom w:val="single" w:sz="2" w:space="0" w:color="000000"/>
            </w:tcBorders>
            <w:shd w:fill="auto" w:val="clear"/>
            <w:tcMar>
              <w:bottom w:w="40" w:type="dxa"/>
            </w:tcMar>
          </w:tcPr>
          <w:p>
            <w:pPr>
              <w:pStyle w:val="TableContents"/>
              <w:spacing w:before="0" w:after="283"/>
              <w:rPr/>
            </w:pPr>
            <w:r>
              <w:rPr/>
              <w:t>3.</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8425" w:type="dxa"/>
            <w:tcBorders>
              <w:bottom w:val="single" w:sz="2" w:space="0" w:color="000000"/>
            </w:tcBorders>
            <w:shd w:fill="auto" w:val="clear"/>
            <w:tcMar>
              <w:bottom w:w="40" w:type="dxa"/>
            </w:tcMar>
          </w:tcPr>
          <w:p>
            <w:pPr>
              <w:pStyle w:val="TableContents"/>
              <w:spacing w:before="0" w:after="283"/>
              <w:rPr/>
            </w:pPr>
            <w:r>
              <w:rPr/>
              <w:t xml:space="preserve">An advisory vote to approve the Companys executive compensation. </w:t>
            </w:r>
          </w:p>
        </w:tc>
        <w:tc>
          <w:tcPr>
            <w:tcW w:w="10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tcPr>
          <w:p>
            <w:pPr>
              <w:pStyle w:val="TableContents"/>
              <w:spacing w:before="0" w:after="283"/>
              <w:rPr/>
            </w:pPr>
            <w:r>
              <w:rPr/>
              <w:drawing>
                <wp:inline distT="0" distB="0" distL="0" distR="0">
                  <wp:extent cx="152400"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 cy="142875"/>
                          </a:xfrm>
                          <a:prstGeom prst="rect">
                            <a:avLst/>
                          </a:prstGeom>
                        </pic:spPr>
                      </pic:pic>
                    </a:graphicData>
                  </a:graphic>
                </wp:inline>
              </w:drawing>
            </w:r>
            <w:r>
              <w:rPr/>
              <w:t xml:space="preserve">  </w:t>
            </w:r>
            <w:r>
              <w:rPr/>
              <w:t>For</w:t>
            </w:r>
          </w:p>
        </w:tc>
      </w:tr>
      <w:tr>
        <w:trPr>
          <w:trHeight w:val="30" w:hRule="atLeast"/>
        </w:trPr>
        <w:tc>
          <w:tcPr>
            <w:tcW w:w="139" w:type="dxa"/>
            <w:tcBorders/>
            <w:shd w:fill="auto" w:val="clear"/>
            <w:vAlign w:val="center"/>
          </w:tcPr>
          <w:p>
            <w:pPr>
              <w:pStyle w:val="TableContents"/>
              <w:spacing w:before="0" w:after="283"/>
              <w:rPr>
                <w:sz w:val="4"/>
                <w:szCs w:val="4"/>
              </w:rPr>
            </w:pPr>
            <w:r>
              <w:rPr>
                <w:sz w:val="4"/>
                <w:szCs w:val="4"/>
              </w:rPr>
            </w:r>
          </w:p>
        </w:tc>
        <w:tc>
          <w:tcPr>
            <w:tcW w:w="8557" w:type="dxa"/>
            <w:gridSpan w:val="2"/>
            <w:tcBorders/>
            <w:shd w:fill="auto" w:val="clear"/>
            <w:vAlign w:val="center"/>
          </w:tcPr>
          <w:p>
            <w:pPr>
              <w:pStyle w:val="TableContents"/>
              <w:spacing w:before="0" w:after="283"/>
              <w:rPr>
                <w:sz w:val="4"/>
                <w:szCs w:val="4"/>
              </w:rPr>
            </w:pPr>
            <w:r>
              <w:rPr>
                <w:sz w:val="4"/>
                <w:szCs w:val="4"/>
              </w:rPr>
            </w:r>
          </w:p>
        </w:tc>
        <w:tc>
          <w:tcPr>
            <w:tcW w:w="1509" w:type="dxa"/>
            <w:gridSpan w:val="2"/>
            <w:tcBorders>
              <w:left w:val="single" w:sz="2" w:space="0" w:color="000000"/>
            </w:tcBorders>
            <w:shd w:fill="auto" w:val="clear"/>
            <w:tcMar>
              <w:left w:w="28" w:type="dxa"/>
            </w:tcMar>
            <w:vAlign w:val="center"/>
          </w:tcPr>
          <w:p>
            <w:pPr>
              <w:pStyle w:val="TableContents"/>
              <w:spacing w:before="0" w:after="283"/>
              <w:rPr/>
            </w:pPr>
            <w:r>
              <w:rPr/>
              <w:t> </w:t>
            </w:r>
          </w:p>
        </w:tc>
      </w:tr>
      <w:tr>
        <w:trPr/>
        <w:tc>
          <w:tcPr>
            <w:tcW w:w="139" w:type="dxa"/>
            <w:tcBorders>
              <w:bottom w:val="single" w:sz="2" w:space="0" w:color="000000"/>
            </w:tcBorders>
            <w:shd w:fill="auto" w:val="clear"/>
            <w:tcMar>
              <w:bottom w:w="40" w:type="dxa"/>
            </w:tcMar>
          </w:tcPr>
          <w:p>
            <w:pPr>
              <w:pStyle w:val="TableContents"/>
              <w:spacing w:before="0" w:after="283"/>
              <w:rPr/>
            </w:pPr>
            <w:r>
              <w:rPr/>
              <w:t>4.</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8425" w:type="dxa"/>
            <w:tcBorders>
              <w:bottom w:val="single" w:sz="2" w:space="0" w:color="000000"/>
            </w:tcBorders>
            <w:shd w:fill="auto" w:val="clear"/>
            <w:tcMar>
              <w:bottom w:w="40" w:type="dxa"/>
            </w:tcMar>
          </w:tcPr>
          <w:p>
            <w:pPr>
              <w:pStyle w:val="TableContents"/>
              <w:spacing w:before="0" w:after="283"/>
              <w:rPr/>
            </w:pPr>
            <w:r>
              <w:rPr/>
              <w:t>To ratify the appointment of PricewaterhouseCoopers LLP as the Companys independent registered public accounting firm for the fiscal year ending December 31, 2021.</w:t>
            </w:r>
          </w:p>
        </w:tc>
        <w:tc>
          <w:tcPr>
            <w:tcW w:w="10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tcPr>
          <w:p>
            <w:pPr>
              <w:pStyle w:val="TableContents"/>
              <w:spacing w:before="0" w:after="283"/>
              <w:rPr/>
            </w:pPr>
            <w:r>
              <w:rPr/>
              <w:drawing>
                <wp:inline distT="0" distB="0" distL="0" distR="0">
                  <wp:extent cx="152400"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 cy="142875"/>
                          </a:xfrm>
                          <a:prstGeom prst="rect">
                            <a:avLst/>
                          </a:prstGeom>
                        </pic:spPr>
                      </pic:pic>
                    </a:graphicData>
                  </a:graphic>
                </wp:inline>
              </w:drawing>
            </w:r>
            <w:r>
              <w:rPr/>
              <w:t xml:space="preserve">  </w:t>
            </w:r>
            <w:r>
              <w:rPr/>
              <w:t>For</w:t>
            </w:r>
          </w:p>
        </w:tc>
      </w:tr>
      <w:tr>
        <w:trPr>
          <w:trHeight w:val="3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bottom w:val="single" w:sz="2" w:space="0" w:color="000000"/>
            </w:tcBorders>
            <w:shd w:fill="auto" w:val="clear"/>
            <w:tcMar>
              <w:bottom w:w="40" w:type="dxa"/>
            </w:tcMar>
          </w:tcPr>
          <w:p>
            <w:pPr>
              <w:pStyle w:val="TableContents"/>
              <w:spacing w:before="0" w:after="283"/>
              <w:rPr/>
            </w:pPr>
            <w:r>
              <w:rPr>
                <w:b/>
              </w:rPr>
              <w:t>NOTE:</w:t>
            </w:r>
            <w:r>
              <w:rPr/>
              <w:t xml:space="preserve"> Such other business as may properly come before the meeting or any adjournment thereof. *Nominated by the Board of Directors to serve as Class II Directors.</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7524750" cy="228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524750" cy="228600"/>
                    </a:xfrm>
                    <a:prstGeom prst="rect">
                      <a:avLst/>
                    </a:prstGeom>
                  </pic:spPr>
                </pic:pic>
              </a:graphicData>
            </a:graphic>
          </wp:inline>
        </w:drawing>
      </w:r>
      <w:r>
        <w:rPr/>
        <w:t xml:space="preserve"> </w:t>
      </w:r>
    </w:p>
    <w:p>
      <w:pPr>
        <w:pStyle w:val="TextBody"/>
        <w:spacing w:before="360" w:after="0"/>
        <w:jc w:val="center"/>
        <w:rPr>
          <w:rFonts w:ascii="Times New Roman" w:hAnsi="Times New Roman"/>
          <w:sz w:val="20"/>
        </w:rPr>
      </w:pPr>
      <w:r>
        <w:rPr>
          <w:rFonts w:ascii="Times New Roman" w:hAnsi="Times New Roman"/>
          <w:sz w:val="20"/>
        </w:rPr>
        <w:t xml:space="preserve">D36744-P49950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598</Words>
  <CharactersWithSpaces>3808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