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April 25, 2012</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Huron Consulting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020" w:type="dxa"/>
            <w:vAlign w:val="bottom"/>
          </w:tcPr>
          <w:p>
            <w:pPr>
              <w:jc w:val="center"/>
              <w:ind w:right="2402"/>
              <w:spacing w:after="0"/>
              <w:rPr>
                <w:sz w:val="20"/>
                <w:szCs w:val="20"/>
                <w:color w:val="auto"/>
              </w:rPr>
            </w:pPr>
            <w:r>
              <w:rPr>
                <w:rFonts w:ascii="Arial" w:cs="Arial" w:eastAsia="Arial" w:hAnsi="Arial"/>
                <w:sz w:val="18"/>
                <w:szCs w:val="18"/>
                <w:b w:val="1"/>
                <w:bCs w:val="1"/>
                <w:color w:val="auto"/>
                <w:w w:val="88"/>
              </w:rPr>
              <w:t>Delaware</w:t>
            </w:r>
          </w:p>
        </w:tc>
        <w:tc>
          <w:tcPr>
            <w:tcW w:w="2380" w:type="dxa"/>
            <w:vAlign w:val="bottom"/>
          </w:tcPr>
          <w:p>
            <w:pPr>
              <w:ind w:left="260"/>
              <w:spacing w:after="0"/>
              <w:rPr>
                <w:sz w:val="20"/>
                <w:szCs w:val="20"/>
                <w:color w:val="auto"/>
              </w:rPr>
            </w:pPr>
            <w:r>
              <w:rPr>
                <w:rFonts w:ascii="Arial" w:cs="Arial" w:eastAsia="Arial" w:hAnsi="Arial"/>
                <w:sz w:val="18"/>
                <w:szCs w:val="18"/>
                <w:b w:val="1"/>
                <w:bCs w:val="1"/>
                <w:color w:val="auto"/>
              </w:rPr>
              <w:t>000-50976</w:t>
            </w:r>
          </w:p>
        </w:tc>
        <w:tc>
          <w:tcPr>
            <w:tcW w:w="2680" w:type="dxa"/>
            <w:vAlign w:val="bottom"/>
          </w:tcPr>
          <w:p>
            <w:pPr>
              <w:jc w:val="right"/>
              <w:ind w:right="164"/>
              <w:spacing w:after="0"/>
              <w:rPr>
                <w:sz w:val="20"/>
                <w:szCs w:val="20"/>
                <w:color w:val="auto"/>
              </w:rPr>
            </w:pPr>
            <w:r>
              <w:rPr>
                <w:rFonts w:ascii="Arial" w:cs="Arial" w:eastAsia="Arial" w:hAnsi="Arial"/>
                <w:sz w:val="18"/>
                <w:szCs w:val="18"/>
                <w:b w:val="1"/>
                <w:bCs w:val="1"/>
                <w:color w:val="auto"/>
              </w:rPr>
              <w:t>01-0666114</w:t>
            </w:r>
          </w:p>
        </w:tc>
      </w:tr>
      <w:tr>
        <w:trPr>
          <w:trHeight w:val="149"/>
        </w:trPr>
        <w:tc>
          <w:tcPr>
            <w:tcW w:w="4020" w:type="dxa"/>
            <w:vAlign w:val="bottom"/>
          </w:tcPr>
          <w:p>
            <w:pPr>
              <w:jc w:val="center"/>
              <w:ind w:right="240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3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(Commission</w:t>
            </w:r>
          </w:p>
        </w:tc>
        <w:tc>
          <w:tcPr>
            <w:tcW w:w="2680" w:type="dxa"/>
            <w:vAlign w:val="bottom"/>
          </w:tcPr>
          <w:p>
            <w:pPr>
              <w:jc w:val="center"/>
              <w:ind w:left="12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20" w:type="dxa"/>
            <w:vAlign w:val="bottom"/>
          </w:tcPr>
          <w:p>
            <w:pPr>
              <w:jc w:val="center"/>
              <w:ind w:right="2402"/>
              <w:spacing w:after="0"/>
              <w:rPr>
                <w:sz w:val="20"/>
                <w:szCs w:val="20"/>
                <w:color w:val="auto"/>
              </w:rPr>
            </w:pPr>
            <w:r>
              <w:rPr>
                <w:rFonts w:ascii="Arial" w:cs="Arial" w:eastAsia="Arial" w:hAnsi="Arial"/>
                <w:sz w:val="14"/>
                <w:szCs w:val="14"/>
                <w:b w:val="1"/>
                <w:bCs w:val="1"/>
                <w:color w:val="auto"/>
                <w:w w:val="87"/>
              </w:rPr>
              <w:t>of incorporation)</w:t>
            </w:r>
          </w:p>
        </w:tc>
        <w:tc>
          <w:tcPr>
            <w:tcW w:w="2380" w:type="dxa"/>
            <w:vAlign w:val="bottom"/>
          </w:tcPr>
          <w:p>
            <w:pPr>
              <w:ind w:left="260"/>
              <w:spacing w:after="0"/>
              <w:rPr>
                <w:sz w:val="20"/>
                <w:szCs w:val="20"/>
                <w:color w:val="auto"/>
              </w:rPr>
            </w:pPr>
            <w:r>
              <w:rPr>
                <w:rFonts w:ascii="Arial" w:cs="Arial" w:eastAsia="Arial" w:hAnsi="Arial"/>
                <w:sz w:val="14"/>
                <w:szCs w:val="14"/>
                <w:b w:val="1"/>
                <w:bCs w:val="1"/>
                <w:color w:val="auto"/>
              </w:rPr>
              <w:t>File Number)</w:t>
            </w:r>
          </w:p>
        </w:tc>
        <w:tc>
          <w:tcPr>
            <w:tcW w:w="2680" w:type="dxa"/>
            <w:vAlign w:val="bottom"/>
          </w:tcPr>
          <w:p>
            <w:pPr>
              <w:jc w:val="center"/>
              <w:ind w:left="1264"/>
              <w:spacing w:after="0"/>
              <w:rPr>
                <w:sz w:val="20"/>
                <w:szCs w:val="20"/>
                <w:color w:val="auto"/>
              </w:rPr>
            </w:pPr>
            <w:r>
              <w:rPr>
                <w:rFonts w:ascii="Arial" w:cs="Arial" w:eastAsia="Arial" w:hAnsi="Arial"/>
                <w:sz w:val="14"/>
                <w:szCs w:val="14"/>
                <w:b w:val="1"/>
                <w:bCs w:val="1"/>
                <w:color w:val="auto"/>
                <w:w w:val="90"/>
              </w:rPr>
              <w:t>Identification Number)</w:t>
            </w:r>
          </w:p>
        </w:tc>
      </w:tr>
      <w:tr>
        <w:trPr>
          <w:trHeight w:val="418"/>
        </w:trPr>
        <w:tc>
          <w:tcPr>
            <w:tcW w:w="4020" w:type="dxa"/>
            <w:vAlign w:val="bottom"/>
          </w:tcPr>
          <w:p>
            <w:pPr>
              <w:jc w:val="center"/>
              <w:ind w:left="1202"/>
              <w:spacing w:after="0"/>
              <w:rPr>
                <w:sz w:val="20"/>
                <w:szCs w:val="20"/>
                <w:color w:val="auto"/>
              </w:rPr>
            </w:pPr>
            <w:r>
              <w:rPr>
                <w:rFonts w:ascii="Arial" w:cs="Arial" w:eastAsia="Arial" w:hAnsi="Arial"/>
                <w:sz w:val="18"/>
                <w:szCs w:val="18"/>
                <w:b w:val="1"/>
                <w:bCs w:val="1"/>
                <w:color w:val="auto"/>
                <w:w w:val="88"/>
              </w:rPr>
              <w:t>550 West Van Buren Street</w:t>
            </w:r>
          </w:p>
        </w:tc>
        <w:tc>
          <w:tcPr>
            <w:tcW w:w="23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31"/>
        </w:trPr>
        <w:tc>
          <w:tcPr>
            <w:tcW w:w="4020" w:type="dxa"/>
            <w:vAlign w:val="bottom"/>
          </w:tcPr>
          <w:p>
            <w:pPr>
              <w:jc w:val="center"/>
              <w:ind w:left="1202"/>
              <w:spacing w:after="0"/>
              <w:rPr>
                <w:sz w:val="20"/>
                <w:szCs w:val="20"/>
                <w:color w:val="auto"/>
              </w:rPr>
            </w:pPr>
            <w:r>
              <w:rPr>
                <w:rFonts w:ascii="Arial" w:cs="Arial" w:eastAsia="Arial" w:hAnsi="Arial"/>
                <w:sz w:val="18"/>
                <w:szCs w:val="18"/>
                <w:b w:val="1"/>
                <w:bCs w:val="1"/>
                <w:color w:val="auto"/>
                <w:w w:val="88"/>
              </w:rPr>
              <w:t>Chicago, Illinois</w:t>
            </w:r>
          </w:p>
        </w:tc>
        <w:tc>
          <w:tcPr>
            <w:tcW w:w="2380" w:type="dxa"/>
            <w:vAlign w:val="bottom"/>
          </w:tcPr>
          <w:p>
            <w:pPr>
              <w:spacing w:after="0"/>
              <w:rPr>
                <w:sz w:val="20"/>
                <w:szCs w:val="20"/>
                <w:color w:val="auto"/>
              </w:rPr>
            </w:pPr>
          </w:p>
        </w:tc>
        <w:tc>
          <w:tcPr>
            <w:tcW w:w="2680" w:type="dxa"/>
            <w:vAlign w:val="bottom"/>
          </w:tcPr>
          <w:p>
            <w:pPr>
              <w:jc w:val="right"/>
              <w:ind w:right="364"/>
              <w:spacing w:after="0"/>
              <w:rPr>
                <w:sz w:val="20"/>
                <w:szCs w:val="20"/>
                <w:color w:val="auto"/>
              </w:rPr>
            </w:pPr>
            <w:r>
              <w:rPr>
                <w:rFonts w:ascii="Arial" w:cs="Arial" w:eastAsia="Arial" w:hAnsi="Arial"/>
                <w:sz w:val="18"/>
                <w:szCs w:val="18"/>
                <w:b w:val="1"/>
                <w:bCs w:val="1"/>
                <w:color w:val="auto"/>
              </w:rPr>
              <w:t>60607</w:t>
            </w:r>
          </w:p>
        </w:tc>
      </w:tr>
      <w:tr>
        <w:trPr>
          <w:trHeight w:val="174"/>
        </w:trPr>
        <w:tc>
          <w:tcPr>
            <w:tcW w:w="4020" w:type="dxa"/>
            <w:vAlign w:val="bottom"/>
          </w:tcPr>
          <w:p>
            <w:pPr>
              <w:jc w:val="center"/>
              <w:ind w:left="12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80" w:type="dxa"/>
            <w:vAlign w:val="bottom"/>
          </w:tcPr>
          <w:p>
            <w:pPr>
              <w:spacing w:after="0"/>
              <w:rPr>
                <w:sz w:val="15"/>
                <w:szCs w:val="15"/>
                <w:color w:val="auto"/>
              </w:rPr>
            </w:pPr>
          </w:p>
        </w:tc>
        <w:tc>
          <w:tcPr>
            <w:tcW w:w="2680" w:type="dxa"/>
            <w:vAlign w:val="bottom"/>
          </w:tcPr>
          <w:p>
            <w:pPr>
              <w:jc w:val="center"/>
              <w:ind w:left="1264"/>
              <w:spacing w:after="0"/>
              <w:rPr>
                <w:sz w:val="20"/>
                <w:szCs w:val="20"/>
                <w:color w:val="auto"/>
              </w:rPr>
            </w:pPr>
            <w:r>
              <w:rPr>
                <w:rFonts w:ascii="Arial" w:cs="Arial" w:eastAsia="Arial" w:hAnsi="Arial"/>
                <w:sz w:val="14"/>
                <w:szCs w:val="14"/>
                <w:b w:val="1"/>
                <w:bCs w:val="1"/>
                <w:color w:val="auto"/>
                <w:w w:val="89"/>
              </w:rPr>
              <w:t>(Zip Code)</w:t>
            </w:r>
          </w:p>
        </w:tc>
      </w:tr>
    </w:tbl>
    <w:p>
      <w:pPr>
        <w:spacing w:after="0" w:line="14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(312) 583-8700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On April 25, 2012, Huron Consulting Group Inc. (the “Company”) issued a press release announcing its financial results for the quarter ended March 31, 2012. A copy of the press release is furnished as Exhibit 99.1 to this Current Report on Form 8-K and is incorporated in this report as if fully set forth herein.</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information furnished pursuant to this Item 2.02 and the attached Exhibit 99.1 shall not be deemed filed for purposes of Section 18 of the Securities Exchange Act of 1934 or otherwise subject to the liabilities of that section, nor shall it be deemed incorporated by reference in any filing under the Securities Act of 1933, except as shall be expressly set forth by specific reference in such filing.</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 Exhibits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April 25, 2012</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74"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Huron Consulting Group Inc.</w:t>
            </w:r>
          </w:p>
        </w:tc>
      </w:tr>
      <w:tr>
        <w:trPr>
          <w:trHeight w:val="217"/>
        </w:trPr>
        <w:tc>
          <w:tcPr>
            <w:tcW w:w="36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89"/>
              </w:rPr>
              <w:t>(Registrant)</w:t>
            </w:r>
          </w:p>
        </w:tc>
      </w:tr>
      <w:tr>
        <w:trPr>
          <w:trHeight w:val="627"/>
        </w:trPr>
        <w:tc>
          <w:tcPr>
            <w:tcW w:w="3620" w:type="dxa"/>
            <w:vAlign w:val="bottom"/>
          </w:tcPr>
          <w:p>
            <w:pPr>
              <w:spacing w:after="0"/>
              <w:rPr>
                <w:sz w:val="20"/>
                <w:szCs w:val="20"/>
                <w:color w:val="auto"/>
              </w:rPr>
            </w:pPr>
            <w:r>
              <w:rPr>
                <w:rFonts w:ascii="Arial" w:cs="Arial" w:eastAsia="Arial" w:hAnsi="Arial"/>
                <w:sz w:val="18"/>
                <w:szCs w:val="18"/>
                <w:color w:val="auto"/>
              </w:rPr>
              <w:t>Date:  April 25, 2012</w:t>
            </w:r>
          </w:p>
        </w:tc>
        <w:tc>
          <w:tcPr>
            <w:tcW w:w="3240" w:type="dxa"/>
            <w:vAlign w:val="bottom"/>
          </w:tcPr>
          <w:p>
            <w:pPr>
              <w:spacing w:after="0"/>
              <w:rPr>
                <w:sz w:val="24"/>
                <w:szCs w:val="24"/>
                <w:color w:val="auto"/>
              </w:rPr>
            </w:pPr>
          </w:p>
        </w:tc>
        <w:tc>
          <w:tcPr>
            <w:tcW w:w="456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color w:val="auto"/>
                <w:w w:val="89"/>
              </w:rPr>
              <w:t>/s/ C. Mark Hussey</w:t>
            </w:r>
          </w:p>
        </w:tc>
      </w:tr>
      <w:tr>
        <w:trPr>
          <w:trHeight w:val="202"/>
        </w:trPr>
        <w:tc>
          <w:tcPr>
            <w:tcW w:w="36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560" w:type="dxa"/>
            <w:vAlign w:val="bottom"/>
          </w:tcPr>
          <w:p>
            <w:pPr>
              <w:jc w:val="center"/>
              <w:ind w:left="32"/>
              <w:spacing w:after="0" w:line="202" w:lineRule="exact"/>
              <w:rPr>
                <w:sz w:val="20"/>
                <w:szCs w:val="20"/>
                <w:color w:val="auto"/>
              </w:rPr>
            </w:pPr>
            <w:r>
              <w:rPr>
                <w:rFonts w:ascii="Arial" w:cs="Arial" w:eastAsia="Arial" w:hAnsi="Arial"/>
                <w:sz w:val="18"/>
                <w:szCs w:val="18"/>
                <w:color w:val="auto"/>
                <w:w w:val="90"/>
              </w:rPr>
              <w:t>C. Mark Hussey</w:t>
            </w:r>
          </w:p>
        </w:tc>
      </w:tr>
      <w:tr>
        <w:trPr>
          <w:trHeight w:val="216"/>
        </w:trPr>
        <w:tc>
          <w:tcPr>
            <w:tcW w:w="36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560" w:type="dxa"/>
            <w:vAlign w:val="bottom"/>
          </w:tcPr>
          <w:p>
            <w:pPr>
              <w:jc w:val="center"/>
              <w:ind w:left="32"/>
              <w:spacing w:after="0"/>
              <w:rPr>
                <w:sz w:val="20"/>
                <w:szCs w:val="20"/>
                <w:color w:val="auto"/>
              </w:rPr>
            </w:pPr>
            <w:r>
              <w:rPr>
                <w:rFonts w:ascii="Arial" w:cs="Arial" w:eastAsia="Arial" w:hAnsi="Arial"/>
                <w:sz w:val="18"/>
                <w:szCs w:val="18"/>
                <w:color w:val="auto"/>
                <w:w w:val="89"/>
              </w:rPr>
              <w:t>Executive Vice President, Chief</w:t>
            </w:r>
          </w:p>
        </w:tc>
      </w:tr>
      <w:tr>
        <w:trPr>
          <w:trHeight w:val="222"/>
        </w:trPr>
        <w:tc>
          <w:tcPr>
            <w:tcW w:w="36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560" w:type="dxa"/>
            <w:vAlign w:val="bottom"/>
          </w:tcPr>
          <w:p>
            <w:pPr>
              <w:jc w:val="center"/>
              <w:ind w:left="32"/>
              <w:spacing w:after="0"/>
              <w:rPr>
                <w:sz w:val="20"/>
                <w:szCs w:val="20"/>
                <w:color w:val="auto"/>
              </w:rPr>
            </w:pPr>
            <w:r>
              <w:rPr>
                <w:rFonts w:ascii="Arial" w:cs="Arial" w:eastAsia="Arial" w:hAnsi="Arial"/>
                <w:sz w:val="18"/>
                <w:szCs w:val="18"/>
                <w:color w:val="auto"/>
                <w:w w:val="88"/>
              </w:rPr>
              <w:t>Financial Officer and Treasurer</w:t>
            </w:r>
          </w:p>
        </w:tc>
      </w:tr>
      <w:tr>
        <w:trPr>
          <w:trHeight w:val="365"/>
        </w:trPr>
        <w:tc>
          <w:tcPr>
            <w:tcW w:w="3620" w:type="dxa"/>
            <w:vAlign w:val="bottom"/>
          </w:tcPr>
          <w:p>
            <w:pPr>
              <w:spacing w:after="0"/>
              <w:rPr>
                <w:sz w:val="24"/>
                <w:szCs w:val="24"/>
                <w:color w:val="auto"/>
              </w:rPr>
            </w:pPr>
          </w:p>
        </w:tc>
        <w:tc>
          <w:tcPr>
            <w:tcW w:w="3240" w:type="dxa"/>
            <w:vAlign w:val="bottom"/>
          </w:tcPr>
          <w:p>
            <w:pPr>
              <w:jc w:val="right"/>
              <w:ind w:right="952"/>
              <w:spacing w:after="0"/>
              <w:rPr>
                <w:sz w:val="20"/>
                <w:szCs w:val="20"/>
                <w:color w:val="auto"/>
              </w:rPr>
            </w:pPr>
            <w:r>
              <w:rPr>
                <w:rFonts w:ascii="Arial" w:cs="Arial" w:eastAsia="Arial" w:hAnsi="Arial"/>
                <w:sz w:val="18"/>
                <w:szCs w:val="18"/>
                <w:color w:val="auto"/>
              </w:rPr>
              <w:t>-2-</w:t>
            </w:r>
          </w:p>
        </w:tc>
        <w:tc>
          <w:tcPr>
            <w:tcW w:w="45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118110</wp:posOffset>
            </wp:positionV>
            <wp:extent cx="4948555" cy="634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4855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25, 2012</w:t>
      </w:r>
    </w:p>
    <w:p>
      <w:pPr>
        <w:spacing w:after="0" w:line="132"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Huron Consulting Group Announces</w:t>
      </w:r>
    </w:p>
    <w:p>
      <w:pPr>
        <w:spacing w:after="0" w:line="2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First Quarter 2012 Financial Results</w:t>
      </w:r>
    </w:p>
    <w:p>
      <w:pPr>
        <w:spacing w:after="0" w:line="205"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Revenues increased to $138.6 million for Q1 2012 compared to $136.6 million in Q1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Diluted earnings per share from continuing operations for Q1 2012 was $0.03 compared to $0.16 in Q1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diluted earnings per share from continuing operations</w:t>
      </w:r>
      <w:r>
        <w:rPr>
          <w:rFonts w:ascii="Arial" w:cs="Arial" w:eastAsia="Arial" w:hAnsi="Arial"/>
          <w:sz w:val="10"/>
          <w:szCs w:val="10"/>
          <w:color w:val="auto"/>
        </w:rPr>
        <w:t>(6)</w:t>
      </w:r>
      <w:r>
        <w:rPr>
          <w:rFonts w:ascii="Arial" w:cs="Arial" w:eastAsia="Arial" w:hAnsi="Arial"/>
          <w:sz w:val="16"/>
          <w:szCs w:val="16"/>
          <w:color w:val="auto"/>
        </w:rPr>
        <w:t>, a non-GAAP measure, was $0.13 in Q1 2012 compared to $0.29 in Q1 2011.</w:t>
      </w:r>
    </w:p>
    <w:p>
      <w:pPr>
        <w:spacing w:after="0" w:line="113" w:lineRule="exact"/>
        <w:rPr>
          <w:rFonts w:ascii="Arial" w:cs="Arial" w:eastAsia="Arial" w:hAnsi="Arial"/>
          <w:sz w:val="16"/>
          <w:szCs w:val="16"/>
          <w:color w:val="auto"/>
        </w:rPr>
      </w:pPr>
    </w:p>
    <w:p>
      <w:pPr>
        <w:ind w:left="900" w:right="6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Average number of full-time billable consultants</w:t>
      </w:r>
      <w:r>
        <w:rPr>
          <w:rFonts w:ascii="Arial" w:cs="Arial" w:eastAsia="Arial" w:hAnsi="Arial"/>
          <w:sz w:val="11"/>
          <w:szCs w:val="11"/>
          <w:color w:val="auto"/>
        </w:rPr>
        <w:t>(2)</w:t>
      </w:r>
      <w:r>
        <w:rPr>
          <w:rFonts w:ascii="Arial" w:cs="Arial" w:eastAsia="Arial" w:hAnsi="Arial"/>
          <w:sz w:val="18"/>
          <w:szCs w:val="18"/>
          <w:color w:val="auto"/>
        </w:rPr>
        <w:t xml:space="preserve"> rose 11.9% to 1,253 for Q1 2012 compared to 1,120 for Q1 2011. Average number of full-time equivalent professionals</w:t>
      </w:r>
      <w:r>
        <w:rPr>
          <w:rFonts w:ascii="Arial" w:cs="Arial" w:eastAsia="Arial" w:hAnsi="Arial"/>
          <w:sz w:val="11"/>
          <w:szCs w:val="11"/>
          <w:color w:val="auto"/>
        </w:rPr>
        <w:t>(5)</w:t>
      </w:r>
      <w:r>
        <w:rPr>
          <w:rFonts w:ascii="Arial" w:cs="Arial" w:eastAsia="Arial" w:hAnsi="Arial"/>
          <w:sz w:val="18"/>
          <w:szCs w:val="18"/>
          <w:color w:val="auto"/>
        </w:rPr>
        <w:t xml:space="preserve"> for Q1 2012 was 1,040 compared to 1,013 in Q1 2011. Full-time billable consultant utilization rate was 77.6% in Q1 2012 compared with 78.2% in Q1 2011.</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Company affirms expectations for full year 2012 revenue in a range of $620 million to $660 million.</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CHICAGO – April 25, 2012 – Huron Consulting Group Inc. (NASDAQ: HURN), a leading provider of business consulting services, today announced financial results for the first quarter ended March 31, 2012.</w:t>
      </w:r>
    </w:p>
    <w:p>
      <w:pPr>
        <w:spacing w:after="0" w:line="13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“Our first quarter 2012 revenues and earnings were lower than we expected, primarily due to the timing of contingent revenues in our healthcare practice. The market for our services is very strong, and we anticipate that subsequent quarters will better reflect the level of activity that exists within our largest practices. We remain confident in our ability to achieve our full year 2012 outlook,” said James H. Roth, chief executive officer and president, Huron Consulting Group. “We continue to be pleased with our ability to attract new talent to our organization - a critical ingredient of our growth strategy. Our expanding team of professionals has helped us establish a solid base from which to achieve our expected results for this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2012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is reported on a “continuing operations” basis unless otherwise noted.</w:t>
      </w:r>
    </w:p>
    <w:p>
      <w:pPr>
        <w:spacing w:after="0" w:line="17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Revenues for the first quarter of 2012 were $138.6 million, an increase of 1.5% compared to $136.6 million for the first quarter of 2011. The Company’s first quarter 2012 operating income was $3.6 million, compared to $10.8 million in the first quarter of 2011. Results for the first quarter 2012 include an accrual for its annual incentive payment reflecting the Company’s guidance range, which was affirmed today. The higher level of incentive expense, in addition to higher staffing levels consistent with achieving full year revenue expectations, are the primary factors impacting operating income in the first quarter of 2012 compared to the first quarter of 2011. Net income from continuing operations was $0.6 million, or $0.03 per diluted share, for the first quarter of 2012 compared to</w:t>
      </w:r>
    </w:p>
    <w:p>
      <w:pPr>
        <w:spacing w:after="0" w:line="2"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$3.5 million, or $0.16 per diluted share, for the same period last year. Net income was $0.9 million, or $0.04 per diluted share, for the first quarter of 2012, compared to $4.1 million, or $0.19 per diluted share, for the same period last year.</w:t>
      </w:r>
    </w:p>
    <w:p>
      <w:pPr>
        <w:sectPr>
          <w:pgSz w:w="11900" w:h="16838" w:orient="portrait"/>
          <w:cols w:equalWidth="0" w:num="1">
            <w:col w:w="11420"/>
          </w:cols>
          <w:pgMar w:left="240" w:top="125" w:right="239" w:bottom="1440" w:gutter="0" w:footer="0" w:header="0"/>
        </w:sectPr>
      </w:pPr>
    </w:p>
    <w:bookmarkStart w:id="4" w:name="page5"/>
    <w:bookmarkEnd w:id="4"/>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First quarter 2012 earnings before interest, taxes, depreciation and amortization (“EBITDA”)</w:t>
      </w:r>
      <w:r>
        <w:rPr>
          <w:rFonts w:ascii="Arial" w:cs="Arial" w:eastAsia="Arial" w:hAnsi="Arial"/>
          <w:sz w:val="11"/>
          <w:szCs w:val="11"/>
          <w:color w:val="auto"/>
        </w:rPr>
        <w:t>(6)</w:t>
      </w:r>
      <w:r>
        <w:rPr>
          <w:rFonts w:ascii="Arial" w:cs="Arial" w:eastAsia="Arial" w:hAnsi="Arial"/>
          <w:sz w:val="18"/>
          <w:szCs w:val="18"/>
          <w:color w:val="auto"/>
        </w:rPr>
        <w:t xml:space="preserve"> was $9.4 million, or 6.8% of revenues, compared to $16.5 million, or 12.1% of revenues, in the comparable quarter last year.</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to using EBITDA to evaluate the Company’s financial performance, management uses non-GAAP financial measures, which exclude the effect of the following items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0"/>
              </w:rPr>
              <w:t>Three Months Ended</w:t>
            </w:r>
          </w:p>
        </w:tc>
      </w:tr>
      <w:tr>
        <w:trPr>
          <w:trHeight w:val="161"/>
        </w:trPr>
        <w:tc>
          <w:tcPr>
            <w:tcW w:w="60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40" w:type="dxa"/>
            <w:vAlign w:val="bottom"/>
            <w:tcBorders>
              <w:bottom w:val="single" w:sz="8" w:color="CCEEFF"/>
            </w:tcBorders>
          </w:tcPr>
          <w:p>
            <w:pPr>
              <w:spacing w:after="0"/>
              <w:rPr>
                <w:sz w:val="12"/>
                <w:szCs w:val="12"/>
                <w:color w:val="auto"/>
              </w:rPr>
            </w:pPr>
          </w:p>
        </w:tc>
        <w:tc>
          <w:tcPr>
            <w:tcW w:w="37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96"/>
              </w:rPr>
              <w:t>2012</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2,217</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Restatement related expenses</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1,505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1,240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Litigation settlement, net</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Tax effect</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(1,582)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(1,828)</w:t>
            </w:r>
          </w:p>
        </w:tc>
      </w:tr>
    </w:tbl>
    <w:p>
      <w:pPr>
        <w:spacing w:after="0" w:line="154"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Adjusted EBITDA</w:t>
      </w:r>
      <w:r>
        <w:rPr>
          <w:rFonts w:ascii="Arial" w:cs="Arial" w:eastAsia="Arial" w:hAnsi="Arial"/>
          <w:sz w:val="11"/>
          <w:szCs w:val="11"/>
          <w:color w:val="auto"/>
        </w:rPr>
        <w:t>(6)</w:t>
      </w:r>
      <w:r>
        <w:rPr>
          <w:rFonts w:ascii="Arial" w:cs="Arial" w:eastAsia="Arial" w:hAnsi="Arial"/>
          <w:sz w:val="18"/>
          <w:szCs w:val="18"/>
          <w:color w:val="auto"/>
        </w:rPr>
        <w:t xml:space="preserve"> was $11.8 million, or 8.5% of revenues, in the first quarter of 2012, compared to $18.8 million, or 13.8% of revenues, in the comparable quarter last year. Adjusted Net Income</w:t>
      </w:r>
      <w:r>
        <w:rPr>
          <w:rFonts w:ascii="Arial" w:cs="Arial" w:eastAsia="Arial" w:hAnsi="Arial"/>
          <w:sz w:val="11"/>
          <w:szCs w:val="11"/>
          <w:color w:val="auto"/>
        </w:rPr>
        <w:t>(6)</w:t>
      </w:r>
      <w:r>
        <w:rPr>
          <w:rFonts w:ascii="Arial" w:cs="Arial" w:eastAsia="Arial" w:hAnsi="Arial"/>
          <w:sz w:val="18"/>
          <w:szCs w:val="18"/>
          <w:color w:val="auto"/>
        </w:rPr>
        <w:t xml:space="preserve"> from continuing operations was $3.0 million, or $0.13 per diluted share for the first quarter of 2012 compared to $6.2 million, or $0.29 per diluted share, for the comparable period in 2011.</w:t>
      </w:r>
    </w:p>
    <w:p>
      <w:pPr>
        <w:spacing w:after="0" w:line="14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average number of full-time billable consultants</w:t>
      </w:r>
      <w:r>
        <w:rPr>
          <w:rFonts w:ascii="Arial" w:cs="Arial" w:eastAsia="Arial" w:hAnsi="Arial"/>
          <w:sz w:val="10"/>
          <w:szCs w:val="10"/>
          <w:color w:val="auto"/>
        </w:rPr>
        <w:t>(2)</w:t>
      </w:r>
      <w:r>
        <w:rPr>
          <w:rFonts w:ascii="Arial" w:cs="Arial" w:eastAsia="Arial" w:hAnsi="Arial"/>
          <w:sz w:val="16"/>
          <w:szCs w:val="16"/>
          <w:color w:val="auto"/>
        </w:rPr>
        <w:t xml:space="preserve"> was 1,253 in the first quarter of 2012 compared to 1,120 in the same quarter last year. Full-time billable consultant utilization rate was 77.6% during the first quarter of 2012 compared with 78.2% during the same period last year. Average billing rate per hour for full-time billable consultants was $205 for the first quarter of 2012 compared to $224 for the first quarter of 2011. The average number of full-time equivalent professionals</w:t>
      </w:r>
      <w:r>
        <w:rPr>
          <w:rFonts w:ascii="Arial" w:cs="Arial" w:eastAsia="Arial" w:hAnsi="Arial"/>
          <w:sz w:val="10"/>
          <w:szCs w:val="10"/>
          <w:color w:val="auto"/>
        </w:rPr>
        <w:t>(5)</w:t>
      </w:r>
      <w:r>
        <w:rPr>
          <w:rFonts w:ascii="Arial" w:cs="Arial" w:eastAsia="Arial" w:hAnsi="Arial"/>
          <w:sz w:val="16"/>
          <w:szCs w:val="16"/>
          <w:color w:val="auto"/>
        </w:rPr>
        <w:t xml:space="preserve"> totaled 1,040 in the first quarter of 2012 compared to 1,013 for the comparable period in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96" w:lineRule="exact"/>
        <w:rPr>
          <w:sz w:val="20"/>
          <w:szCs w:val="20"/>
          <w:color w:val="auto"/>
        </w:rPr>
      </w:pPr>
    </w:p>
    <w:p>
      <w:pPr>
        <w:jc w:val="both"/>
        <w:ind w:right="660"/>
        <w:spacing w:after="0" w:line="259" w:lineRule="auto"/>
        <w:rPr>
          <w:sz w:val="20"/>
          <w:szCs w:val="20"/>
          <w:color w:val="auto"/>
        </w:rPr>
      </w:pPr>
      <w:r>
        <w:rPr>
          <w:rFonts w:ascii="Arial" w:cs="Arial" w:eastAsia="Arial" w:hAnsi="Arial"/>
          <w:sz w:val="18"/>
          <w:szCs w:val="18"/>
          <w:color w:val="auto"/>
        </w:rPr>
        <w:t>Huron’s results reflect a portfolio of service offerings focused on helping clients address complex business challenges. The Company has three operating segments: Health and Education Consulting; Legal Consulting; and Financial Consulting, representing 66%, 30%, and 4% of year-to-date total revenues,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Financial results by segment are included in the attached schedules and in Huron’s forthcoming Form 10-Q filing for the quarter ended March 31, 2012.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 for 2012</w:t>
      </w:r>
    </w:p>
    <w:p>
      <w:pPr>
        <w:spacing w:after="0" w:line="9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Based on currently available information, the Company affirms guidance for full year 2012 revenues before reimbursable expenses in a range of $620.0 million to $660.0 million. The Company also anticipates EBITDA in a range of $103.0 million to $113.0 million, Adjusted EBITDA in a range of $113.5 million to $123.5 million, GAAP diluted earnings per share in a range of $1.80 to $2.05, and non-GAAP adjusted diluted earnings per share in a range of $2.25 to $2.50.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Management will provide a more detailed discussion of its outlook during the Company’s earnings conference call webcast.</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First Quarter 2012 Webcast</w:t>
      </w:r>
    </w:p>
    <w:p>
      <w:pPr>
        <w:spacing w:after="0" w:line="9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Company will host a webcast to discuss its financial results tomorrow, April 26, 2012, at 9:00 a.m. Eastern Time (8:00 a.m. Central Time). The conference call is being webcast by Thomson and can be accessed at Huron Consulting Group’s website at http://ir.huronconsultinggroup.com. A replay will be available approximately two hours after the conclusion of the webcast and for 90 days thereafter.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Huron Consulting Group</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Huron Consulting Group helps clients in diverse industries improve performance, comply with complex regulations, reduce costs, recover from distress, leverage technology, and stimulate growth. The Company teams with its clients to deliver sustainable and measurable results. Huron provides services to a wide variety of both financially sound and distressed organizations, including leading academic institutions, healthcare organizations, Fortune 500 companies, medium-sized businesses, and the law firms that represent these various organizations. Learn more at </w:t>
      </w:r>
      <w:r>
        <w:rPr>
          <w:rFonts w:ascii="Arial" w:cs="Arial" w:eastAsia="Arial" w:hAnsi="Arial"/>
          <w:sz w:val="16"/>
          <w:szCs w:val="16"/>
          <w:u w:val="single" w:color="auto"/>
          <w:color w:val="auto"/>
        </w:rPr>
        <w:t>www.huronconsultinggroup.com</w:t>
      </w: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r>
        <w:rPr>
          <w:rFonts w:ascii="Arial" w:cs="Arial" w:eastAsia="Arial" w:hAnsi="Arial"/>
          <w:sz w:val="11"/>
          <w:szCs w:val="11"/>
          <w:color w:val="auto"/>
        </w:rPr>
        <w:t>(6)</w:t>
      </w:r>
    </w:p>
    <w:p>
      <w:pPr>
        <w:spacing w:after="0" w:line="9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evaluating the Company’s financial performance and outlook, management uses EBITDA, Adjusted EBITDA, Adjusted EBITDA as a percentage of revenues, adjusted net income from continuing operations and adjusted diluted earnings per share from continuing operations, which are non-GAAP measures. Management believes that such measures, as supplements to operating income, net income from continuing operations and diluted earnings per share from continuing operations and other GAAP measures, are useful indicators for investors. These useful indicators can help readers gain a meaningful understanding of our core operating results and future prospects without the effect of non-cash or other one-time items and the Company’s ability to generate cash flows from operations that are available for taxes, capital expenditures, and to repay debt. Investors should recognize that these non-GAAP measures might not be comparable to similarly titled measures of other companies. These measures should be considered in addition to, and not as a substitute for or superior to, any measure of performance, cash flows or liquidity prepared in accordance with accounting principles generally accepted in the United States.</w:t>
      </w:r>
    </w:p>
    <w:p>
      <w:pPr>
        <w:spacing w:after="0" w:line="118"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Statements in this press release, including the information incorporated by reference herein, that are not historical in nature, including those concerning the Company’s current expectations about its future requirements and needs,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“meets,” “could,” “intends,” “might,” “predicts,” “seeks,” “would,” “believes,” “estimates” or “continues”. Risks, uncertainties and assumptions that could impact the Company’s forward-looking statements relate, among other things, to (i) the restatement, (ii) the Securities and Exchange Commission investigation with respect to the restatement and the related purported derivative lawsuit, and (iii) the request by the United States Attorney’s Office for the Northern District of Illinois for certain documents. In addition, these forward-looking statements reflect our current expectation about our future requirements and needs, results, levels of activity, performance, or achievements, including, without limitation, that our business continues to grow at the current expectations with respect to, among other factors, utilization rates, billing rates, and the number of revenue-generating professionals; that we are able to expand our service offerings; that we successfully integrate the businesses we acquire; and that existing market conditions continue to trend upward. These statements involve known and unknown risks, uncertainties and other factors, including, among others, those described under “Item 1A. Risk Factors” in our Annual Report on Form 10-K for the year ended December 31, 2011 and in our forthcoming Quarterly Report on Form 10-Q for the period ended March 31, 2012 that may cause actual results, levels of activity, performance or achievements to be materially different from any anticipated results, levels of activity, performance or achievements expressed or implied by these forward-looking statements.</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Jennifer Frost Hennagir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312-880-3260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jfrost-hennagir@huronconsultinggroup.com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 Mark Hussey,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312-583-8740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investor@huronconsultinggroup.com</w:t>
      </w:r>
    </w:p>
    <w:p>
      <w:pPr>
        <w:spacing w:after="0" w:line="16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4"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and reimbursable expenses: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Revenues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138,637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136,621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Total revenues and reimbursable expenses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152,433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148,545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 xml:space="preserve">Direct costs and reimbursable expenses </w:t>
            </w:r>
            <w:r>
              <w:rPr>
                <w:rFonts w:ascii="Arial" w:cs="Arial" w:eastAsia="Arial" w:hAnsi="Arial"/>
                <w:sz w:val="18"/>
                <w:szCs w:val="18"/>
                <w:color w:val="auto"/>
                <w:w w:val="94"/>
              </w:rPr>
              <w:t>(exclusive of depreciation and amortization shown in operating expenses):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Direct costs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96,781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amortization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Reimbursable expenses</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direct costs and reimbursable expenses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111,741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101,563</w:t>
            </w:r>
          </w:p>
        </w:tc>
        <w:tc>
          <w:tcPr>
            <w:tcW w:w="0" w:type="dxa"/>
            <w:vAlign w:val="bottom"/>
          </w:tcPr>
          <w:p>
            <w:pPr>
              <w:spacing w:after="0"/>
              <w:rPr>
                <w:sz w:val="1"/>
                <w:szCs w:val="1"/>
                <w:color w:val="auto"/>
              </w:rPr>
            </w:pPr>
          </w:p>
        </w:tc>
      </w:tr>
      <w:tr>
        <w:trPr>
          <w:trHeight w:val="221"/>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Restructuring charge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Restatement related expenses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Litigation settlement, net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37,055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 of interest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income</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expense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21"/>
        </w:trPr>
        <w:tc>
          <w:tcPr>
            <w:tcW w:w="892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 expense</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20" w:type="dxa"/>
            <w:vAlign w:val="bottom"/>
            <w:gridSpan w:val="2"/>
          </w:tcPr>
          <w:p>
            <w:pPr>
              <w:spacing w:after="0"/>
              <w:rPr>
                <w:sz w:val="20"/>
                <w:szCs w:val="20"/>
                <w:color w:val="auto"/>
              </w:rPr>
            </w:pPr>
            <w:r>
              <w:rPr>
                <w:rFonts w:ascii="Arial" w:cs="Arial" w:eastAsia="Arial" w:hAnsi="Arial"/>
                <w:sz w:val="18"/>
                <w:szCs w:val="18"/>
                <w:color w:val="auto"/>
              </w:rPr>
              <w:t>Net income from continuing operations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856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basic share: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Net income from continuing operations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 net of tax</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vMerge w:val="continue"/>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diluted share: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Net income from continuing operations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 net of tax</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vMerge w:val="continue"/>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calculating earnings (loss) per share: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Basic</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21,775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21,157</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ind w:left="4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HURON CONSULTING GROUP INC.</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Receivables from clients,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108,173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Unbilled services,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41,758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Income tax receivable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17,073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13,282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assets of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194,187</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211,524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31,525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14,366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15,301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512,120</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512,185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767,550</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786,644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24,846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payroll and related benefits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28,740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Accrued consideration for business acquisitions, current portion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3,860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payable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Deferred revenues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28,279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liabilities of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94,983</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169,702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Deferred compensation and other liabilities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7,946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 borrowings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244,000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Deferred lease incentives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7,410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11,936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Non-current liabilities of discontinued operations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non-current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271,341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220,153</w:t>
            </w: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w w:val="92"/>
              </w:rPr>
              <w:t>Common stock; $0.01 par value; 500,000,000 shares authorized; 24,703,317 and 24,208,549 shares issued at March 31, 2012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ind w:left="200"/>
              <w:spacing w:after="0"/>
              <w:rPr>
                <w:sz w:val="20"/>
                <w:szCs w:val="20"/>
                <w:color w:val="auto"/>
              </w:rPr>
            </w:pPr>
            <w:r>
              <w:rPr>
                <w:rFonts w:ascii="Arial" w:cs="Arial" w:eastAsia="Arial" w:hAnsi="Arial"/>
                <w:sz w:val="18"/>
                <w:szCs w:val="18"/>
                <w:color w:val="auto"/>
              </w:rPr>
              <w:t>and December 31, 2011, respectively</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237</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1,777,733 and 1,642,018 shares at March 31, 2012 and December 31, 2011, respectively</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(80,425)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408,577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400,597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73,758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(921)</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401,226</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396,789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767,550</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786,644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856</w:t>
            </w: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6,621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Allowances for doubtful accounts and unbilled services</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2,246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Gain on disposal of property and equipment</w:t>
            </w:r>
          </w:p>
        </w:tc>
        <w:tc>
          <w:tcPr>
            <w:tcW w:w="10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portion of litigation settlement</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businesses acquired:</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Decrease in receivables from clients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ind w:left="420"/>
              <w:spacing w:after="0"/>
              <w:rPr>
                <w:sz w:val="20"/>
                <w:szCs w:val="20"/>
                <w:color w:val="auto"/>
              </w:rPr>
            </w:pPr>
            <w:r>
              <w:rPr>
                <w:rFonts w:ascii="Arial" w:cs="Arial" w:eastAsia="Arial" w:hAnsi="Arial"/>
                <w:sz w:val="18"/>
                <w:szCs w:val="18"/>
                <w:color w:val="auto"/>
              </w:rPr>
              <w:t>Decrease (increase) in unbilled services</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4,456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(26,402)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Decrease (increase) in current income tax receivable, net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ind w:left="420"/>
              <w:spacing w:after="0"/>
              <w:rPr>
                <w:sz w:val="20"/>
                <w:szCs w:val="20"/>
                <w:color w:val="auto"/>
              </w:rPr>
            </w:pPr>
            <w:r>
              <w:rPr>
                <w:rFonts w:ascii="Arial" w:cs="Arial" w:eastAsia="Arial" w:hAnsi="Arial"/>
                <w:sz w:val="18"/>
                <w:szCs w:val="18"/>
                <w:color w:val="auto"/>
              </w:rPr>
              <w:t>Decrease in other assets</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1,853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in accounts payable and accrued liabilities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ind w:left="420"/>
              <w:spacing w:after="0"/>
              <w:rPr>
                <w:sz w:val="20"/>
                <w:szCs w:val="20"/>
                <w:color w:val="auto"/>
              </w:rPr>
            </w:pPr>
            <w:r>
              <w:rPr>
                <w:rFonts w:ascii="Arial" w:cs="Arial" w:eastAsia="Arial" w:hAnsi="Arial"/>
                <w:sz w:val="18"/>
                <w:szCs w:val="18"/>
                <w:color w:val="auto"/>
              </w:rPr>
              <w:t>(Decrease) in accrued payroll and related benefits</w:t>
            </w:r>
          </w:p>
        </w:tc>
        <w:tc>
          <w:tcPr>
            <w:tcW w:w="10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w w:val="86"/>
              </w:rPr>
              <w:t>(36,795)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(Decrease) increase in deferred revenues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(7,978)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gridSpan w:val="2"/>
            <w:vMerge w:val="restart"/>
          </w:tcPr>
          <w:p>
            <w:pPr>
              <w:ind w:left="86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w w:val="86"/>
              </w:rPr>
              <w:t>(12,551)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8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Purchases of property and equipment, net</w:t>
            </w:r>
          </w:p>
        </w:tc>
        <w:tc>
          <w:tcPr>
            <w:tcW w:w="10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(5,267)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 life insurance policies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Purchases of businesses</w:t>
            </w:r>
          </w:p>
        </w:tc>
        <w:tc>
          <w:tcPr>
            <w:tcW w:w="10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w w:val="86"/>
              </w:rPr>
              <w:t>(31,298)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(22,886)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of business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40" w:type="dxa"/>
            <w:vAlign w:val="bottom"/>
            <w:gridSpan w:val="2"/>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9"/>
                <w:szCs w:val="19"/>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w w:val="86"/>
              </w:rPr>
              <w:t>(36,926)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(26,366)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8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redeemed for employee tax withholdings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(3,710)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Tax benefit from share-based compensation</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1,116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borrowings under credit facility</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93,000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Repayments on credit facility</w:t>
            </w:r>
          </w:p>
        </w:tc>
        <w:tc>
          <w:tcPr>
            <w:tcW w:w="10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w w:val="86"/>
              </w:rPr>
              <w:t>(42,500)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(77,500)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of capital lease obligations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gridSpan w:val="2"/>
            <w:vMerge w:val="restart"/>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47,930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27,396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8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322"/>
        </w:trPr>
        <w:tc>
          <w:tcPr>
            <w:tcW w:w="9460" w:type="dxa"/>
            <w:vAlign w:val="bottom"/>
            <w:gridSpan w:val="3"/>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tcPr>
          <w:p>
            <w:pPr>
              <w:spacing w:after="0"/>
              <w:rPr>
                <w:sz w:val="24"/>
                <w:szCs w:val="24"/>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(1,117)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Cash and cash equivalents at beginning of the period </w:t>
            </w:r>
            <w:r>
              <w:rPr>
                <w:rFonts w:ascii="Arial" w:cs="Arial" w:eastAsia="Arial" w:hAnsi="Arial"/>
                <w:sz w:val="11"/>
                <w:szCs w:val="11"/>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6,347</w:t>
            </w:r>
          </w:p>
        </w:tc>
        <w:tc>
          <w:tcPr>
            <w:tcW w:w="0" w:type="dxa"/>
            <w:vAlign w:val="bottom"/>
          </w:tcPr>
          <w:p>
            <w:pPr>
              <w:spacing w:after="0"/>
              <w:rPr>
                <w:sz w:val="1"/>
                <w:szCs w:val="1"/>
                <w:color w:val="auto"/>
              </w:rPr>
            </w:pPr>
          </w:p>
        </w:tc>
      </w:tr>
      <w:tr>
        <w:trPr>
          <w:trHeight w:val="20"/>
        </w:trPr>
        <w:tc>
          <w:tcPr>
            <w:tcW w:w="9460" w:type="dxa"/>
            <w:vAlign w:val="bottom"/>
            <w:gridSpan w:val="3"/>
            <w:vMerge w:val="restart"/>
          </w:tcPr>
          <w:p>
            <w:pPr>
              <w:spacing w:after="0"/>
              <w:rPr>
                <w:sz w:val="20"/>
                <w:szCs w:val="20"/>
                <w:color w:val="auto"/>
              </w:rPr>
            </w:pPr>
            <w:r>
              <w:rPr>
                <w:rFonts w:ascii="Arial" w:cs="Arial" w:eastAsia="Arial" w:hAnsi="Arial"/>
                <w:sz w:val="18"/>
                <w:szCs w:val="18"/>
                <w:color w:val="auto"/>
              </w:rPr>
              <w:t>Cash and cash equivalents at end of the period</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6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3,963</w:t>
            </w:r>
          </w:p>
        </w:tc>
        <w:tc>
          <w:tcPr>
            <w:tcW w:w="2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2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presented herein includes $0.1 million of cash and cash equivalents classified as discontinued operations as of December 31, 2010.</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OPERATING RESULTS AND OTHER OPERATING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161"/>
        </w:trPr>
        <w:tc>
          <w:tcPr>
            <w:tcW w:w="87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Segment and Consolidated Operating Results (in thousands):</w:t>
            </w: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49"/>
        </w:trPr>
        <w:tc>
          <w:tcPr>
            <w:tcW w:w="87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3"/>
              <w:spacing w:after="0" w:line="129"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7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 xml:space="preserve">Health and Education Consulting </w:t>
            </w:r>
            <w:r>
              <w:rPr>
                <w:rFonts w:ascii="Arial" w:cs="Arial" w:eastAsia="Arial" w:hAnsi="Arial"/>
                <w:sz w:val="11"/>
                <w:szCs w:val="11"/>
                <w:b w:val="1"/>
                <w:bCs w:val="1"/>
                <w:color w:val="auto"/>
              </w:rPr>
              <w:t>(1)</w:t>
            </w:r>
            <w:r>
              <w:rPr>
                <w:rFonts w:ascii="Arial" w:cs="Arial" w:eastAsia="Arial" w:hAnsi="Arial"/>
                <w:sz w:val="18"/>
                <w:szCs w:val="18"/>
                <w:b w:val="1"/>
                <w:bCs w:val="1"/>
                <w:color w:val="auto"/>
              </w:rPr>
              <w:t>:</w:t>
            </w:r>
          </w:p>
        </w:tc>
        <w:tc>
          <w:tcPr>
            <w:tcW w:w="49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91,405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89,658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Segment operating income as a percent of segment revenues</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Legal Consulting: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41,383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37,317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Segment operating income as a percent of segment revenues</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25.7%</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Financial Consulting </w:t>
            </w:r>
            <w:r>
              <w:rPr>
                <w:rFonts w:ascii="Arial" w:cs="Arial" w:eastAsia="Arial" w:hAnsi="Arial"/>
                <w:sz w:val="11"/>
                <w:szCs w:val="11"/>
                <w:b w:val="1"/>
                <w:bCs w:val="1"/>
                <w:color w:val="auto"/>
              </w:rPr>
              <w:t>(1)</w:t>
            </w: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5,849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9,646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Segment operating income as a percent of segment revenues</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30.8%</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138,637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136,621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20" w:type="dxa"/>
            <w:vAlign w:val="bottom"/>
            <w:gridSpan w:val="4"/>
          </w:tcPr>
          <w:p>
            <w:pPr>
              <w:spacing w:after="0"/>
              <w:rPr>
                <w:sz w:val="20"/>
                <w:szCs w:val="20"/>
                <w:color w:val="auto"/>
              </w:rPr>
            </w:pPr>
            <w:r>
              <w:rPr>
                <w:rFonts w:ascii="Arial" w:cs="Arial" w:eastAsia="Arial" w:hAnsi="Arial"/>
                <w:sz w:val="18"/>
                <w:szCs w:val="18"/>
                <w:b w:val="1"/>
                <w:bCs w:val="1"/>
                <w:color w:val="auto"/>
              </w:rPr>
              <w:t>Total revenues and reimbursable expenses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152,433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148,545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8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Statements of Earnings reconciliation: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31,241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38,456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Charges not allocated at the segment level: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ind w:left="420"/>
              <w:spacing w:after="0"/>
              <w:rPr>
                <w:sz w:val="20"/>
                <w:szCs w:val="20"/>
                <w:color w:val="auto"/>
              </w:rPr>
            </w:pPr>
            <w:r>
              <w:rPr>
                <w:rFonts w:ascii="Arial" w:cs="Arial" w:eastAsia="Arial" w:hAnsi="Arial"/>
                <w:sz w:val="18"/>
                <w:szCs w:val="18"/>
                <w:color w:val="auto"/>
              </w:rPr>
              <w:t>Other selling, general and administrative expenses</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22,951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23,395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20" w:type="dxa"/>
            <w:vAlign w:val="bottom"/>
            <w:gridSpan w:val="4"/>
          </w:tcPr>
          <w:p>
            <w:pPr>
              <w:spacing w:after="0"/>
              <w:rPr>
                <w:sz w:val="20"/>
                <w:szCs w:val="20"/>
                <w:color w:val="auto"/>
              </w:rPr>
            </w:pPr>
            <w:r>
              <w:rPr>
                <w:rFonts w:ascii="Arial" w:cs="Arial" w:eastAsia="Arial" w:hAnsi="Arial"/>
                <w:sz w:val="18"/>
                <w:szCs w:val="18"/>
                <w:color w:val="auto"/>
              </w:rPr>
              <w:t>Total operating income</w:t>
            </w: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3,637</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10,815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expense, net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20" w:type="dxa"/>
            <w:vAlign w:val="bottom"/>
            <w:gridSpan w:val="4"/>
          </w:tcPr>
          <w:p>
            <w:pPr>
              <w:spacing w:after="0"/>
              <w:rPr>
                <w:sz w:val="20"/>
                <w:szCs w:val="20"/>
                <w:color w:val="auto"/>
              </w:rPr>
            </w:pPr>
            <w:r>
              <w:rPr>
                <w:rFonts w:ascii="Arial" w:cs="Arial" w:eastAsia="Arial" w:hAnsi="Arial"/>
                <w:sz w:val="18"/>
                <w:szCs w:val="18"/>
                <w:b w:val="1"/>
                <w:bCs w:val="1"/>
                <w:color w:val="auto"/>
              </w:rPr>
              <w:t>Income from continuing operations before income tax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2,104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7,347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8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4"/>
              </w:rPr>
              <w:t>Other Operating Data:</w:t>
            </w:r>
          </w:p>
        </w:tc>
        <w:tc>
          <w:tcPr>
            <w:tcW w:w="690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 xml:space="preserve">Number of full-time billable consultants (at period end) </w:t>
            </w:r>
            <w:r>
              <w:rPr>
                <w:rFonts w:ascii="Arial" w:cs="Arial" w:eastAsia="Arial" w:hAnsi="Arial"/>
                <w:sz w:val="11"/>
                <w:szCs w:val="11"/>
                <w:color w:val="auto"/>
              </w:rPr>
              <w:t>(2)</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Legal Consulting</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00" w:type="dxa"/>
            <w:vAlign w:val="bottom"/>
            <w:gridSpan w:val="3"/>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Average number of full-time billable consultants (for the period) </w:t>
            </w:r>
            <w:r>
              <w:rPr>
                <w:rFonts w:ascii="Arial" w:cs="Arial" w:eastAsia="Arial" w:hAnsi="Arial"/>
                <w:sz w:val="11"/>
                <w:szCs w:val="11"/>
                <w:b w:val="1"/>
                <w:bCs w:val="1"/>
                <w:color w:val="auto"/>
              </w:rPr>
              <w:t>(2)</w:t>
            </w: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922</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Consulting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11"/>
                <w:szCs w:val="11"/>
                <w:b w:val="1"/>
                <w:bCs w:val="1"/>
                <w:color w:val="auto"/>
              </w:rPr>
              <w:t>(3)</w:t>
            </w: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Legal Consulting</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55.9%</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gridSpan w:val="3"/>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78.2%</w:t>
            </w: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OPERATING RESULTS AND OTHER OPERATING DATA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61"/>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w w:val="95"/>
              </w:rPr>
              <w:t>Other Operating Data:</w:t>
            </w:r>
          </w:p>
        </w:tc>
        <w:tc>
          <w:tcPr>
            <w:tcW w:w="5760" w:type="dxa"/>
            <w:vAlign w:val="bottom"/>
            <w:vMerge w:val="restart"/>
          </w:tcPr>
          <w:p>
            <w:pPr>
              <w:spacing w:after="0"/>
              <w:rPr>
                <w:sz w:val="14"/>
                <w:szCs w:val="14"/>
                <w:color w:val="auto"/>
              </w:rPr>
            </w:pPr>
          </w:p>
        </w:tc>
        <w:tc>
          <w:tcPr>
            <w:tcW w:w="2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Ended March 31,</w:t>
            </w:r>
          </w:p>
        </w:tc>
        <w:tc>
          <w:tcPr>
            <w:tcW w:w="0" w:type="dxa"/>
            <w:vAlign w:val="bottom"/>
          </w:tcPr>
          <w:p>
            <w:pPr>
              <w:spacing w:after="0"/>
              <w:rPr>
                <w:sz w:val="1"/>
                <w:szCs w:val="1"/>
                <w:color w:val="auto"/>
              </w:rPr>
            </w:pPr>
          </w:p>
        </w:tc>
      </w:tr>
      <w:tr>
        <w:trPr>
          <w:trHeight w:val="149"/>
        </w:trPr>
        <w:tc>
          <w:tcPr>
            <w:tcW w:w="1420" w:type="dxa"/>
            <w:vAlign w:val="bottom"/>
            <w:tcBorders>
              <w:bottom w:val="single" w:sz="8" w:color="auto"/>
            </w:tcBorders>
            <w:vMerge w:val="continue"/>
          </w:tcPr>
          <w:p>
            <w:pPr>
              <w:spacing w:after="0"/>
              <w:rPr>
                <w:sz w:val="12"/>
                <w:szCs w:val="12"/>
                <w:color w:val="auto"/>
              </w:rPr>
            </w:pPr>
          </w:p>
        </w:tc>
        <w:tc>
          <w:tcPr>
            <w:tcW w:w="5760" w:type="dxa"/>
            <w:vAlign w:val="bottom"/>
            <w:vMerge w:val="continue"/>
          </w:tcPr>
          <w:p>
            <w:pPr>
              <w:spacing w:after="0"/>
              <w:rPr>
                <w:sz w:val="12"/>
                <w:szCs w:val="12"/>
                <w:color w:val="auto"/>
              </w:rPr>
            </w:pPr>
          </w:p>
        </w:tc>
        <w:tc>
          <w:tcPr>
            <w:tcW w:w="26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b w:val="1"/>
                <w:bCs w:val="1"/>
                <w:color w:val="auto"/>
                <w:w w:val="89"/>
              </w:rPr>
              <w:t>2012</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11"/>
                <w:szCs w:val="11"/>
                <w:b w:val="1"/>
                <w:bCs w:val="1"/>
                <w:color w:val="auto"/>
              </w:rPr>
              <w:t>(4)</w:t>
            </w:r>
            <w:r>
              <w:rPr>
                <w:rFonts w:ascii="Arial" w:cs="Arial" w:eastAsia="Arial" w:hAnsi="Arial"/>
                <w:sz w:val="18"/>
                <w:szCs w:val="18"/>
                <w:b w:val="1"/>
                <w:bCs w:val="1"/>
                <w:color w:val="auto"/>
              </w:rPr>
              <w:t>:</w:t>
            </w:r>
          </w:p>
        </w:tc>
        <w:tc>
          <w:tcPr>
            <w:tcW w:w="26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199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Consulting</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275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Revenue per full-time billable consultant (in thousands):</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Legal Consulting</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11"/>
                <w:szCs w:val="11"/>
                <w:b w:val="1"/>
                <w:bCs w:val="1"/>
                <w:color w:val="auto"/>
              </w:rPr>
              <w:t>(5)</w:t>
            </w:r>
            <w:r>
              <w:rPr>
                <w:rFonts w:ascii="Arial" w:cs="Arial" w:eastAsia="Arial" w:hAnsi="Arial"/>
                <w:sz w:val="18"/>
                <w:szCs w:val="18"/>
                <w:b w:val="1"/>
                <w:bCs w:val="1"/>
                <w:color w:val="auto"/>
              </w:rPr>
              <w:t>:</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Consulting</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2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1,040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Revenue per full-time equivalents (in thousands):</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Legal Consulting</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5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the reclassification of our healthcare valuation consulting practice from our Health and Education Consulting segment to our Financial Consulting segment in conjunction with an internal reorganization.</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all our full-time billable consultants worked on client assignments during a period by the total available working hours for all of these consultants during the same period, assuming a forty-hour work week, less paid holidays and vacation days.</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ind w:left="460" w:right="100" w:hanging="452"/>
        <w:spacing w:after="0" w:line="25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Consists of consultants who work variable schedules as needed by our clients, as well as contract reviewers and other professionals who generate revenues primarily based on number of hours worked and units produced, such as pages reviewed and data processed. Also includes full-time employees who provide software support and maintenance services to our clients.</w:t>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FROM CONTINUING OPERATIONS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ADJUSTED EARNINGS BEFORE INTEREST, TAXES, DEPRECIATION AND AMORTIZATION </w:t>
      </w:r>
      <w:r>
        <w:rPr>
          <w:rFonts w:ascii="Arial" w:cs="Arial" w:eastAsia="Arial" w:hAnsi="Arial"/>
          <w:sz w:val="11"/>
          <w:szCs w:val="11"/>
          <w:b w:val="1"/>
          <w:bCs w:val="1"/>
          <w:color w:val="auto"/>
        </w:rPr>
        <w:t>(6)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138,637</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136,621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color w:val="auto"/>
              </w:rPr>
              <w:t>Net income from continuing operations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3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587</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Add back:</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5,795</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Earnings before interest, taxes, depreciation and amortization (EBITDA) </w:t>
            </w:r>
            <w:r>
              <w:rPr>
                <w:rFonts w:ascii="Arial" w:cs="Arial" w:eastAsia="Arial" w:hAnsi="Arial"/>
                <w:sz w:val="11"/>
                <w:szCs w:val="11"/>
                <w:b w:val="1"/>
                <w:bCs w:val="1"/>
                <w:color w:val="auto"/>
              </w:rPr>
              <w:t>(6)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Add back:</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Restatement related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settlement, net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1"/>
                <w:szCs w:val="11"/>
                <w:b w:val="1"/>
                <w:bCs w:val="1"/>
                <w:color w:val="auto"/>
              </w:rPr>
              <w:t>(6)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11,767</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EBITDA as a percentage of revenues </w:t>
            </w:r>
            <w:r>
              <w:rPr>
                <w:rFonts w:ascii="Arial" w:cs="Arial" w:eastAsia="Arial" w:hAnsi="Arial"/>
                <w:sz w:val="11"/>
                <w:szCs w:val="11"/>
                <w:b w:val="1"/>
                <w:bCs w:val="1"/>
                <w:color w:val="auto"/>
              </w:rPr>
              <w:t>(6)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FROM CONTINUING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TO ADJUSTED NET INCOME FROM CONTINUING OPERATIONS </w:t>
      </w:r>
      <w:r>
        <w:rPr>
          <w:rFonts w:ascii="Arial" w:cs="Arial" w:eastAsia="Arial" w:hAnsi="Arial"/>
          <w:sz w:val="11"/>
          <w:szCs w:val="11"/>
          <w:b w:val="1"/>
          <w:bCs w:val="1"/>
          <w:color w:val="auto"/>
        </w:rPr>
        <w:t>(6)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5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2012</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Weighted average shares - diluted</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7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22,164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21,157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from continuing operations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9720" w:type="dxa"/>
            <w:vAlign w:val="bottom"/>
            <w:gridSpan w:val="3"/>
            <w:vMerge w:val="restart"/>
          </w:tcPr>
          <w:p>
            <w:pPr>
              <w:spacing w:after="0"/>
              <w:rPr>
                <w:sz w:val="20"/>
                <w:szCs w:val="20"/>
                <w:color w:val="auto"/>
              </w:rPr>
            </w:pPr>
            <w:r>
              <w:rPr>
                <w:rFonts w:ascii="Arial" w:cs="Arial" w:eastAsia="Arial" w:hAnsi="Arial"/>
                <w:sz w:val="18"/>
                <w:szCs w:val="18"/>
                <w:color w:val="auto"/>
              </w:rPr>
              <w:t>Add back:</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7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ind w:left="420"/>
              <w:spacing w:after="0"/>
              <w:rPr>
                <w:sz w:val="20"/>
                <w:szCs w:val="20"/>
                <w:color w:val="auto"/>
              </w:rPr>
            </w:pPr>
            <w:r>
              <w:rPr>
                <w:rFonts w:ascii="Arial" w:cs="Arial" w:eastAsia="Arial" w:hAnsi="Arial"/>
                <w:sz w:val="18"/>
                <w:szCs w:val="18"/>
                <w:color w:val="auto"/>
              </w:rPr>
              <w:t>Restatement related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1,505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ind w:left="420"/>
              <w:spacing w:after="0"/>
              <w:rPr>
                <w:sz w:val="20"/>
                <w:szCs w:val="20"/>
                <w:color w:val="auto"/>
              </w:rPr>
            </w:pPr>
            <w:r>
              <w:rPr>
                <w:rFonts w:ascii="Arial" w:cs="Arial" w:eastAsia="Arial" w:hAnsi="Arial"/>
                <w:sz w:val="18"/>
                <w:szCs w:val="18"/>
                <w:color w:val="auto"/>
              </w:rPr>
              <w:t>Litigation settlement,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Tax effect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(1,582)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(1,828)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00" w:type="dxa"/>
            <w:vAlign w:val="bottom"/>
            <w:gridSpan w:val="2"/>
          </w:tcPr>
          <w:p>
            <w:pPr>
              <w:ind w:left="860"/>
              <w:spacing w:after="0"/>
              <w:rPr>
                <w:sz w:val="20"/>
                <w:szCs w:val="20"/>
                <w:color w:val="auto"/>
              </w:rPr>
            </w:pPr>
            <w:r>
              <w:rPr>
                <w:rFonts w:ascii="Arial" w:cs="Arial" w:eastAsia="Arial" w:hAnsi="Arial"/>
                <w:sz w:val="18"/>
                <w:szCs w:val="18"/>
                <w:color w:val="auto"/>
              </w:rPr>
              <w:t>Total adjustments, net of tax</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2,372</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net income from continuing operations </w:t>
            </w:r>
            <w:r>
              <w:rPr>
                <w:rFonts w:ascii="Arial" w:cs="Arial" w:eastAsia="Arial" w:hAnsi="Arial"/>
                <w:sz w:val="11"/>
                <w:szCs w:val="11"/>
                <w:color w:val="auto"/>
              </w:rPr>
              <w:t>(6)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0"/>
        </w:trPr>
        <w:tc>
          <w:tcPr>
            <w:tcW w:w="9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Adjusted diluted earnings per share from continuing operations </w:t>
            </w:r>
            <w:r>
              <w:rPr>
                <w:rFonts w:ascii="Arial" w:cs="Arial" w:eastAsia="Arial" w:hAnsi="Arial"/>
                <w:sz w:val="11"/>
                <w:szCs w:val="11"/>
                <w:color w:val="auto"/>
              </w:rPr>
              <w:t>(6)</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720" w:type="dxa"/>
            <w:vAlign w:val="bottom"/>
            <w:gridSpan w:val="3"/>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0.13</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86"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evaluating the Company’s financial performance, management uses earnings before interest, taxes, depreciation and amortization (“EBITDA”), adjusted EBITDA, adjusted EBITDA as a percentage of revenues, adjusted net income from continuing operations, and adjusted diluted earnings per share from continuing operations, which are non-GAAP measures. Our management uses these non-GAAP financial measures to gain an understanding of our comparative operating performance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(a) in understanding and evaluating Huron’s current operating performance and future prospects in the same manner as management does, if they so choose, (b) in comparing in a consistent manner Huron’s current financial results with Huron’s past financial results and (c) in understanding the Company’s ability to generate cash flows from operations that are available for taxes, capital expenditures, and debt repayment. Investors should recognize that these non-GAAP measures might not be comparable to similarly titled measures of other companies. These measures should be considered in addition to, and not as a substitute for or superior to, any measure of performance, cash flows or liquidity prepared in accordance with accounting principles generally accepted in the United States.</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2019-12-09T17:59:50Z</dcterms:created>
  <dcterms:modified xsi:type="dcterms:W3CDTF">2019-12-09T17:59:50Z</dcterms:modified>
</cp:coreProperties>
</file>