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109220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29"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137160</wp:posOffset>
            </wp:positionV>
            <wp:extent cx="1294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ectPr>
          <w:pgSz w:w="11900" w:h="16838" w:orient="portrait"/>
          <w:cols w:equalWidth="0" w:num="1">
            <w:col w:w="11260"/>
          </w:cols>
          <w:pgMar w:left="320" w:top="247" w:right="319" w:bottom="1440" w:gutter="0" w:footer="0" w:header="0"/>
        </w:sect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28"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31"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OR</w:t>
      </w:r>
    </w:p>
    <w:p>
      <w:pPr>
        <w:spacing w:after="0" w:line="109" w:lineRule="exact"/>
        <w:rPr>
          <w:sz w:val="24"/>
          <w:szCs w:val="24"/>
          <w:color w:val="auto"/>
        </w:rPr>
      </w:pPr>
    </w:p>
    <w:p>
      <w:pPr>
        <w:ind w:left="2760" w:right="720" w:hanging="2757"/>
        <w:spacing w:after="0" w:line="39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2089785</wp:posOffset>
            </wp:positionH>
            <wp:positionV relativeFrom="paragraph">
              <wp:posOffset>26670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940" w:space="380"/>
            <w:col w:w="9940"/>
          </w:cols>
          <w:pgMar w:left="320" w:top="247" w:right="319" w:bottom="1440" w:gutter="0" w:footer="0" w:header="0"/>
          <w:type w:val="continuous"/>
        </w:sectPr>
      </w:pPr>
    </w:p>
    <w:p>
      <w:pPr>
        <w:jc w:val="center"/>
        <w:ind w:right="20"/>
        <w:spacing w:after="0"/>
        <w:rPr>
          <w:sz w:val="20"/>
          <w:szCs w:val="20"/>
          <w:color w:val="auto"/>
        </w:rPr>
      </w:pPr>
      <w:r>
        <w:rPr>
          <w:rFonts w:ascii="Arial" w:cs="Arial" w:eastAsia="Arial" w:hAnsi="Arial"/>
          <w:sz w:val="25"/>
          <w:szCs w:val="25"/>
          <w:b w:val="1"/>
          <w:bCs w:val="1"/>
          <w:color w:val="auto"/>
        </w:rPr>
        <w:t>HURON CONSULTING GROUP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117475</wp:posOffset>
            </wp:positionV>
            <wp:extent cx="1294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60" w:type="dxa"/>
            <w:vAlign w:val="bottom"/>
          </w:tcPr>
          <w:p>
            <w:pPr>
              <w:spacing w:after="0"/>
              <w:rPr>
                <w:sz w:val="20"/>
                <w:szCs w:val="20"/>
                <w:color w:val="auto"/>
              </w:rPr>
            </w:pPr>
          </w:p>
        </w:tc>
        <w:tc>
          <w:tcPr>
            <w:tcW w:w="3820" w:type="dxa"/>
            <w:vAlign w:val="bottom"/>
          </w:tcPr>
          <w:p>
            <w:pPr>
              <w:jc w:val="center"/>
              <w:ind w:left="561"/>
              <w:spacing w:after="0"/>
              <w:rPr>
                <w:sz w:val="20"/>
                <w:szCs w:val="20"/>
                <w:color w:val="auto"/>
              </w:rPr>
            </w:pPr>
            <w:r>
              <w:rPr>
                <w:rFonts w:ascii="Arial" w:cs="Arial" w:eastAsia="Arial" w:hAnsi="Arial"/>
                <w:sz w:val="18"/>
                <w:szCs w:val="18"/>
                <w:b w:val="1"/>
                <w:bCs w:val="1"/>
                <w:color w:val="auto"/>
                <w:w w:val="98"/>
              </w:rPr>
              <w:t>Delaware</w:t>
            </w:r>
          </w:p>
        </w:tc>
        <w:tc>
          <w:tcPr>
            <w:tcW w:w="4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20" w:type="dxa"/>
            <w:vAlign w:val="bottom"/>
          </w:tcPr>
          <w:p>
            <w:pPr>
              <w:jc w:val="center"/>
              <w:ind w:right="2319"/>
              <w:spacing w:after="0"/>
              <w:rPr>
                <w:sz w:val="20"/>
                <w:szCs w:val="20"/>
                <w:color w:val="auto"/>
              </w:rPr>
            </w:pPr>
            <w:r>
              <w:rPr>
                <w:rFonts w:ascii="Arial" w:cs="Arial" w:eastAsia="Arial" w:hAnsi="Arial"/>
                <w:sz w:val="18"/>
                <w:szCs w:val="18"/>
                <w:b w:val="1"/>
                <w:bCs w:val="1"/>
                <w:color w:val="auto"/>
                <w:w w:val="99"/>
              </w:rPr>
              <w:t>01-0666114</w:t>
            </w:r>
          </w:p>
        </w:tc>
      </w:tr>
      <w:tr>
        <w:trPr>
          <w:trHeight w:val="148"/>
        </w:trPr>
        <w:tc>
          <w:tcPr>
            <w:tcW w:w="360" w:type="dxa"/>
            <w:vAlign w:val="bottom"/>
          </w:tcPr>
          <w:p>
            <w:pPr>
              <w:spacing w:after="0"/>
              <w:rPr>
                <w:sz w:val="12"/>
                <w:szCs w:val="12"/>
                <w:color w:val="auto"/>
              </w:rPr>
            </w:pPr>
          </w:p>
        </w:tc>
        <w:tc>
          <w:tcPr>
            <w:tcW w:w="3820" w:type="dxa"/>
            <w:vAlign w:val="bottom"/>
          </w:tcPr>
          <w:p>
            <w:pPr>
              <w:jc w:val="center"/>
              <w:ind w:left="561"/>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360" w:type="dxa"/>
            <w:vAlign w:val="bottom"/>
          </w:tcPr>
          <w:p>
            <w:pPr>
              <w:spacing w:after="0"/>
              <w:rPr>
                <w:sz w:val="16"/>
                <w:szCs w:val="16"/>
                <w:color w:val="auto"/>
              </w:rPr>
            </w:pPr>
          </w:p>
        </w:tc>
        <w:tc>
          <w:tcPr>
            <w:tcW w:w="3820" w:type="dxa"/>
            <w:vAlign w:val="bottom"/>
          </w:tcPr>
          <w:p>
            <w:pPr>
              <w:jc w:val="center"/>
              <w:ind w:left="561"/>
              <w:spacing w:after="0"/>
              <w:rPr>
                <w:sz w:val="20"/>
                <w:szCs w:val="20"/>
                <w:color w:val="auto"/>
              </w:rPr>
            </w:pPr>
            <w:r>
              <w:rPr>
                <w:rFonts w:ascii="Arial" w:cs="Arial" w:eastAsia="Arial" w:hAnsi="Arial"/>
                <w:sz w:val="14"/>
                <w:szCs w:val="14"/>
                <w:b w:val="1"/>
                <w:bCs w:val="1"/>
                <w:color w:val="auto"/>
              </w:rPr>
              <w:t>incorporation or organization)</w:t>
            </w:r>
          </w:p>
        </w:tc>
        <w:tc>
          <w:tcPr>
            <w:tcW w:w="4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20" w:type="dxa"/>
            <w:vAlign w:val="bottom"/>
          </w:tcPr>
          <w:p>
            <w:pPr>
              <w:jc w:val="center"/>
              <w:ind w:right="2319"/>
              <w:spacing w:after="0"/>
              <w:rPr>
                <w:sz w:val="20"/>
                <w:szCs w:val="20"/>
                <w:color w:val="auto"/>
              </w:rPr>
            </w:pPr>
            <w:r>
              <w:rPr>
                <w:rFonts w:ascii="Arial" w:cs="Arial" w:eastAsia="Arial" w:hAnsi="Arial"/>
                <w:sz w:val="14"/>
                <w:szCs w:val="14"/>
                <w:b w:val="1"/>
                <w:bCs w:val="1"/>
                <w:color w:val="auto"/>
              </w:rPr>
              <w:t>Identification Number)</w:t>
            </w:r>
          </w:p>
        </w:tc>
      </w:tr>
      <w:tr>
        <w:trPr>
          <w:trHeight w:val="273"/>
        </w:trPr>
        <w:tc>
          <w:tcPr>
            <w:tcW w:w="36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9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550 West Van Buren Street</w:t>
            </w:r>
          </w:p>
        </w:tc>
        <w:tc>
          <w:tcPr>
            <w:tcW w:w="4120" w:type="dxa"/>
            <w:vAlign w:val="bottom"/>
          </w:tcPr>
          <w:p>
            <w:pPr>
              <w:spacing w:after="0"/>
              <w:rPr>
                <w:sz w:val="23"/>
                <w:szCs w:val="23"/>
                <w:color w:val="auto"/>
              </w:rPr>
            </w:pPr>
          </w:p>
        </w:tc>
      </w:tr>
      <w:tr>
        <w:trPr>
          <w:trHeight w:val="216"/>
        </w:trPr>
        <w:tc>
          <w:tcPr>
            <w:tcW w:w="3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9"/>
              </w:rPr>
              <w:t>Chicago, Illinois</w:t>
            </w:r>
          </w:p>
        </w:tc>
        <w:tc>
          <w:tcPr>
            <w:tcW w:w="4120" w:type="dxa"/>
            <w:vAlign w:val="bottom"/>
          </w:tcPr>
          <w:p>
            <w:pPr>
              <w:spacing w:after="0"/>
              <w:rPr>
                <w:sz w:val="18"/>
                <w:szCs w:val="18"/>
                <w:color w:val="auto"/>
              </w:rPr>
            </w:pPr>
          </w:p>
        </w:tc>
      </w:tr>
      <w:tr>
        <w:trPr>
          <w:trHeight w:val="226"/>
        </w:trPr>
        <w:tc>
          <w:tcPr>
            <w:tcW w:w="3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60" w:type="dxa"/>
            <w:vAlign w:val="bottom"/>
            <w:gridSpan w:val="2"/>
          </w:tcPr>
          <w:p>
            <w:pPr>
              <w:jc w:val="right"/>
              <w:ind w:right="677"/>
              <w:spacing w:after="0"/>
              <w:rPr>
                <w:sz w:val="20"/>
                <w:szCs w:val="20"/>
                <w:color w:val="auto"/>
              </w:rPr>
            </w:pPr>
            <w:r>
              <w:rPr>
                <w:rFonts w:ascii="Arial" w:cs="Arial" w:eastAsia="Arial" w:hAnsi="Arial"/>
                <w:sz w:val="18"/>
                <w:szCs w:val="18"/>
                <w:b w:val="1"/>
                <w:bCs w:val="1"/>
                <w:color w:val="auto"/>
              </w:rPr>
              <w:t>60607</w:t>
            </w:r>
          </w:p>
        </w:tc>
        <w:tc>
          <w:tcPr>
            <w:tcW w:w="5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162"/>
        </w:trPr>
        <w:tc>
          <w:tcPr>
            <w:tcW w:w="3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(Address of principal executive offices)</w:t>
            </w:r>
          </w:p>
        </w:tc>
        <w:tc>
          <w:tcPr>
            <w:tcW w:w="4120" w:type="dxa"/>
            <w:vAlign w:val="bottom"/>
          </w:tcPr>
          <w:p>
            <w:pPr>
              <w:spacing w:after="0"/>
              <w:rPr>
                <w:sz w:val="14"/>
                <w:szCs w:val="14"/>
                <w:color w:val="auto"/>
              </w:rPr>
            </w:pPr>
          </w:p>
        </w:tc>
      </w:tr>
      <w:tr>
        <w:trPr>
          <w:trHeight w:val="190"/>
        </w:trPr>
        <w:tc>
          <w:tcPr>
            <w:tcW w:w="3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(Zip Code)</w:t>
            </w:r>
          </w:p>
        </w:tc>
        <w:tc>
          <w:tcPr>
            <w:tcW w:w="4120" w:type="dxa"/>
            <w:vAlign w:val="bottom"/>
          </w:tcPr>
          <w:p>
            <w:pPr>
              <w:spacing w:after="0"/>
              <w:rPr>
                <w:sz w:val="16"/>
                <w:szCs w:val="16"/>
                <w:color w:val="auto"/>
              </w:rPr>
            </w:pPr>
          </w:p>
        </w:tc>
      </w:tr>
      <w:tr>
        <w:trPr>
          <w:trHeight w:val="296"/>
        </w:trPr>
        <w:tc>
          <w:tcPr>
            <w:tcW w:w="3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60" w:type="dxa"/>
            <w:vAlign w:val="bottom"/>
            <w:gridSpan w:val="2"/>
          </w:tcPr>
          <w:p>
            <w:pPr>
              <w:jc w:val="right"/>
              <w:ind w:right="317"/>
              <w:spacing w:after="0"/>
              <w:rPr>
                <w:sz w:val="20"/>
                <w:szCs w:val="20"/>
                <w:color w:val="auto"/>
              </w:rPr>
            </w:pPr>
            <w:r>
              <w:rPr>
                <w:rFonts w:ascii="Arial" w:cs="Arial" w:eastAsia="Arial" w:hAnsi="Arial"/>
                <w:sz w:val="18"/>
                <w:szCs w:val="18"/>
                <w:b w:val="1"/>
                <w:bCs w:val="1"/>
                <w:color w:val="auto"/>
              </w:rPr>
              <w:t>(312) 583-8700</w:t>
            </w:r>
          </w:p>
        </w:tc>
        <w:tc>
          <w:tcPr>
            <w:tcW w:w="5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90"/>
        </w:trPr>
        <w:tc>
          <w:tcPr>
            <w:tcW w:w="360" w:type="dxa"/>
            <w:vAlign w:val="bottom"/>
          </w:tcPr>
          <w:p>
            <w:pPr>
              <w:spacing w:after="0"/>
              <w:rPr>
                <w:sz w:val="16"/>
                <w:szCs w:val="16"/>
                <w:color w:val="auto"/>
              </w:rPr>
            </w:pPr>
          </w:p>
        </w:tc>
        <w:tc>
          <w:tcPr>
            <w:tcW w:w="10900" w:type="dxa"/>
            <w:vAlign w:val="bottom"/>
            <w:gridSpan w:val="5"/>
          </w:tcPr>
          <w:p>
            <w:pPr>
              <w:jc w:val="center"/>
              <w:ind w:right="299"/>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160"/>
        </w:trPr>
        <w:tc>
          <w:tcPr>
            <w:tcW w:w="360" w:type="dxa"/>
            <w:vAlign w:val="bottom"/>
          </w:tcPr>
          <w:p>
            <w:pPr>
              <w:spacing w:after="0"/>
              <w:rPr>
                <w:sz w:val="13"/>
                <w:szCs w:val="13"/>
                <w:color w:val="auto"/>
              </w:rPr>
            </w:pPr>
          </w:p>
        </w:tc>
        <w:tc>
          <w:tcPr>
            <w:tcW w:w="4280" w:type="dxa"/>
            <w:vAlign w:val="bottom"/>
            <w:gridSpan w:val="2"/>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4120" w:type="dxa"/>
            <w:vAlign w:val="bottom"/>
          </w:tcPr>
          <w:p>
            <w:pPr>
              <w:spacing w:after="0"/>
              <w:rPr>
                <w:sz w:val="13"/>
                <w:szCs w:val="13"/>
                <w:color w:val="auto"/>
              </w:rPr>
            </w:pPr>
          </w:p>
        </w:tc>
      </w:tr>
      <w:tr>
        <w:trPr>
          <w:trHeight w:val="273"/>
        </w:trPr>
        <w:tc>
          <w:tcPr>
            <w:tcW w:w="7140" w:type="dxa"/>
            <w:vAlign w:val="bottom"/>
            <w:gridSpan w:val="5"/>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4120" w:type="dxa"/>
            <w:vAlign w:val="bottom"/>
          </w:tcPr>
          <w:p>
            <w:pPr>
              <w:spacing w:after="0"/>
              <w:rPr>
                <w:sz w:val="23"/>
                <w:szCs w:val="23"/>
                <w:color w:val="auto"/>
              </w:rPr>
            </w:pPr>
          </w:p>
        </w:tc>
      </w:tr>
      <w:tr>
        <w:trPr>
          <w:trHeight w:val="125"/>
        </w:trPr>
        <w:tc>
          <w:tcPr>
            <w:tcW w:w="360" w:type="dxa"/>
            <w:vAlign w:val="bottom"/>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2"/>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r>
      <w:tr>
        <w:trPr>
          <w:trHeight w:val="210"/>
        </w:trPr>
        <w:tc>
          <w:tcPr>
            <w:tcW w:w="360" w:type="dxa"/>
            <w:vAlign w:val="bottom"/>
            <w:tcBorders>
              <w:right w:val="single" w:sz="8" w:color="auto"/>
            </w:tcBorders>
          </w:tcPr>
          <w:p>
            <w:pPr>
              <w:spacing w:after="0"/>
              <w:rPr>
                <w:sz w:val="18"/>
                <w:szCs w:val="18"/>
                <w:color w:val="auto"/>
              </w:rPr>
            </w:pPr>
          </w:p>
        </w:tc>
        <w:tc>
          <w:tcPr>
            <w:tcW w:w="3820" w:type="dxa"/>
            <w:vAlign w:val="bottom"/>
            <w:tcBorders>
              <w:bottom w:val="single" w:sz="8" w:color="auto"/>
            </w:tcBorders>
          </w:tcPr>
          <w:p>
            <w:pPr>
              <w:jc w:val="center"/>
              <w:ind w:left="361"/>
              <w:spacing w:after="0"/>
              <w:rPr>
                <w:sz w:val="20"/>
                <w:szCs w:val="20"/>
                <w:color w:val="auto"/>
              </w:rPr>
            </w:pPr>
            <w:r>
              <w:rPr>
                <w:rFonts w:ascii="Arial" w:cs="Arial" w:eastAsia="Arial" w:hAnsi="Arial"/>
                <w:sz w:val="17"/>
                <w:szCs w:val="17"/>
                <w:b w:val="1"/>
                <w:bCs w:val="1"/>
                <w:color w:val="auto"/>
                <w:w w:val="99"/>
              </w:rPr>
              <w:t>Title of each class</w:t>
            </w:r>
          </w:p>
        </w:tc>
        <w:tc>
          <w:tcPr>
            <w:tcW w:w="4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99"/>
              </w:rPr>
              <w:t>Trading Symbol(s)</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08"/>
        </w:trPr>
        <w:tc>
          <w:tcPr>
            <w:tcW w:w="360" w:type="dxa"/>
            <w:vAlign w:val="bottom"/>
            <w:tcBorders>
              <w:right w:val="single" w:sz="8" w:color="auto"/>
            </w:tcBorders>
          </w:tcPr>
          <w:p>
            <w:pPr>
              <w:spacing w:after="0"/>
              <w:rPr>
                <w:sz w:val="18"/>
                <w:szCs w:val="18"/>
                <w:color w:val="auto"/>
              </w:rPr>
            </w:pPr>
          </w:p>
        </w:tc>
        <w:tc>
          <w:tcPr>
            <w:tcW w:w="3820" w:type="dxa"/>
            <w:vAlign w:val="bottom"/>
            <w:tcBorders>
              <w:bottom w:val="single" w:sz="8" w:color="auto"/>
            </w:tcBorders>
          </w:tcPr>
          <w:p>
            <w:pPr>
              <w:jc w:val="center"/>
              <w:ind w:left="361"/>
              <w:spacing w:after="0"/>
              <w:rPr>
                <w:sz w:val="20"/>
                <w:szCs w:val="20"/>
                <w:color w:val="auto"/>
              </w:rPr>
            </w:pPr>
            <w:r>
              <w:rPr>
                <w:rFonts w:ascii="Arial" w:cs="Arial" w:eastAsia="Arial" w:hAnsi="Arial"/>
                <w:sz w:val="17"/>
                <w:szCs w:val="17"/>
                <w:color w:val="auto"/>
              </w:rPr>
              <w:t>Common Stock, par value $0.01 per share</w:t>
            </w:r>
          </w:p>
        </w:tc>
        <w:tc>
          <w:tcPr>
            <w:tcW w:w="4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7"/>
              </w:rPr>
              <w:t>HURN</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NASDAQ Global Select Market</w:t>
            </w:r>
          </w:p>
        </w:tc>
      </w:tr>
    </w:tbl>
    <w:p>
      <w:pPr>
        <w:spacing w:after="0" w:line="75" w:lineRule="exact"/>
        <w:rPr>
          <w:sz w:val="24"/>
          <w:szCs w:val="24"/>
          <w:color w:val="auto"/>
        </w:rPr>
      </w:pPr>
    </w:p>
    <w:p>
      <w:pPr>
        <w:jc w:val="both"/>
        <w:ind w:right="320"/>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right="100"/>
        <w:spacing w:after="0" w:line="21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ind w:right="20"/>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23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60" w:type="dxa"/>
            <w:vAlign w:val="bottom"/>
            <w:vMerge w:val="restart"/>
          </w:tcPr>
          <w:p>
            <w:pPr>
              <w:ind w:left="200"/>
              <w:spacing w:after="0"/>
              <w:rPr>
                <w:sz w:val="20"/>
                <w:szCs w:val="20"/>
                <w:color w:val="auto"/>
              </w:rPr>
            </w:pPr>
            <w:r>
              <w:rPr>
                <w:rFonts w:ascii="Arial" w:cs="Arial" w:eastAsia="Arial" w:hAnsi="Arial"/>
                <w:sz w:val="17"/>
                <w:szCs w:val="17"/>
                <w:color w:val="auto"/>
              </w:rPr>
              <w:t>Accelerated Filer</w:t>
            </w:r>
          </w:p>
        </w:tc>
        <w:tc>
          <w:tcPr>
            <w:tcW w:w="2800" w:type="dxa"/>
            <w:vAlign w:val="bottom"/>
            <w:vMerge w:val="restart"/>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740" w:type="dxa"/>
            <w:vAlign w:val="bottom"/>
          </w:tcPr>
          <w:p>
            <w:pPr>
              <w:jc w:val="center"/>
              <w:spacing w:after="0"/>
              <w:rPr>
                <w:sz w:val="20"/>
                <w:szCs w:val="20"/>
                <w:color w:val="auto"/>
              </w:rPr>
            </w:pPr>
            <w:r>
              <w:rPr>
                <w:rFonts w:ascii="Arial" w:cs="Arial" w:eastAsia="Arial" w:hAnsi="Arial"/>
                <w:sz w:val="17"/>
                <w:szCs w:val="17"/>
                <w:color w:val="auto"/>
              </w:rPr>
              <w:t>Smaller Reporting</w:t>
            </w:r>
          </w:p>
        </w:tc>
        <w:tc>
          <w:tcPr>
            <w:tcW w:w="5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1720" w:type="dxa"/>
            <w:vAlign w:val="bottom"/>
          </w:tcPr>
          <w:p>
            <w:pPr>
              <w:jc w:val="center"/>
              <w:spacing w:after="0"/>
              <w:rPr>
                <w:sz w:val="20"/>
                <w:szCs w:val="20"/>
                <w:color w:val="auto"/>
              </w:rPr>
            </w:pPr>
            <w:r>
              <w:rPr>
                <w:rFonts w:ascii="Arial" w:cs="Arial" w:eastAsia="Arial" w:hAnsi="Arial"/>
                <w:sz w:val="17"/>
                <w:szCs w:val="17"/>
                <w:color w:val="auto"/>
                <w:w w:val="99"/>
              </w:rPr>
              <w:t>Emerging Growth</w:t>
            </w:r>
          </w:p>
        </w:tc>
        <w:tc>
          <w:tcPr>
            <w:tcW w:w="3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5"/>
        </w:trPr>
        <w:tc>
          <w:tcPr>
            <w:tcW w:w="232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540" w:type="dxa"/>
            <w:vAlign w:val="bottom"/>
            <w:vMerge w:val="continue"/>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both"/>
        <w:ind w:right="10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340"/>
        <w:spacing w:after="0" w:line="26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79" w:lineRule="exact"/>
        <w:rPr>
          <w:sz w:val="24"/>
          <w:szCs w:val="24"/>
          <w:color w:val="auto"/>
        </w:rPr>
      </w:pPr>
    </w:p>
    <w:p>
      <w:pPr>
        <w:spacing w:after="0"/>
        <w:rPr>
          <w:sz w:val="20"/>
          <w:szCs w:val="20"/>
          <w:color w:val="auto"/>
        </w:rPr>
      </w:pPr>
      <w:r>
        <w:rPr>
          <w:rFonts w:ascii="Arial" w:cs="Arial" w:eastAsia="Arial" w:hAnsi="Arial"/>
          <w:sz w:val="17"/>
          <w:szCs w:val="17"/>
          <w:color w:val="auto"/>
        </w:rPr>
        <w:t>As of October 26, 2020, 22,871,243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47"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20320</wp:posOffset>
            </wp:positionV>
            <wp:extent cx="6763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40" w:type="dxa"/>
            <w:vAlign w:val="bottom"/>
            <w:gridSpan w:val="2"/>
            <w:vMerge w:val="restart"/>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 Financial Information</w:t>
              </w:r>
            </w:hyperlink>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9840" w:type="dxa"/>
            <w:vAlign w:val="bottom"/>
            <w:gridSpan w:val="2"/>
            <w:vMerge w:val="continue"/>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140" w:type="dxa"/>
            <w:vAlign w:val="bottom"/>
          </w:tcPr>
          <w:p>
            <w:pPr>
              <w:ind w:left="340"/>
              <w:spacing w:after="0"/>
              <w:rPr>
                <w:sz w:val="20"/>
                <w:szCs w:val="20"/>
                <w:color w:val="auto"/>
              </w:rPr>
            </w:pPr>
            <w:r>
              <w:rPr>
                <w:rFonts w:ascii="Arial" w:cs="Arial" w:eastAsia="Arial" w:hAnsi="Arial"/>
                <w:sz w:val="18"/>
                <w:szCs w:val="18"/>
                <w:color w:val="auto"/>
              </w:rPr>
              <w:t>Item 1.</w:t>
            </w:r>
          </w:p>
        </w:tc>
        <w:tc>
          <w:tcPr>
            <w:tcW w:w="8700" w:type="dxa"/>
            <w:vAlign w:val="bottom"/>
          </w:tcPr>
          <w:p>
            <w:pPr>
              <w:ind w:left="1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Financial Statements (Unaudited)</w:t>
              </w:r>
            </w:hyperlink>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8700" w:type="dxa"/>
            <w:vAlign w:val="bottom"/>
          </w:tcPr>
          <w:p>
            <w:pPr>
              <w:ind w:left="1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Balance Sheets</w:t>
              </w:r>
            </w:hyperlink>
          </w:p>
        </w:tc>
        <w:tc>
          <w:tcPr>
            <w:tcW w:w="8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8700" w:type="dxa"/>
            <w:vAlign w:val="bottom"/>
          </w:tcPr>
          <w:p>
            <w:pPr>
              <w:ind w:left="1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Operations and Other Comprehensive Income</w:t>
              </w:r>
            </w:hyperlink>
          </w:p>
        </w:tc>
        <w:tc>
          <w:tcPr>
            <w:tcW w:w="8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8700" w:type="dxa"/>
            <w:vAlign w:val="bottom"/>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Stockholders’ Equity</w:t>
              </w:r>
            </w:hyperlink>
          </w:p>
        </w:tc>
        <w:tc>
          <w:tcPr>
            <w:tcW w:w="8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8700" w:type="dxa"/>
            <w:vAlign w:val="bottom"/>
          </w:tcPr>
          <w:p>
            <w:pPr>
              <w:ind w:left="1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Cash Flows</w:t>
              </w:r>
            </w:hyperlink>
          </w:p>
        </w:tc>
        <w:tc>
          <w:tcPr>
            <w:tcW w:w="8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8700" w:type="dxa"/>
            <w:vAlign w:val="bottom"/>
          </w:tcPr>
          <w:p>
            <w:pPr>
              <w:ind w:left="1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Consolidated Financial Statements</w:t>
              </w:r>
            </w:hyperlink>
          </w:p>
        </w:tc>
        <w:tc>
          <w:tcPr>
            <w:tcW w:w="8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140" w:type="dxa"/>
            <w:vAlign w:val="bottom"/>
          </w:tcPr>
          <w:p>
            <w:pPr>
              <w:ind w:left="340"/>
              <w:spacing w:after="0"/>
              <w:rPr>
                <w:sz w:val="20"/>
                <w:szCs w:val="20"/>
                <w:color w:val="auto"/>
              </w:rPr>
            </w:pPr>
            <w:r>
              <w:rPr>
                <w:rFonts w:ascii="Arial" w:cs="Arial" w:eastAsia="Arial" w:hAnsi="Arial"/>
                <w:sz w:val="18"/>
                <w:szCs w:val="18"/>
                <w:color w:val="auto"/>
              </w:rPr>
              <w:t>Item 2.</w:t>
            </w:r>
          </w:p>
        </w:tc>
        <w:tc>
          <w:tcPr>
            <w:tcW w:w="8700" w:type="dxa"/>
            <w:vAlign w:val="bottom"/>
          </w:tcPr>
          <w:p>
            <w:pPr>
              <w:ind w:left="1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Management’s Discussion and Analysis of Financial Condition and Results of Operations</w:t>
              </w:r>
            </w:hyperlink>
          </w:p>
        </w:tc>
        <w:tc>
          <w:tcPr>
            <w:tcW w:w="82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24</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tcPr>
          <w:p>
            <w:pPr>
              <w:ind w:left="340"/>
              <w:spacing w:after="0"/>
              <w:rPr>
                <w:sz w:val="20"/>
                <w:szCs w:val="20"/>
                <w:color w:val="auto"/>
              </w:rPr>
            </w:pPr>
            <w:r>
              <w:rPr>
                <w:rFonts w:ascii="Arial" w:cs="Arial" w:eastAsia="Arial" w:hAnsi="Arial"/>
                <w:sz w:val="18"/>
                <w:szCs w:val="18"/>
                <w:color w:val="auto"/>
              </w:rPr>
              <w:t>Item 3.</w:t>
            </w:r>
          </w:p>
        </w:tc>
        <w:tc>
          <w:tcPr>
            <w:tcW w:w="8700" w:type="dxa"/>
            <w:vAlign w:val="bottom"/>
          </w:tcPr>
          <w:p>
            <w:pPr>
              <w:ind w:left="1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Quantitative and Qualitative Disclosures About Market Risk</w:t>
              </w:r>
            </w:hyperlink>
          </w:p>
        </w:tc>
        <w:tc>
          <w:tcPr>
            <w:tcW w:w="82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46</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tcPr>
          <w:p>
            <w:pPr>
              <w:ind w:left="340"/>
              <w:spacing w:after="0"/>
              <w:rPr>
                <w:sz w:val="20"/>
                <w:szCs w:val="20"/>
                <w:color w:val="auto"/>
              </w:rPr>
            </w:pPr>
            <w:r>
              <w:rPr>
                <w:rFonts w:ascii="Arial" w:cs="Arial" w:eastAsia="Arial" w:hAnsi="Arial"/>
                <w:sz w:val="18"/>
                <w:szCs w:val="18"/>
                <w:color w:val="auto"/>
              </w:rPr>
              <w:t>Item 4.</w:t>
            </w:r>
          </w:p>
        </w:tc>
        <w:tc>
          <w:tcPr>
            <w:tcW w:w="8700" w:type="dxa"/>
            <w:vAlign w:val="bottom"/>
          </w:tcPr>
          <w:p>
            <w:pPr>
              <w:ind w:left="1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Controls and Procedures</w:t>
              </w:r>
            </w:hyperlink>
          </w:p>
        </w:tc>
        <w:tc>
          <w:tcPr>
            <w:tcW w:w="82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47</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840" w:type="dxa"/>
            <w:vAlign w:val="bottom"/>
            <w:gridSpan w:val="2"/>
          </w:tcPr>
          <w:p>
            <w:pPr>
              <w:ind w:left="20"/>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Part II – Other Information</w:t>
              </w:r>
            </w:hyperlink>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tcPr>
          <w:p>
            <w:pPr>
              <w:ind w:left="340"/>
              <w:spacing w:after="0"/>
              <w:rPr>
                <w:sz w:val="20"/>
                <w:szCs w:val="20"/>
                <w:color w:val="auto"/>
              </w:rPr>
            </w:pPr>
            <w:r>
              <w:rPr>
                <w:rFonts w:ascii="Arial" w:cs="Arial" w:eastAsia="Arial" w:hAnsi="Arial"/>
                <w:sz w:val="18"/>
                <w:szCs w:val="18"/>
                <w:color w:val="auto"/>
              </w:rPr>
              <w:t>Item 1.</w:t>
            </w:r>
          </w:p>
        </w:tc>
        <w:tc>
          <w:tcPr>
            <w:tcW w:w="8700" w:type="dxa"/>
            <w:vAlign w:val="bottom"/>
          </w:tcPr>
          <w:p>
            <w:pPr>
              <w:ind w:left="1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Legal Proceedings</w:t>
              </w:r>
            </w:hyperlink>
          </w:p>
        </w:tc>
        <w:tc>
          <w:tcPr>
            <w:tcW w:w="82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47</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tcPr>
          <w:p>
            <w:pPr>
              <w:ind w:left="340"/>
              <w:spacing w:after="0"/>
              <w:rPr>
                <w:sz w:val="20"/>
                <w:szCs w:val="20"/>
                <w:color w:val="auto"/>
              </w:rPr>
            </w:pPr>
            <w:r>
              <w:rPr>
                <w:rFonts w:ascii="Arial" w:cs="Arial" w:eastAsia="Arial" w:hAnsi="Arial"/>
                <w:sz w:val="18"/>
                <w:szCs w:val="18"/>
                <w:color w:val="auto"/>
              </w:rPr>
              <w:t>Item 1A.</w:t>
            </w:r>
          </w:p>
        </w:tc>
        <w:tc>
          <w:tcPr>
            <w:tcW w:w="8700" w:type="dxa"/>
            <w:vAlign w:val="bottom"/>
          </w:tcPr>
          <w:p>
            <w:pPr>
              <w:ind w:left="1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Risk Factors</w:t>
              </w:r>
            </w:hyperlink>
          </w:p>
        </w:tc>
        <w:tc>
          <w:tcPr>
            <w:tcW w:w="82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47</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40" w:type="dxa"/>
            <w:vAlign w:val="bottom"/>
          </w:tcPr>
          <w:p>
            <w:pPr>
              <w:ind w:left="340"/>
              <w:spacing w:after="0"/>
              <w:rPr>
                <w:sz w:val="20"/>
                <w:szCs w:val="20"/>
                <w:color w:val="auto"/>
              </w:rPr>
            </w:pPr>
            <w:r>
              <w:rPr>
                <w:rFonts w:ascii="Arial" w:cs="Arial" w:eastAsia="Arial" w:hAnsi="Arial"/>
                <w:sz w:val="18"/>
                <w:szCs w:val="18"/>
                <w:color w:val="auto"/>
              </w:rPr>
              <w:t>Item 2.</w:t>
            </w:r>
          </w:p>
        </w:tc>
        <w:tc>
          <w:tcPr>
            <w:tcW w:w="8700" w:type="dxa"/>
            <w:vAlign w:val="bottom"/>
          </w:tcPr>
          <w:p>
            <w:pPr>
              <w:ind w:left="1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Unregistered Sales of Equity Securities and Use of Proceeds</w:t>
              </w:r>
            </w:hyperlink>
          </w:p>
        </w:tc>
        <w:tc>
          <w:tcPr>
            <w:tcW w:w="82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48</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tcPr>
          <w:p>
            <w:pPr>
              <w:ind w:left="340"/>
              <w:spacing w:after="0"/>
              <w:rPr>
                <w:sz w:val="20"/>
                <w:szCs w:val="20"/>
                <w:color w:val="auto"/>
              </w:rPr>
            </w:pPr>
            <w:r>
              <w:rPr>
                <w:rFonts w:ascii="Arial" w:cs="Arial" w:eastAsia="Arial" w:hAnsi="Arial"/>
                <w:sz w:val="18"/>
                <w:szCs w:val="18"/>
                <w:color w:val="auto"/>
              </w:rPr>
              <w:t>Item 3.</w:t>
            </w:r>
          </w:p>
        </w:tc>
        <w:tc>
          <w:tcPr>
            <w:tcW w:w="8700" w:type="dxa"/>
            <w:vAlign w:val="bottom"/>
          </w:tcPr>
          <w:p>
            <w:pPr>
              <w:ind w:left="1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Defaults Upon Senior Securities</w:t>
              </w:r>
            </w:hyperlink>
          </w:p>
        </w:tc>
        <w:tc>
          <w:tcPr>
            <w:tcW w:w="82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49</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tcPr>
          <w:p>
            <w:pPr>
              <w:ind w:left="340"/>
              <w:spacing w:after="0"/>
              <w:rPr>
                <w:sz w:val="20"/>
                <w:szCs w:val="20"/>
                <w:color w:val="auto"/>
              </w:rPr>
            </w:pPr>
            <w:r>
              <w:rPr>
                <w:rFonts w:ascii="Arial" w:cs="Arial" w:eastAsia="Arial" w:hAnsi="Arial"/>
                <w:sz w:val="18"/>
                <w:szCs w:val="18"/>
                <w:color w:val="auto"/>
              </w:rPr>
              <w:t>Item 4.</w:t>
            </w:r>
          </w:p>
        </w:tc>
        <w:tc>
          <w:tcPr>
            <w:tcW w:w="8700" w:type="dxa"/>
            <w:vAlign w:val="bottom"/>
          </w:tcPr>
          <w:p>
            <w:pPr>
              <w:ind w:left="1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Mine Safety Disclosures</w:t>
              </w:r>
            </w:hyperlink>
          </w:p>
        </w:tc>
        <w:tc>
          <w:tcPr>
            <w:tcW w:w="82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49</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tcPr>
          <w:p>
            <w:pPr>
              <w:ind w:left="340"/>
              <w:spacing w:after="0"/>
              <w:rPr>
                <w:sz w:val="20"/>
                <w:szCs w:val="20"/>
                <w:color w:val="auto"/>
              </w:rPr>
            </w:pPr>
            <w:r>
              <w:rPr>
                <w:rFonts w:ascii="Arial" w:cs="Arial" w:eastAsia="Arial" w:hAnsi="Arial"/>
                <w:sz w:val="18"/>
                <w:szCs w:val="18"/>
                <w:color w:val="auto"/>
              </w:rPr>
              <w:t>Item 5.</w:t>
            </w:r>
          </w:p>
        </w:tc>
        <w:tc>
          <w:tcPr>
            <w:tcW w:w="8700" w:type="dxa"/>
            <w:vAlign w:val="bottom"/>
          </w:tcPr>
          <w:p>
            <w:pPr>
              <w:ind w:left="1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Other Information</w:t>
              </w:r>
            </w:hyperlink>
          </w:p>
        </w:tc>
        <w:tc>
          <w:tcPr>
            <w:tcW w:w="82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49</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140" w:type="dxa"/>
            <w:vAlign w:val="bottom"/>
          </w:tcPr>
          <w:p>
            <w:pPr>
              <w:ind w:left="340"/>
              <w:spacing w:after="0"/>
              <w:rPr>
                <w:sz w:val="20"/>
                <w:szCs w:val="20"/>
                <w:color w:val="auto"/>
              </w:rPr>
            </w:pPr>
            <w:r>
              <w:rPr>
                <w:rFonts w:ascii="Arial" w:cs="Arial" w:eastAsia="Arial" w:hAnsi="Arial"/>
                <w:sz w:val="18"/>
                <w:szCs w:val="18"/>
                <w:color w:val="auto"/>
              </w:rPr>
              <w:t>Item 6.</w:t>
            </w:r>
          </w:p>
        </w:tc>
        <w:tc>
          <w:tcPr>
            <w:tcW w:w="8700" w:type="dxa"/>
            <w:vAlign w:val="bottom"/>
          </w:tcPr>
          <w:p>
            <w:pPr>
              <w:ind w:left="1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Exhibits</w:t>
              </w:r>
            </w:hyperlink>
          </w:p>
        </w:tc>
        <w:tc>
          <w:tcPr>
            <w:tcW w:w="82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50</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tcPr>
          <w:p>
            <w:pPr>
              <w:ind w:left="20"/>
              <w:spacing w:after="0"/>
              <w:rPr>
                <w:rFonts w:ascii="Arial" w:cs="Arial" w:eastAsia="Arial" w:hAnsi="Arial"/>
                <w:sz w:val="18"/>
                <w:szCs w:val="18"/>
                <w:b w:val="1"/>
                <w:bCs w:val="1"/>
                <w:u w:val="single" w:color="auto"/>
                <w:color w:val="0000FF"/>
              </w:rPr>
            </w:pPr>
            <w:hyperlink w:anchor="page52">
              <w:r>
                <w:rPr>
                  <w:rFonts w:ascii="Arial" w:cs="Arial" w:eastAsia="Arial" w:hAnsi="Arial"/>
                  <w:sz w:val="18"/>
                  <w:szCs w:val="18"/>
                  <w:b w:val="1"/>
                  <w:bCs w:val="1"/>
                  <w:u w:val="single" w:color="auto"/>
                  <w:color w:val="0000FF"/>
                </w:rPr>
                <w:t>Signature</w:t>
              </w:r>
            </w:hyperlink>
          </w:p>
        </w:tc>
        <w:tc>
          <w:tcPr>
            <w:tcW w:w="8700" w:type="dxa"/>
            <w:vAlign w:val="bottom"/>
          </w:tcPr>
          <w:p>
            <w:pPr>
              <w:spacing w:after="0"/>
              <w:rPr>
                <w:sz w:val="24"/>
                <w:szCs w:val="24"/>
                <w:color w:val="auto"/>
              </w:rPr>
            </w:pPr>
          </w:p>
        </w:tc>
        <w:tc>
          <w:tcPr>
            <w:tcW w:w="82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51</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9"/>
        </w:trPr>
        <w:tc>
          <w:tcPr>
            <w:tcW w:w="114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922"/>
        </w:trPr>
        <w:tc>
          <w:tcPr>
            <w:tcW w:w="8220" w:type="dxa"/>
            <w:vAlign w:val="bottom"/>
          </w:tcPr>
          <w:p>
            <w:pPr>
              <w:jc w:val="center"/>
              <w:ind w:left="2950"/>
              <w:spacing w:after="0"/>
              <w:rPr>
                <w:sz w:val="20"/>
                <w:szCs w:val="20"/>
                <w:color w:val="auto"/>
              </w:rPr>
            </w:pPr>
            <w:r>
              <w:rPr>
                <w:rFonts w:ascii="Arial" w:cs="Arial" w:eastAsia="Arial" w:hAnsi="Arial"/>
                <w:sz w:val="18"/>
                <w:szCs w:val="18"/>
                <w:b w:val="1"/>
                <w:bCs w:val="1"/>
                <w:color w:val="auto"/>
                <w:w w:val="99"/>
              </w:rPr>
              <w:t>PART I - FINANCIAL INFORMATION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9"/>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98"/>
              </w:rPr>
              <w:t>ITEM 1. CONSOLIDATED FINANCIAL STATEMENTS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6"/>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99"/>
              </w:rPr>
              <w:t>HURON CONSULTING GROUP INC.</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9"/>
        </w:trPr>
        <w:tc>
          <w:tcPr>
            <w:tcW w:w="8220" w:type="dxa"/>
            <w:vAlign w:val="bottom"/>
          </w:tcPr>
          <w:p>
            <w:pPr>
              <w:jc w:val="center"/>
              <w:ind w:left="293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8220" w:type="dxa"/>
            <w:vAlign w:val="bottom"/>
          </w:tcPr>
          <w:p>
            <w:pPr>
              <w:ind w:left="5100"/>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97"/>
        </w:trPr>
        <w:tc>
          <w:tcPr>
            <w:tcW w:w="8220" w:type="dxa"/>
            <w:vAlign w:val="bottom"/>
          </w:tcPr>
          <w:p>
            <w:pPr>
              <w:spacing w:after="0"/>
              <w:rPr>
                <w:sz w:val="24"/>
                <w:szCs w:val="24"/>
                <w:color w:val="auto"/>
              </w:rPr>
            </w:pPr>
          </w:p>
        </w:tc>
        <w:tc>
          <w:tcPr>
            <w:tcW w:w="156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9"/>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11,604</w:t>
            </w:r>
          </w:p>
        </w:tc>
      </w:tr>
      <w:tr>
        <w:trPr>
          <w:trHeight w:val="230"/>
        </w:trPr>
        <w:tc>
          <w:tcPr>
            <w:tcW w:w="8220" w:type="dxa"/>
            <w:vAlign w:val="bottom"/>
          </w:tcPr>
          <w:p>
            <w:pPr>
              <w:ind w:left="340"/>
              <w:spacing w:after="0"/>
              <w:rPr>
                <w:sz w:val="20"/>
                <w:szCs w:val="20"/>
                <w:color w:val="auto"/>
              </w:rPr>
            </w:pPr>
            <w:r>
              <w:rPr>
                <w:rFonts w:ascii="Arial" w:cs="Arial" w:eastAsia="Arial" w:hAnsi="Arial"/>
                <w:sz w:val="18"/>
                <w:szCs w:val="18"/>
                <w:color w:val="auto"/>
              </w:rPr>
              <w:t>Receivables from clients, net of allowances of $8,520 and $8,907, respectively</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116,571</w:t>
            </w:r>
          </w:p>
        </w:tc>
      </w:tr>
      <w:tr>
        <w:trPr>
          <w:trHeight w:val="229"/>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services, net of allowances of $2,734 and $2,994, respectively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79,937</w:t>
            </w:r>
          </w:p>
        </w:tc>
      </w:tr>
      <w:tr>
        <w:trPr>
          <w:trHeight w:val="230"/>
        </w:trPr>
        <w:tc>
          <w:tcPr>
            <w:tcW w:w="822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2,376</w:t>
            </w:r>
          </w:p>
        </w:tc>
      </w:tr>
      <w:tr>
        <w:trPr>
          <w:trHeight w:val="229"/>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14,248</w:t>
            </w:r>
          </w:p>
        </w:tc>
      </w:tr>
      <w:tr>
        <w:trPr>
          <w:trHeight w:val="223"/>
        </w:trPr>
        <w:tc>
          <w:tcPr>
            <w:tcW w:w="822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259,832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224,736</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38,413</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54,541</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54,954</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52,177</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31,625</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646,680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1,090,681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1,104,271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w:t>
            </w:r>
          </w:p>
        </w:tc>
      </w:tr>
      <w:tr>
        <w:trPr>
          <w:trHeight w:val="229"/>
        </w:trPr>
        <w:tc>
          <w:tcPr>
            <w:tcW w:w="822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18,554</w:t>
            </w:r>
          </w:p>
        </w:tc>
      </w:tr>
      <w:tr>
        <w:trPr>
          <w:trHeight w:val="230"/>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benefits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141,605</w:t>
            </w:r>
          </w:p>
        </w:tc>
      </w:tr>
      <w:tr>
        <w:trPr>
          <w:trHeight w:val="230"/>
        </w:trPr>
        <w:tc>
          <w:tcPr>
            <w:tcW w:w="822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30"/>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operating lease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w:t>
            </w:r>
          </w:p>
        </w:tc>
      </w:tr>
      <w:tr>
        <w:trPr>
          <w:trHeight w:val="229"/>
        </w:trPr>
        <w:tc>
          <w:tcPr>
            <w:tcW w:w="8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revenues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28,443</w:t>
            </w:r>
          </w:p>
        </w:tc>
      </w:tr>
      <w:tr>
        <w:trPr>
          <w:trHeight w:val="223"/>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204,544</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compensation and other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28,635</w:t>
            </w:r>
          </w:p>
        </w:tc>
      </w:tr>
      <w:tr>
        <w:trPr>
          <w:trHeight w:val="230"/>
        </w:trPr>
        <w:tc>
          <w:tcPr>
            <w:tcW w:w="8220" w:type="dxa"/>
            <w:vAlign w:val="bottom"/>
          </w:tcPr>
          <w:p>
            <w:pPr>
              <w:ind w:left="340"/>
              <w:spacing w:after="0"/>
              <w:rPr>
                <w:sz w:val="20"/>
                <w:szCs w:val="20"/>
                <w:color w:val="auto"/>
              </w:rPr>
            </w:pPr>
            <w:r>
              <w:rPr>
                <w:rFonts w:ascii="Arial" w:cs="Arial" w:eastAsia="Arial" w:hAnsi="Arial"/>
                <w:sz w:val="18"/>
                <w:szCs w:val="18"/>
                <w:color w:val="auto"/>
              </w:rPr>
              <w:t>Long-term debt, net of current portion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250,917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208,324</w:t>
            </w:r>
          </w:p>
        </w:tc>
      </w:tr>
      <w:tr>
        <w:trPr>
          <w:trHeight w:val="230"/>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69,233</w:t>
            </w:r>
          </w:p>
        </w:tc>
      </w:tr>
      <w:tr>
        <w:trPr>
          <w:trHeight w:val="229"/>
        </w:trPr>
        <w:tc>
          <w:tcPr>
            <w:tcW w:w="8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w:t>
            </w:r>
          </w:p>
        </w:tc>
      </w:tr>
      <w:tr>
        <w:trPr>
          <w:trHeight w:val="223"/>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non-current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314,262</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88"/>
        </w:trPr>
        <w:tc>
          <w:tcPr>
            <w:tcW w:w="8220" w:type="dxa"/>
            <w:vAlign w:val="bottom"/>
          </w:tcPr>
          <w:p>
            <w:pPr>
              <w:ind w:left="20"/>
              <w:spacing w:after="0" w:line="189" w:lineRule="exact"/>
              <w:rPr>
                <w:sz w:val="20"/>
                <w:szCs w:val="20"/>
                <w:color w:val="auto"/>
              </w:rPr>
            </w:pPr>
            <w:r>
              <w:rPr>
                <w:rFonts w:ascii="Arial" w:cs="Arial" w:eastAsia="Arial" w:hAnsi="Arial"/>
                <w:sz w:val="18"/>
                <w:szCs w:val="18"/>
                <w:color w:val="auto"/>
              </w:rPr>
              <w:t>Common stock; $0.01 par value; 500,000,000 shares authorized; 25,444,128 and 25,144,764 shares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7"/>
        </w:trPr>
        <w:tc>
          <w:tcPr>
            <w:tcW w:w="8220" w:type="dxa"/>
            <w:vAlign w:val="bottom"/>
          </w:tcPr>
          <w:p>
            <w:pPr>
              <w:ind w:left="20"/>
              <w:spacing w:after="0"/>
              <w:rPr>
                <w:sz w:val="20"/>
                <w:szCs w:val="20"/>
                <w:color w:val="auto"/>
              </w:rPr>
            </w:pPr>
            <w:r>
              <w:rPr>
                <w:rFonts w:ascii="Arial" w:cs="Arial" w:eastAsia="Arial" w:hAnsi="Arial"/>
                <w:sz w:val="18"/>
                <w:szCs w:val="18"/>
                <w:color w:val="auto"/>
              </w:rPr>
              <w:t>issued at September 30, 2020 and December 31, 2019, respectively</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188"/>
        </w:trPr>
        <w:tc>
          <w:tcPr>
            <w:tcW w:w="8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Treasury stock, at cost, 2,571,266 and 2,425,430 shares at September 30, 2020 and December 31,</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 respectively</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(128,348)</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454,153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460,781</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237,849</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14,936</w:t>
            </w:r>
          </w:p>
        </w:tc>
      </w:tr>
      <w:tr>
        <w:trPr>
          <w:trHeight w:val="223"/>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555,066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585,465</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1,090,681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1,104,271</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w w:val="99"/>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495"/>
              <w:spacing w:after="0"/>
              <w:rPr>
                <w:sz w:val="20"/>
                <w:szCs w:val="20"/>
                <w:color w:val="auto"/>
              </w:rPr>
            </w:pPr>
            <w:r>
              <w:rPr>
                <w:rFonts w:ascii="Arial" w:cs="Arial" w:eastAsia="Arial" w:hAnsi="Arial"/>
                <w:sz w:val="17"/>
                <w:szCs w:val="17"/>
                <w:b w:val="1"/>
                <w:bCs w:val="1"/>
                <w:color w:val="auto"/>
              </w:rPr>
              <w:t>Nine Months Ended</w:t>
            </w:r>
          </w:p>
        </w:tc>
      </w:tr>
      <w:tr>
        <w:trPr>
          <w:trHeight w:val="216"/>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w w:val="99"/>
              </w:rPr>
              <w:t>September 30,</w:t>
            </w:r>
          </w:p>
        </w:tc>
        <w:tc>
          <w:tcPr>
            <w:tcW w:w="280" w:type="dxa"/>
            <w:vAlign w:val="bottom"/>
          </w:tcPr>
          <w:p>
            <w:pPr>
              <w:spacing w:after="0"/>
              <w:rPr>
                <w:sz w:val="18"/>
                <w:szCs w:val="18"/>
                <w:color w:val="auto"/>
              </w:rPr>
            </w:pPr>
          </w:p>
        </w:tc>
        <w:tc>
          <w:tcPr>
            <w:tcW w:w="2460" w:type="dxa"/>
            <w:vAlign w:val="bottom"/>
            <w:gridSpan w:val="4"/>
          </w:tcPr>
          <w:p>
            <w:pPr>
              <w:jc w:val="right"/>
              <w:ind w:right="695"/>
              <w:spacing w:after="0"/>
              <w:rPr>
                <w:sz w:val="20"/>
                <w:szCs w:val="20"/>
                <w:color w:val="auto"/>
              </w:rPr>
            </w:pPr>
            <w:r>
              <w:rPr>
                <w:rFonts w:ascii="Arial" w:cs="Arial" w:eastAsia="Arial" w:hAnsi="Arial"/>
                <w:sz w:val="17"/>
                <w:szCs w:val="17"/>
                <w:b w:val="1"/>
                <w:bCs w:val="1"/>
                <w:color w:val="auto"/>
              </w:rPr>
              <w:t>September 30,</w:t>
            </w:r>
          </w:p>
        </w:tc>
      </w:tr>
      <w:tr>
        <w:trPr>
          <w:trHeight w:val="209"/>
        </w:trPr>
        <w:tc>
          <w:tcPr>
            <w:tcW w:w="56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and reimbursable expenses: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4"/>
        </w:trPr>
        <w:tc>
          <w:tcPr>
            <w:tcW w:w="5620" w:type="dxa"/>
            <w:vAlign w:val="bottom"/>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205,304</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219,289</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645,780</w:t>
            </w:r>
          </w:p>
        </w:tc>
        <w:tc>
          <w:tcPr>
            <w:tcW w:w="10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644,488</w:t>
            </w:r>
          </w:p>
        </w:tc>
      </w:tr>
      <w:tr>
        <w:trPr>
          <w:trHeight w:val="218"/>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23,636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25,133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65,787</w:t>
            </w:r>
          </w:p>
        </w:tc>
      </w:tr>
      <w:tr>
        <w:trPr>
          <w:trHeight w:val="208"/>
        </w:trPr>
        <w:tc>
          <w:tcPr>
            <w:tcW w:w="5620" w:type="dxa"/>
            <w:vAlign w:val="bottom"/>
          </w:tcPr>
          <w:p>
            <w:pPr>
              <w:ind w:left="320"/>
              <w:spacing w:after="0" w:line="192" w:lineRule="exact"/>
              <w:rPr>
                <w:sz w:val="20"/>
                <w:szCs w:val="20"/>
                <w:color w:val="auto"/>
              </w:rPr>
            </w:pPr>
            <w:r>
              <w:rPr>
                <w:rFonts w:ascii="Arial" w:cs="Arial" w:eastAsia="Arial" w:hAnsi="Arial"/>
                <w:sz w:val="17"/>
                <w:szCs w:val="17"/>
                <w:color w:val="auto"/>
              </w:rPr>
              <w:t>Total revenues and reimbursable expenses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208,164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242,925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670,913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710,275</w:t>
            </w:r>
          </w:p>
        </w:tc>
      </w:tr>
      <w:tr>
        <w:trPr>
          <w:trHeight w:val="171"/>
        </w:trPr>
        <w:tc>
          <w:tcPr>
            <w:tcW w:w="56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b w:val="1"/>
                <w:bCs w:val="1"/>
                <w:color w:val="auto"/>
              </w:rPr>
              <w:t xml:space="preserve">Direct costs and reimbursable expenses </w:t>
            </w:r>
            <w:r>
              <w:rPr>
                <w:rFonts w:ascii="Arial" w:cs="Arial" w:eastAsia="Arial" w:hAnsi="Arial"/>
                <w:sz w:val="17"/>
                <w:szCs w:val="17"/>
                <w:color w:val="auto"/>
              </w:rPr>
              <w:t>(exclusive of depreciation</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amortization shown in operating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5620" w:type="dxa"/>
            <w:vAlign w:val="bottom"/>
          </w:tcPr>
          <w:p>
            <w:pPr>
              <w:ind w:left="20"/>
              <w:spacing w:after="0"/>
              <w:rPr>
                <w:sz w:val="20"/>
                <w:szCs w:val="20"/>
                <w:color w:val="auto"/>
              </w:rPr>
            </w:pPr>
            <w:r>
              <w:rPr>
                <w:rFonts w:ascii="Arial" w:cs="Arial" w:eastAsia="Arial" w:hAnsi="Arial"/>
                <w:sz w:val="17"/>
                <w:szCs w:val="17"/>
                <w:color w:val="auto"/>
              </w:rPr>
              <w:t>Direct costs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145,459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143,034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451,221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422,442</w:t>
            </w:r>
          </w:p>
        </w:tc>
      </w:tr>
      <w:tr>
        <w:trPr>
          <w:trHeight w:val="218"/>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 and software development costs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w:t>
            </w:r>
          </w:p>
        </w:tc>
      </w:tr>
      <w:tr>
        <w:trPr>
          <w:trHeight w:val="214"/>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25,095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65,897</w:t>
            </w:r>
          </w:p>
        </w:tc>
      </w:tr>
      <w:tr>
        <w:trPr>
          <w:trHeight w:val="212"/>
        </w:trPr>
        <w:tc>
          <w:tcPr>
            <w:tcW w:w="56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Total direct costs and reimbursable expenses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149,669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167,767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480,321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491,789</w:t>
            </w:r>
          </w:p>
        </w:tc>
      </w:tr>
      <w:tr>
        <w:trPr>
          <w:trHeight w:val="196"/>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Operating expenses and other losses (gains), net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126,864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151,409</w:t>
            </w:r>
          </w:p>
        </w:tc>
      </w:tr>
      <w:tr>
        <w:trPr>
          <w:trHeight w:val="214"/>
        </w:trPr>
        <w:tc>
          <w:tcPr>
            <w:tcW w:w="5620" w:type="dxa"/>
            <w:vAlign w:val="bottom"/>
          </w:tcPr>
          <w:p>
            <w:pPr>
              <w:ind w:left="20"/>
              <w:spacing w:after="0"/>
              <w:rPr>
                <w:sz w:val="20"/>
                <w:szCs w:val="20"/>
                <w:color w:val="auto"/>
              </w:rPr>
            </w:pPr>
            <w:r>
              <w:rPr>
                <w:rFonts w:ascii="Arial" w:cs="Arial" w:eastAsia="Arial" w:hAnsi="Arial"/>
                <w:sz w:val="17"/>
                <w:szCs w:val="17"/>
                <w:color w:val="auto"/>
              </w:rPr>
              <w:t>Restructuring charges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2,156</w:t>
            </w:r>
          </w:p>
        </w:tc>
      </w:tr>
      <w:tr>
        <w:trPr>
          <w:trHeight w:val="218"/>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and other gains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r>
      <w:tr>
        <w:trPr>
          <w:trHeight w:val="214"/>
        </w:trPr>
        <w:tc>
          <w:tcPr>
            <w:tcW w:w="56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18,483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21,285</w:t>
            </w:r>
          </w:p>
        </w:tc>
      </w:tr>
      <w:tr>
        <w:trPr>
          <w:trHeight w:val="218"/>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charges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5620" w:type="dxa"/>
            <w:vAlign w:val="bottom"/>
            <w:tcBorders>
              <w:bottom w:val="single" w:sz="8" w:color="CCEEFF"/>
            </w:tcBorders>
          </w:tcPr>
          <w:p>
            <w:pPr>
              <w:ind w:left="320"/>
              <w:spacing w:after="0" w:line="192" w:lineRule="exact"/>
              <w:rPr>
                <w:sz w:val="20"/>
                <w:szCs w:val="20"/>
                <w:color w:val="auto"/>
              </w:rPr>
            </w:pPr>
            <w:r>
              <w:rPr>
                <w:rFonts w:ascii="Arial" w:cs="Arial" w:eastAsia="Arial" w:hAnsi="Arial"/>
                <w:sz w:val="17"/>
                <w:szCs w:val="17"/>
                <w:color w:val="auto"/>
              </w:rPr>
              <w:t>Total operating expenses and other losses (gains), net</w:t>
            </w: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44,796</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54,582</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206,790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173,279</w:t>
            </w:r>
          </w:p>
        </w:tc>
      </w:tr>
      <w:tr>
        <w:trPr>
          <w:trHeight w:val="212"/>
        </w:trPr>
        <w:tc>
          <w:tcPr>
            <w:tcW w:w="56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Operating income (loss)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45,207</w:t>
            </w:r>
          </w:p>
        </w:tc>
      </w:tr>
      <w:tr>
        <w:trPr>
          <w:trHeight w:val="216"/>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interest income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(13,156)</w:t>
            </w:r>
          </w:p>
        </w:tc>
      </w:tr>
      <w:tr>
        <w:trPr>
          <w:trHeight w:val="214"/>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2,830</w:t>
            </w:r>
          </w:p>
        </w:tc>
      </w:tr>
      <w:tr>
        <w:trPr>
          <w:trHeight w:val="211"/>
        </w:trPr>
        <w:tc>
          <w:tcPr>
            <w:tcW w:w="562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Total 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(10,326)</w:t>
            </w:r>
          </w:p>
        </w:tc>
      </w:tr>
      <w:tr>
        <w:trPr>
          <w:trHeight w:val="208"/>
        </w:trPr>
        <w:tc>
          <w:tcPr>
            <w:tcW w:w="5620" w:type="dxa"/>
            <w:vAlign w:val="bottom"/>
          </w:tcPr>
          <w:p>
            <w:pPr>
              <w:ind w:left="20"/>
              <w:spacing w:after="0" w:line="192" w:lineRule="exact"/>
              <w:rPr>
                <w:sz w:val="20"/>
                <w:szCs w:val="20"/>
                <w:color w:val="auto"/>
              </w:rPr>
            </w:pPr>
            <w:r>
              <w:rPr>
                <w:rFonts w:ascii="Arial" w:cs="Arial" w:eastAsia="Arial" w:hAnsi="Arial"/>
                <w:sz w:val="17"/>
                <w:szCs w:val="17"/>
                <w:color w:val="auto"/>
              </w:rPr>
              <w:t>Income (loss) from continuing operations before taxes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13,475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16,120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(23,027)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34,881</w:t>
            </w:r>
          </w:p>
        </w:tc>
      </w:tr>
      <w:tr>
        <w:trPr>
          <w:trHeight w:val="218"/>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7,256</w:t>
            </w:r>
          </w:p>
        </w:tc>
      </w:tr>
      <w:tr>
        <w:trPr>
          <w:trHeight w:val="208"/>
        </w:trPr>
        <w:tc>
          <w:tcPr>
            <w:tcW w:w="5620" w:type="dxa"/>
            <w:vAlign w:val="bottom"/>
          </w:tcPr>
          <w:p>
            <w:pPr>
              <w:ind w:left="20"/>
              <w:spacing w:after="0" w:line="192" w:lineRule="exact"/>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11,087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13,706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(17,614)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27,625</w:t>
            </w:r>
          </w:p>
        </w:tc>
      </w:tr>
      <w:tr>
        <w:trPr>
          <w:trHeight w:val="218"/>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08"/>
        </w:trPr>
        <w:tc>
          <w:tcPr>
            <w:tcW w:w="5620" w:type="dxa"/>
            <w:vAlign w:val="bottom"/>
          </w:tcPr>
          <w:p>
            <w:pPr>
              <w:ind w:left="20"/>
              <w:spacing w:after="0" w:line="192" w:lineRule="exact"/>
              <w:rPr>
                <w:sz w:val="20"/>
                <w:szCs w:val="20"/>
                <w:color w:val="auto"/>
              </w:rPr>
            </w:pPr>
            <w:r>
              <w:rPr>
                <w:rFonts w:ascii="Arial" w:cs="Arial" w:eastAsia="Arial" w:hAnsi="Arial"/>
                <w:sz w:val="17"/>
                <w:szCs w:val="17"/>
                <w:color w:val="auto"/>
              </w:rPr>
              <w:t>Net income (loss)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11,058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13,654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(17,703)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27,430</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5"/>
        </w:trPr>
        <w:tc>
          <w:tcPr>
            <w:tcW w:w="56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Net earnings (loss) per basic share:</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4"/>
        </w:trPr>
        <w:tc>
          <w:tcPr>
            <w:tcW w:w="5620" w:type="dxa"/>
            <w:vAlign w:val="bottom"/>
          </w:tcPr>
          <w:p>
            <w:pPr>
              <w:ind w:left="320"/>
              <w:spacing w:after="0"/>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0.50</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0.62</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(0.81)</w:t>
            </w:r>
          </w:p>
        </w:tc>
        <w:tc>
          <w:tcPr>
            <w:tcW w:w="10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18"/>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from discontinued operations, net of tax</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r>
      <w:tr>
        <w:trPr>
          <w:trHeight w:val="208"/>
        </w:trPr>
        <w:tc>
          <w:tcPr>
            <w:tcW w:w="5620" w:type="dxa"/>
            <w:vAlign w:val="bottom"/>
          </w:tcPr>
          <w:p>
            <w:pPr>
              <w:ind w:left="320"/>
              <w:spacing w:after="0" w:line="192" w:lineRule="exact"/>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5"/>
        </w:trPr>
        <w:tc>
          <w:tcPr>
            <w:tcW w:w="56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Net earnings (loss) per diluted share:</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4"/>
        </w:trPr>
        <w:tc>
          <w:tcPr>
            <w:tcW w:w="5620" w:type="dxa"/>
            <w:vAlign w:val="bottom"/>
          </w:tcPr>
          <w:p>
            <w:pPr>
              <w:ind w:left="320"/>
              <w:spacing w:after="0"/>
              <w:rPr>
                <w:sz w:val="20"/>
                <w:szCs w:val="20"/>
                <w:color w:val="auto"/>
              </w:rPr>
            </w:pPr>
            <w:r>
              <w:rPr>
                <w:rFonts w:ascii="Arial" w:cs="Arial" w:eastAsia="Arial" w:hAnsi="Arial"/>
                <w:sz w:val="17"/>
                <w:szCs w:val="17"/>
                <w:color w:val="auto"/>
              </w:rPr>
              <w:t>Net income (loss) from continuing operations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0.50</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0.61</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(0.81)</w:t>
            </w:r>
          </w:p>
        </w:tc>
        <w:tc>
          <w:tcPr>
            <w:tcW w:w="100" w:type="dxa"/>
            <w:vAlign w:val="bottom"/>
          </w:tcPr>
          <w:p>
            <w:pPr>
              <w:spacing w:after="0"/>
              <w:rPr>
                <w:sz w:val="18"/>
                <w:szCs w:val="18"/>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1.23</w:t>
            </w:r>
          </w:p>
        </w:tc>
      </w:tr>
      <w:tr>
        <w:trPr>
          <w:trHeight w:val="218"/>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from discontinued operations, net of tax</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r>
      <w:tr>
        <w:trPr>
          <w:trHeight w:val="207"/>
        </w:trPr>
        <w:tc>
          <w:tcPr>
            <w:tcW w:w="5620" w:type="dxa"/>
            <w:vAlign w:val="bottom"/>
          </w:tcPr>
          <w:p>
            <w:pPr>
              <w:ind w:left="320"/>
              <w:spacing w:after="0" w:line="192" w:lineRule="exact"/>
              <w:rPr>
                <w:sz w:val="20"/>
                <w:szCs w:val="20"/>
                <w:color w:val="auto"/>
              </w:rPr>
            </w:pPr>
            <w:r>
              <w:rPr>
                <w:rFonts w:ascii="Arial" w:cs="Arial" w:eastAsia="Arial" w:hAnsi="Arial"/>
                <w:sz w:val="17"/>
                <w:szCs w:val="17"/>
                <w:color w:val="auto"/>
              </w:rPr>
              <w:t>Net income (loss)</w:t>
            </w: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5"/>
        </w:trPr>
        <w:tc>
          <w:tcPr>
            <w:tcW w:w="56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Weighted average shares used in calculating earnings (loss) per share:</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4"/>
        </w:trPr>
        <w:tc>
          <w:tcPr>
            <w:tcW w:w="5620" w:type="dxa"/>
            <w:vAlign w:val="bottom"/>
          </w:tcPr>
          <w:p>
            <w:pPr>
              <w:ind w:left="320"/>
              <w:spacing w:after="0"/>
              <w:rPr>
                <w:sz w:val="20"/>
                <w:szCs w:val="20"/>
                <w:color w:val="auto"/>
              </w:rPr>
            </w:pPr>
            <w:r>
              <w:rPr>
                <w:rFonts w:ascii="Arial" w:cs="Arial" w:eastAsia="Arial" w:hAnsi="Arial"/>
                <w:sz w:val="17"/>
                <w:szCs w:val="17"/>
                <w:color w:val="auto"/>
              </w:rPr>
              <w:t>Basic</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21,905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22,052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21,868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21,973</w:t>
            </w:r>
          </w:p>
        </w:tc>
      </w:tr>
      <w:tr>
        <w:trPr>
          <w:trHeight w:val="218"/>
        </w:trPr>
        <w:tc>
          <w:tcPr>
            <w:tcW w:w="5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22,425</w:t>
            </w:r>
          </w:p>
        </w:tc>
      </w:tr>
      <w:tr>
        <w:trPr>
          <w:trHeight w:val="216"/>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27,430</w:t>
            </w:r>
          </w:p>
        </w:tc>
      </w:tr>
      <w:tr>
        <w:trPr>
          <w:trHeight w:val="214"/>
        </w:trPr>
        <w:tc>
          <w:tcPr>
            <w:tcW w:w="5620" w:type="dxa"/>
            <w:vAlign w:val="bottom"/>
          </w:tcPr>
          <w:p>
            <w:pPr>
              <w:ind w:left="20"/>
              <w:spacing w:after="0"/>
              <w:rPr>
                <w:sz w:val="20"/>
                <w:szCs w:val="20"/>
                <w:color w:val="auto"/>
              </w:rPr>
            </w:pPr>
            <w:r>
              <w:rPr>
                <w:rFonts w:ascii="Arial" w:cs="Arial" w:eastAsia="Arial" w:hAnsi="Arial"/>
                <w:sz w:val="17"/>
                <w:szCs w:val="17"/>
                <w:color w:val="auto"/>
              </w:rPr>
              <w:t>Foreign currency translation adjustments, net of tax</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(673)</w:t>
            </w:r>
          </w:p>
        </w:tc>
      </w:tr>
      <w:tr>
        <w:trPr>
          <w:trHeight w:val="218"/>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 (loss) on investment, net of tax</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7,740</w:t>
            </w:r>
          </w:p>
        </w:tc>
      </w:tr>
      <w:tr>
        <w:trPr>
          <w:trHeight w:val="214"/>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Unrealized loss on cash flow hedging instruments, net of tax</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w:t>
            </w:r>
          </w:p>
        </w:tc>
      </w:tr>
      <w:tr>
        <w:trPr>
          <w:trHeight w:val="211"/>
        </w:trPr>
        <w:tc>
          <w:tcPr>
            <w:tcW w:w="56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Other comprehensive income (loss)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6,069</w:t>
            </w:r>
          </w:p>
        </w:tc>
      </w:tr>
      <w:tr>
        <w:trPr>
          <w:trHeight w:val="208"/>
        </w:trPr>
        <w:tc>
          <w:tcPr>
            <w:tcW w:w="5620" w:type="dxa"/>
            <w:vAlign w:val="bottom"/>
          </w:tcPr>
          <w:p>
            <w:pPr>
              <w:ind w:left="20"/>
              <w:spacing w:after="0" w:line="192" w:lineRule="exact"/>
              <w:rPr>
                <w:sz w:val="20"/>
                <w:szCs w:val="20"/>
                <w:color w:val="auto"/>
              </w:rPr>
            </w:pPr>
            <w:r>
              <w:rPr>
                <w:rFonts w:ascii="Arial" w:cs="Arial" w:eastAsia="Arial" w:hAnsi="Arial"/>
                <w:sz w:val="17"/>
                <w:szCs w:val="17"/>
                <w:color w:val="auto"/>
              </w:rPr>
              <w:t>Comprehensive income (loss)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16,081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14,043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(22,681)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33,499</w:t>
            </w:r>
          </w:p>
        </w:tc>
      </w:tr>
      <w:tr>
        <w:trPr>
          <w:trHeight w:val="22"/>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9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96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320" w:type="dxa"/>
            <w:vAlign w:val="bottom"/>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8"/>
                <w:szCs w:val="8"/>
                <w:color w:val="auto"/>
              </w:rPr>
            </w:pPr>
          </w:p>
        </w:tc>
        <w:tc>
          <w:tcPr>
            <w:tcW w:w="13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5"/>
                <w:szCs w:val="15"/>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24,586,236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(2,786,798)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(128,646)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450,391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536,014</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16,081</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340"/>
              <w:spacing w:after="0" w:line="153" w:lineRule="exact"/>
              <w:rPr>
                <w:sz w:val="20"/>
                <w:szCs w:val="20"/>
                <w:color w:val="auto"/>
              </w:rPr>
            </w:pPr>
            <w:r>
              <w:rPr>
                <w:rFonts w:ascii="Arial" w:cs="Arial" w:eastAsia="Arial" w:hAnsi="Arial"/>
                <w:sz w:val="14"/>
                <w:szCs w:val="14"/>
                <w:color w:val="auto"/>
              </w:rPr>
              <w:t>Restricted stock awards, net of</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51,860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(4,130)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340"/>
              <w:spacing w:after="0"/>
              <w:rPr>
                <w:sz w:val="20"/>
                <w:szCs w:val="20"/>
                <w:color w:val="auto"/>
              </w:rPr>
            </w:pPr>
            <w:r>
              <w:rPr>
                <w:rFonts w:ascii="Arial" w:cs="Arial" w:eastAsia="Arial" w:hAnsi="Arial"/>
                <w:sz w:val="14"/>
                <w:szCs w:val="14"/>
                <w:color w:val="auto"/>
              </w:rPr>
              <w:t>cancellations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3,372</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(12,468)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24,644,896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(2,803,396)</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(129,438)</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454,153</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220,146</w:t>
            </w:r>
          </w:p>
        </w:tc>
        <w:tc>
          <w:tcPr>
            <w:tcW w:w="120" w:type="dxa"/>
            <w:vAlign w:val="bottom"/>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9,958</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555,066</w:t>
            </w:r>
          </w:p>
        </w:tc>
        <w:tc>
          <w:tcPr>
            <w:tcW w:w="0" w:type="dxa"/>
            <w:vAlign w:val="bottom"/>
          </w:tcPr>
          <w:p>
            <w:pPr>
              <w:spacing w:after="0"/>
              <w:rPr>
                <w:sz w:val="1"/>
                <w:szCs w:val="1"/>
                <w:color w:val="auto"/>
              </w:rPr>
            </w:pPr>
          </w:p>
        </w:tc>
      </w:tr>
      <w:tr>
        <w:trPr>
          <w:trHeight w:val="21"/>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at June 30, 2019</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320" w:type="dxa"/>
            <w:vAlign w:val="bottom"/>
            <w:vMerge w:val="continue"/>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24,711,193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(2,742,826)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(127,133)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463,190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209,882</w:t>
            </w: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22,175</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568,361</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14,043</w:t>
            </w: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340"/>
              <w:spacing w:after="0" w:line="153" w:lineRule="exact"/>
              <w:rPr>
                <w:sz w:val="20"/>
                <w:szCs w:val="20"/>
                <w:color w:val="auto"/>
              </w:rPr>
            </w:pPr>
            <w:r>
              <w:rPr>
                <w:rFonts w:ascii="Arial" w:cs="Arial" w:eastAsia="Arial" w:hAnsi="Arial"/>
                <w:sz w:val="14"/>
                <w:szCs w:val="14"/>
                <w:color w:val="auto"/>
              </w:rPr>
              <w:t>Restricted stock awards, net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58,164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cancellations</w:t>
            </w: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34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5,664</w:t>
            </w: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(12,657)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171"/>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2019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24,779,357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(2,759,224)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(128,048)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469,257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223,536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22,564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587,557</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32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96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96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vMerge w:val="restart"/>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320" w:type="dxa"/>
            <w:vAlign w:val="bottom"/>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9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8"/>
                <w:szCs w:val="8"/>
                <w:color w:val="auto"/>
              </w:rPr>
            </w:pPr>
          </w:p>
        </w:tc>
        <w:tc>
          <w:tcPr>
            <w:tcW w:w="13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line="20" w:lineRule="exact"/>
              <w:rPr>
                <w:sz w:val="1"/>
                <w:szCs w:val="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3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5"/>
                <w:szCs w:val="15"/>
                <w:color w:val="auto"/>
              </w:rPr>
            </w:pPr>
          </w:p>
        </w:tc>
        <w:tc>
          <w:tcPr>
            <w:tcW w:w="90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24,603,308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(2,763,302)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(128,348)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460,781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237,849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14,936</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585,465</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(17,703)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(22,681)</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340"/>
              <w:spacing w:after="0" w:line="153" w:lineRule="exact"/>
              <w:rPr>
                <w:sz w:val="20"/>
                <w:szCs w:val="20"/>
                <w:color w:val="auto"/>
              </w:rPr>
            </w:pPr>
            <w:r>
              <w:rPr>
                <w:rFonts w:ascii="Arial" w:cs="Arial" w:eastAsia="Arial" w:hAnsi="Arial"/>
                <w:sz w:val="14"/>
                <w:szCs w:val="14"/>
                <w:color w:val="auto"/>
              </w:rPr>
              <w:t>Restricted stock awards, net of</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321,986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94,180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6,707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(6,710)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340"/>
              <w:spacing w:after="0"/>
              <w:rPr>
                <w:sz w:val="20"/>
                <w:szCs w:val="20"/>
                <w:color w:val="auto"/>
              </w:rPr>
            </w:pPr>
            <w:r>
              <w:rPr>
                <w:rFonts w:ascii="Arial" w:cs="Arial" w:eastAsia="Arial" w:hAnsi="Arial"/>
                <w:sz w:val="14"/>
                <w:szCs w:val="14"/>
                <w:color w:val="auto"/>
              </w:rPr>
              <w:t>cancellations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20,135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20,135</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(134,274)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(7,797)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(7,797)</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repurchases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(313,998)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(20,878)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(20,881)</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24,644,896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(2,803,396)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(129,438)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454,153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220,146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555,066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24,418,252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(2,671,962)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(124,794)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452,573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540,624</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27,430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6,069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33,499</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in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340"/>
              <w:spacing w:after="0" w:line="153" w:lineRule="exact"/>
              <w:rPr>
                <w:sz w:val="20"/>
                <w:szCs w:val="20"/>
                <w:color w:val="auto"/>
              </w:rPr>
            </w:pPr>
            <w:r>
              <w:rPr>
                <w:rFonts w:ascii="Arial" w:cs="Arial" w:eastAsia="Arial" w:hAnsi="Arial"/>
                <w:sz w:val="14"/>
                <w:szCs w:val="14"/>
                <w:color w:val="auto"/>
              </w:rPr>
              <w:t>Restricted stock awards, net of</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331,105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21,433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1,952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(1,956)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340"/>
              <w:spacing w:after="0"/>
              <w:rPr>
                <w:sz w:val="20"/>
                <w:szCs w:val="20"/>
                <w:color w:val="auto"/>
              </w:rPr>
            </w:pPr>
            <w:r>
              <w:rPr>
                <w:rFonts w:ascii="Arial" w:cs="Arial" w:eastAsia="Arial" w:hAnsi="Arial"/>
                <w:sz w:val="14"/>
                <w:szCs w:val="14"/>
                <w:color w:val="auto"/>
              </w:rPr>
              <w:t>cancellations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17,937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17,937</w:t>
            </w:r>
          </w:p>
        </w:tc>
        <w:tc>
          <w:tcPr>
            <w:tcW w:w="0" w:type="dxa"/>
            <w:vAlign w:val="bottom"/>
          </w:tcPr>
          <w:p>
            <w:pPr>
              <w:spacing w:after="0"/>
              <w:rPr>
                <w:sz w:val="1"/>
                <w:szCs w:val="1"/>
                <w:color w:val="auto"/>
              </w:rPr>
            </w:pPr>
          </w:p>
        </w:tc>
      </w:tr>
      <w:tr>
        <w:trPr>
          <w:trHeight w:val="153"/>
        </w:trPr>
        <w:tc>
          <w:tcPr>
            <w:tcW w:w="2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redeemed for employee tax</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(108,695)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(5,206)</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2019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24,779,357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(2,759,224)</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(128,048)</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469,257</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223,536</w:t>
            </w:r>
          </w:p>
        </w:tc>
        <w:tc>
          <w:tcPr>
            <w:tcW w:w="120" w:type="dxa"/>
            <w:vAlign w:val="bottom"/>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22,564</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587,557</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jc w:val="center"/>
        <w:ind w:left="7060"/>
        <w:spacing w:after="0"/>
        <w:rPr>
          <w:sz w:val="20"/>
          <w:szCs w:val="20"/>
          <w:color w:val="auto"/>
        </w:rPr>
      </w:pPr>
      <w:r>
        <w:rPr>
          <w:rFonts w:ascii="Arial" w:cs="Arial" w:eastAsia="Arial" w:hAnsi="Arial"/>
          <w:sz w:val="16"/>
          <w:szCs w:val="16"/>
          <w:b w:val="1"/>
          <w:bCs w:val="1"/>
          <w:color w:val="auto"/>
        </w:rPr>
        <w:t>Nine Months Ended</w:t>
      </w:r>
    </w:p>
    <w:p>
      <w:pPr>
        <w:jc w:val="center"/>
        <w:ind w:left="7060"/>
        <w:spacing w:after="0"/>
        <w:rPr>
          <w:sz w:val="20"/>
          <w:szCs w:val="20"/>
          <w:color w:val="auto"/>
        </w:rPr>
      </w:pPr>
      <w:r>
        <w:rPr>
          <w:rFonts w:ascii="Arial" w:cs="Arial" w:eastAsia="Arial" w:hAnsi="Arial"/>
          <w:sz w:val="16"/>
          <w:szCs w:val="16"/>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19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(17,703)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27,430</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22,511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25,410</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6,413</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Lease impairment charge</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805</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18,094</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8,066</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 charges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Allowances for doubtful accounts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Loss on sale of business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divestiture: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receivables from clients,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(6,817)</w:t>
            </w:r>
          </w:p>
        </w:tc>
      </w:tr>
      <w:tr>
        <w:trPr>
          <w:trHeight w:val="213"/>
        </w:trPr>
        <w:tc>
          <w:tcPr>
            <w:tcW w:w="7640" w:type="dxa"/>
            <w:vAlign w:val="bottom"/>
          </w:tcPr>
          <w:p>
            <w:pPr>
              <w:ind w:left="340"/>
              <w:spacing w:after="0"/>
              <w:rPr>
                <w:sz w:val="20"/>
                <w:szCs w:val="20"/>
                <w:color w:val="auto"/>
              </w:rPr>
            </w:pPr>
            <w:r>
              <w:rPr>
                <w:rFonts w:ascii="Arial" w:cs="Arial" w:eastAsia="Arial" w:hAnsi="Arial"/>
                <w:sz w:val="16"/>
                <w:szCs w:val="16"/>
                <w:color w:val="auto"/>
              </w:rPr>
              <w:t>(Increase) decrease in unbilled services,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(30,163)</w:t>
            </w:r>
          </w:p>
        </w:tc>
      </w:tr>
      <w:tr>
        <w:trPr>
          <w:trHeight w:val="219"/>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10,561</w:t>
            </w:r>
          </w:p>
        </w:tc>
      </w:tr>
      <w:tr>
        <w:trPr>
          <w:trHeight w:val="213"/>
        </w:trPr>
        <w:tc>
          <w:tcPr>
            <w:tcW w:w="7640" w:type="dxa"/>
            <w:vAlign w:val="bottom"/>
          </w:tcPr>
          <w:p>
            <w:pPr>
              <w:ind w:left="34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(4,160)</w:t>
            </w:r>
          </w:p>
        </w:tc>
      </w:tr>
      <w:tr>
        <w:trPr>
          <w:trHeight w:val="219"/>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accounts payable and other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(3,565)</w:t>
            </w:r>
          </w:p>
        </w:tc>
      </w:tr>
      <w:tr>
        <w:trPr>
          <w:trHeight w:val="213"/>
        </w:trPr>
        <w:tc>
          <w:tcPr>
            <w:tcW w:w="7640" w:type="dxa"/>
            <w:vAlign w:val="bottom"/>
          </w:tcPr>
          <w:p>
            <w:pPr>
              <w:ind w:left="34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(25,290)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(1,850)</w:t>
            </w:r>
          </w:p>
        </w:tc>
      </w:tr>
      <w:tr>
        <w:trPr>
          <w:trHeight w:val="219"/>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3,098</w:t>
            </w:r>
          </w:p>
        </w:tc>
      </w:tr>
      <w:tr>
        <w:trPr>
          <w:trHeight w:val="206"/>
        </w:trPr>
        <w:tc>
          <w:tcPr>
            <w:tcW w:w="76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77,985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51,745</w:t>
            </w:r>
          </w:p>
        </w:tc>
      </w:tr>
      <w:tr>
        <w:trPr>
          <w:trHeight w:val="19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Purchases of property and equipment,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(10,024)</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Investment in life insurance policies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(4,434)</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businesses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(7,462)</w:t>
            </w:r>
          </w:p>
        </w:tc>
      </w:tr>
      <w:tr>
        <w:trPr>
          <w:trHeight w:val="213"/>
        </w:trPr>
        <w:tc>
          <w:tcPr>
            <w:tcW w:w="76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(28,388)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(24,420)</w:t>
            </w:r>
          </w:p>
        </w:tc>
      </w:tr>
      <w:tr>
        <w:trPr>
          <w:trHeight w:val="195"/>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(5,206)</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Proceeds from bank borrowings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105,500</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bank borrowings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(105,885)</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Payments for debt issuance costs</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(1,498)</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contingent consideration liabilities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(4,674)</w:t>
            </w:r>
          </w:p>
        </w:tc>
      </w:tr>
      <w:tr>
        <w:trPr>
          <w:trHeight w:val="207"/>
        </w:trPr>
        <w:tc>
          <w:tcPr>
            <w:tcW w:w="76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13,517</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(11,060)</w:t>
            </w: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63,141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16,303</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33,107</w:t>
            </w:r>
          </w:p>
        </w:tc>
      </w:tr>
      <w:tr>
        <w:trPr>
          <w:trHeight w:val="206"/>
        </w:trPr>
        <w:tc>
          <w:tcPr>
            <w:tcW w:w="7640" w:type="dxa"/>
            <w:vAlign w:val="bottom"/>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74,745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49,410</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0"/>
        </w:trPr>
        <w:tc>
          <w:tcPr>
            <w:tcW w:w="764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Property and equipment expenditures and capitalized software included in accounts payable, accrued</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1"/>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expenses and accrued payroll and related benefits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w:t>
            </w:r>
          </w:p>
        </w:tc>
      </w:tr>
      <w:tr>
        <w:trPr>
          <w:trHeight w:val="210"/>
        </w:trPr>
        <w:tc>
          <w:tcPr>
            <w:tcW w:w="7640" w:type="dxa"/>
            <w:vAlign w:val="bottom"/>
          </w:tcPr>
          <w:p>
            <w:pPr>
              <w:ind w:left="340"/>
              <w:spacing w:after="0"/>
              <w:rPr>
                <w:sz w:val="20"/>
                <w:szCs w:val="20"/>
                <w:color w:val="auto"/>
              </w:rPr>
            </w:pPr>
            <w:r>
              <w:rPr>
                <w:rFonts w:ascii="Arial" w:cs="Arial" w:eastAsia="Arial" w:hAnsi="Arial"/>
                <w:sz w:val="16"/>
                <w:szCs w:val="16"/>
                <w:color w:val="auto"/>
              </w:rPr>
              <w:t>Operating lease right-of-use asset obtained in exchange for operating lease liability</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1,456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3,628</w:t>
            </w:r>
          </w:p>
        </w:tc>
      </w:tr>
    </w:tbl>
    <w:p>
      <w:pPr>
        <w:spacing w:after="0" w:line="95"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0680"/>
          </w:cols>
          <w:pgMar w:left="320" w:top="1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40" w:right="89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Huron helps clients accelerate operational, digital and cultural transformation, enabling the change they need to own their future. By embracing diverse perspectives, encouraging new ideas and challenging the status quo, Huron creates sustainable results for the organizations it serves.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accompanying unaudited consolidated financial statements reflect the financial position, results of operations, and cash flows as of and for the three and nine months ended September 30, 2020 and 2019.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2019 included in our Annual Report on Form 10-K and our Quarterly Reports on Form 10-Q for the periods ended March 31, 2020 and June 30, 2020. Our results for any interim period are not necessarily indicative of results for a full year or any other interim period.</w:t>
      </w:r>
    </w:p>
    <w:p>
      <w:pPr>
        <w:spacing w:after="0" w:line="157"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Preparation of our consolidated financial statements requires management to make estimates and assumptions that affect the amounts reported in our consolidated financial statements and related disclosures. The business and economic uncertainty resulting from the coronavirus (COVID-19) pandemic has made such estimates and assumptions more difficult to predict. Accordingly, actual results and outcomes could differ from those estimates.</w:t>
      </w:r>
    </w:p>
    <w:p>
      <w:pPr>
        <w:spacing w:after="0" w:line="150"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In the third quarter of 2020, we identified an error on our previously reported consolidated balance sheet as of March 31, 2020 and June 30, 2020, which resulted in an overstatement of unbilled services by $0.6 million and $0.8 million, respectively. The error also impacted our previously reported consolidated statement of operations for the three months ended March 31, 2020 and June 30, 2020, which resulted in an overstatement of revenues by $0.6 million and $0.2 million, respectively, and an overstatement of net income by $0.4 million and</w:t>
      </w:r>
    </w:p>
    <w:p>
      <w:pPr>
        <w:spacing w:after="0" w:line="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$0.2 million, respectively. For the six months ended June 30, 2020, the error resulted in an overstatement of revenues and net income by $0.8 million and $0.6 million, respectively. This error related to a revenue recognition calculation error for a specific fee component of one contract within our Healthcare segment. This error was corrected in the third quarter of 2020 by decreasing revenues and unbilled services by $ 0.8 million, and resulted in a $ 0.6 million decrease to net income in the third quarter of 2020. This error, which was not material to the first, second, or third quarter 2020 results, had no impact on our consolidated balance sheet as of September 30, 2020 or our consolidated statement of operations for the nine months ended September 30,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which provides a new current expected credit loss model to account for 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on certain financial assets, including trade receivables. That model requires an entity to estimate lifetime credit losses based on relevant historical information, adjusted for current conditions and reasonable and supportable forecasts that could affect the collectability of the reported amount. The ASU also makes targeted amendments to the current impairment model for available-for-sale debt securities, which includes requiring the recognition of an allowance rather than a direct write-down of the investment, which may be reversed in the event that the credit of an issuer improves. We adopted ASU 2016-13 effective January 1, 2020, which did not have a material impact on our consolidated financial statements.</w:t>
      </w:r>
    </w:p>
    <w:p>
      <w:pPr>
        <w:spacing w:after="0" w:line="13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which modifies certain disclosure requirements related to fair value measurements. We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ASU 2018-13 effective January 1, 2020, which had no impact on the amounts reported on our consolidated financial statements. We updated our disclosures within the notes to our consolidated financial statements as required by ASU 2018-13.</w:t>
      </w:r>
    </w:p>
    <w:p>
      <w:pPr>
        <w:spacing w:after="0" w:line="12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simplifies the accounting for income taxes by eliminating certain exceptions to the guidance in ASC 740, </w:t>
      </w:r>
      <w:r>
        <w:rPr>
          <w:rFonts w:ascii="Arial" w:cs="Arial" w:eastAsia="Arial" w:hAnsi="Arial"/>
          <w:sz w:val="18"/>
          <w:szCs w:val="18"/>
          <w:i w:val="1"/>
          <w:iCs w:val="1"/>
          <w:color w:val="auto"/>
        </w:rPr>
        <w:t>Income Taxes</w:t>
      </w:r>
      <w:r>
        <w:rPr>
          <w:rFonts w:ascii="Arial" w:cs="Arial" w:eastAsia="Arial" w:hAnsi="Arial"/>
          <w:sz w:val="18"/>
          <w:szCs w:val="18"/>
          <w:color w:val="auto"/>
        </w:rPr>
        <w:t>, related to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approach for intraperiod tax allocation, the methodology for calculating income taxes in an interim period and the recognition of deferred tax liabilities for outside basis differences. The new guidance also simplifies other aspects of the accounting for franchise taxes and enacted changes in tax laws or tax rates and clarifies the accounting for transactions that result in a step-up in the tax basis of goodwill. On January 1, 2020, we elected to early adopt ASU 2019-12 on a modified retrospective basis for those amendments that are not applied on a prospective basis. The adoption of ASU 2019-12 did not have a material impact on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table below sets forth the changes in the carrying amount of goodwill by reportable segment for the nine months ended September 30, 2020.</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Healthcare</w:t>
            </w:r>
          </w:p>
        </w:tc>
        <w:tc>
          <w:tcPr>
            <w:tcW w:w="24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Business</w:t>
            </w:r>
          </w:p>
        </w:tc>
        <w:tc>
          <w:tcPr>
            <w:tcW w:w="220" w:type="dxa"/>
            <w:vAlign w:val="bottom"/>
          </w:tcPr>
          <w:p>
            <w:pPr>
              <w:spacing w:after="0"/>
              <w:rPr>
                <w:sz w:val="17"/>
                <w:szCs w:val="17"/>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Education</w:t>
            </w:r>
          </w:p>
        </w:tc>
        <w:tc>
          <w:tcPr>
            <w:tcW w:w="340" w:type="dxa"/>
            <w:vAlign w:val="bottom"/>
          </w:tcPr>
          <w:p>
            <w:pPr>
              <w:spacing w:after="0"/>
              <w:rPr>
                <w:sz w:val="17"/>
                <w:szCs w:val="17"/>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Advisory</w:t>
            </w: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636,810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302,057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103,889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1,042,756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(396,076)</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Goodwill, net as of December 31, 2019</w:t>
            </w: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428,729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114,062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103,889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646,680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Goodwill recorded in connection with a business acquisition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Goodwill impairment charge</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(59,816)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(59,816)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Goodwill, net as of September 30, 2020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428,729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53,617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586,730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340" w:hanging="652"/>
        <w:spacing w:after="0" w:line="254"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August 1, 2020, we completed the acquisition of B3i Analytics, LLC, a software firm that provides a software as a solution ("SaaS") application to leverage internal and external data to help higher education institutions forecast research revenue. The results of operations of the acquired business is included in our consolidated financial statements and results of operations of our Education segment from the date of acquisition. This acquisition is not significant to our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Goodwill Impairment Charges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worldwide spread of the coronavirus (COVID-19) in the first quarter of 2020 created significant volatility, uncertainty and disruption to the global economy. We are closely monitoring the impact of the COVID-19 pandemic on all aspects of our business, including how we expect it will continue to negatively impact our clients, employees and business partners. While the COVID-19 pandemic did not have a significant impact on our consolidated revenues in the first quarter of 2020, we expected it to have an unfavorable impact on sales, increase uncertainty in the backlog and negatively impact full year 2020 results. 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due to the uncertainty caused by the COVID-19 pandemic, we are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that the fair value of these two reporting units no longer exceeded their carrying values and performed an interim impairment test on both reporting units as of March 31, 2020.</w:t>
      </w:r>
    </w:p>
    <w:p>
      <w:pPr>
        <w:spacing w:after="0" w:line="1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Based on the estimated fair values of the Strategy and Innovation and Life Sciences reporting units,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50"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Our goodwill impairment test was performed by comparing the fair value of each of the Strategy and Innovation and Life Sciences reporting units with its respective carrying value and recognizing an impairment charge for the amount by which the carrying value exceeded the fair value. To estimate the fair value of each reporting unit, we relied on a combination of the income approach and the market approach, with a fifty-fifty weighting.</w:t>
      </w:r>
    </w:p>
    <w:p>
      <w:pPr>
        <w:spacing w:after="0" w:line="15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the income approach, we utilized a discounted cash flow analysis, which involved estimating the expected after-tax cash flows that will be generated by each reporting unit and then discounting those cash flows to present value, reflecting the relevant risks associated with each</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reporting unit and the time value of money. This approach requires the use of significant estimates and assumptions, including long-term projections of future cash flows, market conditions, and discount rates that reflects the risk inherent in the future cash flows. In estimating future cash flows, we relied on internally generated seven-year forecasts. For periods after the seven-year forecast, we assumed a long-term annual revenue growth rate of 3.0% for both the Strategy and Innovation and Life Sciences reporting units and a long-term EBITDA margin of 24.8% and 6.7%, respectively. Our forecasts are based on historical experience, current backlog, expected market demand, and other industry information. Our discounted cash flow analysis assumed weighted average cost of capital discount rates of 16.0% and 10.5% for the Strategy and Innovation and Life Sciences reporting units, respectively.</w:t>
      </w:r>
    </w:p>
    <w:p>
      <w:pPr>
        <w:spacing w:after="0" w:line="153"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revenue multiples based on operating data from guideline publicly traded companies. Multiples derived from guideline companies provide an indication of how much a knowledgeable investor in the marketplace would be willing to pay for a company. These multiples were evaluated and adjusted based on specific characteristics of the Strategy and Innovation and Life Sciences reporting units relative to the selected guideline companies and applied to the reporting units' operating data to arrive at an indication of value. The range of revenue multiples used in the valuation of the Strategy and Innovation and Life Sciences reporting units was 1.20x to 1.70x and 0.30x to 0.40x, respectively.</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Concurrently with the goodwill impairment tests performed over the Strategy and Innovation and Life Sciences reporting units, we evaluated whether any indicators exist that would lead us to believe that the fair values of our Healthcare, Education, and Business Advisory reporting units may not exceed their carrying values. Based on our internal projections, consideration of the impact of the COVID-19 pandemic on these reporting units, and review of the amounts by which the fair values of these reporting units exceeded their carrying values in the most recent quantitative goodwill impairment analysis performed, we did not identify any indicators that would lead us to believe that the fair values of these reporting units may not exceed their carrying values as of March 31, 2020.</w:t>
      </w:r>
    </w:p>
    <w:p>
      <w:pPr>
        <w:spacing w:after="0" w:line="1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goodwill impairment tests performed on the Strategy and Innovation and Life Sciences reporting units as of March 31, 2020, we performed impairment tests on the long-lived assets allocated to the asset groups of the Strategy and Innovation and Life Sciences reporting units. Based on the impairment tests performed, we concluded that the long-lived assets allocated to the asset groups were not impaired as of March 31, 2020. We did not identify any indicators that would lead us to believe that the carrying values of the long-lived assets allocated to our other asset groups may not be recoverable as of March 31, 2020.</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the second and third quarters of 2020, we did not identify any indicators that would lead us to believe that the fair values of any of our reporting units may not exceed their carrying values, nor did we identify any indicators that would lead us to believe that the carrying values of the long-lived assets allocated to our asset groups may not be recoverable.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2020 and December 31, 2019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As of September 30, 2020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 2019</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9"/>
              </w:rPr>
              <w:t>Useful Life</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Accumulated</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3 to 13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61,882</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5 to 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25,894</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software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3900" w:type="dxa"/>
            <w:vAlign w:val="bottom"/>
          </w:tcPr>
          <w:p>
            <w:pPr>
              <w:ind w:left="34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98,447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125,221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Intangible asset amortization expense was $3.2 million and $4.2 million for the three months ended September 30, 2020 and 2019, respectively; and $9.6 million and $13.0 million for the nine months ended September 30, 2020 and 2019. The table below sets forth the estimated annual amortization expense for the intangible assets recorded as of September 30,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2"/>
            <w:vMerge w:val="restart"/>
          </w:tcPr>
          <w:p>
            <w:pPr>
              <w:ind w:left="324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17"/>
                <w:szCs w:val="17"/>
                <w:color w:val="auto"/>
              </w:rPr>
            </w:pP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Estimated Amortization</w:t>
            </w:r>
          </w:p>
        </w:tc>
        <w:tc>
          <w:tcPr>
            <w:tcW w:w="0" w:type="dxa"/>
            <w:vAlign w:val="bottom"/>
          </w:tcPr>
          <w:p>
            <w:pPr>
              <w:spacing w:after="0"/>
              <w:rPr>
                <w:sz w:val="1"/>
                <w:szCs w:val="1"/>
                <w:color w:val="auto"/>
              </w:rPr>
            </w:pPr>
          </w:p>
        </w:tc>
      </w:tr>
      <w:tr>
        <w:trPr>
          <w:trHeight w:val="230"/>
        </w:trPr>
        <w:tc>
          <w:tcPr>
            <w:tcW w:w="8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jc w:val="right"/>
              <w:ind w:right="730"/>
              <w:spacing w:after="0"/>
              <w:rPr>
                <w:sz w:val="20"/>
                <w:szCs w:val="20"/>
                <w:color w:val="auto"/>
              </w:rPr>
            </w:pPr>
            <w:r>
              <w:rPr>
                <w:rFonts w:ascii="Arial" w:cs="Arial" w:eastAsia="Arial" w:hAnsi="Arial"/>
                <w:sz w:val="18"/>
                <w:szCs w:val="18"/>
                <w:b w:val="1"/>
                <w:bCs w:val="1"/>
                <w:color w:val="auto"/>
              </w:rPr>
              <w:t>Expense</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jc w:val="right"/>
              <w:ind w:right="8230"/>
              <w:spacing w:after="0"/>
              <w:rPr>
                <w:sz w:val="20"/>
                <w:szCs w:val="20"/>
                <w:color w:val="auto"/>
              </w:rPr>
            </w:pPr>
            <w:r>
              <w:rPr>
                <w:rFonts w:ascii="Arial" w:cs="Arial" w:eastAsia="Arial" w:hAnsi="Arial"/>
                <w:sz w:val="18"/>
                <w:szCs w:val="18"/>
                <w:color w:val="auto"/>
                <w:w w:val="99"/>
              </w:rPr>
              <w:t>2020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12,635</w:t>
            </w:r>
          </w:p>
        </w:tc>
        <w:tc>
          <w:tcPr>
            <w:tcW w:w="0" w:type="dxa"/>
            <w:vAlign w:val="bottom"/>
          </w:tcPr>
          <w:p>
            <w:pPr>
              <w:spacing w:after="0"/>
              <w:rPr>
                <w:sz w:val="1"/>
                <w:szCs w:val="1"/>
                <w:color w:val="auto"/>
              </w:rPr>
            </w:pPr>
          </w:p>
        </w:tc>
      </w:tr>
      <w:tr>
        <w:trPr>
          <w:trHeight w:val="229"/>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29"/>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Revenues</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For the three months ended September 30, 2020 and 2019, we recognized revenues of $205.3 million and $219.3 million, respectively. Of the $205.3 million recognized in the third quarter of 2020, we recognized revenues of $7.4 million from obligations satisfied, or partially satisfied, in prior periods, of which $5.7 million was primarily due to the release of allowances on unbilled services as a result of securing contract amendments and $1.7 million was due to changes in the estimates of our variable consideration under performance-based billing arrangements. Of the $219.3 million recognized in the third quarter of 2019, we recognized revenues of $4.8 million from obligations satisfied, or partially satisfied, in prior periods, of which $ 3.7 million was primarily due to the release of allowances on unbilled services as a result of securing contract amendments and $1.1 million was due to changes in the estimates of our variable consideration under performance-based billing arrangements.</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nine months ended September 30, 2020 and 2019, we recognized revenues of $645.8 million and $644.5 million, respectively. Of the $645.8 million recognized in the first nine months of 2020, we recognized revenues of $11.0 million from obligations satisfied, or partially satisfied, in prior periods, of which $6.5 million was due to changes in the estimates of our variable consideration under performance-based billing arrangements and $4.5 million was primarily due to the release of allowances on unbilled services as a result of securing contract amendments. Of the $644.5 million recognized in the first nine months of 2019, we recognized revenues of $ 2.6 million from obligations satisfied, or partially satisfied, in prior periods, primarily due to the release of allowances on unbilled services due to securing contract amendments. During the first nine months of 2019, we recognized a $1.4 million decrease to revenues due to changes in the estimates of our variable consideration under performance-based billing arrangements.</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September 30, 2020, we had $67.9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$67.9 million of performance obligations, we expect to recognize approximately $14.5 million as revenue in 2020, $34.2 million in 2021, and the remaining $ 19.2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September 30, 2020 and December 31, 2019 was $13.4 million and $12.6 million, respectively. The $0.8 million increase primarily reflects timing differences between the completion of our performance obligations and the amounts billed or billable to clients in accordance with their contractual billing terms.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September 30, 2020 and December 31, 2019, was $ 31.8 million and $28.4 million, respectively. The $3.4 million increase primarily reflects timing differences between client payments in accordance with their contract terms and the completion of our performance obligations. For the three and nine months ended September 30, 2020, $3.0 million and $24.3 million, respectively, of revenues recognized were included in the deferred revenue balance as of December 31,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 Earnings (loss) per share under the basic and diluted computations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9"/>
                <w:szCs w:val="19"/>
                <w:color w:val="auto"/>
              </w:rPr>
            </w:pPr>
          </w:p>
        </w:tc>
        <w:tc>
          <w:tcPr>
            <w:tcW w:w="26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1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27,625</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21,973</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per basic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5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earnings (loss) per diluted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were as follows:</w:t>
      </w:r>
    </w:p>
    <w:p>
      <w:pPr>
        <w:spacing w:after="0" w:line="243"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As of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Convertible senior notes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29"/>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Warrants related to the issuance of convertible senior notes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6,258</w:t>
            </w:r>
          </w:p>
        </w:tc>
      </w:tr>
      <w:tr>
        <w:trPr>
          <w:trHeight w:val="20"/>
        </w:trPr>
        <w:tc>
          <w:tcPr>
            <w:tcW w:w="7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See Note 7 “Financing Arrangements” for further information on the convertible senior notes and warrants related to the issuance of convertible notes.</w:t>
      </w:r>
    </w:p>
    <w:p>
      <w:pPr>
        <w:spacing w:after="0" w:line="144"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As of September 30, 2020, we had a share repurchase program permitting us to repurchase up to $125 million of our common stock through October 31, 2020 (the “Share Repurchase Program”). In the first quarter of 2020, we repurchased and retired 313,998 shares for $20.9</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million. The 313,998 shares repurchased and retired in the first quarter of 2020 were reflected as a reduction to our basic weighted average shares outstanding for the quarter ended March 31, 2020 based on the trade date of the share repurchase. Additionally, in the first quarter of 2020, we settled the repurchase of 18,000 shares for $1.2 million that were accrued as of December 31, 2019. These shares were reflected as a reduction to our basic weighted average shares outstanding in the fourth quarter of 2019 based on the trade date of the share repurchase. No shares were repurchased during the second or third quarters of 2020 nor were any shares repurchased during the first nine months of 2019. As of September 30, 2020, less than $0.1 million remained available for share repurchases. The Share Repurchase Program expired on October 31,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amounts of our debt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gridSpan w:val="2"/>
          </w:tcPr>
          <w:p>
            <w:pPr>
              <w:ind w:left="20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17"/>
                <w:szCs w:val="17"/>
                <w:color w:val="auto"/>
              </w:rPr>
            </w:pPr>
          </w:p>
        </w:tc>
        <w:tc>
          <w:tcPr>
            <w:tcW w:w="1980" w:type="dxa"/>
            <w:vAlign w:val="bottom"/>
          </w:tcPr>
          <w:p>
            <w:pPr>
              <w:jc w:val="right"/>
              <w:ind w:right="510"/>
              <w:spacing w:after="0"/>
              <w:rPr>
                <w:sz w:val="20"/>
                <w:szCs w:val="20"/>
                <w:color w:val="auto"/>
              </w:rPr>
            </w:pPr>
            <w:r>
              <w:rPr>
                <w:rFonts w:ascii="Arial" w:cs="Arial" w:eastAsia="Arial" w:hAnsi="Arial"/>
                <w:sz w:val="18"/>
                <w:szCs w:val="18"/>
                <w:b w:val="1"/>
                <w:bCs w:val="1"/>
                <w:color w:val="auto"/>
              </w:rPr>
              <w:t>December 31,</w:t>
            </w:r>
          </w:p>
        </w:tc>
      </w:tr>
      <w:tr>
        <w:trPr>
          <w:trHeight w:val="229"/>
        </w:trPr>
        <w:tc>
          <w:tcPr>
            <w:tcW w:w="6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Promissory note due 2024</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w:t>
            </w:r>
          </w:p>
        </w:tc>
      </w:tr>
      <w:tr>
        <w:trPr>
          <w:trHeight w:val="223"/>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208,853</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r>
      <w:tr>
        <w:trPr>
          <w:trHeight w:val="248"/>
        </w:trPr>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debt, net of current portion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208,324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8920" w:type="dxa"/>
            <w:vAlign w:val="bottom"/>
            <w:gridSpan w:val="4"/>
          </w:tcPr>
          <w:p>
            <w:pPr>
              <w:spacing w:after="0"/>
              <w:rPr>
                <w:sz w:val="20"/>
                <w:szCs w:val="20"/>
                <w:color w:val="auto"/>
              </w:rPr>
            </w:pPr>
            <w:r>
              <w:rPr>
                <w:rFonts w:ascii="Arial" w:cs="Arial" w:eastAsia="Arial" w:hAnsi="Arial"/>
                <w:sz w:val="18"/>
                <w:szCs w:val="18"/>
                <w:color w:val="auto"/>
              </w:rPr>
              <w:t>Below is a summary of the scheduled remaining principal payments of our debt as of September 30, 2020.</w:t>
            </w: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Principal Payments of</w:t>
            </w:r>
          </w:p>
        </w:tc>
      </w:tr>
      <w:tr>
        <w:trPr>
          <w:trHeight w:val="230"/>
        </w:trPr>
        <w:tc>
          <w:tcPr>
            <w:tcW w:w="9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Long-Term Debt</w:t>
            </w:r>
          </w:p>
        </w:tc>
      </w:tr>
      <w:tr>
        <w:trPr>
          <w:trHeight w:val="223"/>
        </w:trPr>
        <w:tc>
          <w:tcPr>
            <w:tcW w:w="9040" w:type="dxa"/>
            <w:vAlign w:val="bottom"/>
            <w:shd w:val="clear" w:color="auto" w:fill="CCEEFF"/>
          </w:tcPr>
          <w:p>
            <w:pPr>
              <w:jc w:val="right"/>
              <w:ind w:right="8530"/>
              <w:spacing w:after="0"/>
              <w:rPr>
                <w:sz w:val="20"/>
                <w:szCs w:val="20"/>
                <w:color w:val="auto"/>
              </w:rPr>
            </w:pPr>
            <w:r>
              <w:rPr>
                <w:rFonts w:ascii="Arial" w:cs="Arial" w:eastAsia="Arial" w:hAnsi="Arial"/>
                <w:sz w:val="18"/>
                <w:szCs w:val="18"/>
                <w:color w:val="auto"/>
                <w:w w:val="99"/>
              </w:rPr>
              <w:t>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9040" w:type="dxa"/>
            <w:vAlign w:val="bottom"/>
          </w:tcPr>
          <w:p>
            <w:pPr>
              <w:jc w:val="right"/>
              <w:ind w:right="8530"/>
              <w:spacing w:after="0"/>
              <w:rPr>
                <w:sz w:val="20"/>
                <w:szCs w:val="20"/>
                <w:color w:val="auto"/>
              </w:rPr>
            </w:pPr>
            <w:r>
              <w:rPr>
                <w:rFonts w:ascii="Arial" w:cs="Arial" w:eastAsia="Arial" w:hAnsi="Arial"/>
                <w:sz w:val="18"/>
                <w:szCs w:val="18"/>
                <w:color w:val="auto"/>
                <w:w w:val="99"/>
              </w:rPr>
              <w:t>2021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30"/>
        </w:trPr>
        <w:tc>
          <w:tcPr>
            <w:tcW w:w="9040" w:type="dxa"/>
            <w:vAlign w:val="bottom"/>
            <w:shd w:val="clear" w:color="auto" w:fill="CCEEFF"/>
          </w:tcPr>
          <w:p>
            <w:pPr>
              <w:jc w:val="right"/>
              <w:ind w:right="8530"/>
              <w:spacing w:after="0"/>
              <w:rPr>
                <w:sz w:val="20"/>
                <w:szCs w:val="20"/>
                <w:color w:val="auto"/>
              </w:rPr>
            </w:pPr>
            <w:r>
              <w:rPr>
                <w:rFonts w:ascii="Arial" w:cs="Arial" w:eastAsia="Arial" w:hAnsi="Arial"/>
                <w:sz w:val="18"/>
                <w:szCs w:val="18"/>
                <w:color w:val="auto"/>
                <w:w w:val="99"/>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9"/>
        </w:trPr>
        <w:tc>
          <w:tcPr>
            <w:tcW w:w="9040" w:type="dxa"/>
            <w:vAlign w:val="bottom"/>
          </w:tcPr>
          <w:p>
            <w:pPr>
              <w:jc w:val="right"/>
              <w:ind w:right="8530"/>
              <w:spacing w:after="0"/>
              <w:rPr>
                <w:sz w:val="20"/>
                <w:szCs w:val="20"/>
                <w:color w:val="auto"/>
              </w:rPr>
            </w:pPr>
            <w:r>
              <w:rPr>
                <w:rFonts w:ascii="Arial" w:cs="Arial" w:eastAsia="Arial" w:hAnsi="Arial"/>
                <w:sz w:val="18"/>
                <w:szCs w:val="18"/>
                <w:color w:val="auto"/>
                <w:w w:val="99"/>
              </w:rPr>
              <w:t>2023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9040" w:type="dxa"/>
            <w:vAlign w:val="bottom"/>
            <w:shd w:val="clear" w:color="auto" w:fill="CCEEFF"/>
          </w:tcPr>
          <w:p>
            <w:pPr>
              <w:jc w:val="right"/>
              <w:ind w:right="8530"/>
              <w:spacing w:after="0"/>
              <w:rPr>
                <w:sz w:val="20"/>
                <w:szCs w:val="20"/>
                <w:color w:val="auto"/>
              </w:rPr>
            </w:pPr>
            <w:r>
              <w:rPr>
                <w:rFonts w:ascii="Arial" w:cs="Arial" w:eastAsia="Arial" w:hAnsi="Arial"/>
                <w:sz w:val="18"/>
                <w:szCs w:val="18"/>
                <w:color w:val="auto"/>
                <w:w w:val="99"/>
              </w:rPr>
              <w:t>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249,646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September 2014, the Company issued $ 250 million principal amount of 1.25% convertible senior notes due 2019 (the “Convertible Notes”) in a private offering. The Convertible Notes were governed by the terms of an indenture between the Company and U.S. Bank National Association, as Trustee (the “Indenture”). The Convertible Notes were senior unsecured obligations of the Company and paid interest semi-annually on April 1 and October 1 of each year at an annual rate of 1.25%.</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maturity, upon conversion, the Convertible Notes would have been settled, at our election, in cash, shares of the Company’s common stock, or a combination of cash and shares of the Company’s common stock. Our intent and policy was to settle conversions with a combination of cash and shares of common stock with the principal amount of the Convertible Notes paid in cash, in accordance with the settlement provisions of the Indenture.</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Upon issuance, we separated the Convertible Notes into liability and equity components. The carrying value of the equity component representing the conversion option, which was recognized as a debt discount, was determined by deducting the fair value of the liability component from the proceeds of the Convertible Notes. The debt discount was amortized to interest expense using an effective interest rate of 4.751% over the term of the Convertible Notes. The equity component was not remeasured as it continued to meet the conditions for equity classification.</w:t>
      </w:r>
    </w:p>
    <w:p>
      <w:pPr>
        <w:spacing w:after="0" w:line="15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transaction costs related to the issuance of the Convertible Notes were separated into liability and equity components based on their relative values. Transaction costs attributable to the liability component were recorded as a deduction to the carrying amount of the liability and amortized to interest expense over the term of the Convertible Notes; and transaction costs attributable to the equity component were netted with the equity component of the Convertible Notes in stockholders’ equity.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rPr>
                <w:sz w:val="17"/>
                <w:szCs w:val="17"/>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Nine Months Ended</w:t>
            </w:r>
          </w:p>
        </w:tc>
      </w:tr>
      <w:tr>
        <w:trPr>
          <w:trHeight w:val="229"/>
        </w:trPr>
        <w:tc>
          <w:tcPr>
            <w:tcW w:w="7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September 30, 2019</w:t>
            </w:r>
          </w:p>
        </w:tc>
        <w:tc>
          <w:tcPr>
            <w:tcW w:w="160" w:type="dxa"/>
            <w:vAlign w:val="bottom"/>
          </w:tcPr>
          <w:p>
            <w:pPr>
              <w:spacing w:after="0"/>
              <w:rPr>
                <w:sz w:val="19"/>
                <w:szCs w:val="19"/>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September 30, 2019</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Contractual interest coupon</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were intended to reduce the potential future economic dilution associated with the conversion of the Convertible Notes and, combined with the warrants, effectively raised the price at which economic dilution would occur from the initial conversion price of approximately $79.89 to approximately $97.12 per share. The convertible note hedge transactions expired in the third quarter of 2019. The holders of the warrants had the option to purchase an initial total of approximately 3.1 million shares of the Company’s common stock at a strike price of approximately $97.12. The warrants expired in the second quarter of 2020. If the average market value per share of our common stock for the reporting period exceeded the strike price of the warrants, the warrants would have had a dilutive effect on our earnings per share. The warrants were separate transactions and were not part of the terms of the Convertible Notes or the convertible note hedge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(as amended,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180" w:firstLine="8"/>
        <w:spacing w:after="0" w:line="252"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jc w:val="both"/>
        <w:ind w:right="700"/>
        <w:spacing w:after="0" w:line="261" w:lineRule="auto"/>
        <w:rPr>
          <w:sz w:val="20"/>
          <w:szCs w:val="20"/>
          <w:color w:val="auto"/>
        </w:rPr>
      </w:pPr>
      <w:r>
        <w:rPr>
          <w:rFonts w:ascii="Arial" w:cs="Arial" w:eastAsia="Arial" w:hAnsi="Arial"/>
          <w:sz w:val="18"/>
          <w:szCs w:val="18"/>
          <w:color w:val="auto"/>
        </w:rPr>
        <w:t>total debt is on a gross basis and is not netted against our cash balances. At September 30, 2020, we were in compliance with these financial covenants with a Consolidated Leverage Ratio of 2.09 to 1.00 and a Consolidated Interest Coverage Ratio of 13.19 to 1.00.</w:t>
      </w:r>
    </w:p>
    <w:p>
      <w:pPr>
        <w:spacing w:after="0" w:line="144"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Borrowings outstanding under the Amended Credit Agreement at September 30, 2020 totaled $ 248.0 million. These borrowings carried a weighted average interest rate of 2.5%, including the effect of the interest rate swaps described in Note 9 “Derivative Instruments and Hedging Activity." Borrowings outstanding under the Amended Credit Agreement at December 31, 2019 were $205.0 million and carried a weighted average interest rate of 3.0%, including the effect of the interest rate swap outstanding at the time and described in Note 9 “Derivative Instruments and Hedging Activity." The borrowing capacity under the revolving credit facility is reduced by any outstanding borrowings under the revolving credit facility and outstanding letters of credit. At September 30, 2020, we had outstanding letters of credit totaling $1.7 million, which are primarily used as security deposits for our office facilities. As of September 30, 2020, the unused borrowing capacity under the revolving credit facility was $350.3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 month LIBOR plus 1.97% per annum. The obligations under the promissory note are secured pursuant to a Loan and Aircraft Security Agreement with Banc of America Leasing &amp; Capital, LLC, which grants the lender a first priority security interest in the aircraft. At September 30, 2020, the outstanding principal amount of the promissory note was $3.5 million, and the aircraft had a carrying amount of $4.6 million. At December 31, 2019, the outstanding principal amount of the promissory note was $3.9 million, and the aircraft had a carrying amount of $5.1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19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Restructuring charges for the three and nine months ended September 30, 2020 were $0.1 million and $1.8 million, respectively. The $0.1 million charge recognized in the third quarter of 2020 primarily related to rent and related expenses, net of sublease income, for vacated office spaces. Restructuring charges recognized in the first nine months of 2020 include a $1.2 million accrual for the termination of a third-party advisor agreement, $ 0.3 million related to workforce reductions to better align resources with market demand, $0.2 million related to rent and related expenses, net of sublease income, for vacated office spaces, and $0.1 million related to workforce reductions in our corporate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for the three and nine months ended September 30, 2019 were $0.1 million and $2.2 million, respectively. The</w:t>
      </w:r>
    </w:p>
    <w:p>
      <w:pPr>
        <w:spacing w:after="0" w:line="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$0.1 million charge recognized in the third quarter of 2019 primarily related to workforce reductions as we continued to better align resources with market demand. During the nine months ended September 30, 2019, we exited a portion of our Lake Oswego, Oregon corporate office resulting in a $0.7 million lease impairment charge on the operating lease right-of-use asset and leasehold improvements and $0.2 million of accelerated depreciation on furniture and fixtures in that office. Additionally, during the nine months ended September 30, 2019, we exited the remaining portion of our Middleton, Wisconsin office and an office space in Houston, Texas, resulting in restructuring charges of</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$0.4 million and $0.1 million, respectively, which primarily consisted of accelerated depreciation on furniture and fixtures in those offices. The restructuring charges for the nine months ended September 30, 2019 also include $0.2 million related to workforce reductions as we continue to better align resources with market demand and $0.2 million related to workforce reductions in our corporate operations.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nine months ended September 30,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Employee Costs</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Office Space</w:t>
            </w:r>
          </w:p>
        </w:tc>
        <w:tc>
          <w:tcPr>
            <w:tcW w:w="280" w:type="dxa"/>
            <w:vAlign w:val="bottom"/>
          </w:tcPr>
          <w:p>
            <w:pPr>
              <w:spacing w:after="0"/>
              <w:rPr>
                <w:sz w:val="17"/>
                <w:szCs w:val="17"/>
                <w:color w:val="auto"/>
              </w:rPr>
            </w:pP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Other</w:t>
            </w:r>
          </w:p>
        </w:tc>
        <w:tc>
          <w:tcPr>
            <w:tcW w:w="1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Reductions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9"/>
        </w:trPr>
        <w:tc>
          <w:tcPr>
            <w:tcW w:w="4960" w:type="dxa"/>
            <w:vAlign w:val="bottom"/>
          </w:tcPr>
          <w:p>
            <w:pPr>
              <w:ind w:left="220"/>
              <w:spacing w:after="0"/>
              <w:rPr>
                <w:sz w:val="20"/>
                <w:szCs w:val="20"/>
                <w:color w:val="auto"/>
              </w:rPr>
            </w:pPr>
            <w:r>
              <w:rPr>
                <w:rFonts w:ascii="Arial" w:cs="Arial" w:eastAsia="Arial" w:hAnsi="Arial"/>
                <w:sz w:val="18"/>
                <w:szCs w:val="18"/>
                <w:color w:val="auto"/>
              </w:rPr>
              <w:t>Adjustments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2020</w:t>
            </w: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restructuring charge liability related to employee costs at September 30, 2020 is expected to be paid in the next 12 months and is included as a component of accrued payroll and related benefits. The $0.1 million restructuring charge liability related to office space reductions at September 30, 2020 is included as a component of accrued expenses and other current liabilities and deferred compensation and other liabilities. The $ 0.9 million other restructuring charge liability at September 30, 2020 is related to the termination of a third-party advisor agreement and is expected to be paid over the next 28 months and is included as a component of accrued expenses and other current liabilities and deferred compensation and other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Activity</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these derivative instruments as cash flow hedges. Therefore, changes in the fair value of the derivative instruments are recorded to other comprehensive income (“OCI”) to the extent effective and reclassified into interest expense upon settlement. As of September 30, 2020, it was anticipated that $1.7 million of the losses, net of tax, currently recorded in accumulated other comprehensive income will be reclassified into earnings within the next 12 months.</w:t>
      </w:r>
    </w:p>
    <w:p>
      <w:pPr>
        <w:spacing w:after="0" w:line="15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table below sets forth additional information relating to the interest rate swaps designated as a cash flow hedging instrument as of September 30, 2020 and December 31,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Fair Value (Derivative Asset and Liability)</w:t>
            </w:r>
          </w:p>
        </w:tc>
        <w:tc>
          <w:tcPr>
            <w:tcW w:w="0" w:type="dxa"/>
            <w:vAlign w:val="bottom"/>
          </w:tcPr>
          <w:p>
            <w:pPr>
              <w:spacing w:after="0"/>
              <w:rPr>
                <w:sz w:val="1"/>
                <w:szCs w:val="1"/>
                <w:color w:val="auto"/>
              </w:rPr>
            </w:pPr>
          </w:p>
        </w:tc>
      </w:tr>
      <w:tr>
        <w:trPr>
          <w:trHeight w:val="169"/>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2"/>
          </w:tcPr>
          <w:p>
            <w:pPr>
              <w:ind w:left="180"/>
              <w:spacing w:after="0" w:line="169" w:lineRule="exact"/>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4"/>
                <w:szCs w:val="14"/>
                <w:color w:val="auto"/>
              </w:rPr>
            </w:pPr>
          </w:p>
        </w:tc>
        <w:tc>
          <w:tcPr>
            <w:tcW w:w="182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Deferred compensation and other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do not use derivative instruments for trading or other speculative purposes. Refer to Note 11 “Other Comprehensive Income (Loss)” for additional information on our derivative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00"/>
          </w:cols>
          <w:pgMar w:left="320" w:top="140" w:right="379" w:bottom="1440" w:gutter="0" w:footer="0" w:header="0"/>
        </w:sect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 Inputs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3 Inputs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5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Unobservable inputs for the asset or liability, and include situations in which there is little, if any, market activity for the asset or liability.</w:t>
      </w:r>
    </w:p>
    <w:p>
      <w:pPr>
        <w:spacing w:after="0" w:line="171" w:lineRule="exact"/>
        <w:rPr>
          <w:sz w:val="20"/>
          <w:szCs w:val="20"/>
          <w:color w:val="auto"/>
        </w:rPr>
      </w:pPr>
    </w:p>
    <w:p>
      <w:pPr>
        <w:sectPr>
          <w:pgSz w:w="11900" w:h="16838" w:orient="portrait"/>
          <w:cols w:equalWidth="0" w:num="2">
            <w:col w:w="1820" w:space="720"/>
            <w:col w:w="8660"/>
          </w:cols>
          <w:pgMar w:left="320" w:top="140" w:right="379" w:bottom="1440" w:gutter="0" w:footer="0" w:header="0"/>
          <w:type w:val="continuous"/>
        </w:sectPr>
      </w:pPr>
    </w:p>
    <w:p>
      <w:pPr>
        <w:ind w:right="420"/>
        <w:spacing w:after="0" w:line="261"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September 30, 2020 and December 31,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2020</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61,122</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30,477</w:t>
            </w:r>
          </w:p>
        </w:tc>
      </w:tr>
      <w:tr>
        <w:trPr>
          <w:trHeight w:val="223"/>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91,599</w:t>
            </w: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5,452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5,452</w:t>
            </w: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49,542</w:t>
            </w: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27,445</w:t>
            </w:r>
          </w:p>
        </w:tc>
      </w:tr>
      <w:tr>
        <w:trPr>
          <w:trHeight w:val="223"/>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76,987</w:t>
            </w: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bl>
    <w:p>
      <w:pPr>
        <w:spacing w:after="0" w:line="143"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swaps utilizing market-based inputs and a discount rate reflecting the risks involved.</w:t>
      </w:r>
    </w:p>
    <w:p>
      <w:pPr>
        <w:spacing w:after="0" w:line="1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(the "initial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notes"), in Shorelight Holdings, LLC (“Shorelight”), the parent company of Shorelight, a U.S.-based company that partners with leading nonprofit universities to increase access to and retention of international students, boost institutional growth, and enhance an institution’s global footprint. In the first quarter of 2020, we invested an additional $13.0 million, in the form of 1.69% convertible debt with a senior liquidation preference to the initial convertible notes (the "additional convertible note"); and amended our initial convertible notes to include a coupon rate of 1.69% and extend the maturity date to January 17, 2024, which coincides with the maturity date of the additional convertible note.</w:t>
      </w:r>
    </w:p>
    <w:p>
      <w:pPr>
        <w:sectPr>
          <w:pgSz w:w="11900" w:h="16838" w:orient="portrait"/>
          <w:cols w:equalWidth="0" w:num="1">
            <w:col w:w="11200"/>
          </w:cols>
          <w:pgMar w:left="320" w:top="140" w:right="37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5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 weighted assessment of both scenarios. The hybrid analysis utilizes certain assumptions including the assumed holding period through the maturity date of January 17, 2024, the applicable waterfall distribution at the end of the expected holding period based on the rights and privileges of the various instruments, cash flow projections discounted at the risk-adjusted rate of 24.0%, and the concluded equity volatility of 42.5%, all of which are Level 3 inputs. The valuation of our investment as of December 31, 2019 takes into consideration the equity value indication as well as the dilutive impact of the convertible debt issued by Shorelight in the first quarter of 2020, the terms of which were known or knowable as of December 31, 2019.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on our consolidated balance sheets.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nine months ended September 30,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Convertible Debt Investment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49,542</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Purchases</w:t>
            </w:r>
          </w:p>
        </w:tc>
        <w:tc>
          <w:tcPr>
            <w:tcW w:w="2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convertible debt investment</w:t>
            </w:r>
          </w:p>
        </w:tc>
        <w:tc>
          <w:tcPr>
            <w:tcW w:w="24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Balance as of September 30, 2020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61,122</w:t>
            </w: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Investment</w:t>
      </w:r>
    </w:p>
    <w:p>
      <w:pPr>
        <w:spacing w:after="0" w:line="18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fourth quarter of 2019, we invested $5.0 million, in the form of preferred stock, in Medically Home Group, Inc. ("Medically Home"), a healthcare technology-enabled services company. To determine the appropriate accounting treatment for our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the identical or similar investment in Medically Home. On a quarterly basis, we review the information available to determine whether an orderly and observable transaction for the same or similar equity instrument occurred, and remeasure the fair value of the preferred stock using such identified transactions, with changes in the fair value recorded in consolidated statement of operations. Following our purchase, there has been no impairment, nor any observable price changes to our investment.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7 “Financing Arrangements” for additional information on our promissory note due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w:t>
      </w:r>
    </w:p>
    <w:p>
      <w:pPr>
        <w:spacing w:after="0" w:line="193"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The table below sets forth the components of other comprehensive income (loss), net of tax, for the three and nine months ended September 30,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10"/>
          </w:tcPr>
          <w:p>
            <w:pPr>
              <w:jc w:val="center"/>
              <w:ind w:left="490"/>
              <w:spacing w:after="0"/>
              <w:rPr>
                <w:sz w:val="20"/>
                <w:szCs w:val="20"/>
                <w:color w:val="auto"/>
              </w:rPr>
            </w:pPr>
            <w:r>
              <w:rPr>
                <w:rFonts w:ascii="Arial" w:cs="Arial" w:eastAsia="Arial" w:hAnsi="Arial"/>
                <w:sz w:val="18"/>
                <w:szCs w:val="18"/>
                <w:b w:val="1"/>
                <w:bCs w:val="1"/>
                <w:color w:val="auto"/>
                <w:w w:val="99"/>
              </w:rPr>
              <w:t>Three Months Ended</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10"/>
          </w:tcPr>
          <w:p>
            <w:pPr>
              <w:jc w:val="center"/>
              <w:ind w:left="510"/>
              <w:spacing w:after="0"/>
              <w:rPr>
                <w:sz w:val="20"/>
                <w:szCs w:val="20"/>
                <w:color w:val="auto"/>
              </w:rPr>
            </w:pPr>
            <w:r>
              <w:rPr>
                <w:rFonts w:ascii="Arial" w:cs="Arial" w:eastAsia="Arial" w:hAnsi="Arial"/>
                <w:sz w:val="18"/>
                <w:szCs w:val="18"/>
                <w:b w:val="1"/>
                <w:bCs w:val="1"/>
                <w:color w:val="auto"/>
                <w:w w:val="99"/>
              </w:rPr>
              <w:t>Three Months Ended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10"/>
          </w:tcPr>
          <w:p>
            <w:pPr>
              <w:jc w:val="center"/>
              <w:ind w:left="470"/>
              <w:spacing w:after="0"/>
              <w:rPr>
                <w:sz w:val="20"/>
                <w:szCs w:val="20"/>
                <w:color w:val="auto"/>
              </w:rPr>
            </w:pPr>
            <w:r>
              <w:rPr>
                <w:rFonts w:ascii="Arial" w:cs="Arial" w:eastAsia="Arial" w:hAnsi="Arial"/>
                <w:sz w:val="18"/>
                <w:szCs w:val="18"/>
                <w:b w:val="1"/>
                <w:bCs w:val="1"/>
                <w:color w:val="auto"/>
                <w:w w:val="99"/>
              </w:rPr>
              <w:t>September 30, 2020</w:t>
            </w:r>
          </w:p>
        </w:tc>
        <w:tc>
          <w:tcPr>
            <w:tcW w:w="7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10"/>
          </w:tcPr>
          <w:p>
            <w:pPr>
              <w:jc w:val="center"/>
              <w:ind w:left="490"/>
              <w:spacing w:after="0"/>
              <w:rPr>
                <w:sz w:val="20"/>
                <w:szCs w:val="20"/>
                <w:color w:val="auto"/>
              </w:rPr>
            </w:pPr>
            <w:r>
              <w:rPr>
                <w:rFonts w:ascii="Arial" w:cs="Arial" w:eastAsia="Arial" w:hAnsi="Arial"/>
                <w:sz w:val="18"/>
                <w:szCs w:val="18"/>
                <w:b w:val="1"/>
                <w:bCs w:val="1"/>
                <w:color w:val="auto"/>
                <w:w w:val="99"/>
              </w:rPr>
              <w:t>September 30, 2019</w:t>
            </w:r>
          </w:p>
        </w:tc>
        <w:tc>
          <w:tcPr>
            <w:tcW w:w="8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rPr>
              <w:t>Before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w w:val="96"/>
              </w:rPr>
              <w:t>Tax</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of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rPr>
              <w:t>Before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w w:val="96"/>
              </w:rPr>
              <w:t>Tax</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7"/>
              </w:rPr>
              <w:t>Net of</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(Expense)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(Expense)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b w:val="1"/>
                <w:bCs w:val="1"/>
                <w:color w:val="auto"/>
              </w:rPr>
              <w:t>Taxes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Benefit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Taxes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rPr>
              <w:t>Taxes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Benefit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Taxes</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investment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40"/>
              <w:spacing w:after="0"/>
              <w:rPr>
                <w:sz w:val="20"/>
                <w:szCs w:val="20"/>
                <w:color w:val="auto"/>
              </w:rPr>
            </w:pPr>
            <w:r>
              <w:rPr>
                <w:rFonts w:ascii="Arial" w:cs="Arial" w:eastAsia="Arial" w:hAnsi="Arial"/>
                <w:sz w:val="18"/>
                <w:szCs w:val="18"/>
                <w:color w:val="auto"/>
              </w:rPr>
              <w:t>Unrealized gain (loss) on cash flow hedges: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jc w:val="center"/>
              <w:ind w:right="1310"/>
              <w:spacing w:after="0"/>
              <w:rPr>
                <w:sz w:val="20"/>
                <w:szCs w:val="20"/>
                <w:color w:val="auto"/>
              </w:rPr>
            </w:pPr>
            <w:r>
              <w:rPr>
                <w:rFonts w:ascii="Arial" w:cs="Arial" w:eastAsia="Arial" w:hAnsi="Arial"/>
                <w:sz w:val="18"/>
                <w:szCs w:val="18"/>
                <w:color w:val="auto"/>
                <w:w w:val="99"/>
              </w:rPr>
              <w:t>Change in fair value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Reclassification adjustments into earnings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 (loss)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jc w:val="center"/>
              <w:ind w:right="1350"/>
              <w:spacing w:after="0"/>
              <w:rPr>
                <w:sz w:val="20"/>
                <w:szCs w:val="20"/>
                <w:color w:val="auto"/>
              </w:rPr>
            </w:pPr>
            <w:r>
              <w:rPr>
                <w:rFonts w:ascii="Arial" w:cs="Arial" w:eastAsia="Arial" w:hAnsi="Arial"/>
                <w:sz w:val="18"/>
                <w:szCs w:val="18"/>
                <w:color w:val="auto"/>
                <w:w w:val="99"/>
              </w:rPr>
              <w:t>Other comprehensive income (loss)</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10"/>
          </w:tcPr>
          <w:p>
            <w:pPr>
              <w:jc w:val="center"/>
              <w:ind w:left="550"/>
              <w:spacing w:after="0"/>
              <w:rPr>
                <w:sz w:val="20"/>
                <w:szCs w:val="20"/>
                <w:color w:val="auto"/>
              </w:rPr>
            </w:pPr>
            <w:r>
              <w:rPr>
                <w:rFonts w:ascii="Arial" w:cs="Arial" w:eastAsia="Arial" w:hAnsi="Arial"/>
                <w:sz w:val="18"/>
                <w:szCs w:val="18"/>
                <w:b w:val="1"/>
                <w:bCs w:val="1"/>
                <w:color w:val="auto"/>
                <w:w w:val="99"/>
              </w:rPr>
              <w:t>Nine Months Ended</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10"/>
          </w:tcPr>
          <w:p>
            <w:pPr>
              <w:jc w:val="center"/>
              <w:ind w:left="570"/>
              <w:spacing w:after="0"/>
              <w:rPr>
                <w:sz w:val="20"/>
                <w:szCs w:val="20"/>
                <w:color w:val="auto"/>
              </w:rPr>
            </w:pPr>
            <w:r>
              <w:rPr>
                <w:rFonts w:ascii="Arial" w:cs="Arial" w:eastAsia="Arial" w:hAnsi="Arial"/>
                <w:sz w:val="18"/>
                <w:szCs w:val="18"/>
                <w:b w:val="1"/>
                <w:bCs w:val="1"/>
                <w:color w:val="auto"/>
                <w:w w:val="99"/>
              </w:rPr>
              <w:t>Nine Months Ended</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10"/>
          </w:tcPr>
          <w:p>
            <w:pPr>
              <w:jc w:val="center"/>
              <w:ind w:left="550"/>
              <w:spacing w:after="0"/>
              <w:rPr>
                <w:sz w:val="20"/>
                <w:szCs w:val="20"/>
                <w:color w:val="auto"/>
              </w:rPr>
            </w:pPr>
            <w:r>
              <w:rPr>
                <w:rFonts w:ascii="Arial" w:cs="Arial" w:eastAsia="Arial" w:hAnsi="Arial"/>
                <w:sz w:val="18"/>
                <w:szCs w:val="18"/>
                <w:b w:val="1"/>
                <w:bCs w:val="1"/>
                <w:color w:val="auto"/>
                <w:w w:val="99"/>
              </w:rPr>
              <w:t>September 30, 2020</w:t>
            </w: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10"/>
          </w:tcPr>
          <w:p>
            <w:pPr>
              <w:jc w:val="center"/>
              <w:ind w:left="570"/>
              <w:spacing w:after="0"/>
              <w:rPr>
                <w:sz w:val="20"/>
                <w:szCs w:val="20"/>
                <w:color w:val="auto"/>
              </w:rPr>
            </w:pPr>
            <w:r>
              <w:rPr>
                <w:rFonts w:ascii="Arial" w:cs="Arial" w:eastAsia="Arial" w:hAnsi="Arial"/>
                <w:sz w:val="18"/>
                <w:szCs w:val="18"/>
                <w:b w:val="1"/>
                <w:bCs w:val="1"/>
                <w:color w:val="auto"/>
                <w:w w:val="99"/>
              </w:rPr>
              <w:t>September 30, 2019</w:t>
            </w:r>
          </w:p>
        </w:tc>
        <w:tc>
          <w:tcPr>
            <w:tcW w:w="8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Before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00"/>
              <w:spacing w:after="0" w:line="169" w:lineRule="exact"/>
              <w:rPr>
                <w:sz w:val="20"/>
                <w:szCs w:val="20"/>
                <w:color w:val="auto"/>
              </w:rPr>
            </w:pPr>
            <w:r>
              <w:rPr>
                <w:rFonts w:ascii="Arial" w:cs="Arial" w:eastAsia="Arial" w:hAnsi="Arial"/>
                <w:sz w:val="18"/>
                <w:szCs w:val="18"/>
                <w:b w:val="1"/>
                <w:bCs w:val="1"/>
                <w:color w:val="auto"/>
                <w:w w:val="96"/>
              </w:rPr>
              <w:t>Tax</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of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Before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00"/>
              <w:spacing w:after="0" w:line="169" w:lineRule="exact"/>
              <w:rPr>
                <w:sz w:val="20"/>
                <w:szCs w:val="20"/>
                <w:color w:val="auto"/>
              </w:rPr>
            </w:pPr>
            <w:r>
              <w:rPr>
                <w:rFonts w:ascii="Arial" w:cs="Arial" w:eastAsia="Arial" w:hAnsi="Arial"/>
                <w:sz w:val="18"/>
                <w:szCs w:val="18"/>
                <w:b w:val="1"/>
                <w:bCs w:val="1"/>
                <w:color w:val="auto"/>
                <w:w w:val="96"/>
              </w:rPr>
              <w:t>Tax</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Net of</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center"/>
              <w:ind w:right="60"/>
              <w:spacing w:after="0" w:line="176" w:lineRule="exact"/>
              <w:rPr>
                <w:sz w:val="20"/>
                <w:szCs w:val="20"/>
                <w:color w:val="auto"/>
              </w:rPr>
            </w:pPr>
            <w:r>
              <w:rPr>
                <w:rFonts w:ascii="Arial" w:cs="Arial" w:eastAsia="Arial" w:hAnsi="Arial"/>
                <w:sz w:val="18"/>
                <w:szCs w:val="18"/>
                <w:b w:val="1"/>
                <w:bCs w:val="1"/>
                <w:color w:val="auto"/>
                <w:w w:val="99"/>
              </w:rPr>
              <w:t>(Expense)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center"/>
              <w:ind w:right="60"/>
              <w:spacing w:after="0" w:line="176" w:lineRule="exact"/>
              <w:rPr>
                <w:sz w:val="20"/>
                <w:szCs w:val="20"/>
                <w:color w:val="auto"/>
              </w:rPr>
            </w:pPr>
            <w:r>
              <w:rPr>
                <w:rFonts w:ascii="Arial" w:cs="Arial" w:eastAsia="Arial" w:hAnsi="Arial"/>
                <w:sz w:val="18"/>
                <w:szCs w:val="18"/>
                <w:b w:val="1"/>
                <w:bCs w:val="1"/>
                <w:color w:val="auto"/>
                <w:w w:val="99"/>
              </w:rPr>
              <w:t>(Expense)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Taxes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Benefit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rPr>
              <w:t>Taxes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Taxes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Benefit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Taxes</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jc w:val="center"/>
              <w:ind w:right="1290"/>
              <w:spacing w:after="0"/>
              <w:rPr>
                <w:sz w:val="20"/>
                <w:szCs w:val="20"/>
                <w:color w:val="auto"/>
              </w:rPr>
            </w:pPr>
            <w:r>
              <w:rPr>
                <w:rFonts w:ascii="Arial" w:cs="Arial" w:eastAsia="Arial" w:hAnsi="Arial"/>
                <w:sz w:val="18"/>
                <w:szCs w:val="18"/>
                <w:color w:val="auto"/>
              </w:rPr>
              <w:t>Other comprehensive income (loss):</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investment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(2,774)</w:t>
            </w: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40"/>
              <w:spacing w:after="0"/>
              <w:rPr>
                <w:sz w:val="20"/>
                <w:szCs w:val="20"/>
                <w:color w:val="auto"/>
              </w:rPr>
            </w:pPr>
            <w:r>
              <w:rPr>
                <w:rFonts w:ascii="Arial" w:cs="Arial" w:eastAsia="Arial" w:hAnsi="Arial"/>
                <w:sz w:val="18"/>
                <w:szCs w:val="18"/>
                <w:color w:val="auto"/>
              </w:rPr>
              <w:t>Unrealized gain (loss) on cash flow hedges: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jc w:val="center"/>
              <w:ind w:right="1310"/>
              <w:spacing w:after="0"/>
              <w:rPr>
                <w:sz w:val="20"/>
                <w:szCs w:val="20"/>
                <w:color w:val="auto"/>
              </w:rPr>
            </w:pPr>
            <w:r>
              <w:rPr>
                <w:rFonts w:ascii="Arial" w:cs="Arial" w:eastAsia="Arial" w:hAnsi="Arial"/>
                <w:sz w:val="18"/>
                <w:szCs w:val="18"/>
                <w:color w:val="auto"/>
                <w:w w:val="99"/>
              </w:rPr>
              <w:t>Change in fair value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(5,815)</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(4,305)</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(1,164)</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Reclassification adjustments into earnings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(237)</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 (loss)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3"/>
        </w:trPr>
        <w:tc>
          <w:tcPr>
            <w:tcW w:w="4320" w:type="dxa"/>
            <w:vAlign w:val="bottom"/>
          </w:tcPr>
          <w:p>
            <w:pPr>
              <w:jc w:val="center"/>
              <w:ind w:right="1350"/>
              <w:spacing w:after="0"/>
              <w:rPr>
                <w:sz w:val="20"/>
                <w:szCs w:val="20"/>
                <w:color w:val="auto"/>
              </w:rPr>
            </w:pPr>
            <w:r>
              <w:rPr>
                <w:rFonts w:ascii="Arial" w:cs="Arial" w:eastAsia="Arial" w:hAnsi="Arial"/>
                <w:sz w:val="18"/>
                <w:szCs w:val="18"/>
                <w:color w:val="auto"/>
                <w:w w:val="99"/>
              </w:rPr>
              <w:t>Other comprehensive income (loss)</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(4,978)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Foreign Currency</w:t>
            </w:r>
          </w:p>
        </w:tc>
        <w:tc>
          <w:tcPr>
            <w:tcW w:w="200" w:type="dxa"/>
            <w:vAlign w:val="bottom"/>
          </w:tcPr>
          <w:p>
            <w:pPr>
              <w:spacing w:after="0"/>
              <w:rPr>
                <w:sz w:val="17"/>
                <w:szCs w:val="17"/>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Available-for-Sale</w:t>
            </w:r>
          </w:p>
        </w:tc>
        <w:tc>
          <w:tcPr>
            <w:tcW w:w="180" w:type="dxa"/>
            <w:vAlign w:val="bottom"/>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Cash Flow Hedges</w:t>
            </w:r>
          </w:p>
        </w:tc>
        <w:tc>
          <w:tcPr>
            <w:tcW w:w="460" w:type="dxa"/>
            <w:vAlign w:val="bottom"/>
          </w:tcPr>
          <w:p>
            <w:pPr>
              <w:spacing w:after="0"/>
              <w:rPr>
                <w:sz w:val="17"/>
                <w:szCs w:val="17"/>
                <w:color w:val="auto"/>
              </w:rPr>
            </w:pPr>
          </w:p>
        </w:tc>
        <w:tc>
          <w:tcPr>
            <w:tcW w:w="156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Translation</w:t>
            </w:r>
          </w:p>
        </w:tc>
        <w:tc>
          <w:tcPr>
            <w:tcW w:w="200" w:type="dxa"/>
            <w:vAlign w:val="bottom"/>
          </w:tcPr>
          <w:p>
            <w:pPr>
              <w:spacing w:after="0"/>
              <w:rPr>
                <w:sz w:val="19"/>
                <w:szCs w:val="19"/>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14,936</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change</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March 27, 2020, the President of the United States signed into law the Coronavirus Aid, Relief, and Economic Security Act (“CARES Act”). The CARES Act is a nearly $2 trillion emergency economic stimulus package in response to the COVID-19 outbreak, which among other items, includes income tax provisions relating to net operating loss carryback periods and technical corrections to tax depreciation methods for qualified improvement property. As a result of the enactment of this legislation during the first quarter of 2020, we recorded a tax benefit of $0.8 million related to the remeasurement of a portion of our income tax receivable due to the ability to apply the federal net operating loss incurred in 2018 to prior year income for a refund at a higher tax rate in the carryback period.</w:t>
      </w:r>
    </w:p>
    <w:p>
      <w:pPr>
        <w:spacing w:after="0" w:line="15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apply an estimated annual effective tax rate to our year-to-date operating results to determine the interim provision for income tax expense. In addition, we recognize taxes related to unusual or infrequent items or resulting from a change in judgment regarding a position taken in a prior year as discrete items in the interim period in which the event occurs.</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three months ended September 30, 2020, our effective tax rate was 17.7% as we recognized income tax expense from continuing operations of $2.4 million on income from continuing operations of $13.5 million. The effective tax rate of 17.7% was more favorable than the statutory rate, inclusive of state income taxes, of 26.0%, primarily due to the current year-to-date pre-tax losses and the impact during the quarter of certain nondeductible expense items, including the nondeductible portion of the goodwill impairment charges, based on the attribution of those expenses to the quarter in accordance with the allocation of income tax expense on a current year-to-date basis. The effective tax rate also reflected the positive impact of certain federal tax credits.</w:t>
      </w:r>
    </w:p>
    <w:p>
      <w:pPr>
        <w:spacing w:after="0" w:line="15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For the three months ended September 30, 2019, our effective tax rate was 15.0% as we recognized income tax expense from continuing operations of $2.4 million on income from continuing operations of $16.1 million. The effective tax rate of 15.0% was more favorable than the statutory rate, inclusive of state income taxes, of 26.4%, primarily due to a discrete tax benefit for U.S. federal return to provision adjustments related to the 2018 corporate income tax return. In addition, we recognized a discrete tax benefit related to a previously unrecognized tax benefit due to the expiration of statute of limitations on our "check-the-box" election made in 2015 to treat certain wholly-owned foreign subsidiaries as disregarded entities for U.S. federal income tax purposes.</w:t>
      </w:r>
    </w:p>
    <w:p>
      <w:pPr>
        <w:spacing w:after="0" w:line="15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For the nine months ended September 30, 2020, our effective tax rate was 23.5% as we recognized an income tax benefit from continuing operations of $5.4 million on a loss from continuing operations of $23.0 million. The effective tax rate of 23.5% was less favorable than the statutory rate, inclusive of state income taxes, of 26.0%, primarily due to certain nondeductible business expenses and the nondeductible portion of the goodwill impairment charges recorded during the first quarter of 2020. These unfavorable items were partially offset by a discrete tax benefit for share-based compensation awards that vested primarily during the first quarter, the positive impact of certain federal tax credits, and the discrete tax benefit for the remeasurement of a portion of our income tax receivable as a result of the enactment of the CARES Act in the first quarter of 2020.</w:t>
      </w:r>
    </w:p>
    <w:p>
      <w:pPr>
        <w:spacing w:after="0" w:line="23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For the nine months ended September 30, 2019, our effective tax rate was 20.8% as we recognized income tax expense from continuing operations of $7.3 million on income from continuing operations of $34.9 million. The effective tax rate of 20.8% was more favorable than the statutory rate, inclusive of state income taxes, of 26.4%, primarily due to a discrete tax benefit recognized primarily in the third quarter of 2019 related to U.S. federal and foreign return to provision adjustments. In addition, we recognized a discrete tax benefit in the third quarter of 2019 related to a previously unrecognized tax benefit due to the expiration of statute of limitations on our "check-the-box" election made in 2015 to treat certain wholly-owned foreign subsidiaries as disregarded entities for U.S. federal income tax purposes.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Contingencies and Guarantees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9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Guarantees in the form of letters of credit totaling $1.7 million were outstanding at both September 30, 2020 and December 31, 2019, primarily to support certain office lease obligations.</w:t>
      </w:r>
    </w:p>
    <w:p>
      <w:pPr>
        <w:spacing w:after="0" w:line="144"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September 30, 2020 and December 31, 2019, the total estimated fair value of our contingent consideration liability was zero.</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93" w:lineRule="exact"/>
        <w:rPr>
          <w:rFonts w:ascii="Arial" w:cs="Arial" w:eastAsia="Arial" w:hAnsi="Arial"/>
          <w:sz w:val="18"/>
          <w:szCs w:val="18"/>
          <w:b w:val="1"/>
          <w:bCs w:val="1"/>
          <w:color w:val="auto"/>
        </w:rPr>
      </w:pPr>
    </w:p>
    <w:p>
      <w:pPr>
        <w:ind w:left="660" w:right="1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has a depth of expertise in financial and operational improvement, care transformation, culture and organizational excellence, strategy, and technology and analytics. We serve national and regional hospitals,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53" w:lineRule="exact"/>
        <w:rPr>
          <w:rFonts w:ascii="Arial" w:cs="Arial" w:eastAsia="Arial" w:hAnsi="Arial"/>
          <w:sz w:val="18"/>
          <w:szCs w:val="18"/>
          <w:b w:val="1"/>
          <w:bCs w:val="1"/>
          <w:color w:val="auto"/>
        </w:rPr>
      </w:pPr>
    </w:p>
    <w:p>
      <w:pPr>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cultural and organizational change and who transform the consumer experience.</w:t>
      </w:r>
    </w:p>
    <w:p>
      <w:pPr>
        <w:spacing w:after="0" w:line="132"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93" w:lineRule="exact"/>
        <w:rPr>
          <w:rFonts w:ascii="Arial" w:cs="Arial" w:eastAsia="Arial" w:hAnsi="Arial"/>
          <w:sz w:val="18"/>
          <w:szCs w:val="18"/>
          <w:b w:val="1"/>
          <w:bCs w:val="1"/>
          <w:color w:val="auto"/>
        </w:rPr>
      </w:pPr>
    </w:p>
    <w:p>
      <w:pPr>
        <w:ind w:left="660" w:right="1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Our Business Advisory segment provides services to large and middle market organizations, lending institutions, law firms, investment banks, private equity firms, and not-for-profit organizations, including higher education and healthcare institutions. We assist clients in a broad range of industries and across the spectrum from healthy, well-capitalized companies to organizations in transition, as well as creditors, equity owners, and other key constituents. Our Enterprise Solutions and Analytics experts advise, deliver, and optimize technology and analytics solutions that enable organizations to manage and optimize their financial performance, operational efficiency, and client or stakeholder experience. Our Business Advisory experts resolve complex business issues and enhance client enterprise value through a suite of services including capital advisory, transaction advisory, operational improvement, restructuring and turnaround, valuation, and dispute advisory. Our Strategy and Innovation professionals collaborate with clients across a range of industries to identify new growth opportunities, build new ventures and capabilities, and accelerate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left="660" w:right="460"/>
        <w:spacing w:after="0" w:line="261" w:lineRule="auto"/>
        <w:rPr>
          <w:sz w:val="20"/>
          <w:szCs w:val="20"/>
          <w:color w:val="auto"/>
        </w:rPr>
      </w:pPr>
      <w:r>
        <w:rPr>
          <w:rFonts w:ascii="Arial" w:cs="Arial" w:eastAsia="Arial" w:hAnsi="Arial"/>
          <w:sz w:val="18"/>
          <w:szCs w:val="18"/>
          <w:color w:val="auto"/>
        </w:rPr>
        <w:t>organizational change. Our Life Sciences professionals provide strategic solutions to help pharmaceutical, medical device, and biotechnology companies deliver more value to patients, payers, and providers, and comply with regulations.</w:t>
      </w:r>
    </w:p>
    <w:p>
      <w:pPr>
        <w:spacing w:after="0" w:line="12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93" w:lineRule="exact"/>
        <w:rPr>
          <w:rFonts w:ascii="Arial" w:cs="Arial" w:eastAsia="Arial" w:hAnsi="Arial"/>
          <w:sz w:val="18"/>
          <w:szCs w:val="18"/>
          <w:color w:val="auto"/>
        </w:rPr>
      </w:pPr>
    </w:p>
    <w:p>
      <w:pPr>
        <w:ind w:left="660"/>
        <w:spacing w:after="0" w:line="251" w:lineRule="auto"/>
        <w:rPr>
          <w:rFonts w:ascii="Arial" w:cs="Arial" w:eastAsia="Arial" w:hAnsi="Arial"/>
          <w:sz w:val="18"/>
          <w:szCs w:val="18"/>
          <w:color w:val="auto"/>
        </w:rPr>
      </w:pPr>
      <w:r>
        <w:rPr>
          <w:rFonts w:ascii="Arial" w:cs="Arial" w:eastAsia="Arial" w:hAnsi="Arial"/>
          <w:sz w:val="18"/>
          <w:szCs w:val="18"/>
          <w:color w:val="auto"/>
        </w:rPr>
        <w:t>Our Education segment provides consulting and technology solutions to higher education institutions and academic medical centers. We collaborate with clients to address challenges relating to business and technology strategy, financial and operational excellence, student success, research administration, and regulatory compliance. Our research enterprise solutions assist clients in identifying and implementing institutional research strategy, optimizing clinical research operations, improving financial management and cost reimbursement, improving service to faculty, and mitigating risk compliance. Our technology strategy, enterprise applications, and analytics solutions transform and optimize operations, deliver time and cost savings, and enhance the student experience. Our institutional strategy, budgeting and financial management, and business operations align missions with business priorities, improve quality, and reduce costs institution-wide. Our student solutions improve attraction, retention and graduation rates, increase student satisfaction and help generate quality outcomes.</w:t>
      </w:r>
    </w:p>
    <w:p>
      <w:pPr>
        <w:spacing w:after="0" w:line="158"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table below sets forth information about our operating segments for the three and nine months ended September 30, 2020 and 2019, along with the items necessary to reconcile the segment information to the totals reported in the accompanying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September 30,</w:t>
            </w:r>
          </w:p>
        </w:tc>
        <w:tc>
          <w:tcPr>
            <w:tcW w:w="320" w:type="dxa"/>
            <w:vAlign w:val="bottom"/>
          </w:tcPr>
          <w:p>
            <w:pPr>
              <w:spacing w:after="0"/>
              <w:rPr>
                <w:sz w:val="19"/>
                <w:szCs w:val="19"/>
                <w:color w:val="auto"/>
              </w:rPr>
            </w:pPr>
          </w:p>
        </w:tc>
        <w:tc>
          <w:tcPr>
            <w:tcW w:w="268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87,406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268,340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295,621</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32,863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70,831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94,058</w:t>
            </w:r>
          </w:p>
        </w:tc>
      </w:tr>
      <w:tr>
        <w:trPr>
          <w:trHeight w:val="188"/>
        </w:trPr>
        <w:tc>
          <w:tcPr>
            <w:tcW w:w="512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51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31.8 %</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Business Advisory: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66,048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62,519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201,423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183,602</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11,942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37,306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32,997</w:t>
            </w:r>
          </w:p>
        </w:tc>
      </w:tr>
      <w:tr>
        <w:trPr>
          <w:trHeight w:val="188"/>
        </w:trPr>
        <w:tc>
          <w:tcPr>
            <w:tcW w:w="512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51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18.0 %</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51,850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56,770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176,017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165,265</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14,413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43,235</w:t>
            </w:r>
          </w:p>
        </w:tc>
      </w:tr>
      <w:tr>
        <w:trPr>
          <w:trHeight w:val="188"/>
        </w:trPr>
        <w:tc>
          <w:tcPr>
            <w:tcW w:w="512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51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26.2 %</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205,304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219,289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645,780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644,488</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23,636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25,133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65,787</w:t>
            </w: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208,164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242,925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670,913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710,275</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5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48,938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59,218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149,929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170,290</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20" w:type="dxa"/>
            <w:vAlign w:val="bottom"/>
          </w:tcPr>
          <w:p>
            <w:pPr>
              <w:ind w:left="34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29,042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32,310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87,826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105,369</w:t>
            </w:r>
          </w:p>
        </w:tc>
      </w:tr>
      <w:tr>
        <w:trPr>
          <w:trHeight w:val="230"/>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and other gains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(1,571)</w:t>
            </w:r>
          </w:p>
        </w:tc>
      </w:tr>
      <w:tr>
        <w:trPr>
          <w:trHeight w:val="229"/>
        </w:trPr>
        <w:tc>
          <w:tcPr>
            <w:tcW w:w="51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6,197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6,962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18,635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21,285</w:t>
            </w:r>
          </w:p>
        </w:tc>
      </w:tr>
      <w:tr>
        <w:trPr>
          <w:trHeight w:val="230"/>
        </w:trPr>
        <w:tc>
          <w:tcPr>
            <w:tcW w:w="51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Goodwill impairment charges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6,829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10,326</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13,475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16,120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(23,027)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34,881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line="256" w:lineRule="auto"/>
        <w:tabs>
          <w:tab w:leader="none" w:pos="47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non-cash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table illustrates the disaggregation of revenues by billing arrangements, employee types, and timing of revenue recognition, including a reconciliation of the disaggregated revenues to revenues from our three operating segments for the three and nine months ended September 30, 2020 and 2019.</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10"/>
          </w:tcPr>
          <w:p>
            <w:pPr>
              <w:jc w:val="right"/>
              <w:ind w:right="610"/>
              <w:spacing w:after="0"/>
              <w:rPr>
                <w:sz w:val="20"/>
                <w:szCs w:val="20"/>
                <w:color w:val="auto"/>
              </w:rPr>
            </w:pPr>
            <w:r>
              <w:rPr>
                <w:rFonts w:ascii="Arial" w:cs="Arial" w:eastAsia="Arial" w:hAnsi="Arial"/>
                <w:sz w:val="18"/>
                <w:szCs w:val="18"/>
                <w:b w:val="1"/>
                <w:bCs w:val="1"/>
                <w:color w:val="auto"/>
              </w:rPr>
              <w:t>Three Months Ended September 30, 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Healthcare</w:t>
            </w:r>
          </w:p>
        </w:tc>
        <w:tc>
          <w:tcPr>
            <w:tcW w:w="14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1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Fixed-fee</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51,491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1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87,406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66,048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51,850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1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1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1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86,413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66,048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51,663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204,124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1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87,406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66,048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51,850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10"/>
          </w:tcPr>
          <w:p>
            <w:pPr>
              <w:jc w:val="right"/>
              <w:ind w:right="670"/>
              <w:spacing w:after="0"/>
              <w:rPr>
                <w:sz w:val="20"/>
                <w:szCs w:val="20"/>
                <w:color w:val="auto"/>
              </w:rPr>
            </w:pPr>
            <w:r>
              <w:rPr>
                <w:rFonts w:ascii="Arial" w:cs="Arial" w:eastAsia="Arial" w:hAnsi="Arial"/>
                <w:sz w:val="18"/>
                <w:szCs w:val="18"/>
                <w:b w:val="1"/>
                <w:bCs w:val="1"/>
                <w:color w:val="auto"/>
              </w:rPr>
              <w:t>Nine Months Ended September 30, 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Healthcare</w:t>
            </w:r>
          </w:p>
        </w:tc>
        <w:tc>
          <w:tcPr>
            <w:tcW w:w="14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1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Fixed-fee</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158,079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73,442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35,530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1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268,340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201,423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176,017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645,780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1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1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79,590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1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265,813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201,423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175,715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642,951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1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268,340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201,423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176,017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645,780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4820" w:type="dxa"/>
            <w:vAlign w:val="bottom"/>
          </w:tcPr>
          <w:p>
            <w:pPr>
              <w:spacing w:after="0"/>
              <w:rPr>
                <w:sz w:val="24"/>
                <w:szCs w:val="24"/>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10"/>
          </w:tcPr>
          <w:p>
            <w:pPr>
              <w:jc w:val="right"/>
              <w:ind w:right="590"/>
              <w:spacing w:after="0"/>
              <w:rPr>
                <w:sz w:val="20"/>
                <w:szCs w:val="20"/>
                <w:color w:val="auto"/>
              </w:rPr>
            </w:pPr>
            <w:r>
              <w:rPr>
                <w:rFonts w:ascii="Arial" w:cs="Arial" w:eastAsia="Arial" w:hAnsi="Arial"/>
                <w:sz w:val="18"/>
                <w:szCs w:val="18"/>
                <w:b w:val="1"/>
                <w:bCs w:val="1"/>
                <w:color w:val="auto"/>
              </w:rPr>
              <w:t>Three Months Ended September 30, 2019</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24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Fixed-fee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65,610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102,361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87,207</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17,927</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0" w:type="dxa"/>
            <w:vAlign w:val="bottom"/>
          </w:tcPr>
          <w:p>
            <w:pPr>
              <w:spacing w:after="0"/>
              <w:rPr>
                <w:sz w:val="1"/>
                <w:szCs w:val="1"/>
                <w:color w:val="auto"/>
              </w:rPr>
            </w:pPr>
          </w:p>
        </w:tc>
      </w:tr>
      <w:tr>
        <w:trPr>
          <w:trHeight w:val="223"/>
        </w:trPr>
        <w:tc>
          <w:tcPr>
            <w:tcW w:w="6220" w:type="dxa"/>
            <w:vAlign w:val="bottom"/>
          </w:tcPr>
          <w:p>
            <w:pPr>
              <w:ind w:left="3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62,519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56,770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219,289</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181,201</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38,088</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219,289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98,204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62,519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56,274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216,997</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23"/>
        </w:trPr>
        <w:tc>
          <w:tcPr>
            <w:tcW w:w="6220" w:type="dxa"/>
            <w:vAlign w:val="bottom"/>
          </w:tcPr>
          <w:p>
            <w:pPr>
              <w:ind w:left="3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62,519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56,770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219,289</w:t>
            </w:r>
          </w:p>
        </w:tc>
        <w:tc>
          <w:tcPr>
            <w:tcW w:w="0" w:type="dxa"/>
            <w:vAlign w:val="bottom"/>
          </w:tcPr>
          <w:p>
            <w:pPr>
              <w:spacing w:after="0"/>
              <w:rPr>
                <w:sz w:val="1"/>
                <w:szCs w:val="1"/>
                <w:color w:val="auto"/>
              </w:rPr>
            </w:pPr>
          </w:p>
        </w:tc>
      </w:tr>
      <w:tr>
        <w:trPr>
          <w:trHeight w:val="445"/>
        </w:trPr>
        <w:tc>
          <w:tcPr>
            <w:tcW w:w="6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10"/>
          </w:tcPr>
          <w:p>
            <w:pPr>
              <w:jc w:val="right"/>
              <w:ind w:right="650"/>
              <w:spacing w:after="0"/>
              <w:rPr>
                <w:sz w:val="20"/>
                <w:szCs w:val="20"/>
                <w:color w:val="auto"/>
              </w:rPr>
            </w:pPr>
            <w:r>
              <w:rPr>
                <w:rFonts w:ascii="Arial" w:cs="Arial" w:eastAsia="Arial" w:hAnsi="Arial"/>
                <w:sz w:val="18"/>
                <w:szCs w:val="18"/>
                <w:b w:val="1"/>
                <w:bCs w:val="1"/>
                <w:color w:val="auto"/>
              </w:rPr>
              <w:t>Nine Months Ended September 30, 2019</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24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14"/>
                <w:szCs w:val="14"/>
                <w:color w:val="auto"/>
              </w:rPr>
            </w:pPr>
          </w:p>
        </w:tc>
        <w:tc>
          <w:tcPr>
            <w:tcW w:w="11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Fixed-fee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188,875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72,693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37,926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299,494</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257,792</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52,954</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34,248</w:t>
            </w:r>
          </w:p>
        </w:tc>
        <w:tc>
          <w:tcPr>
            <w:tcW w:w="0" w:type="dxa"/>
            <w:vAlign w:val="bottom"/>
          </w:tcPr>
          <w:p>
            <w:pPr>
              <w:spacing w:after="0"/>
              <w:rPr>
                <w:sz w:val="1"/>
                <w:szCs w:val="1"/>
                <w:color w:val="auto"/>
              </w:rPr>
            </w:pPr>
          </w:p>
        </w:tc>
      </w:tr>
      <w:tr>
        <w:trPr>
          <w:trHeight w:val="223"/>
        </w:trPr>
        <w:tc>
          <w:tcPr>
            <w:tcW w:w="6220" w:type="dxa"/>
            <w:vAlign w:val="bottom"/>
          </w:tcPr>
          <w:p>
            <w:pPr>
              <w:ind w:left="3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295,621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183,602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165,265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644,488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3"/>
                <w:szCs w:val="23"/>
                <w:i w:val="1"/>
                <w:iCs w:val="1"/>
                <w:color w:val="auto"/>
                <w:vertAlign w:val="superscript"/>
              </w:rPr>
              <w:t>(1)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528,125</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116,363</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644,488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289,452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183,602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164,164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637,218</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23"/>
        </w:trPr>
        <w:tc>
          <w:tcPr>
            <w:tcW w:w="6220" w:type="dxa"/>
            <w:vAlign w:val="bottom"/>
          </w:tcPr>
          <w:p>
            <w:pPr>
              <w:ind w:left="3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295,621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183,602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165,265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644,488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hanging="652"/>
        <w:spacing w:after="0" w:line="254" w:lineRule="auto"/>
        <w:tabs>
          <w:tab w:leader="none" w:pos="482"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Full-time billable consultants consist of our full-time professionals who provide consulting services to our clients and are billable to our clients based on the number of hours worked. Full-time equivalent professionals consist of leadership coaches and their support staff within our Culture and Organizational Excellence solution, consultants who work variable schedules as needed by our clients, and full-time employees who provide software support and maintenance services to our clients.</w:t>
      </w:r>
    </w:p>
    <w:p>
      <w:pPr>
        <w:spacing w:after="0" w:line="9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At September 30, 2020 one client in our Healthcare segment had a total receivable and unbilled services balance that accounted for 15.0% of our combined balance of receivables from clients, net and unbilled services, net. The outstanding balance for this client is the result of outstanding invoices due in the normal course of the contract payment terms and services performed in advance of the contract billing schedule. At December 31, 2019, no single client accounted for greater than 10% of our combined balance of receivables from clients, net and unbilled services, net. During the three and nine months ended September 30, 2020 and 2019, no single client generated greater than 10% of our consolidated revenues.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ForceIQ, Inc.</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October 15, 2020, we entered into an agreement to acquire ForceIQ, Inc. ("ForceIQ"), a Salesforce Industries partner focused on helping clients drive digital transformation and innovation at scale powered by the cloud. The acquisition expands our cloud-based technology offerings within the Business Advisory segment. The results of operations of ForceIQ will be included within the Business Advisory segment from the effective close date, November 1, 2020. The acquisition of ForceIQ is not significant to our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2020 Restructuring Plan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29, 2020, we announced a restructuring plan to reduce operating costs to address the impact of the COVID-19 pandemic on our business. The restructuring plan provides for a reduction in workforce and leased office space that is expected to result in initial restructuring charges in a range of approximately $15.5 million to $19.5 million. We do not anticipate a material revenue impact related to the restructuring actions.</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reduction in workforce impacts approximately 145 employees across all segments and corporate operations. We expect the reduction in workforce to be substantially complete by the end of the fourth quarter of 2020 and expect to incur an estimated restructuring charge in a range of approximately $3.5 million to $4.5 million related to cash payments for employee severance and benefits.</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reduction in leased office space is expected to result in estimated non-cash restructuring charges in a range of approximately $12.0 million to $15.0 million, consisting of operating lease right-of-use asset and leasehold improvement impairment charges and accelerated depreciation on other fixed assets. The non-cash restructuring charges related to the reduction in leased office space are expected to be recorded primarily in the fourth quarter of 2020. Future cash expenditures related to the leased office space are expected to continue through 2029. The exact amount and timing of the office space reductions, and the associated payments and expenses, depend on a number of factors, including our ability to terminate or modify existing lease contracts and/or enter into sublease agreements for the exited spaces to lower future cash expenditures.</w:t>
      </w:r>
    </w:p>
    <w:p>
      <w:pPr>
        <w:spacing w:after="0" w:line="15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in the fourth quarter of 2020, we announced our intent to divest our life sciences drug safety practice, a UK-based business that is part of the Life Sciences reporting unit within our Business Advisory segment. For the nine months ended September 30, 2020, this practice generated $1.9 million of revenue and is not significant to our consolidated financial statements. We expect the divestiture to be completed in the fourth quarter of 2020.</w:t>
      </w:r>
    </w:p>
    <w:p>
      <w:pPr>
        <w:spacing w:after="0" w:line="15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We believe these measures will better align delivery capacity with anticipated demand and strengthen our financial position amidst the ongoing disruption, creating a foundation from which our business can grow.</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Statements in this Quarterly Report on Form 10-Q that are not historical in nature, including those concerning the Company’s 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expectations about its future results, are “forward-looking” statements as defined in Section 21E of the Securities Exchange Act of 1934,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(the “Exchange Act”) and the Private Securities Litigation Reform Act of 1995. Forward-looking statements are identified by words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as “may,” “should,” “expects,” “provides,” “anticipates,” “assumes,” “can,” “will,” “meets,” “could,” “likely,” “intends,” “might,” “predicts,”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“seeks,” “would,” “believes,” “estimates,” “plans,” “continues,” “guidance,” or “outlook,” or similar expressions. These forward-looking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reflect our current expectations about our future requirements and needs, results, levels of activity, performance,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achievements. Some of the factors that could cause actual results to differ materially from the forward-looking statements contained 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 without limitation: the impact of the COVID-19 pandemic on the economy, our clients and client demand for our services, and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ability to sell and provide services, including the measures taken by governmental authorities and businesses in response to the pandemic,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may cause or contribute to other risks and uncertainties that we face; failure to achieve expected utilization rates, billing rates,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revenue-generating professionals; inability to expand or adjust our service offerings in response to market demands;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dependence on renewal of client-based services; dependence on new business and retention of current clients and qualified personnel;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failure to maintain third-party provider relationships and strategic alliances; inability to license technology to and from third parties;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of goodwill; various factors related to income and other taxes; difficulties in successfully integrating the businesses we acquire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achieving expected benefits from such acquisitions; risks relating to privacy, information security, and related laws and standards; and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downturn in market conditions. These forward-looking statements involve known and unknown risks, uncertainties, and other factors,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including, among others, those described under Item 1A. “Risk Factors,” in our Annual Report on Form 10-K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under Part II, Item 1A. "Risk Factors" in this Quarterly Report on Form 10-Q, that may cause actual results, levels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activity, performance or achievements to be materially different from any anticipated results, levels of activity, performance, or achievements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or implied by these forward-looking statements. We disclaim any obligation to update or revise any forward-looking statements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result of new information or future events, or for any other reason.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results for the organizations we serve.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provide professional services through three operating segments: Healthcare, Business Advisory, and Education.</w:t>
      </w:r>
    </w:p>
    <w:p>
      <w:pPr>
        <w:spacing w:after="0" w:line="14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93" w:lineRule="exact"/>
        <w:rPr>
          <w:rFonts w:ascii="Arial" w:cs="Arial" w:eastAsia="Arial" w:hAnsi="Arial"/>
          <w:sz w:val="18"/>
          <w:szCs w:val="18"/>
          <w:b w:val="1"/>
          <w:bCs w:val="1"/>
          <w:color w:val="auto"/>
        </w:rPr>
      </w:pPr>
    </w:p>
    <w:p>
      <w:pPr>
        <w:ind w:left="660" w:right="1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has a depth of expertise in financial and operational improvement, care transformation, culture and organizational excellence, strategy, and technology and analytics. We serve national and regional hospitals,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53" w:lineRule="exact"/>
        <w:rPr>
          <w:rFonts w:ascii="Arial" w:cs="Arial" w:eastAsia="Arial" w:hAnsi="Arial"/>
          <w:sz w:val="18"/>
          <w:szCs w:val="18"/>
          <w:b w:val="1"/>
          <w:bCs w:val="1"/>
          <w:color w:val="auto"/>
        </w:rPr>
      </w:pPr>
    </w:p>
    <w:p>
      <w:pPr>
        <w:ind w:left="660"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cultural and organizational change and who transform the consumer experience.</w:t>
      </w:r>
    </w:p>
    <w:p>
      <w:pPr>
        <w:spacing w:after="0" w:line="131"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Advisory</w:t>
      </w:r>
    </w:p>
    <w:p>
      <w:pPr>
        <w:spacing w:after="0" w:line="193" w:lineRule="exact"/>
        <w:rPr>
          <w:rFonts w:ascii="Arial" w:cs="Arial" w:eastAsia="Arial" w:hAnsi="Arial"/>
          <w:sz w:val="18"/>
          <w:szCs w:val="18"/>
          <w:color w:val="auto"/>
        </w:rPr>
      </w:pPr>
    </w:p>
    <w:p>
      <w:pPr>
        <w:ind w:left="660" w:right="140"/>
        <w:spacing w:after="0" w:line="252" w:lineRule="auto"/>
        <w:rPr>
          <w:rFonts w:ascii="Arial" w:cs="Arial" w:eastAsia="Arial" w:hAnsi="Arial"/>
          <w:sz w:val="18"/>
          <w:szCs w:val="18"/>
          <w:color w:val="auto"/>
        </w:rPr>
      </w:pPr>
      <w:r>
        <w:rPr>
          <w:rFonts w:ascii="Arial" w:cs="Arial" w:eastAsia="Arial" w:hAnsi="Arial"/>
          <w:sz w:val="18"/>
          <w:szCs w:val="18"/>
          <w:color w:val="auto"/>
        </w:rPr>
        <w:t>Our Business Advisory segment provides services to large and middle market organizations, lending institutions, law firms, investment banks, private equity firms, and not-for-profit organizations, including higher education and healthcare institutions. We assist clients in a broad range of industries and across the spectrum from healthy, well-capitalized companies to organizations in transition, as well as creditors, equity owners, and other key constituents. Our Enterprise Solutions and Analytics experts advise, deliver, and optimize technology and analytics solutions that enable organizations to manage and optimize their financial performance, operational efficiency, and client or stakeholder experience. Our Business Advisory experts resolve complex business issues and enhance client enterprise value</w:t>
      </w:r>
    </w:p>
    <w:p>
      <w:pPr>
        <w:sectPr>
          <w:pgSz w:w="11900" w:h="16838" w:orient="portrait"/>
          <w:cols w:equalWidth="0" w:num="1">
            <w:col w:w="11240"/>
          </w:cols>
          <w:pgMar w:left="320" w:top="140" w:right="339" w:bottom="1089"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089"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right="40"/>
        <w:spacing w:after="0" w:line="253" w:lineRule="auto"/>
        <w:rPr>
          <w:sz w:val="20"/>
          <w:szCs w:val="20"/>
          <w:color w:val="auto"/>
        </w:rPr>
      </w:pPr>
      <w:r>
        <w:rPr>
          <w:rFonts w:ascii="Arial" w:cs="Arial" w:eastAsia="Arial" w:hAnsi="Arial"/>
          <w:sz w:val="18"/>
          <w:szCs w:val="18"/>
          <w:color w:val="auto"/>
        </w:rPr>
        <w:t>through a suite of services including capital advisory, transaction advisory, operational improvement, restructuring and turnaround, valuation, and dispute advisory.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93" w:lineRule="exact"/>
        <w:rPr>
          <w:rFonts w:ascii="Arial" w:cs="Arial" w:eastAsia="Arial" w:hAnsi="Arial"/>
          <w:sz w:val="18"/>
          <w:szCs w:val="18"/>
          <w:b w:val="1"/>
          <w:bCs w:val="1"/>
          <w:color w:val="auto"/>
        </w:rPr>
      </w:pPr>
    </w:p>
    <w:p>
      <w:pPr>
        <w:ind w:left="660" w:right="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Education segment provides consulting and technology solutions to higher education institutions and academic medical centers. We collaborate with clients to address challenges relating to business and technology strategy, financial and operational excellence, student success, research administration, and regulatory compliance. Our research enterprise solutions assist clients in identifying and implementing institutional research strategy, optimizing clinical research operations, improving financial management and cost reimbursement, improving service to faculty, and mitigating risk compliance. Our technology strategy, enterprise applications, and analytics solutions transform and optimize operations, deliver time and cost savings, and enhance the student experience. Our institutional strategy, budgeting and financial management, and business operations align missions with business priorities, improve quality, and reduce costs institution-wide. Our student solutions improve attraction, retention and graduation rates, increase student satisfaction and help generate quality outcomes.</w:t>
      </w:r>
    </w:p>
    <w:p>
      <w:pPr>
        <w:spacing w:after="0" w:line="15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Huron is a Platinum level member of the Oracle PartnerNetwork, an Oracle Cloud Premier Partner within North America, a Gold level consulting partner with Salesforce.com and a Workday Services Partner.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(COVID-19)</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worldwide spread of the coronavirus (COVID-19) in 2020 has created significant volatility, uncertainty and disruption to the global economy. The pandemic has had an unfavorable impact on aspects of our business, operations, and financial results, and has caused us to significantly change the way we operate. Near the end of the first quarter of 2020, we suspended almost all business travel and our employees began working from their homes. While traditionally a majority of the work performed by our revenue-generating professionals occurred at client sites, the nature of the services we provide allows for our revenue-generating professionals to continue to serve clients in a remote work environment. As state and local governments ease their restrictions, we continue to develop and implement our comprehensive plan to return to our offices and client sites with our people’s safety and the needs of our clients guiding how we manage our phased transition. As of September 30, 2020, our employees continue to primarily work from their homes.</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each of our operating segments, we are working closely with our clients to support them and provide relevant services to address their needs caused by the COVID-19 pandemic. However, as some clients reprioritized and delayed projects as a result of the pandemic, demand for certain offerings has been negatively impacted, particularly within our Healthcare and Education segments. While the COVID-19 pandemic did not have a significant impact on our consolidated revenues in the first quarter of 2020, revenues in the second and third quarters of 2020 declined 2.1% and 5.8%, sequentially. Revenues in the third quarter of 2020 decreased by 6.4% compared to the third quarter of 2019, and revenues for the first nine months of 2020 increased by just 0.2% compared to the same prior year period.</w:t>
      </w:r>
    </w:p>
    <w:p>
      <w:pPr>
        <w:spacing w:after="0" w:line="15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COVID-19 pandemic has strengthened demand for other services we provide, such as our cloud-based technology and analytics solutions within our Business Advisory segment and our restructuring and capital advisory solutions provided to organizations in transition within our Business Advisory segment.</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order to support our liquidity during the COVID-19 pandemic, we took proactive measures to increase available cash on hand including, but not limited to, borrowing under our senior secured credit facility in the first quarter of 2020 and reducing discretionary operating and capital spending. During the second and third quarters of 2020, we made repayments on our borrowings to reduce our total debt outstanding due to our ability to maintain adequate cash flows from operations and improved clarity around access to capital resources. To further support our liquidity during the COVID-19 pandemic, we elected to defer the deposit of our employer portion of social security taxes beginning in April 2020 and through the end of the year, which we expect to pay in equal installments in the fourth quarters of 2021 and 2022, as provided for under the Coronavirus Aid, Relief, and Economic Security Act ("CARES") Act.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2020 Goodwill Impairment Charges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due to the uncertainty caused by the COVID-19 pandemic, we are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that the fair value of these two reporting units no longer exceeded their carrying values and performed an interim goodwill impairment test on both reporting units. Based on the estimated fair values of the Strategy and Innovation and Life Sciences reporting units, we recorded non-cash pretax goodwill impairment charges of $49.9 million and $9.9 million, respectively. The non-cash</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goodwill impairment charge related to the Strategy and Innovation reporting unit reduced the goodwill balance of the reporting unit to $37.5 million as of March 31, 2020. The non-cash goodwill impairment charge related to the Life Sciences reporting unit reduced the goodwill balance to zero as of March 31, 2020. We did not identify any indicators that would lead us to believe that the fair values of our Healthcare, Education, and Business Advisory reporting units may not exceed their carrying values. See the "Critical Accounting Policies" section below and Note 4 "Goodwill and Intangible Assets" within the notes to our consolidated financial statements for additional information on the charges and evaluations performed.</w:t>
      </w:r>
    </w:p>
    <w:p>
      <w:pPr>
        <w:spacing w:after="0" w:line="15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During the second and third quarters of 2020, we did not identify any indicators that would lead us to believe that the fair values of our reporting units may not exceed their carrying values. We will continue to evaluate goodwill for impairment during future periods. Any future significant decline in the performance of our Strategy and Innovation reporting unit, or any other reporting unit with a goodwill balance, compared to our internal forecasts could result in additional non-cash goodwill impairment charges.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Resource Planning System Implementation</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fourth quarter of 2019, we committed to the implementation of a new enterprise resource planning system designed to improve the efficiency of our internal operational, financial and administrative activities. The implementation continues to progress and is on schedule and has not been significantly impacted by the COVID-19 pandemic.</w:t>
      </w:r>
    </w:p>
    <w:p>
      <w:pPr>
        <w:spacing w:after="0" w:line="14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See Part II, Item 1A. "Risk Factors" of this Quarterly Report on Form 10-Q for additional information on the potential impact the COVID-19 pandemic could have on our business, operations and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coaches and their support staff from our Culture and Organizational Excellence solution, consultants who work variable schedules as needed by our clients, employees who provide managed services in our Healthcare segment,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 Revenues generated by our Managed Services solution are dependent on the total value, scope and terms of the related contracts.</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Fixed-fee engagements represented 40.5% and 46.7% of our revenues for the three months ended September 30, 2020 and 2019, respectively, and 41.3% and 46.5% of our revenues for the nine months ended September 30, 2020 and 2019, respectively.</w:t>
      </w:r>
    </w:p>
    <w:p>
      <w:pPr>
        <w:spacing w:after="0" w:line="14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We recognize revenues under time-and-expense billing arrangements as the related services or publications are provided. Time-and-expense engagements represented 44.0% and 39.7% of our</w:t>
      </w:r>
    </w:p>
    <w:p>
      <w:pPr>
        <w:sectPr>
          <w:pgSz w:w="11900" w:h="16838" w:orient="portrait"/>
          <w:cols w:equalWidth="0" w:num="1">
            <w:col w:w="11220"/>
          </w:cols>
          <w:pgMar w:left="320" w:top="140" w:right="359" w:bottom="63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63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revenues for the three months ended September 30, 2020 and 2019, respectively, and 44.2% and 40.0% of our revenues for the nine months ended September 30, 2020 and 2019, respectively.</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recognize revenues under performance-based billing arrangements by estimating the amount of variable consideration that is probable of being earned and recognizing that estimate over the length of the contract using a proportionate performance approach. Performance-based fee revenues represented 9.4% and 8.2% of our revenues for the three months ended September 30, 2020 and 2019, respectively, and 8.6% and 8.2% of our revenues for the nine months ended September 30, 2020 and 2019, respectively. The level of performance-based fees earned may vary based on our clients' risk sharing preferences and the mix of services we provide.</w:t>
      </w:r>
    </w:p>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 Software support, maintenance and subscription revenues represented 6.1% and 5.4% of our revenues for the three months ended September 30, 2020 and 2019, respectively, and 5.9% and 5.3% of our revenues for the nine months ended September 30, 2020 and 2019, respectively.</w:t>
      </w:r>
    </w:p>
    <w:p>
      <w:pPr>
        <w:spacing w:after="0" w:line="15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5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9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To expand our business, we will remain focused on growing our existing relationships and developing new relationships, executing our managing director compensation plan to attract and retain senior practitioners, continuing to promote and provide an integrated approach to service delivery, broadening the scope of our existing services, and acquiring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and endorsed messages.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20" w:right="500"/>
        <w:spacing w:after="0" w:line="256"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Healthcare: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Three Months Ended</w:t>
            </w:r>
          </w:p>
        </w:tc>
        <w:tc>
          <w:tcPr>
            <w:tcW w:w="2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Nine Months Ended</w:t>
            </w:r>
          </w:p>
        </w:tc>
      </w:tr>
      <w:tr>
        <w:trPr>
          <w:trHeight w:val="230"/>
        </w:trPr>
        <w:tc>
          <w:tcPr>
            <w:tcW w:w="30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September 30,</w:t>
            </w:r>
          </w:p>
        </w:tc>
        <w:tc>
          <w:tcPr>
            <w:tcW w:w="2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September 30,</w:t>
            </w:r>
          </w:p>
        </w:tc>
      </w:tr>
      <w:tr>
        <w:trPr>
          <w:trHeight w:val="223"/>
        </w:trPr>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-7620</wp:posOffset>
            </wp:positionV>
            <wp:extent cx="711517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4440" w:space="720"/>
            <w:col w:w="608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5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87,406</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268,340</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295,621</w:t>
            </w:r>
          </w:p>
        </w:tc>
        <w:tc>
          <w:tcPr>
            <w:tcW w:w="2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94,058</w:t>
            </w:r>
          </w:p>
        </w:tc>
        <w:tc>
          <w:tcPr>
            <w:tcW w:w="20" w:type="dxa"/>
            <w:vAlign w:val="bottom"/>
          </w:tcPr>
          <w:p>
            <w:pPr>
              <w:spacing w:after="0"/>
              <w:rPr>
                <w:sz w:val="19"/>
                <w:szCs w:val="19"/>
                <w:color w:val="auto"/>
              </w:rPr>
            </w:pPr>
          </w:p>
        </w:tc>
      </w:tr>
      <w:tr>
        <w:trPr>
          <w:trHeight w:val="188"/>
        </w:trPr>
        <w:tc>
          <w:tcPr>
            <w:tcW w:w="516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5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31.8 %</w:t>
            </w:r>
          </w:p>
        </w:tc>
        <w:tc>
          <w:tcPr>
            <w:tcW w:w="20" w:type="dxa"/>
            <w:vAlign w:val="bottom"/>
          </w:tcPr>
          <w:p>
            <w:pPr>
              <w:spacing w:after="0"/>
              <w:rPr>
                <w:sz w:val="18"/>
                <w:szCs w:val="18"/>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Business Advisory: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66,048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62,519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201,423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183,602</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11,942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32,997</w:t>
            </w:r>
          </w:p>
        </w:tc>
        <w:tc>
          <w:tcPr>
            <w:tcW w:w="20" w:type="dxa"/>
            <w:vAlign w:val="bottom"/>
          </w:tcPr>
          <w:p>
            <w:pPr>
              <w:spacing w:after="0"/>
              <w:rPr>
                <w:sz w:val="19"/>
                <w:szCs w:val="19"/>
                <w:color w:val="auto"/>
              </w:rPr>
            </w:pPr>
          </w:p>
        </w:tc>
      </w:tr>
      <w:tr>
        <w:trPr>
          <w:trHeight w:val="188"/>
        </w:trPr>
        <w:tc>
          <w:tcPr>
            <w:tcW w:w="516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5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18.0 %</w:t>
            </w:r>
          </w:p>
        </w:tc>
        <w:tc>
          <w:tcPr>
            <w:tcW w:w="2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51,850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56,770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176,017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165,265</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43,235</w:t>
            </w:r>
          </w:p>
        </w:tc>
        <w:tc>
          <w:tcPr>
            <w:tcW w:w="20" w:type="dxa"/>
            <w:vAlign w:val="bottom"/>
          </w:tcPr>
          <w:p>
            <w:pPr>
              <w:spacing w:after="0"/>
              <w:rPr>
                <w:sz w:val="19"/>
                <w:szCs w:val="19"/>
                <w:color w:val="auto"/>
              </w:rPr>
            </w:pPr>
          </w:p>
        </w:tc>
      </w:tr>
      <w:tr>
        <w:trPr>
          <w:trHeight w:val="188"/>
        </w:trPr>
        <w:tc>
          <w:tcPr>
            <w:tcW w:w="516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5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26.2 %</w:t>
            </w:r>
          </w:p>
        </w:tc>
        <w:tc>
          <w:tcPr>
            <w:tcW w:w="20" w:type="dxa"/>
            <w:vAlign w:val="bottom"/>
          </w:tcPr>
          <w:p>
            <w:pPr>
              <w:spacing w:after="0"/>
              <w:rPr>
                <w:sz w:val="18"/>
                <w:szCs w:val="18"/>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205,304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219,289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645,780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644,488</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23,636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25,133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65,787</w:t>
            </w:r>
          </w:p>
        </w:tc>
        <w:tc>
          <w:tcPr>
            <w:tcW w:w="20" w:type="dxa"/>
            <w:vAlign w:val="bottom"/>
          </w:tcPr>
          <w:p>
            <w:pPr>
              <w:spacing w:after="0"/>
              <w:rPr>
                <w:sz w:val="19"/>
                <w:szCs w:val="19"/>
                <w:color w:val="auto"/>
              </w:rPr>
            </w:pPr>
          </w:p>
        </w:tc>
      </w:tr>
      <w:tr>
        <w:trPr>
          <w:trHeight w:val="223"/>
        </w:trPr>
        <w:tc>
          <w:tcPr>
            <w:tcW w:w="5160" w:type="dxa"/>
            <w:vAlign w:val="bottom"/>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208,164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242,925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670,913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710,275</w:t>
            </w:r>
          </w:p>
        </w:tc>
        <w:tc>
          <w:tcPr>
            <w:tcW w:w="20" w:type="dxa"/>
            <w:vAlign w:val="bottom"/>
          </w:tcPr>
          <w:p>
            <w:pPr>
              <w:spacing w:after="0"/>
              <w:rPr>
                <w:sz w:val="19"/>
                <w:szCs w:val="19"/>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Statements of Operations reconciliation:</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48,938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59,218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149,929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170,290</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29,042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32,310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87,826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105,369</w:t>
            </w:r>
          </w:p>
        </w:tc>
        <w:tc>
          <w:tcPr>
            <w:tcW w:w="20" w:type="dxa"/>
            <w:vAlign w:val="bottom"/>
          </w:tcPr>
          <w:p>
            <w:pPr>
              <w:spacing w:after="0"/>
              <w:rPr>
                <w:sz w:val="19"/>
                <w:szCs w:val="19"/>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Litigation and other gains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19"/>
                <w:szCs w:val="19"/>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18,635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21,285</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13,699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20,576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(16,198)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45,207</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(4,456)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(6,829)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(10,326)</w:t>
            </w:r>
          </w:p>
        </w:tc>
        <w:tc>
          <w:tcPr>
            <w:tcW w:w="20" w:type="dxa"/>
            <w:vAlign w:val="bottom"/>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24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13,475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(23,027)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34,881</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(5,413)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7,256</w:t>
            </w:r>
          </w:p>
        </w:tc>
        <w:tc>
          <w:tcPr>
            <w:tcW w:w="20" w:type="dxa"/>
            <w:vAlign w:val="bottom"/>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11,087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13,706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(17,614)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27,625</w:t>
            </w:r>
          </w:p>
        </w:tc>
        <w:tc>
          <w:tcPr>
            <w:tcW w:w="20" w:type="dxa"/>
            <w:vAlign w:val="bottom"/>
          </w:tcPr>
          <w:p>
            <w:pPr>
              <w:spacing w:after="0"/>
              <w:rPr>
                <w:sz w:val="19"/>
                <w:szCs w:val="19"/>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from continuing operations: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r>
      <w:tr>
        <w:trPr>
          <w:trHeight w:val="891"/>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79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September 30,</w:t>
            </w:r>
          </w:p>
        </w:tc>
        <w:tc>
          <w:tcPr>
            <w:tcW w:w="320" w:type="dxa"/>
            <w:vAlign w:val="bottom"/>
          </w:tcPr>
          <w:p>
            <w:pPr>
              <w:spacing w:after="0"/>
              <w:rPr>
                <w:sz w:val="19"/>
                <w:szCs w:val="19"/>
                <w:color w:val="auto"/>
              </w:rPr>
            </w:pPr>
          </w:p>
        </w:tc>
        <w:tc>
          <w:tcPr>
            <w:tcW w:w="26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512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886</w:t>
            </w: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954</w:t>
            </w:r>
          </w:p>
        </w:tc>
      </w:tr>
      <w:tr>
        <w:trPr>
          <w:trHeight w:val="230"/>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727</w:t>
            </w:r>
          </w:p>
        </w:tc>
      </w:tr>
      <w:tr>
        <w:trPr>
          <w:trHeight w:val="223"/>
        </w:trPr>
        <w:tc>
          <w:tcPr>
            <w:tcW w:w="5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2,567</w:t>
            </w:r>
          </w:p>
        </w:tc>
      </w:tr>
      <w:tr>
        <w:trPr>
          <w:trHeight w:val="176"/>
        </w:trPr>
        <w:tc>
          <w:tcPr>
            <w:tcW w:w="52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Average number of full-time billable consultants (for the</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9"/>
        </w:trPr>
        <w:tc>
          <w:tcPr>
            <w:tcW w:w="522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 xml:space="preserve">period)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835</w:t>
            </w: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Business Advisory</w:t>
            </w: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876</w:t>
            </w: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665</w:t>
            </w:r>
          </w:p>
        </w:tc>
      </w:tr>
      <w:tr>
        <w:trPr>
          <w:trHeight w:val="223"/>
        </w:trPr>
        <w:tc>
          <w:tcPr>
            <w:tcW w:w="52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2,592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2,376</w:t>
            </w:r>
          </w:p>
        </w:tc>
      </w:tr>
      <w:tr>
        <w:trPr>
          <w:trHeight w:val="229"/>
        </w:trPr>
        <w:tc>
          <w:tcPr>
            <w:tcW w:w="52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80.4 %</w:t>
            </w: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72.7 %</w:t>
            </w: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66.5 %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76.7 %</w:t>
            </w:r>
          </w:p>
        </w:tc>
      </w:tr>
      <w:tr>
        <w:trPr>
          <w:trHeight w:val="229"/>
        </w:trPr>
        <w:tc>
          <w:tcPr>
            <w:tcW w:w="5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76.5 %</w:t>
            </w:r>
          </w:p>
        </w:tc>
      </w:tr>
      <w:tr>
        <w:trPr>
          <w:trHeight w:val="176"/>
        </w:trPr>
        <w:tc>
          <w:tcPr>
            <w:tcW w:w="52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Full-time billable consultant average billing rate per hour</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9"/>
        </w:trPr>
        <w:tc>
          <w:tcPr>
            <w:tcW w:w="5120" w:type="dxa"/>
            <w:vAlign w:val="bottom"/>
          </w:tcPr>
          <w:p>
            <w:pPr>
              <w:ind w:left="20"/>
              <w:spacing w:after="0" w:line="230" w:lineRule="exact"/>
              <w:rPr>
                <w:sz w:val="20"/>
                <w:szCs w:val="20"/>
                <w:color w:val="auto"/>
              </w:rPr>
            </w:pPr>
            <w:r>
              <w:rPr>
                <w:rFonts w:ascii="Arial" w:cs="Arial" w:eastAsia="Arial" w:hAnsi="Arial"/>
                <w:sz w:val="10"/>
                <w:szCs w:val="10"/>
                <w:b w:val="1"/>
                <w:bCs w:val="1"/>
                <w:color w:val="auto"/>
              </w:rPr>
              <w:t>(4)</w:t>
            </w:r>
            <w:r>
              <w:rPr>
                <w:rFonts w:ascii="Arial" w:cs="Arial" w:eastAsia="Arial" w:hAnsi="Arial"/>
                <w:sz w:val="26"/>
                <w:szCs w:val="26"/>
                <w:b w:val="1"/>
                <w:bCs w:val="1"/>
                <w:color w:val="auto"/>
                <w:vertAlign w:val="subscript"/>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225</w:t>
            </w:r>
          </w:p>
        </w:tc>
      </w:tr>
      <w:tr>
        <w:trPr>
          <w:trHeight w:val="230"/>
        </w:trPr>
        <w:tc>
          <w:tcPr>
            <w:tcW w:w="52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3"/>
                <w:szCs w:val="23"/>
                <w:color w:val="auto"/>
                <w:vertAlign w:val="superscript"/>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195</w:t>
            </w: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r>
      <w:tr>
        <w:trPr>
          <w:trHeight w:val="230"/>
        </w:trPr>
        <w:tc>
          <w:tcPr>
            <w:tcW w:w="5220" w:type="dxa"/>
            <w:vAlign w:val="bottom"/>
            <w:gridSpan w:val="2"/>
          </w:tcPr>
          <w:p>
            <w:pPr>
              <w:ind w:left="340"/>
              <w:spacing w:after="0" w:line="23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207</w:t>
            </w: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247</w:t>
            </w: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w:t>
            </w: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217</w:t>
            </w:r>
          </w:p>
        </w:tc>
      </w:tr>
      <w:tr>
        <w:trPr>
          <w:trHeight w:val="230"/>
        </w:trPr>
        <w:tc>
          <w:tcPr>
            <w:tcW w:w="5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222</w:t>
            </w:r>
          </w:p>
        </w:tc>
      </w:tr>
      <w:tr>
        <w:trPr>
          <w:trHeight w:val="229"/>
        </w:trPr>
        <w:tc>
          <w:tcPr>
            <w:tcW w:w="522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3"/>
                <w:szCs w:val="23"/>
                <w:b w:val="1"/>
                <w:bCs w:val="1"/>
                <w:color w:val="auto"/>
                <w:vertAlign w:val="superscript"/>
              </w:rPr>
              <w:t>(6)</w:t>
            </w: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237</w:t>
            </w: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Business Advisory</w:t>
            </w: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w:t>
            </w: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r>
      <w:tr>
        <w:trPr>
          <w:trHeight w:val="223"/>
        </w:trPr>
        <w:tc>
          <w:tcPr>
            <w:tcW w:w="52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295</w:t>
            </w: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375</w:t>
            </w:r>
          </w:p>
        </w:tc>
      </w:tr>
      <w:tr>
        <w:trPr>
          <w:trHeight w:val="23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465</w:t>
            </w: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480</w:t>
            </w:r>
          </w:p>
        </w:tc>
      </w:tr>
      <w:tr>
        <w:trPr>
          <w:trHeight w:val="230"/>
        </w:trPr>
        <w:tc>
          <w:tcPr>
            <w:tcW w:w="5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395</w:t>
            </w:r>
          </w:p>
        </w:tc>
      </w:tr>
    </w:tbl>
    <w:p>
      <w:pPr>
        <w:spacing w:after="0" w:line="80" w:lineRule="exact"/>
        <w:rPr>
          <w:sz w:val="20"/>
          <w:szCs w:val="20"/>
          <w:color w:val="auto"/>
        </w:rPr>
      </w:pPr>
    </w:p>
    <w:p>
      <w:pPr>
        <w:ind w:left="600" w:hanging="59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non-cash goodwill impairment charges are not allocated at the segment level because the underlying goodwill asset is reflective</w:t>
      </w:r>
    </w:p>
    <w:p>
      <w:pPr>
        <w:spacing w:after="0" w:line="9" w:lineRule="exact"/>
        <w:rPr>
          <w:sz w:val="20"/>
          <w:szCs w:val="20"/>
          <w:color w:val="auto"/>
        </w:rPr>
      </w:pPr>
    </w:p>
    <w:p>
      <w:pPr>
        <w:ind w:left="580" w:right="420"/>
        <w:spacing w:after="0" w:line="261" w:lineRule="auto"/>
        <w:rPr>
          <w:sz w:val="20"/>
          <w:szCs w:val="20"/>
          <w:color w:val="auto"/>
        </w:rPr>
      </w:pPr>
      <w:r>
        <w:rPr>
          <w:rFonts w:ascii="Arial" w:cs="Arial" w:eastAsia="Arial" w:hAnsi="Arial"/>
          <w:sz w:val="18"/>
          <w:szCs w:val="18"/>
          <w:color w:val="auto"/>
        </w:rPr>
        <w:t>of our corporate investment in the segments. We do not include the impact of goodwill impairment charges in our evaluation of segment performance.</w:t>
      </w:r>
    </w:p>
    <w:p>
      <w:pPr>
        <w:spacing w:after="0" w:line="36" w:lineRule="exact"/>
        <w:rPr>
          <w:sz w:val="20"/>
          <w:szCs w:val="20"/>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63" w:lineRule="exact"/>
        <w:rPr>
          <w:rFonts w:ascii="Arial" w:cs="Arial" w:eastAsia="Arial" w:hAnsi="Arial"/>
          <w:sz w:val="18"/>
          <w:szCs w:val="18"/>
          <w:color w:val="auto"/>
        </w:rPr>
      </w:pPr>
    </w:p>
    <w:p>
      <w:pPr>
        <w:jc w:val="both"/>
        <w:ind w:left="580" w:right="500" w:hanging="572"/>
        <w:spacing w:after="0" w:line="256"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our full-time billable consultants worked on client assignments during a period by the total available working hours for these consultants during the same period, assuming a forty-hour work week, less paid holidays and vacation days.</w:t>
      </w:r>
    </w:p>
    <w:p>
      <w:pPr>
        <w:spacing w:after="0" w:line="39" w:lineRule="exact"/>
        <w:rPr>
          <w:rFonts w:ascii="Arial" w:cs="Arial" w:eastAsia="Arial" w:hAnsi="Arial"/>
          <w:sz w:val="18"/>
          <w:szCs w:val="18"/>
          <w:color w:val="auto"/>
        </w:rPr>
      </w:pPr>
    </w:p>
    <w:p>
      <w:pPr>
        <w:ind w:left="580" w:right="440" w:hanging="572"/>
        <w:spacing w:after="0" w:line="261"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35" w:lineRule="exact"/>
        <w:rPr>
          <w:rFonts w:ascii="Arial" w:cs="Arial" w:eastAsia="Arial" w:hAnsi="Arial"/>
          <w:sz w:val="18"/>
          <w:szCs w:val="18"/>
          <w:color w:val="auto"/>
        </w:rPr>
      </w:pPr>
    </w:p>
    <w:p>
      <w:pPr>
        <w:jc w:val="both"/>
        <w:ind w:left="580" w:right="180" w:hanging="572"/>
        <w:spacing w:after="0" w:line="278" w:lineRule="auto"/>
        <w:tabs>
          <w:tab w:leader="none" w:pos="61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Business Advisory segment includes operations of Huron Eurasia India. Absent the impact of Huron Eurasia India, the average billing rate per hour for the Business Advisory segment would have been $201 and $221 for the three months ended September 30, 2020 and 2019, respectively; and $217 and $220 for the nine months ended September 30, 2020 and 2019, respectively.</w:t>
      </w:r>
    </w:p>
    <w:p>
      <w:pPr>
        <w:spacing w:after="0" w:line="23" w:lineRule="exact"/>
        <w:rPr>
          <w:sz w:val="20"/>
          <w:szCs w:val="20"/>
          <w:color w:val="auto"/>
        </w:rPr>
      </w:pPr>
    </w:p>
    <w:p>
      <w:pPr>
        <w:jc w:val="both"/>
        <w:ind w:left="580" w:right="40"/>
        <w:spacing w:after="0" w:line="256" w:lineRule="auto"/>
        <w:rPr>
          <w:sz w:val="20"/>
          <w:szCs w:val="20"/>
          <w:color w:val="auto"/>
        </w:rPr>
      </w:pPr>
      <w:r>
        <w:rPr>
          <w:rFonts w:ascii="Arial" w:cs="Arial" w:eastAsia="Arial" w:hAnsi="Arial"/>
          <w:sz w:val="18"/>
          <w:szCs w:val="18"/>
          <w:color w:val="auto"/>
        </w:rPr>
        <w:t>Absent the impact of Huron Eurasia India, Huron's consolidated average billing rate per hour would have been $212 and $216 for the three months ended September 30, 2020 and 2019, respectively; and $213 and $216 for the nine months ended September 30, 2020 and 2019, respectively.</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580" w:right="140" w:hanging="572"/>
        <w:spacing w:after="0" w:line="256" w:lineRule="auto"/>
        <w:tabs>
          <w:tab w:leader="none" w:pos="6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coaches and their support staff within our Culture and Organizational Excellence solution, consultants who work variable schedules as needed by our clients, employees who provide managed services in our Healthcare segment, and full-time employees who provide software support and maintenance services to our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earnings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19"/>
                <w:szCs w:val="19"/>
                <w:color w:val="auto"/>
              </w:rPr>
            </w:pPr>
          </w:p>
        </w:tc>
        <w:tc>
          <w:tcPr>
            <w:tcW w:w="27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205,304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219,289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645,780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644,488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11,087</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13,706</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(17,614)</w:t>
            </w: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27,625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back:</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(5,413)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interest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13,156</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7,546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8,124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22,488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24,735</w:t>
            </w:r>
          </w:p>
        </w:tc>
        <w:tc>
          <w:tcPr>
            <w:tcW w:w="0" w:type="dxa"/>
            <w:vAlign w:val="bottom"/>
          </w:tcPr>
          <w:p>
            <w:pPr>
              <w:spacing w:after="0"/>
              <w:rPr>
                <w:sz w:val="1"/>
                <w:szCs w:val="1"/>
                <w:color w:val="auto"/>
              </w:rPr>
            </w:pPr>
          </w:p>
        </w:tc>
      </w:tr>
      <w:tr>
        <w:trPr>
          <w:trHeight w:val="169"/>
        </w:trPr>
        <w:tc>
          <w:tcPr>
            <w:tcW w:w="50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Earnings before interest, taxes, depreciation and</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23,280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28,618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6,977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72,772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 (EBITDA)</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Add back:</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Litigation and other gains</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impairment charges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Loss on sale of business</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Transaction-related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currency transaction losses (gains),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23,582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70,053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76,006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as a percentage of revenues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9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7"/>
                <w:szCs w:val="17"/>
                <w:color w:val="auto"/>
              </w:rPr>
            </w:pPr>
          </w:p>
        </w:tc>
        <w:tc>
          <w:tcPr>
            <w:tcW w:w="25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300" w:type="dxa"/>
            <w:vAlign w:val="bottom"/>
          </w:tcPr>
          <w:p>
            <w:pPr>
              <w:spacing w:after="0"/>
              <w:rPr>
                <w:sz w:val="19"/>
                <w:szCs w:val="19"/>
                <w:color w:val="auto"/>
              </w:rPr>
            </w:pPr>
          </w:p>
        </w:tc>
        <w:tc>
          <w:tcPr>
            <w:tcW w:w="25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shares -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22,175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22,561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21,868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22,425</w:t>
            </w: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Add back: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and other gains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Goodwill impairment charges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59,816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interest on convertible notes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Loss on sale of business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Transaction-related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Tax effect of adjustments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benefit related to "check-the-box" election</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adjustments, net of tax</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55,348</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16,025</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weighted average shares -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22,175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22,561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22,207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22,425</w:t>
            </w: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53"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continuing operations presented above. Amortization of intangible assets is inconsistent in its amount and frequency and is significantly affected by the timing and size of our acquisitions.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Restructuring and other charges: </w:t>
      </w:r>
      <w:r>
        <w:rPr>
          <w:rFonts w:ascii="Arial" w:cs="Arial" w:eastAsia="Arial" w:hAnsi="Arial"/>
          <w:sz w:val="18"/>
          <w:szCs w:val="18"/>
          <w:color w:val="auto"/>
        </w:rPr>
        <w:t>We have incurred charges due to the restructuring of various parts of our business. These 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have primarily consisted of costs associated with office space consolidations, including lease impairment charges and accelerated depreciation on lease-related property and equipment, and severance charges. Additionally, we have excluded the effect of a $0.8 million one-time charge incurred during the first quarter of 2020, related to redundant administrative costs in our corporate operations which is recorded within selling, general and administrative expenses on our consolidated statement of operations. We have excluded the effect of the restructuring and other charges from our non-GAAP measures to permit comparability with periods that were not impacted by these items.</w:t>
      </w:r>
    </w:p>
    <w:p>
      <w:pPr>
        <w:spacing w:after="0" w:line="133"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i w:val="1"/>
          <w:iCs w:val="1"/>
          <w:color w:val="auto"/>
        </w:rPr>
        <w:t xml:space="preserve">Litigation and other gains: </w:t>
      </w:r>
      <w:r>
        <w:rPr>
          <w:rFonts w:ascii="Arial" w:cs="Arial" w:eastAsia="Arial" w:hAnsi="Arial"/>
          <w:sz w:val="18"/>
          <w:szCs w:val="18"/>
          <w:color w:val="auto"/>
        </w:rPr>
        <w:t>We have excluded the effects of the litigation settlement gain recognized in the first quarter of 2020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remeasurement gains recognized in the first nine months of 2019 to decrease the estimated fair value of our liabilities for contingent consideration payments related to business acquisitions to permit comparability with periods that were not impacted by these items.</w:t>
      </w:r>
    </w:p>
    <w:p>
      <w:pPr>
        <w:spacing w:after="0" w:line="12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i w:val="1"/>
          <w:iCs w:val="1"/>
          <w:color w:val="auto"/>
        </w:rPr>
        <w:t xml:space="preserve">Goodwill impairment charges: </w:t>
      </w:r>
      <w:r>
        <w:rPr>
          <w:rFonts w:ascii="Arial" w:cs="Arial" w:eastAsia="Arial" w:hAnsi="Arial"/>
          <w:sz w:val="18"/>
          <w:szCs w:val="18"/>
          <w:color w:val="auto"/>
        </w:rPr>
        <w:t>We have excluded the effect of the goodwill impairment charges recognized in the first quarter of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these are infrequent events and their exclusion permits comparability with periods that were not impacted by such charges.</w:t>
      </w:r>
    </w:p>
    <w:p>
      <w:pPr>
        <w:spacing w:after="0" w:line="10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incurred non-cash interest expense relating to the implied value of the equity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our Convertible Notes. The value of the equity conversion component was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2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Loss on sale of business: </w:t>
      </w:r>
      <w:r>
        <w:rPr>
          <w:rFonts w:ascii="Arial" w:cs="Arial" w:eastAsia="Arial" w:hAnsi="Arial"/>
          <w:sz w:val="18"/>
          <w:szCs w:val="18"/>
          <w:color w:val="auto"/>
        </w:rPr>
        <w:t>We excluded the effect of the loss on sale of a software-based solution within our Business Advisory segment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2020. Divestitures of businesses are infrequent and are not indicative of the ongoing performance of our business.</w:t>
      </w:r>
    </w:p>
    <w:p>
      <w:pPr>
        <w:spacing w:after="0" w:line="108"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Transaction-related expenses</w:t>
      </w:r>
      <w:r>
        <w:rPr>
          <w:rFonts w:ascii="Arial" w:cs="Arial" w:eastAsia="Arial" w:hAnsi="Arial"/>
          <w:sz w:val="18"/>
          <w:szCs w:val="18"/>
          <w:color w:val="auto"/>
        </w:rPr>
        <w:t>: To permit comparability with prior periods, we excluded the impact of third-party legal and accounting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the third quarter of 2020 related to the acquisition of ForceIQ, Inc., which closed effective November 1, 2020. See Note 15 "Subsequent Events" for additional information. We have also excluded the impact of third-party legal and accounting fees incurred in the first nine months of 2019 related to the evaluation of a potential acquisition that ultimately did not consummate to permit comparability with periods that were not impacted by this item.</w:t>
      </w:r>
    </w:p>
    <w:p>
      <w:pPr>
        <w:spacing w:after="0" w:line="129" w:lineRule="exact"/>
        <w:rPr>
          <w:sz w:val="20"/>
          <w:szCs w:val="20"/>
          <w:color w:val="auto"/>
        </w:rPr>
      </w:pPr>
    </w:p>
    <w:p>
      <w:pPr>
        <w:jc w:val="both"/>
        <w:ind w:right="500"/>
        <w:spacing w:after="0" w:line="282"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have excluded the effect of foreign currency transaction losses and gains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calculation of adjusted EBITDA because the amount of each loss or gain is significantly affected by changes in foreign exchange rates.</w:t>
      </w:r>
    </w:p>
    <w:p>
      <w:pPr>
        <w:spacing w:after="0" w:line="108" w:lineRule="exact"/>
        <w:rPr>
          <w:sz w:val="20"/>
          <w:szCs w:val="20"/>
          <w:color w:val="auto"/>
        </w:rPr>
      </w:pPr>
    </w:p>
    <w:p>
      <w:pPr>
        <w:ind w:right="1020"/>
        <w:spacing w:after="0" w:line="282"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ectPr>
          <w:pgSz w:w="11900" w:h="16838" w:orient="portrait"/>
          <w:cols w:equalWidth="0" w:num="1">
            <w:col w:w="11240"/>
          </w:cols>
          <w:pgMar w:left="320" w:top="140" w:right="339" w:bottom="1022"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022"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i w:val="1"/>
          <w:iCs w:val="1"/>
          <w:color w:val="auto"/>
        </w:rPr>
        <w:t xml:space="preserve">Tax benefit related to "check-the-box" election: </w:t>
      </w:r>
      <w:r>
        <w:rPr>
          <w:rFonts w:ascii="Arial" w:cs="Arial" w:eastAsia="Arial" w:hAnsi="Arial"/>
          <w:sz w:val="18"/>
          <w:szCs w:val="18"/>
          <w:color w:val="auto"/>
        </w:rPr>
        <w:t>We have excluded the positive impact of a tax benefit, recorded in the third quarter of 2019,</w:t>
      </w:r>
      <w:r>
        <w:rPr>
          <w:rFonts w:ascii="Arial" w:cs="Arial" w:eastAsia="Arial" w:hAnsi="Arial"/>
          <w:sz w:val="18"/>
          <w:szCs w:val="18"/>
          <w:i w:val="1"/>
          <w:iCs w:val="1"/>
          <w:color w:val="auto"/>
        </w:rPr>
        <w:t xml:space="preserve"> </w:t>
      </w:r>
      <w:r>
        <w:rPr>
          <w:rFonts w:ascii="Arial" w:cs="Arial" w:eastAsia="Arial" w:hAnsi="Arial"/>
          <w:sz w:val="18"/>
          <w:szCs w:val="18"/>
          <w:color w:val="auto"/>
        </w:rPr>
        <w:t>from</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recognizing a previously unrecognized tax benefit due to the expiration of statute of limitations on our "check-the-box" election made in 2015 to treat</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certain wholly-owned foreign subsidiaries as disregarded entities for U.S. federal income tax purposes. The exclusion of this discrete tax benefit</w:t>
      </w:r>
    </w:p>
    <w:p>
      <w:pPr>
        <w:spacing w:after="0" w:line="1"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permits comparability with periods that were not impacted by this item. See Note 12 "Income Taxes" within the notes to the consolidated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statements for additional information.</w:t>
      </w:r>
    </w:p>
    <w:p>
      <w:pPr>
        <w:spacing w:after="0" w:line="15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interest expense, net of interest income, and depreciation and amortization in the calculation of EBITDA as these are customary exclusions as defined by the calculation of EBITDA to arrive at meaningful earnings from core operations excluding the effect of such items.</w:t>
      </w:r>
    </w:p>
    <w:p>
      <w:pPr>
        <w:spacing w:after="0" w:line="122" w:lineRule="exact"/>
        <w:rPr>
          <w:sz w:val="20"/>
          <w:szCs w:val="20"/>
          <w:color w:val="auto"/>
        </w:rPr>
      </w:pPr>
    </w:p>
    <w:p>
      <w:pPr>
        <w:jc w:val="both"/>
        <w:ind w:right="420"/>
        <w:spacing w:after="0" w:line="261"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first nine months of 2020, GAAP diluted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outstanding equals the basic weighted average shares outstanding for that period. The non-GAAP adjustments described above resulted in adjusted net income from continuing operations for the first nine months of 2020. Therefore, we included the dilutive common stock equivalents in the calculation of adjusted diluted weighted average shares outstanding for that period.</w:t>
      </w:r>
    </w:p>
    <w:p>
      <w:pPr>
        <w:spacing w:after="0" w:line="122" w:lineRule="exact"/>
        <w:rPr>
          <w:sz w:val="20"/>
          <w:szCs w:val="20"/>
          <w:color w:val="auto"/>
        </w:rPr>
      </w:pPr>
    </w:p>
    <w:p>
      <w:pPr>
        <w:ind w:right="3000"/>
        <w:spacing w:after="0" w:line="451" w:lineRule="auto"/>
        <w:rPr>
          <w:sz w:val="20"/>
          <w:szCs w:val="20"/>
          <w:color w:val="auto"/>
        </w:rPr>
      </w:pPr>
      <w:r>
        <w:rPr>
          <w:rFonts w:ascii="Arial" w:cs="Arial" w:eastAsia="Arial" w:hAnsi="Arial"/>
          <w:sz w:val="18"/>
          <w:szCs w:val="18"/>
          <w:b w:val="1"/>
          <w:bCs w:val="1"/>
          <w:color w:val="auto"/>
        </w:rPr>
        <w:t>Three Months Ended September 30, 2020 Compared to Three Months Ended September 30, 2019 Revenues</w:t>
      </w:r>
    </w:p>
    <w:p>
      <w:pPr>
        <w:ind w:right="60"/>
        <w:spacing w:after="0" w:line="253" w:lineRule="auto"/>
        <w:rPr>
          <w:sz w:val="20"/>
          <w:szCs w:val="20"/>
          <w:color w:val="auto"/>
        </w:rPr>
      </w:pPr>
      <w:r>
        <w:rPr>
          <w:rFonts w:ascii="Arial" w:cs="Arial" w:eastAsia="Arial" w:hAnsi="Arial"/>
          <w:sz w:val="18"/>
          <w:szCs w:val="18"/>
          <w:color w:val="auto"/>
        </w:rPr>
        <w:t>Revenues decreased $14.0 million, or 6.4%, to $205.3 million for the third quarter of 2020 from $219.3 million for the third quarter of 2019. In the third quarter of 2020, as some clients reprioritized and delayed projects as a result of the COVID-19 pandemic, demand for certain offerings have been negatively impacted, particularly within our Healthcare and Education segments. The negative impact of the COVID-19 pandemic has been partially offset by strengthened demand within our Business Advisory segment for cloud-based technology and analytics solutions and restructuring and capital advisory solutions provided to organizations in transition.</w:t>
      </w:r>
    </w:p>
    <w:p>
      <w:pPr>
        <w:spacing w:after="0" w:line="15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Of the $14.0 million decrease in revenues, $9.5 million was attributable to a decrease in revenues from our full-time billable consultants and $4.5 million was attributable to a decrease in revenues from our full-time equivalents.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decrease in full-time billable consultant revenues reflected a decrease in demand for services in our Healthcare and Education segments, partially offset by a strengthened demand for services in our Business Advisory segment, as discussed below in Segment Results. The decrease in full-time billable consultant revenues was primarily attributable to an overall decrease in the consultant utilization rate, partially offset by an overall increase in the average number of billable consultants for the third quarter of 2020 compared to the same prior year period.</w:t>
      </w:r>
    </w:p>
    <w:p>
      <w:pPr>
        <w:spacing w:after="0" w:line="151"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 decrease in full-time equivalent revenues was attributable to decreases in full-time equivalent revenues in our Healthcare and Education segments, partially offset by an increase in full-time equivalent revenues in our Business Advisory segment, as discussed below in Segment Results. The decrease in full-time equivalent revenues reflected a decrease in revenue per full-time equivalent, partially offset by an increase in the average number of full-time equivalents in the third quarter of 2020 compared to the same prior year period.</w:t>
      </w:r>
    </w:p>
    <w:p>
      <w:pPr>
        <w:spacing w:after="0" w:line="15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the third quarter of 2020, the COVID-19 pandemic negatively impacted sales and elongated the sales cycle for new opportunities for certain services we provide, particularly within our Healthcare and Education segments, and therefore is expected to continue to have an unfavorable impact on our financial results in the fourth quarter of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Direct costs, excluding amortization of intangible assets and software development costs, increased $2.4 million, or 1.7%, to $145.5 million for the three months ended September 30, 2020, from $143.0 million for the three months ended September 30, 2019. The $2.4 million increase primarily related to a $4.2 million increase in salaries and related expenses for our revenue-generating professionals, which was largely driven by increased headcount in our Education segment that primarily occurred prior to the COVID-19 pandemic and increased headcount in our Business Advisory segment; partially offset by a $1.0 million decrease in signing, retention and other bonus expense for our revenue-generating professionals and a $0.9 million decrease in product and event costs. As a percentage of revenues, direct costs increased to 70.9% during the third quarter of 2020 compared to 65.2% during the third quarter of 2019, primarily due to the decrease in revenues and the increase in salaries and related expenses for our revenue-generating professionals.</w:t>
      </w:r>
    </w:p>
    <w:p>
      <w:pPr>
        <w:spacing w:after="0" w:line="1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Total direct costs for the three months ended September 30, 2020 included $1.4 million of amortization expense for internal software development costs and intangible assets, compared to $1.2 million of amortization expense for the same prior year period. Intangible asset amortization included within direct costs for the three months ended September 30, 2020 and 2019 primarily related to technology and software, certain customer relationships and customer contracts acquired in connection with our business acquisitions. See Note 4 "Goodwill and Intangible Assets" within the notes to our consolidated financial statements for additional information on our intangible assets.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Selling, general and administrative expenses decreased by $9.6 million, or 19.9%, to $38.6 million in the third quarter of 2020 from $48.1 million in the third quarter of 2019. The overall $9.6 million decrease primarily related to a $3.8 million decrease in promotion and marketing expenses; a $ 2.1 million decrease in share-based compensation expense for our support personnel; a $1.3 million decrease in practice administration and meetings expenses; a $0.9 million decrease in training expenses; a $0.9 million decrease in third-party consulting expenses, a $0.8 million decrease in facilities expense; a $0.5 million decrease in recruiting expenses; and a $0.5 million decrease in salaries and related expenses for our support personnel. These decreases were partially offset by a $1.8 million increase in deferred compensation expense attributable to the change in the market value of our deferred compensation liability. During the third quarter of 2020, the market value of our deferred compensation liability increased by $1.8 million, compared to an immaterial increase in the third quarter of 2019. This $ 1.8 million increase in expense is offset by a $1.8 million increase in the gain recognized for the change in the market value of investments that are used to fund our deferred compensation liability and recognized in other income (expense), net. The decreases in promotion and marketing expenses, practice administration and meetings expenses, and training expenses primarily relate to the cancellation or delay of in-person meetings and events and business travel due to the COVID-19 pandemic. The decrease in share-based compensation expense primarily related to a decrease in the expected funding of performance-based share awards for our executive officers recorded in the third quarter of 2020. As a percentage of revenues, selling, general and administrative expenses decreased to 18.8% during the third quarter of 2020 compared to 21.9% during the third quarter of 2019. This decrease was primarily attributable to the decreases in selling, general and administrative expenses noted above, as percentages of revenues; partially offset by the change in the market value of our deferred compensation liability.</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Restructuring charges for both the third quarter of 2020 and 2019 were $0.1 million. The $0.1 million charge recognized in the third quarter of 2020 primarily related to rent and related expenses, net of sublease income, for vacated office spaces. The $0.1 million charge recognized in the third quarter of 2019 primarily related to workforce reductions as we continued to better align resources with market demand. See Note 8 "Restructuring Charges" within the notes to our consolidated financial statements for additional information on our restructuring charges.</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Litigation and other gains totaled $0.6 million for the third quarter of 2019, which consisted of a remeasurement gain to decrease the estimated fair value of our liability for contingent consideration payments related to a business acquisition. We did not recognize any litigation or other gains in the third quarter of 2020.</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Depreciation and amortization expense decreased $0.8 million, or 11.3%, to $6.2 million in the three months ended September 30, 2020 compared to $7.0 million in the three months ended September 30, 2019. The $0.8 million decrease in depreciation and amortization expense was primarily attributable to a decrease in amortization expense for the trade name acquired in our Studer Group acquisition that was fully amortized in the fourth quarter of 2019; decreasing amortization expense for customer relationships due to the accelerated basis of amortization in prior periods, including the customer relationships acquired in our Studer Group acquisition; and customer relationships acquired in other business acquisitions that were fully amortized in prior periods. Intangible asset amortization expense included within operating expenses primarily related to certain customer relationships, trade names, and non-competition agreements acquired in connection with our business acquisitions. See Note 4 "Goodwill and Intangible Assets" within the notes to our consolidated financial statements for additional information on our intangible assets.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Operating income decreased $6.9 million, or 33.4% to $13.7 million in the third quarter of 2020 from $20.6 million in the third quarter of 2019. Operating margin, which is defined as operating income expressed as a percentage of revenues, was 6.7% for the three months ended September 30, 2020, compared to 9.4% for the three months ended September 30, 2019. The decrease in operating margin was primarily attributable to the decrease in revenues and the increase in salaries and related expenses for our revenue-generating professionals. These decreases to the operating margin were partially offset by the decrease in selling, general and administrative expenses discussed above, as percentages of revenues.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Income (Expense), Net</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Interest expense, net of interest income decreased $2.1 million to $2.3 million in the third quarter of 2020 from $4.4 million in the third quarter of 2019. The decrease in interest expense was primarily attributable to the maturity of our Convertible Notes on October 1, 2019, partially offset by higher levels of borrowing under our credit facility during the third quarter of 2020 compared to the same prior year period. See Note 7 "Financing Arrangements" within the notes to our consolidated financial statements for additional information about our Convertible Notes and credit facility.</w:t>
      </w:r>
    </w:p>
    <w:p>
      <w:pPr>
        <w:spacing w:after="0" w:line="15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Other expense, net decreased $2.1 million to a net gain of $2.0 million in the third quarter of 2020 from a net loss of $ 0.1 million in the third quarter of 2019. The decrease in other expense, net was primarily attributable to a $1.8 million gain recognized in the third quarter of 2020 for the market value of our investments that are used to fund our deferred compensation liability, compared to an immaterial gain in the third quarter of 2019. Additionally, other expense, net includes the recognition of $0.2 million of foreign currency transaction gains in the third quarter of 2020 compared to $0.1 million of foreign currency transaction losses recognized in the third quarter of 2019.</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three months ended September 30, 2020, our effective tax rate was 17.7% as we recognized income tax expense from continuing operations of $2.4 million on income from continuing operations of $13.5 million. The effective tax rate of 17.7% was more favorable than the statutory rate, inclusive of state income taxes, of 26.0%, primarily due to the current year-to-date pre-tax losses and the impact during the quarter of certain nondeductible business expense items, including the nondeductible portion of the goodwill impairment charges, based on the attribution of those expenses to the quarter in accordance with the allocation of income tax expense on a current year-to-date basis. The effective tax rate also reflected the positive impact of certain federal tax credits.</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three months ended September 30, 2019, our effective tax rate was 15.0% as we recognized income tax expense from continuing operations of $2.4 million on income from continuing operations of $16.1 million. The effective tax rate of 15.0% was more favorable than the statutory rate, inclusive of state income taxes, of 26.4% primarily due to discrete tax benefits for U.S. federal return to provision adjustments related to the 2018 corporate income tax return. In addition, we recognized a discrete tax benefit related to a previously unrecognized tax benefit due to the expiration of statute of limitations on our "check-the-box" election made in 2015 to treat certain wholly-owned foreign subsidiaries as disregarded entities for U.S. federal income tax purposes.</w:t>
      </w:r>
    </w:p>
    <w:p>
      <w:pPr>
        <w:spacing w:after="0" w:line="154" w:lineRule="exact"/>
        <w:rPr>
          <w:sz w:val="20"/>
          <w:szCs w:val="20"/>
          <w:color w:val="auto"/>
        </w:rPr>
      </w:pPr>
    </w:p>
    <w:p>
      <w:pPr>
        <w:ind w:right="120"/>
        <w:spacing w:after="0" w:line="438" w:lineRule="auto"/>
        <w:rPr>
          <w:sz w:val="20"/>
          <w:szCs w:val="20"/>
          <w:color w:val="auto"/>
        </w:rPr>
      </w:pPr>
      <w:r>
        <w:rPr>
          <w:rFonts w:ascii="Arial" w:cs="Arial" w:eastAsia="Arial" w:hAnsi="Arial"/>
          <w:sz w:val="18"/>
          <w:szCs w:val="18"/>
          <w:color w:val="auto"/>
        </w:rPr>
        <w:t xml:space="preserve">See Note 12 "Income Taxes" within the notes to our consolidated financial statements for additional information on our income tax expense. </w:t>
      </w:r>
      <w:r>
        <w:rPr>
          <w:rFonts w:ascii="Arial" w:cs="Arial" w:eastAsia="Arial" w:hAnsi="Arial"/>
          <w:sz w:val="18"/>
          <w:szCs w:val="18"/>
          <w:b w:val="1"/>
          <w:bCs w:val="1"/>
          <w:color w:val="auto"/>
        </w:rPr>
        <w:t>Net Income from Continuing Operations and Earnings per Share</w:t>
      </w:r>
    </w:p>
    <w:p>
      <w:pPr>
        <w:spacing w:after="0" w:line="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Net income from continuing operations decreased $2.6 million to $ 11.1 million for the three months ended September 30, 2020 from $13.7 million for the same period last year. As a result of the decrease in net income from continuing operations, diluted earnings per share from continuing operations for the third quarter of 2020 was $0.50 compared to $0.61 for the third quarter of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EBITDA decreased $5.3 million to $23.3 million for the three months ended September 30, 2020 from $28.6 million for the three months ended September 30, 2019. Adjusted EBITDA decreased $5.2 million to $23.6 million in the third quarter of 2020 from $28.8 million in the third quarter of 2019. The decrease in both EBITDA and adjusted EBITDA was primarily attributable to the decrease in operating income, excluding the change in the market value of our deferred compensation liability for the third quarter of 2020 compared to the third quarter of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Adjusted net income from continuing operations decreased $4.7 million to $13.0 million in the third quarter of 2020 compared to $17.7 million in the third quarter of 2019. As a result of the decrease in adjusted net income from continuing operations, adjusted diluted earnings per share from continuing operations was $0.59 for the third quarter of 2020, compared to $0.79 for the third quarter of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Healthcare segment revenues decreased $12.6 million, or 12.6%, to $87.4 million for the third quarter of 2020 from $100.0 million for the third quarter of 2019, primarily due to the negative impact of the COVID -19 pandemic on demand for our services within this segment, as some clients reprioritized and delayed certain projects as a result of the uncertainties surrounding the pandemic.</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three months ended September 30, 2020, revenues from fixed-fee engagements; time-and-expense engagements; performance-based arrangements; and software support, maintenance and subscription arrangements represented 58.9%, 16.7%, 17.9%, and 6.5% of this segment’s revenues, respectively, compared to 65.6%, 12.3%, 16.3%, and 5.8% of this segment’s revenues, respectively, for the same prior year period. Performance-based fee revenue was $15.6 million for the third quarter of 2020 compared to $16.3 million for the third quarter of 2019. The level of performance-based fees earned may vary based on our clients’ risk sharing preferences and the mix of services we provide.</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Of the overall $12.6 million decrease in revenues, $7.1 million was attributable to a decrease in revenues from our full-time billable consultants and $5.5 million was attributable to a decrease in revenues from our full-time equivalents. The decrease in revenues attributable to our full-time billable consultants reflected decreases in the consultant utilization rate and the average number of full-time billable consultants, partially offset by an increase in the average billing rate in the third quarter of 2020 compared to the same prior year period. The decrease in full-time equivalent revenues reflected a decrease in revenue per full-time equivalent, partially offset by an increase in the average number of full-time equivalents in the third quarter of 2020 compared to the same prior year period.</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Healthcare segment operating income decreased $7.3 million, or 22.1%, to $25.6 million for the three months ended September 30, 2020 from $32.9 million for the three months ended September 30, 2019. The Healthcare segment operating margin, defined as segment operating income expressed as a percentage of segment revenues, decreased to 29.3% for the third quarter of 2020 from 32.9% in the same period last year. The decrease in this segment’s operating margin was primarily attributable to increases in salaries and related expenses for our revenue-generating professionals and technology expenses; partially offset by decreases in product and event costs, practice administration and meetings expenses, promotion and marketing expenses, contractor expenses, and signing, retention and other bonus expense for our revenue-generating professionals, as percentages of 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Business Advisory segment revenues increased $3.5 million, or 5.6%, to $66.0 million for the third quarter of 2020 from $62.5 million for the third quarter of 2019, primarily related to strengthened demand for our cloud-based technology and analytics solutions and our restructuring and capital advisory solutions provided to organizations in transition.</w:t>
      </w:r>
    </w:p>
    <w:p>
      <w:pPr>
        <w:spacing w:after="0" w:line="14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three months ended September 30, 2020, revenues from fixed-fee engagements; time-and-expense engagements; performance-based arrangements; and software support, maintenance and subscription arrangements represented 31.3%, 61.3%, 5.6%, and 1.8% of this segment’s revenues, respectively, compared to 38.9%, 56.3%, 2.6%, and 2.2% of this segment's revenues, respectively, for the same prior year period. Performance-based fee revenue was $3.7 million for the third quarter of 2020 compared to $1.6 million for the third quarter of 2019. The level of performance-based fees earned may vary based on our clients’ preferences and the mix of services we provide.</w:t>
      </w:r>
    </w:p>
    <w:p>
      <w:pPr>
        <w:spacing w:after="0" w:line="15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the overall $3.5 million increase in revenues, $2.2 million was attributable to an increase in revenues from our full-time billable consultants and $1.3 million was attributable to an increase in revenues from our full-time equivalents. The increase in revenues from our full-time billable consultants reflected increases in the average number of billable consultants and the consultant utilization rate, partially offset by a decrease in the average billing rate in the third quarter of 2020 compared to the same prior year period. The increase in revenues generated by our full-time equivalents was driven by an increased use of contractors; and reflected an increase in the average number of full-time equivalents, partially offset by a decrease in revenue per full-time equivalent in the third quarter of 2020 compared to the same prior year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Business Advisory segment operating income decreased by $1.2 million, or 9.7%, to $10.8 million for the three months ended September 30, 2020 from $11.9 million for the three months ended September 30, 2019. The Business Advisory segment operating margin decreased to</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16.3% for the third quarter of 2020 from 19.1% in the same period last year. The decrease in this segment’s operating margin was primarily attributable to increases in performance bonus expense for our revenue-generating professionals and contractor expenses, as percentages of revenues; partially offset by decreases in promotion and marketing expenses and signing, retention and other bonus expense for our revenue-generating professionals.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Education segment revenues decreased $4.9 million, or 8.7%, to $51.9 million for the third quarter of 2020 from $56.8 million for the third quarter of 2019, primarily due to the negative impact of the COVID-19 pandemic on demand for our services within this segment, as some clients reprioritized and delayed certain projects as a result of the uncertainties surrounding the pandemic.</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three months ended September 30, 2020, revenues from fixed-fee engagements; time-and-expense engagements; and software support, maintenance and subscription arrangements represented 21.1%, 67.9%, and 11.0% of this segment’s revenues, respectively, compared to 21.9%, 69.9%, and 8.2% of this segment’s revenues, respectively, for the same prior year period.</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Of the overall $4.9 million decrease in revenues, $4.7 million was attributable to our full-time billable consultants and $0.2 million was attributable to our full-time equivalents. The decrease in revenues attributable to our full-time billable consultants reflected decreases in the consultant utilization rate and the average billing rate, partially offset by an increase in the average number of full-time billable consultants in the third quarter of 2020 compared to the same prior year period. The increase in the average number of full-time billable consultants primarily related to hiring that occurred prior to the COVID-19 pandemic. The decrease in revenues from our full-time equivalents was primarily driven by a decreased use of contractors and project consultants, largely offset by an increase in software subscriptions and data hosting revenues. The overall decrease in full-time equivalent revenues reflected a decrease in the average number of full-time equivalents, partially offset by an increase in revenue per full-time equivalent in the third quarter of 2020 compared to the same prior year period.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Education segment operating income decreased $1.9 million, or 12.9% to $12.5 million for the three months ended September 30, 2020 from $14.4 million for the three months ended September 30, 2019. The Education segment operating margin decreased to 24.2% for the third quarter of 2020 from 25.4% in the same period last year. The decrease in this segment’s operating margin was primarily attributable to an increase in salaries and related expenses for our revenue generating professionals; partially offset by decreases in performance bonus expense for our revenue-generating professionals and promotion and marketing expenses, as percentages of revenues.</w:t>
      </w:r>
    </w:p>
    <w:p>
      <w:pPr>
        <w:spacing w:after="0" w:line="129" w:lineRule="exact"/>
        <w:rPr>
          <w:sz w:val="20"/>
          <w:szCs w:val="20"/>
          <w:color w:val="auto"/>
        </w:rPr>
      </w:pPr>
    </w:p>
    <w:p>
      <w:pPr>
        <w:ind w:right="3200"/>
        <w:spacing w:after="0" w:line="451" w:lineRule="auto"/>
        <w:rPr>
          <w:sz w:val="20"/>
          <w:szCs w:val="20"/>
          <w:color w:val="auto"/>
        </w:rPr>
      </w:pPr>
      <w:r>
        <w:rPr>
          <w:rFonts w:ascii="Arial" w:cs="Arial" w:eastAsia="Arial" w:hAnsi="Arial"/>
          <w:sz w:val="18"/>
          <w:szCs w:val="18"/>
          <w:b w:val="1"/>
          <w:bCs w:val="1"/>
          <w:color w:val="auto"/>
        </w:rPr>
        <w:t>Nine Months Ended September 30, 2020 Compared to Nine Months Ended September 30, 2019 Revenues</w:t>
      </w:r>
    </w:p>
    <w:p>
      <w:pPr>
        <w:spacing w:after="0" w:line="252" w:lineRule="auto"/>
        <w:rPr>
          <w:sz w:val="20"/>
          <w:szCs w:val="20"/>
          <w:color w:val="auto"/>
        </w:rPr>
      </w:pPr>
      <w:r>
        <w:rPr>
          <w:rFonts w:ascii="Arial" w:cs="Arial" w:eastAsia="Arial" w:hAnsi="Arial"/>
          <w:sz w:val="18"/>
          <w:szCs w:val="18"/>
          <w:color w:val="auto"/>
        </w:rPr>
        <w:t>Revenues increased $1.3 million, or 0.2%, to $645.8 million for the first nine months of 2020 from $644.5 million for the first nine months of 2019. While the COVID-19 pandemic did not have a significant impact on our consolidated revenues in the first quarter of 2020, the second and third quarters of 2020 were negatively impacted by the pandemic as some clients reprioritized or delayed certain projects, primarily in our Healthcare and Education segments. Conversely, the COVID-19 pandemic has strengthened demand for other services we provide, such as our cloud-based technology and analytics solutions within our Business Advisory segment and our restructuring and capital advisory solutions provided to organizations in transition within our Business Advisory segment.</w:t>
      </w:r>
    </w:p>
    <w:p>
      <w:pPr>
        <w:spacing w:after="0" w:line="154" w:lineRule="exact"/>
        <w:rPr>
          <w:sz w:val="20"/>
          <w:szCs w:val="20"/>
          <w:color w:val="auto"/>
        </w:rPr>
      </w:pPr>
    </w:p>
    <w:p>
      <w:pPr>
        <w:ind w:right="1000"/>
        <w:spacing w:after="0" w:line="261" w:lineRule="auto"/>
        <w:rPr>
          <w:sz w:val="20"/>
          <w:szCs w:val="20"/>
          <w:color w:val="auto"/>
        </w:rPr>
      </w:pPr>
      <w:r>
        <w:rPr>
          <w:rFonts w:ascii="Arial" w:cs="Arial" w:eastAsia="Arial" w:hAnsi="Arial"/>
          <w:sz w:val="18"/>
          <w:szCs w:val="18"/>
          <w:color w:val="auto"/>
        </w:rPr>
        <w:t>Of the overall $1.3 million increase in revenues, $3.0 million was attributable to an increase in revenues from our full-time billable consultants, partially offset by a $1.7 million decrease in revenues attributable to our full-time equivalents.</w:t>
      </w:r>
    </w:p>
    <w:p>
      <w:pPr>
        <w:spacing w:after="0" w:line="14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increase in full-time billable consultant revenues was attributable to strengthened demand for services in our Business Advisory and Education segments, partially offset by a decrease in demand for services in our Healthcare segment, as discussed below in Segment Results. The overall increase in full-time billable consultant revenues reflected an increase in the average number of full-time billable consultants, partially offset by overall decreases in the consultant utilization rate and the average billing rate during the first nine months of 2020 compared to the same prior year period.</w:t>
      </w:r>
    </w:p>
    <w:p>
      <w:pPr>
        <w:spacing w:after="0" w:line="15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decrease in full-time equivalent revenues was attributable to decreases in full-time equivalent revenues in our Healthcare segment, partially offset by an increase in full-time equivalent revenues in our Education and Business Advisory segments, as discussed below in Segment Results; and reflected an overall decrease in revenue per full-time equivalent, partially offset by an increase in the average number of full-time equivalents during the first nine months of 2020 compared to the first nine months of 2019.</w:t>
      </w:r>
    </w:p>
    <w:p>
      <w:pPr>
        <w:spacing w:after="0" w:line="1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the second and third quarters of 2020, the COVID-19 pandemic negatively impacted sales and elongated the sales cycle for new opportunities for certain services, particularly within our Healthcare and Education segments, and therefore is expected to continue to have an unfavorable impact on our financial results in the fourth quarter of 2020 compared to the fourth quarter of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Direct costs, excluding amortization of intangible assets and software development costs, increased $28.8 million, or 6.8%, to $451.2 million for the nine months ended September 30, 2020, from $422.4 million for the nine months ended September 30, 2019. The overall $28.8 million increase primarily related to a $27.1 million increase in salaries and related expenses for our revenue-generating professionals, which was largely driven by increased headcount in all three of our segments and primarily reflected hiring that occurred in the second half of 2019 prior to the COVID-19 pandemic, as well as a $2.4 million increase in share-based compensation expense for our revenue-generating professionals, a $2.1 million increase in technology expenses, a $1.1 million increase in contractor expenses, and a $0.9 million increase in performance bonus expenses for our revenue-generating professionals. These increases were partially offset by a $2.3 million decrease in signing, retention and other bonus expense for our revenue-generating professionals, a $1.4 million decrease in product and event costs, and a $0.9 million decrease in project costs. As a percentage of revenues, our direct costs increased to 69.9% during the first nine months of 2020 compared to 65.5% during the first nine months of 2019 primarily due to the increase in salaries and related expenses for our revenue-generating professionals, as a percentage of revenues.</w:t>
      </w:r>
    </w:p>
    <w:p>
      <w:pPr>
        <w:spacing w:after="0" w:line="15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Total direct costs for the nine months ended September 30, 2020 included $4.0 million of amortization expense for internal software development costs and intangible assets, compared to $3.5 million of amortization expense for the same prior year period. Intangible asset amortization included within direct costs for the nine months ended September 30, 2020 and 2019 related to technology and software, certain customer relationships, and customer contracts acquired in connection with our business acquisitions. See Note 4 "Goodwill and Intangible Assets" within the notes to our consolidated financial statements for additional information about our 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Selling, general and administrative expenses decreased $24.5 million, or 16.2%, to $126.9 million in the nine months ended September 30, 2020, from $151.4 million in the nine months ended September 30, 2019. The $24.5 million decrease primarily related to an $8.0 million decrease in promotion and marketing expenses, a $2.6 million decrease in facilities expense, a $2.6 million decrease in performance bonus expense for our support personnel, a $2.2 million decrease in training expenses, a $2.1 million decrease in third-party consulting expenses, a $2.0 million decrease</w:t>
      </w:r>
    </w:p>
    <w:p>
      <w:pPr>
        <w:sectPr>
          <w:pgSz w:w="11900" w:h="16838" w:orient="portrait"/>
          <w:cols w:equalWidth="0" w:num="1">
            <w:col w:w="11240"/>
          </w:cols>
          <w:pgMar w:left="320" w:top="140" w:right="339" w:bottom="1116"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116"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in practice administration and meetings expenses, and a $1.8 million decrease in the change in the market value of our deferred compensation liability. During the first nine months of 2020, the market value of our deferred compensation liability increased by $1.0 million, compared to an increase of $2.8 million during the first nine months of 2019. This $1.8 million decrease in expense is offset by a $1.8 million decrease in the gain recognized for the change in the market value of our investments that are used to fund our deferred compensation liability and recognized in other income (expense), net. Additional decreases in selling, general and administrative expenses include a $1.7 million decrease in share-based compensation expense for our support personnel, a $1.3 million decrease in legal expenses, and a $ 1.3 million decrease in recruiting expenses. These decreases were partially offset by a $1.4 million increase in data hosting and software related expenses and a $1.2 million increase in salaries and related expenses for support personnel. The decreases in promotion and marketing expenses, training expenses, and practice administration and meetings expenses primarily relate to the cancellation or delay of in-person meetings and events and business travel due to the COVID-19 pandemic. The decrease in share-based compensation expense primarily related to a decrease in the expected funding of performance-based share awards for our executive officers recorded in the third quarter of 2020. The decrease in legal expenses was primarily due to third-party transaction-related expenses related to the evaluation of a potential acquisition in the second quarter of 2019 that ultimately did not consummate. As a percentage of revenues, selling, general and administrative expenses decreased to 19.6% during the first nine months of 2020 compared to 23.5% during the first nine months of 2019. This decrease was primarily attributable to the overall decrease in selling, general and administrative expenses noted above.</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Restructuring charges for the first nine months of 2020 totaled $1.8 million, compared to $ 2.2 million for the first nine months of 2019. The $1.8 million restructuring charge incurred in the first nine months of 2020 primarily related to a $1.2 million accrual for the termination of a third-party advisor agreement; $0.3 million related to workforce reductions to better align resources with market demand; $0.2 million related to rent and related expenses, net of sublease income, for office spaces previously vacated, and $0.1 million related to workforce reductions in our corporate operations. During the first nine months of 2019, we exited a portion of our Lake Oswego, Oregon corporate office resulting in a $0.7 million lease impairment charge on the related operating lease right-of-use asset and leasehold improvements and $0.2 million of accelerated depreciation on furniture and fixtures in that office. Additionally, in the first nine months of 2019, we exited the remaining portion of our Middleton, Wisconsin office and an office space in Houston, Texas, resulting in restructuring charges of $0.4 million and $0.1 million, respectively, which primarily related to accelerated depreciation on furniture and fixtures. Additional restructuring charges during the first nine months of 2019 include a total of $ 0.5 million related to workforce reductions to better align resources with market demand. See Note 8 "Restructuring Charges" within the notes to our consolidated financial statements for additional information on our restructuring charges.</w:t>
      </w:r>
    </w:p>
    <w:p>
      <w:pPr>
        <w:spacing w:after="0" w:line="15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Litigation and other gains totaled $0.2 million for the nine months ended September 30, 2020, which consisted of a litigation settlement gain for the resolution of a claim that was settled in the first quarter of 2020. Other gains totaled $1.6 million for the nine months ended September 30, 2019, which primarily consisted of $1.5 million of remeasurement gains to decrease the estimated fair value of our liabilities for contingent consideration payments related to business acquisitions.</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Depreciation and amortization expense decreased by $2.8 million, or 13.2%, to $18.5 million for the nine months ended September 30, 2020, from $21.3 million for the nine months ended September 30, 2019. The decrease was primarily attributable to a decrease in amortization expense for the trade name acquired in our Studer Group acquisition that was fully amortized in the fourth quarter of 2019; decreasing amortization expense for customer relationships due to the accelerated basis of amortization in prior periods, including the customer relationships acquired in our Studer Group acquisition; and customer relationships acquired in other business acquisitions that were fully amortized in prior periods. Intangible asset amortization included within operating expenses for the nine months ended September 30, 2020 and 2019 primarily related to certain customer relationships, trade names and non-competition agreements acquired in connection with our business acquisitions. See Note 4 "Goodwill and Intangible Assets" within the notes to our consolidated financial statements for additional information about our intangible assets.</w:t>
      </w:r>
    </w:p>
    <w:p>
      <w:pPr>
        <w:spacing w:after="0" w:line="15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the first quarter of 2020, we recorded $59.8 million of non-cash pretax goodwill impairment charges related to our Strategy and Innovation and Life Sciences reporting units within our Business Advisory segment; primarily related to the expected decline in sales, increased uncertainty in the backlog and a decrease in the demand for the services these reporting units provide, as a result of the COVID-19 pandemic. These charges are non-cash in nature and do not affect our liquidity or debt covenants. See the "Critical Accounting Policies" section below and Note 4 "Goodwill and Intangible Assets" within the notes to our consolidated financial statements for additional information on the charges. The non-cash goodwill impairment charge related to the Strategy and Innovation reporting unit reduced the goodwill balance of the reporting unit to $37.5 million as of March 31, 2020. The non-cash goodwill impairment charge related to the Life Sciences reporting unit reduced the goodwill balance to zero as of March 31, 2020. Any future significant decline in the performance of our Strategy and Innovation reporting unit compared to our internal forecasts could result in another non-cash goodwill impairment charge. During the second and third quarters of 2020, we did not identify any indicators that would lead us to believe that the fair value of any of our reporting units may not exceed their carrying values. We will continue to evaluate goodwill for impairment during future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Operating income decreased $61.4 million to a loss of $ 16.2 million in the first nine months of 2020 from operating income of $45.2 million in the first nine months of 2019. This decrease is primarily attributable to the $59.8 million of non-cash pretax goodwill impairment charges related to our Business Advisory segment that were recognized in the first quarter of 2020 and the increase in direct costs, partially offset by the decrease in selling, general and administrative expenses as discussed above. See the "Critical Accounting Policies" section below and Note 4 "Goodwill and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Intangible Assets" within the notes to our consolidated financial statements for additional information on the non-cash goodwill impairment charges. Operating margin, which is defined as operating income (loss) expressed as a percentage of revenues, decreased to (2.5)% for the nine months ended September 30, 2020, compared to an operating margin of 7.0% for the nine months ended September 30, 2019. The decrease in operating margin was primarily attributable to the goodwill impairment charges and the increase in salaries and related expenses for our revenue-generating professionals, as a percentage of revenues. These decreases to the operating margin were partially offset by the decreases in selling, general and administrative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Income (Expense), Net</w:t>
      </w:r>
    </w:p>
    <w:p>
      <w:pPr>
        <w:spacing w:after="0" w:line="19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Interest expense, net of interest income decreased $5.6 million to $7.5 million in the first nine months of 2020 from $13.2 million in the first nine months of 2019, primarily attributable to the maturity of our Convertible Notes on October 1, 2019, partially offset by higher levels of borrowing under our credit facility during the first nine months of 2020 compared to the same prior year period. See Note 7 "Financing Arrangements" within the notes to our consolidated financial statements for additional information about our Convertible Notes and credit facility.</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Other income, net decreased by $2.1 million to a net gain of $ 0.7 million in the first nine months of 2020 from a net gain of $2.8 million in the first nine months of 2019. The decrease in total other income, net was primarily attributable to a $1.0 million gain recognized during the first nine months of 2020 for the market value of our investments that are used to fund our deferred compensation liability, compared to a $2.8 million gain recognized during the first nine months of 2019. Additionally, other income, net includes the recognition of $0.2 million of foreign currency transaction losses in the first nine months of 2020 compared to an immaterial amount of foreign currency transaction losses recognized in the first nine months of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March 27, 2020, the President of the United States signed into law the CARES Act, a nearly $2 trillion emergency economic stimulus package in response to the COVID-19 outbreak, which among other items, includes income tax provisions relating to net operating loss carryback periods and technical corrections to tax depreciation methods for qualified improvement property. As a result of the enactment of this legislation during the first quarter of 2020, we recorded a tax benefit of $0.8 million related to the remeasurement of a portion of our income tax receivable due to the ability to apply the federal net operating loss incurred in 2018 to prior year income for a refund at a higher tax rate in the carryback period.</w:t>
      </w:r>
    </w:p>
    <w:p>
      <w:pPr>
        <w:spacing w:after="0" w:line="15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For the nine months ended September 30, 2020, our effective tax rate was 23.5% as we recognized an income tax benefit from continuing operations of $5.4 million on a loss from continuing operations of $23.0 million. The effective tax rate of 23.5% was less favorable than the statutory rate, inclusive of state income taxes, of 26.0%, primarily due to certain nondeductible business expenses and the nondeductible portion of the goodwill impairment charges recorded during the first quarter of 2020. These unfavorable items were partially offset by a discrete tax benefit for share-based compensation awards that vested during the first quarter, the positive impact of certain federal tax credits, and the discrete tax benefit for the remeasurement of a portion of our income tax receivable as a result of the enactment of the CARES Act in the first quarter of 2020.</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nine months ended September 30, 2019, our effective tax rate was 20.8% as we recognized income tax expense from continuing operations of $7.3 million on income from continuing operations of $34.9 million. The effective tax rate of 20.8% was more favorable than the statutory rate, inclusive of state income taxes, of 26.4%, primarily due to discrete tax benefits recognized primarily in the third quarter of 2019 related to U.S. federal and foreign return to provision adjustments. In addition, we recognized a discrete tax benefit in the third quarter of 2019 related to a previously unrecognized tax benefit due to the expiration of statute of limitations on our "check-the-box" election made in 2015 to treat certain wholly-owned foreign subsidiaries as disregarded entities for U.S. federal income tax purposes.</w:t>
      </w:r>
    </w:p>
    <w:p>
      <w:pPr>
        <w:spacing w:after="0" w:line="154" w:lineRule="exact"/>
        <w:rPr>
          <w:sz w:val="20"/>
          <w:szCs w:val="20"/>
          <w:color w:val="auto"/>
        </w:rPr>
      </w:pPr>
    </w:p>
    <w:p>
      <w:pPr>
        <w:ind w:right="140"/>
        <w:spacing w:after="0" w:line="438" w:lineRule="auto"/>
        <w:rPr>
          <w:sz w:val="20"/>
          <w:szCs w:val="20"/>
          <w:color w:val="auto"/>
        </w:rPr>
      </w:pPr>
      <w:r>
        <w:rPr>
          <w:rFonts w:ascii="Arial" w:cs="Arial" w:eastAsia="Arial" w:hAnsi="Arial"/>
          <w:sz w:val="18"/>
          <w:szCs w:val="18"/>
          <w:color w:val="auto"/>
        </w:rPr>
        <w:t xml:space="preserve">See Note 12 "Income Taxes" within the notes to our consolidated financial statements for additional information on our income tax expense. </w:t>
      </w:r>
      <w:r>
        <w:rPr>
          <w:rFonts w:ascii="Arial" w:cs="Arial" w:eastAsia="Arial" w:hAnsi="Arial"/>
          <w:sz w:val="18"/>
          <w:szCs w:val="18"/>
          <w:b w:val="1"/>
          <w:bCs w:val="1"/>
          <w:color w:val="auto"/>
        </w:rPr>
        <w:t>Net Income (Loss) from Continuing Operations and Earnings (Loss) Per Share</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Net income from continuing operations decreased by $45.2 million to a net loss from continuing operations of $17.6 million for the nine months ended September 30, 2020, from net income from continuing operations of $27.6 million for the same prior year period. This decrease is primarily attributable to the $59.8 million of non-cash pretax goodwill impairment charges related to our Business Advisory segment recognized in the first quarter of 2020. As a result of the decrease in net income from continuing operations, diluted loss per share from continuing operations for the first nine months of 2020 was $0.81 compared to diluted earnings per share from continuing operations of $1.23 for the first nine months of 2019. The non-cash goodwill impairment charges had a $2.11 unfavorable impact on diluted earnings per share from continuing operations for the first nine months of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EBITDA decreased $65.8 million to $7.0 million for the nine months ended September 30, 2020, from $72.8 million for the nine months ended September 30, 2019. The decrease in EBITDA was primarily attributable to the non-cash goodwill impairment charges of $59.8 million recognized in the first quarter of 2020 and the increase in salaries and related expense for our revenue-generating professionals for the first nine months of 2020 compared to the first nine months of 2019; partially offset by the decrease in selling, general and administrative expenses, excluding the change in the market value of our deferred compensation liability for the first nine months of 2020 compared to the same prior year period.</w:t>
      </w:r>
    </w:p>
    <w:p>
      <w:pPr>
        <w:sectPr>
          <w:pgSz w:w="11900" w:h="16838" w:orient="portrait"/>
          <w:cols w:equalWidth="0" w:num="1">
            <w:col w:w="11220"/>
          </w:cols>
          <w:pgMar w:left="320" w:top="140" w:right="359" w:bottom="63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63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Adjusted EBITDA decreased $6.0 million to $70.1 million in the first nine months of 2020 from $76.0 million in the first nine months of 2019. The decrease in adjusted EBITDA was primarily attributable to the increase in salaries and related expenses for our revenue-generating professionals for the first nine months of 2020 compared to the first nine months of 2019; largely offset by the decrease in selling, general and administrative expenses, excluding the change in the market value of our deferred compensation liability and transaction-related expenses related to the evaluation of potential acquisitions, for the first nine months of 2020 compared to the same prior year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Adjusted net income from continuing operations decreased $5.9 million to $37.7 million in the first nine months of 2020 compared to $43.7 million in the first nine months of 2019. As a result of the decrease in adjusted net income from continuing operations, adjusted diluted earnings per share from continuing operations for the first nine months of 2020 was $1.70 compared to $1.95 for the first nine months of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Healthcare segment revenues decreased $27.3 million, or 9.2%, to $268.3 million for the first nine months of 2020 from $295.6 million for the first nine months of 2019, primarily due to the negative impact of the COVID-19 pandemic on demand for our services within this segment, as some clients reprioritized and delayed certain projects as a result of the uncertainties surrounding the pandemic.</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During the nine months ended September 30, 2020, revenues from fixed-fee engagements; time-and-expense engagements; performance-based arrangements; and software support, maintenance and subscription arrangements represented 58.9%, 16.2%, 18.3%, and 6.6% of this segment’s revenues, respectively, compared to 63.9%, 13.3%, 17.0%, and 5.8% of this segment’s revenues, respectively, for the same prior year period. Performance-based fee revenue was $49.0 million during the first nine months of 2020, compared to $50.1 million during the first nine months of 2019. The level of performance-based fees earned may vary based on our clients’ risk sharing preferences and the mix of services we provide.</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Of the overall $27.3 million decrease in revenues, $17.8 million was attributable to a decrease in revenues from our full-time billable consultants and $9.5 million was attributable to our full-time equivalents. The decrease in revenues attributable to our full-time billable consultants reflected a decrease in the consultant utilization rate, partially offset by increases in the average number of full-time billable consultants and the average billing rate in the first nine months of 2020 compared to the same prior year period. The decrease in full-time equivalent revenues reflected a decrease in revenue per full-time equivalent, partially offset by an increase in the average number of full-time equivalents during the first nine months of 2020 compared to the same prior year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Healthcare segment operating income decreased $23.2 million, or 24.7%, to $70.8 million for the nine months ended September 30, 2020, from $94.1 million for the nine months ended September 30, 2019. The Healthcare segment operating margin decreased to 26.4% for the first nine months of 2020 from 31.8% in the same period last year. The decrease in this segment’s operating margin was primarily attributable to increases in salaries and related expenses for our revenue-generating professionals and technology expenses; partially offset by decreases in performance bonus expense for our revenue-generating professionals, contractor expenses, and product and event costs, as percentages of revenues.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Business Advisory segment revenues increased $17.8 million, or 9.7%, to $201.4 million for the first nine months of 2020 from $183.6 million for the first nine months of 2019, primarily related to strengthened demand for our cloud-based technology and analytics solutions and our restructuring and capital advisory solutions provided to organizations in transition.</w:t>
      </w:r>
    </w:p>
    <w:p>
      <w:pPr>
        <w:spacing w:after="0" w:line="148"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During the first nine months of 2020, revenues from fixed-fee engagements; time-and-expense engagements; performance-based arrangements; and software support, maintenance and subscription arrangements represented 36.5%, 58.8%, 2.9%, and 1.8% of this segment’s revenues, respectively, compared to 39.6%, 56.8%, 1.5%, and 2.1% of this segment’s revenues, respectively, during the same prior year period. Performance-based fee revenue was $5.9 million for the first nine months of 2020, compared to $ 2.8 million for the first nine months of 2019. The level of performance-based fees earned may vary based on our clients’ preferences and the mix of services we provide.</w:t>
      </w:r>
    </w:p>
    <w:p>
      <w:pPr>
        <w:spacing w:after="0" w:line="15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Of the overall $17.8 million increase in revenues, $14.3 million was attributable to revenues generated by our full-time billable consultants and $3.5 million was attributable to our full-time equivalents. The increase in revenues from our full-time billable consultants was primarily driven by increases in the average number of full-time billable consultants and the average billing rate in the first nine months of 2020 compared to the same prior year period. The increase in revenues from our full-time equivalents was driven by an increased use of contractors; and reflected an increase in the average number of full-time equivalents, partially offset by a decrease in revenue per full-time equivalent in the first nine months of 2020 compared to the same prior year period.</w:t>
      </w:r>
    </w:p>
    <w:p>
      <w:pPr>
        <w:sectPr>
          <w:pgSz w:w="11900" w:h="16838" w:orient="portrait"/>
          <w:cols w:equalWidth="0" w:num="1">
            <w:col w:w="11220"/>
          </w:cols>
          <w:pgMar w:left="320" w:top="140" w:right="359" w:bottom="576"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576"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Business Advisory segment operating income increased by $4.3 million, or 13.1%, to $37.3 million for the nine months ended September 30, 2020, from $33.0 million for the nine months ended September 30, 2019. The Business Advisory segment operating margin increased to 18.5% for the first nine months of 2020 from 18.0% in the same period last year. The increase in this segment’s operating margin was primarily attributable to a decrease in promotion and marketing expenses, revenue growth that outpaced an increase in salaries and related expenses for our revenue-generating professionals, and decreases in signing, retention and other bonus expense for our revenue-generating professionals and practice administration and meetings expenses. These increases to the segment's operating margin were partially offset by increases in performance bonus expense for our revenue-generating professionals, contractor expenses, share-based compensation expense for our revenue-generating professionals, and restructuring charges, all as percentages of revenues. The restructuring charge recorded in the first nine months of 2020 related to the termination of a third-party advisor agreement.</w:t>
      </w:r>
    </w:p>
    <w:p>
      <w:pPr>
        <w:spacing w:after="0" w:line="15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non-cash goodwill impairment charges related to the Strategy and Innovation and Life Sciences reporting units within the Business Advisory segment, which are discussed above within consolidated results, are not allocated at the segment level because the underlying goodwill asset is reflective of our corporate investment in the segment. We do not include the impact of goodwill impairment charges in our evaluation of segment performance. See the "Critical Accounting Policies" section below and Note 4 "Goodwill and Intangible Assets" within the notes to our consolidated financial statements for additional information on the goodwill impairment charges and our goodwill balances.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Education segment revenues increased $10.8 million, or 6.5%, to $176.0 million for the first nine months of 2020 from $165.3 million. The increase in revenues was primarily related to an increase in our cloud-based technology and analytics solutions and strategy and research consulting solutions in the first half of 2020, partially offset by the negative impact of the COVID-19 pandemic on demand for our on-premise technology consulting solutions.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nine months ended September 30, 2020, revenues from fixed-fee engagements; time-and-expense engagements; performance-based arrangements; and software support, maintenance and subscription arrangements represented 20.2%, 70.1%, 0.4% and 9.3% of this segment’s revenues, respectively. Revenues from fixed-fee engagements; time-and-expense engagements; and software support, maintenance and subscription arrangements represented 22.9%, 69.1%, and 8.0% of this segment's revenues, respectively, during the same prior year period.</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Of the overall $10.8 million increase in revenues, $6.5 million was attributable to revenues generated by our full-time billable consultants and $4.3 million was attributable to revenues generated by our full-time equivalents. The increase in revenues from our full-time billable consultants reflected an increase in the average number of full-time billable consultants, partially offset by decreases in the consultant utilization rate and average billing rate in the first nine months of 2020 compared to the same prior year period. The increase in the average number of full-time billable consultants primarily related to hiring that occurred prior to the COVID-19 pandemic. The increase in revenues from our full-time equivalents was primarily driven by an increased use of contractors and project consultants as well as an increase in software subscriptions and data hosting revenues; and reflected an increase in the average number of full-time equivalents, partially offset by a decrease in revenue per full-time equivalent in the first nine months of 2020 compared to the same prior year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Education segment operating income decreased $1.4 million, or 3.3%, to $41.8 million for the nine months ended September 30, 2020, from $43.2 million for the nine months ended September 30, 2019. The Education segment operating margin decreased to 23.7% for the first nine months of 2020 from 26.2% in the same period last year. The decrease in this segment’s operating margin was primarily attributable to increases in salaries and related expenses for our revenue-generating professionals, technology expenses, and contractor expenses, all as percentages of revenues; partially offset by a decrease in promotion and marketing expenses and performance bonus expense for our revenue-generating professionals.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Cash and cash equivalents increased $63.1 million to $74.7 million at September 30, 2020 from $11.6 million at December 31, 2019. As of September 30, 2020, our primary sources of liquidity are cash on hand, cash flows from our U.S. operations, and borrowing capacity available under our credit facility.</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8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23"/>
        </w:trPr>
        <w:tc>
          <w:tcPr>
            <w:tcW w:w="8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51,745</w:t>
            </w:r>
          </w:p>
        </w:tc>
      </w:tr>
      <w:tr>
        <w:trPr>
          <w:trHeight w:val="230"/>
        </w:trPr>
        <w:tc>
          <w:tcPr>
            <w:tcW w:w="8620" w:type="dxa"/>
            <w:vAlign w:val="bottom"/>
            <w:gridSpan w:val="2"/>
          </w:tcPr>
          <w:p>
            <w:pPr>
              <w:ind w:left="3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(24,420)</w:t>
            </w:r>
          </w:p>
        </w:tc>
      </w:tr>
      <w:tr>
        <w:trPr>
          <w:trHeight w:val="229"/>
        </w:trPr>
        <w:tc>
          <w:tcPr>
            <w:tcW w:w="8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(11,060)</w:t>
            </w:r>
          </w:p>
        </w:tc>
      </w:tr>
      <w:tr>
        <w:trPr>
          <w:trHeight w:val="229"/>
        </w:trPr>
        <w:tc>
          <w:tcPr>
            <w:tcW w:w="86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Net cash provided by operating activities totaled $78.0 million for the nine months ended September 30, 2020, compared to $51.7 million for the nine months ended September 30, 2019.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increase in cash provided by operating activities for the first nine months of 2020 compared to the same prior year period was primarily attributable to an increase in cash collections, a decrease in selling, general and administrative expenses for the first nine months of 2020 compared to the first nine months of 2019; and the deferral of the employer's portion of social security taxes as provided for under the CARES Act. These increases to cash provided by operating activities were partially offset by increases in payments to employees for salaries and related benefits in the nine months ended September 30, 2020 compared to the nine months ended September 30, 2019 and the amount paid for annual performance bonuses in the first quarter of 2020 compared to the first quarter of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Net cash used in investing activities was $28.4 million and $24.4 million for the nine months ended September 30, 2020 and 2019, respectively.</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use of cash in the first nine months of 2020 primarily consisted of $13.0 million for the purchase of an additional convertible debt investment in Shorelight Holdings, LLC; $ 6.8 million for payments related to internally developed software; $5.7 million for purchases of property and equipment, primarily related to purchases of leasehold improvements and furniture for certain office spaces and computers and related equipment; and $2.0 million for contributions to our life insurance policies which fund our deferred compensation plan.</w:t>
      </w:r>
    </w:p>
    <w:p>
      <w:pPr>
        <w:spacing w:after="0" w:line="150" w:lineRule="exact"/>
        <w:rPr>
          <w:sz w:val="20"/>
          <w:szCs w:val="20"/>
          <w:color w:val="auto"/>
        </w:rPr>
      </w:pPr>
    </w:p>
    <w:p>
      <w:pPr>
        <w:jc w:val="both"/>
        <w:ind w:right="580"/>
        <w:spacing w:after="0" w:line="254" w:lineRule="auto"/>
        <w:rPr>
          <w:sz w:val="20"/>
          <w:szCs w:val="20"/>
          <w:color w:val="auto"/>
        </w:rPr>
      </w:pPr>
      <w:r>
        <w:rPr>
          <w:rFonts w:ascii="Arial" w:cs="Arial" w:eastAsia="Arial" w:hAnsi="Arial"/>
          <w:sz w:val="18"/>
          <w:szCs w:val="18"/>
          <w:color w:val="auto"/>
        </w:rPr>
        <w:t>The use of cash in the first nine months of 2019 primarily consisted of $10.0 million for purchases of property and equipment, primarily related to purchases of computers and related equipment and leasehold improvements for new office spaces in certain locations; $7.5 million for payments related to internally developed software; $ 4.4 million for contributions to our life insurance policies which fund our deferred compensation plan; and $2.5 million for the purchase of a business in the third quarter of 2019.</w:t>
      </w:r>
    </w:p>
    <w:p>
      <w:pPr>
        <w:spacing w:after="0" w:line="1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order to support our liquidity during the COVID-19 pandemic, we took proactive measures to increase available cash on hand, including reducing discretionary capital expenses. As a result, as of September 30, 2020, we estimate that cash utilized for purchases of software development and property and equipment in 2020 will total approximately $16 million to $20 million. These purchases will primarily consist of software development costs, information technology related equipment to support our corporate infrastructure, and leasehold improvements for certain office locations.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cash provided by financing activities was $ 13.5 million for the nine months ended September 30, 2020. During the first nine months of 2020, we borrowed $283.0 million, all of which was in the first quarter of 2020, including $125.0 million in March 2020 to maintain excess cash and support liquidity during the period of uncertainty created by the COVID-19 pandemic, as well as to fund our annual performance bonus payment. During the first nine months of 2020, we made repayments on our borrowings of $240.4 million, including $200.0 million in the second and third quarters of 2020 due to our ability to maintain adequate cash flows from operations and improved clarity around access to capital resources. Additionally, we repurchased and retired $20.9 million of our common stock under our Share Repurchase Program, as defined below, and settled $1.2 million of share repurchases that were accrued as of December 31, 2019.</w:t>
      </w:r>
    </w:p>
    <w:p>
      <w:pPr>
        <w:spacing w:after="0" w:line="153"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Net cash used in financing activities was $11.1 million for the nine months ended September 30, 2019. During the first nine months of 2019, we paid $10.0 million to the sellers of certain business acquisitions for achieving specified financial performance targets in accordance with the related</w:t>
      </w:r>
    </w:p>
    <w:p>
      <w:pPr>
        <w:sectPr>
          <w:pgSz w:w="11900" w:h="16838" w:orient="portrait"/>
          <w:cols w:equalWidth="0" w:num="1">
            <w:col w:w="11240"/>
          </w:cols>
          <w:pgMar w:left="320" w:top="140" w:right="339" w:bottom="846"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846"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purchase agreements. Of the total $10.0 million payments made, $4.7 million is classified as a cash outflow from financing activities and represents the amount paid up to the fair value of the contingent consideration liability recorded as of the acquisition date. The remaining $5.3 million is classified as a cash outflow from operating activities. During the first nine months of 2019, we borrowed $ 105.5 million under our credit facility, primarily to fund our annual performance bonus payment, and made repayments on our borrowings of $105.9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September 30, 2020, we had a share repurchase program permitting us to repurchase up to $125 million of our common stock through October 31, 2020 (the "Share Repurchase Program"). In the first quarter of 2020, we repurchased and retired 313,998 shares for $20.9 million. Additionally, in the first quarter of 2020, we settled the repurchase of 18,000 shares for $1.2 million that were accrued as of December 31, 2019. No shares were repurchased in the second and third quarters of 2020. As of September 30, 2020, less than $0.1 million remained available for share repurchases. The Share Repurchase Program expired on October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At September 30, 2020, we had $248.0 million outstanding under our senior secured credit facility and $3.5 million outstanding under a promissory note, as discussed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Borrowings under the Amended Credit Agreement may be used for working capital, capital expenditures, acquisitions of businesses, share repurchases, and general corporate purposes.</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 addition, we have the right to permanently reduce or terminate the unused portion of the commitments provided under the Amended Credit Agreement at any time.</w:t>
      </w:r>
    </w:p>
    <w:p>
      <w:pPr>
        <w:spacing w:after="0" w:line="148"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120" w:firstLine="8"/>
        <w:spacing w:after="0" w:line="250" w:lineRule="auto"/>
        <w:tabs>
          <w:tab w:leader="none" w:pos="2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September 30, 2020 and December 31, 2019, we were in compliance with these financial covenants. Our Consolidated Leverage Ratio as of September 30, 2020 was 2.09 to 1.00, compared to 1.64 to 1.00 as of December 31, 2019. Our Consolidated Interest Coverage Ratio as of September 30, 2020 was 13.19 to 1.00, compared to</w:t>
      </w:r>
    </w:p>
    <w:p>
      <w:pPr>
        <w:spacing w:after="0" w:line="3" w:lineRule="exact"/>
        <w:rPr>
          <w:rFonts w:ascii="Arial" w:cs="Arial" w:eastAsia="Arial" w:hAnsi="Arial"/>
          <w:sz w:val="18"/>
          <w:szCs w:val="18"/>
          <w:color w:val="auto"/>
        </w:rPr>
      </w:pPr>
    </w:p>
    <w:p>
      <w:pPr>
        <w:jc w:val="both"/>
        <w:ind w:right="40"/>
        <w:spacing w:after="0" w:line="253" w:lineRule="auto"/>
        <w:rPr>
          <w:rFonts w:ascii="Arial" w:cs="Arial" w:eastAsia="Arial" w:hAnsi="Arial"/>
          <w:sz w:val="18"/>
          <w:szCs w:val="18"/>
          <w:color w:val="auto"/>
        </w:rPr>
      </w:pPr>
      <w:r>
        <w:rPr>
          <w:rFonts w:ascii="Arial" w:cs="Arial" w:eastAsia="Arial" w:hAnsi="Arial"/>
          <w:sz w:val="18"/>
          <w:szCs w:val="18"/>
          <w:color w:val="auto"/>
        </w:rPr>
        <w:t>15.29 to 1.00 as of December 31, 2019. The increase in our Consolidated Leverage Ratio as of September 30, 2020 compared to December 31, 2019 was driven by increased borrowings under the Amended Credit Agreement to maintain excess cash and support liquidity during the period of uncertainty created by the COVID-19 pandemic and to fund our annual performance bonus payment in the first quarter of 2020. As a result of these borrowings, cash and cash equivalents increased $63.1 million to $74.7 million at September 30, 2020 from $11.6 million at December 31, 2019.</w:t>
      </w:r>
    </w:p>
    <w:p>
      <w:pPr>
        <w:spacing w:after="0" w:line="151"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3.25, the amount of dividends and other Restricted Payments (as defined in the Amended Credit Agreement) we may pay is limited to an amount up to $25 million.</w:t>
      </w:r>
    </w:p>
    <w:p>
      <w:pPr>
        <w:spacing w:after="0" w:line="1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Principal borrowings outstanding under the Amended Credit Agreement at September 30, 2020 and December 31, 2019 totaled $248.0 million and $205.0 million, respectively. These borrowings carried a weighted average interest rate of 2.5% at September 30, 2020 and 3.0% at December 31, 2019 including the impact of the interest rate swaps described in Note 9 “Derivative Instruments and Hedging Activity” within the notes to the consolidated financial statements. The borrowing capacity under the revolving credit facility is reduced by any outstanding borrowings under the</w:t>
      </w:r>
    </w:p>
    <w:p>
      <w:pPr>
        <w:sectPr>
          <w:pgSz w:w="11900" w:h="16838" w:orient="portrait"/>
          <w:cols w:equalWidth="0" w:num="1">
            <w:col w:w="11240"/>
          </w:cols>
          <w:pgMar w:left="320" w:top="140" w:right="339" w:bottom="1008"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008"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revolving credit facility and outstanding letters of credit. At September 30, 2020, we had outstanding letters of credit totaling $1.7 million, which are primarily used as security deposits for our office facilities. As of September 30, 2020, the unused borrowing capacity under the revolving credit facility was $350.3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September 30, 2020, the outstanding principal amount of the promissory note was $3.5 million, and the aircraft had a carrying amount of $4.6 million. At December 31, 2019, the outstanding principal amount of the promissory note was $3.9 million, and the aircraft had a carrying amount of $5.1 million.</w:t>
      </w:r>
    </w:p>
    <w:p>
      <w:pPr>
        <w:spacing w:after="0" w:line="158" w:lineRule="exact"/>
        <w:rPr>
          <w:sz w:val="20"/>
          <w:szCs w:val="20"/>
          <w:color w:val="auto"/>
        </w:rPr>
      </w:pPr>
    </w:p>
    <w:p>
      <w:pPr>
        <w:ind w:right="1800"/>
        <w:spacing w:after="0" w:line="438" w:lineRule="auto"/>
        <w:rPr>
          <w:sz w:val="20"/>
          <w:szCs w:val="20"/>
          <w:color w:val="auto"/>
        </w:rPr>
      </w:pPr>
      <w:r>
        <w:rPr>
          <w:rFonts w:ascii="Arial" w:cs="Arial" w:eastAsia="Arial" w:hAnsi="Arial"/>
          <w:sz w:val="18"/>
          <w:szCs w:val="18"/>
          <w:color w:val="auto"/>
        </w:rPr>
        <w:t xml:space="preserve">For further information, see Note 7 “Financing Arrangements” within the notes to the consolidated financial statements. </w:t>
      </w:r>
      <w:r>
        <w:rPr>
          <w:rFonts w:ascii="Arial" w:cs="Arial" w:eastAsia="Arial" w:hAnsi="Arial"/>
          <w:sz w:val="18"/>
          <w:szCs w:val="18"/>
          <w:b w:val="1"/>
          <w:bCs w:val="1"/>
          <w:color w:val="auto"/>
        </w:rPr>
        <w:t>Future Financing Needs</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current primary financing need is to support our operations during the COVID-19 pandemic. The pandemic has created significant volatility and uncertainty in the economy, which could limit our access to capital resources and could increase our borrowing costs. In order to support our liquidity during the pandemic, we took proactive measures to increase available cash on hand, including, but not limited to, borrowing under our senior secured credit facility in the first quarter of 2020 and reducing discretionary operating and capital expenses. To further support our liquidity, we elected to defer the deposit of our employer portion of social security taxes beginning in April 2020 and through the end of the year, which we expect to pay in equal installments in the fourth quarters of 2021 and 2022, as provided for under the CARES Act. Our long-term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if needed, in the future will depend on several factors, including our future profitability, the quality of our accounts receivable and unbilled services, our relative levels of debt and equity, and the overall condition of the credit markets.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2019. As of September 30, 2020, borrowings outstanding under our senior secured credit facility totaled $248.0 million compared to $205.0 million at December 31, 2019. See the "Liquidity and Capital Resources" section above and Note 7 "Financing Arrangements" within the notes to our consolidated financial statements for additional information on our outstanding borrowings as of September 30, 2020. There have been no other material changes to our contractual obligations since December 31,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2019. Below is an update to our critical accounting policy related to the carrying value of goodwill and other intangible assets. There have been no material changes to our other critical accounting policies during the first nine months of 2020.</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Carrying Values of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2020 Goodwill Impairment Analysis</w:t>
      </w:r>
    </w:p>
    <w:p>
      <w:pPr>
        <w:spacing w:after="0" w:line="18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worldwide spread of the coronavirus (COVID-19) in the first quarter of 2020 created significant volatility, uncertainty and disruption to the global economy. We are closely monitoring the impact of the COVID-19 pandemic on all aspects of our business, including how we expect it will continue to negatively impact our clients, employees and business partners. While the COVID-19 pandemic did not have a significant impact on our consolidated revenues in the first quarter of 2020, we expected it to have an unfavorable impact on sales, increase uncertainty in the backlog and negatively impact full year 2020 results. 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due to the uncertainty caused by the COVID-19 pandemic, we are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that the fair value of these two reporting units no longer exceeded their carrying values and performed an interim impairment test on both reporting units as of March 31, 2020.</w:t>
      </w:r>
    </w:p>
    <w:p>
      <w:pPr>
        <w:spacing w:after="0" w:line="15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Based on the estimated fair values of the Strategy and Innovation and Life Sciences reporting units described below,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37"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Our goodwill impairment test was performed by comparing the fair value of each of the Strategy and Innovation and Life Sciences reporting units with its respective carrying value and recognizing an impairment charge for the amount by which the carrying value exceeded the fair value. To estimate the fair value of each reporting unit, we relied on a combination of the income approach and the market approach, with a fifty-fifty weighting.</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income approach, we utilized a discounted cash flow analysis, which involved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long-term projections of future cash flows, market conditions, and discount rates that reflect the risk inherent in the future cash flows. In estimating future cash flows, we relied on internally generated seven-year forecasts. For periods after the seven-year forecast, we assumed a long-term annual revenue growth rate of 3.0% for both the Strategy and Innovation and Life Sciences reporting units and a long-term EBITDA margin of 24.8% and 6.7%, respectively. Our forecasts are based on historical experience, current backlog, expected market demand, and other industry information. Our discounted cash flow analysis assumed weighted average cost of capital discount rates of 16.0% and 10.5% for the Strategy and Innovation and Life Sciences reporting units, respectively.</w:t>
      </w:r>
    </w:p>
    <w:p>
      <w:pPr>
        <w:spacing w:after="0" w:line="1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evaluated and adjusted based on specific characteristics of the Strategy and Innovation and Life Sciences reporting units relative to the selected guideline companies and applied to the reporting units' operating data to arrive at an indication of value. The range of revenue multiples used in the valuation of the Strategy and Innovation and Life Sciences reporting units was 1.20x to 1.70x and 0.30x to 0.40x, respectively.</w:t>
      </w:r>
    </w:p>
    <w:p>
      <w:pPr>
        <w:spacing w:after="0" w:line="15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Determining the fair value of any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impairment charge is recognized and also the magnitude of any such charge. The results of an impairment analysis are as of a point in time. There is no assurance that the actual future earnings or cash flows of our reporting units will be consistent with our projections. We will continue to monitor any changes to our assumptions and will evaluate goodwill as deemed warranted during future periods. Any significant decline in our operations compared to our internal forecasts could result in additional non-cash goodwill impairment charges, which could be material.</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Concurrently with the goodwill impairment tests performed over the Strategy and Innovation and Life Sciences reporting units, we evaluated whether any indicators exist that would lead us to believe that the fair values of our Healthcare, Education, and Business Advisory reporting units may not exceed their carrying values. Based on our internal projections, consideration of the impact of the COVID-19 pandemic on these reporting units, and review of the amounts by which the fair values of these reporting units exceeded their carrying values in the most recent quantitative goodwill impairment analysis performed, we did not identify any indicators that would lead us to believe that the fair values of these reporting units may not exceed their carrying values as of March 31, 2020. Additionally, in the second and third quarters of 2020, we did not identify any indicators that would lead us to believe that the fair values of any of our reporting units may not exceed their carrying values. We will monitor any changes to our assumptions and will evaluate goodwill as deemed warranted during future periods.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gridSpan w:val="2"/>
          </w:tcPr>
          <w:p>
            <w:pPr>
              <w:spacing w:after="0"/>
              <w:rPr>
                <w:sz w:val="20"/>
                <w:szCs w:val="20"/>
                <w:color w:val="auto"/>
              </w:rPr>
            </w:pPr>
            <w:r>
              <w:rPr>
                <w:rFonts w:ascii="Arial" w:cs="Arial" w:eastAsia="Arial" w:hAnsi="Arial"/>
                <w:sz w:val="18"/>
                <w:szCs w:val="18"/>
                <w:color w:val="auto"/>
              </w:rPr>
              <w:t>The carrying values of goodwill for each of our reporting units as of September 30, 2020 are as follows (in thousands):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Reporting Unit</w:t>
            </w:r>
          </w:p>
        </w:tc>
        <w:tc>
          <w:tcPr>
            <w:tcW w:w="1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Carrying Value</w:t>
            </w:r>
          </w:p>
        </w:tc>
        <w:tc>
          <w:tcPr>
            <w:tcW w:w="0" w:type="dxa"/>
            <w:vAlign w:val="bottom"/>
          </w:tcPr>
          <w:p>
            <w:pPr>
              <w:spacing w:after="0"/>
              <w:rPr>
                <w:sz w:val="1"/>
                <w:szCs w:val="1"/>
                <w:color w:val="auto"/>
              </w:rPr>
            </w:pPr>
          </w:p>
        </w:tc>
      </w:tr>
      <w:tr>
        <w:trPr>
          <w:trHeight w:val="229"/>
        </w:trPr>
        <w:tc>
          <w:tcPr>
            <w:tcW w:w="94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of Goodwill</w:t>
            </w:r>
          </w:p>
        </w:tc>
        <w:tc>
          <w:tcPr>
            <w:tcW w:w="0" w:type="dxa"/>
            <w:vAlign w:val="bottom"/>
          </w:tcPr>
          <w:p>
            <w:pPr>
              <w:spacing w:after="0"/>
              <w:rPr>
                <w:sz w:val="1"/>
                <w:szCs w:val="1"/>
                <w:color w:val="auto"/>
              </w:rPr>
            </w:pPr>
          </w:p>
        </w:tc>
      </w:tr>
      <w:tr>
        <w:trPr>
          <w:trHeight w:val="223"/>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428,729</w:t>
            </w:r>
          </w:p>
        </w:tc>
        <w:tc>
          <w:tcPr>
            <w:tcW w:w="0" w:type="dxa"/>
            <w:vAlign w:val="bottom"/>
          </w:tcPr>
          <w:p>
            <w:pPr>
              <w:spacing w:after="0"/>
              <w:rPr>
                <w:sz w:val="1"/>
                <w:szCs w:val="1"/>
                <w:color w:val="auto"/>
              </w:rPr>
            </w:pPr>
          </w:p>
        </w:tc>
      </w:tr>
      <w:tr>
        <w:trPr>
          <w:trHeight w:val="229"/>
        </w:trPr>
        <w:tc>
          <w:tcPr>
            <w:tcW w:w="960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104,384</w:t>
            </w:r>
          </w:p>
        </w:tc>
        <w:tc>
          <w:tcPr>
            <w:tcW w:w="0" w:type="dxa"/>
            <w:vAlign w:val="bottom"/>
          </w:tcPr>
          <w:p>
            <w:pPr>
              <w:spacing w:after="0"/>
              <w:rPr>
                <w:sz w:val="1"/>
                <w:szCs w:val="1"/>
                <w:color w:val="auto"/>
              </w:rPr>
            </w:pPr>
          </w:p>
        </w:tc>
      </w:tr>
      <w:tr>
        <w:trPr>
          <w:trHeight w:val="230"/>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Advisory</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16,094</w:t>
            </w:r>
          </w:p>
        </w:tc>
        <w:tc>
          <w:tcPr>
            <w:tcW w:w="0" w:type="dxa"/>
            <w:vAlign w:val="bottom"/>
          </w:tcPr>
          <w:p>
            <w:pPr>
              <w:spacing w:after="0"/>
              <w:rPr>
                <w:sz w:val="1"/>
                <w:szCs w:val="1"/>
                <w:color w:val="auto"/>
              </w:rPr>
            </w:pPr>
          </w:p>
        </w:tc>
      </w:tr>
      <w:tr>
        <w:trPr>
          <w:trHeight w:val="229"/>
        </w:trPr>
        <w:tc>
          <w:tcPr>
            <w:tcW w:w="9600" w:type="dxa"/>
            <w:vAlign w:val="bottom"/>
            <w:gridSpan w:val="2"/>
          </w:tcPr>
          <w:p>
            <w:pPr>
              <w:ind w:left="20"/>
              <w:spacing w:after="0"/>
              <w:rPr>
                <w:sz w:val="20"/>
                <w:szCs w:val="20"/>
                <w:color w:val="auto"/>
              </w:rPr>
            </w:pPr>
            <w:r>
              <w:rPr>
                <w:rFonts w:ascii="Arial" w:cs="Arial" w:eastAsia="Arial" w:hAnsi="Arial"/>
                <w:sz w:val="18"/>
                <w:szCs w:val="18"/>
                <w:color w:val="auto"/>
              </w:rPr>
              <w:t>Strategy and Innovation</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37,523</w:t>
            </w:r>
          </w:p>
        </w:tc>
        <w:tc>
          <w:tcPr>
            <w:tcW w:w="0" w:type="dxa"/>
            <w:vAlign w:val="bottom"/>
          </w:tcPr>
          <w:p>
            <w:pPr>
              <w:spacing w:after="0"/>
              <w:rPr>
                <w:sz w:val="1"/>
                <w:szCs w:val="1"/>
                <w:color w:val="auto"/>
              </w:rPr>
            </w:pPr>
          </w:p>
        </w:tc>
      </w:tr>
      <w:tr>
        <w:trPr>
          <w:trHeight w:val="229"/>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Life Sciences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Enterprise Solutions and Analytics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586,730</w:t>
            </w: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Intangible assets represent purchased assets that lack physical substance but can be distinguished from goodwill. Our intangible assets, net of accumulated amortization, totaled $22.3 million at September 30, 2020 and primarily consist of customer relationships, trade names, technology and software, non-competition agreements, and customer contracts, all of which were acquired through business combinations. We evaluate our intangible assets for impairment whenever events or changes in circumstances indicate that the carrying amount of the assets may not be recoverable. In connection with the goodwill impairment tests performed for the Strategy and Innovation and Life Sciences reporting units in the first quarter of 2020, which resulted in non-cash goodwill impairment charges, we performed impairment tests on the long-lived assets allocated to the asset groups of the Strategy and Innovation and Life Sciences reporting units. Based on the impairment tests performed, we concluded that the long-lived assets allocated to the asset groups were not impaired as of March 31, 2020. We did not identify any indicators that would lead us to believe that the carrying values of the long-lived assets allocated to our other asset groups may not be recoverable as of March 31, 2020, June 30, 2020, and September 30,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93"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ForceIQ, Inc.</w:t>
      </w:r>
    </w:p>
    <w:p>
      <w:pPr>
        <w:spacing w:after="0" w:line="13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October 15, 2020, we entered into an agreement to acquire ForceIQ, Inc. ("ForceIQ"), a Salesforce Industries partner focused on helping clients drive digital transformation and innovation at scale powered by the cloud. The acquisition expands our cloud-based technology offerings within the Business Advisory segment. The results of operations of ForceIQ will be included within the Business Advisory segment from the effective close date, November 1, 2020. The acquisition of ForceIQ is not significant to our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2020 Restructuring Plan</w:t>
      </w:r>
    </w:p>
    <w:p>
      <w:pPr>
        <w:spacing w:after="0" w:line="135"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On October 29, 2020, we announced a restructuring plan to reduce operating costs to address the impact of the COVID-19 pandemic on our business. The restructuring plan provides for a reduction in workforce and leased office space that is expected to result in initial restructuring charges in a range of approximately $15.5 million to $19.5 million and annualized savings in a range of approximately $23.0 million to $27.0 million. We do not anticipate a material revenue impact related to the restructuring actions.</w:t>
      </w:r>
    </w:p>
    <w:p>
      <w:pPr>
        <w:spacing w:after="0" w:line="15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reduction in workforce impacts approximately 145 employees across all segments and corporate operations. We expect the reduction in workforce to be substantially complete by the end of the fourth quarter of 2020 and expect to incur an estimated restructuring charge in a range of approximately $3.5 million to $4.5 million related to cash payments for employee severance and benefits.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reduction in leased office space is expected to result in estimated non-cash restructuring charges in a range of approximately $12.0 million to $15.0 million, consisting of operating lease right-of-use asset and leasehold improvement impairment charges and accelerated depreciation on other fixed assets. The non-cash restructuring charges related to the reduction in leased office space are expected to be recorded primarily in the fourth quarter of 2020. Future cash expenditures related to the leased office space are expected to continue through 2029. The exact amount and timing of the office space reductions, and the associated payments and expenses, depend on a number of factors, including our ability to terminate or modify existing lease contracts and/or enter into sublease agreements for the exited spaces to lower future cash expenditures.</w:t>
      </w:r>
    </w:p>
    <w:p>
      <w:pPr>
        <w:spacing w:after="0" w:line="15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addition, in the fourth quarter of 2020, we announced our intent to divest our life sciences drug safety practice, a UK-based business that is part of the Life Sciences reporting unit within our Business Advisory segment. For the nine months ended September 30, 2020, this practice generated $1.9 million of revenue and is not significant to our consolidated financial statements. We expect the divestiture to be completed in the fourth quarter of 2020.</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We believe these measures will better align delivery capacity with anticipated demand and strengthen our financial position amidst the ongoing disruption, creating a foundation from which our business can grow.</w:t>
      </w:r>
    </w:p>
    <w:p>
      <w:pPr>
        <w:spacing w:after="0" w:line="257"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ind w:right="1320"/>
        <w:spacing w:after="0" w:line="438" w:lineRule="auto"/>
        <w:rPr>
          <w:sz w:val="20"/>
          <w:szCs w:val="20"/>
          <w:color w:val="auto"/>
        </w:rPr>
      </w:pPr>
      <w:r>
        <w:rPr>
          <w:rFonts w:ascii="Arial" w:cs="Arial" w:eastAsia="Arial" w:hAnsi="Arial"/>
          <w:sz w:val="18"/>
          <w:szCs w:val="18"/>
          <w:color w:val="auto"/>
        </w:rPr>
        <w:t xml:space="preserve">We are exposed to market risks primarily from changes in interest rates and changes in the market value of our investments. </w:t>
      </w:r>
      <w:r>
        <w:rPr>
          <w:rFonts w:ascii="Arial" w:cs="Arial" w:eastAsia="Arial" w:hAnsi="Arial"/>
          <w:sz w:val="18"/>
          <w:szCs w:val="18"/>
          <w:b w:val="1"/>
          <w:bCs w:val="1"/>
          <w:color w:val="auto"/>
        </w:rPr>
        <w:t>Market Risk and Interest Rate Risk</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exposure to changes in interest rates associated with borrowings under our bank credit facility, which has variable interest rates tied to LIBOR or an alternate base rate, at our option. At September 30, 2020, we had borrowings outstanding under the credit facility totaling $248.0 million that carried a weighted average interest rate of 2.5%, including the impact of the interest rate swaps described below. A hypothetical 100 basis point change in the interest rate would have a $0.5 million effect on our pretax income on an annualized basis, including the effect of the interest rate swaps outstanding at September 30, 2020. At December 31, 2019, we had borrowings outstanding under the credit facility totaling $205.0 million that carried a weighted average interest rate of 3.0% including the impact of the interest rate swap outstanding at December 31, 2019. A hypothetical 100 basis point change in the interest rate would have had a $1.6 million effect on our pretax income on an annualized basis, including the effect of the interest rate swap.</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January 30, 2020, we entered into a forward interest rate swap agreement effective December 31, 2019 and ending December 31, 2024, with a notional amount of $50.0 million. We entered into this derivative instrument to further hedge against the interest rate risks of our variable -rate borrowings. Under the terms of the interest rate swap agreement, we receive from the counterparty interest on the notional amount based on one month LIBOR and we pay to the counterparty a fixed rate of 1.500%.</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16, 2020, we entered into a forward interest rate swap agreement effective February 28, 2020 and ending February 28, 2025, with a notional amount of $100.0 million. We entered into this derivative instrument to further hedge against the interest rate risks of our variable-rate borrowings. Under the terms of the interest rate swap agreement, we receive from the counterparty interest on the notional amount based on one month LIBOR and we pay to the counterparty a fixed rate of 0.885%.</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have exposure to changes in interest rates associated with the promissory note assumed on June 30, 2017 in connection with our purchase of an aircraft, which has variable interest rates tied to LIBOR. At September 30, 2020, the outstanding principal amount of the promissory note was $3.5 million and carried an interest rate of 2.1%. A hypothetical 100 basis point change in this interest rate would not have a material effect on our pretax income. At December 31, 2019, the outstanding principal amount of the promissory note was $3.9 million and carried an interest rate of 3.7%. A hypothetical 100 basis point change in the interest rate as of December 31, 2019 would not have had a material effect on our pretax income.</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an investment in the form of 1.69% convertible debt in Shorelight Holdings, LLC, a privately-held company, which we account for as an available-for-sale debt security. As such, the investment is carried at fair value with unrealized holding gains and losses excluded from earnings and reported in other comprehensive income. As of September 30, 2020, the fair value of the investment was $61.1 million, with a total cost basis of $40.9 million. At December 31, 2019, the fair value of the investment was $49.5 million, with a total cost basis of $27.9 million.</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 preferred stock investment in Medically Home Group, Inc.,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September 30, 2020, the carrying value of the investment was $5.0 million. Following our purchase, there has been no impairment, nor any observable price changes to our investment. See Note 10 “Fair Value of Financial Instruments” for further information on our long-term investments in Shorelight Holdings, LLC and Medically Home Group, Inc.</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2020. Based on this evaluation, our Chief Executive Officer and Chief Financial Officer have concluded that, as of September 30, 2020,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September 30, 2020 that has materially affected, or is reasonably likely to materially affect, our internal control over financial reporting.</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Note 13 "Commitments, Contingencies and Guarantees" included in Part I, Item 1 of this Quarterly Report on Form 10-Q.</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information updates, and should be read in conjunction with, the information disclosed in Part 1, Item 1A, “Risk Factors” in our Annual Report on Form 10-K for the fiscal year ended December 31, 2019 (the “2019 Annual Report”), which was filed with the Securities and Exchange Commission on February 26, 2020.</w:t>
      </w:r>
    </w:p>
    <w:p>
      <w:pPr>
        <w:spacing w:after="0" w:line="126"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b w:val="1"/>
          <w:bCs w:val="1"/>
          <w:color w:val="auto"/>
        </w:rPr>
        <w:t>Our results of operations have been adversely affected and, in the future, could be materially adversely impacted by the coronavirus (COVID-19) pandemic.</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worldwide spread of coronavirus (COVID-19) has created significant volatility, uncertainty and disruption to the global economy. The pandemic is adversely impacting and, in the future, could materially adversely impact our business, operations and financial results. The extent to which the COVID-19 pandemic impacts our business, operations and financial results will depend on numerous evolving factors that we may not be able to accurately predict, including:</w:t>
      </w:r>
    </w:p>
    <w:p>
      <w:pPr>
        <w:spacing w:after="0" w:line="15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severity of the pandemic;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the development and distribution of an effective vaccine or treatments for COVID-19;</w:t>
      </w:r>
    </w:p>
    <w:p>
      <w:pPr>
        <w:spacing w:after="0" w:line="171" w:lineRule="exact"/>
        <w:rPr>
          <w:rFonts w:ascii="Arial" w:cs="Arial" w:eastAsia="Arial" w:hAnsi="Arial"/>
          <w:sz w:val="18"/>
          <w:szCs w:val="18"/>
          <w:color w:val="auto"/>
        </w:rPr>
      </w:pPr>
    </w:p>
    <w:p>
      <w:pPr>
        <w:ind w:left="660" w:right="400" w:hanging="328"/>
        <w:spacing w:after="0" w:line="261"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 pandemic, including quarantines, social distancing and other risk mitigating measures taken to prevent the spread of COVID-19;</w:t>
      </w:r>
    </w:p>
    <w:p>
      <w:pPr>
        <w:spacing w:after="0" w:line="143" w:lineRule="exact"/>
        <w:rPr>
          <w:rFonts w:ascii="Arial" w:cs="Arial" w:eastAsia="Arial" w:hAnsi="Arial"/>
          <w:sz w:val="18"/>
          <w:szCs w:val="18"/>
          <w:color w:val="auto"/>
        </w:rPr>
      </w:pPr>
    </w:p>
    <w:p>
      <w:pPr>
        <w:ind w:left="660" w:right="40" w:hanging="328"/>
        <w:spacing w:after="0" w:line="261"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on our clients and client demand for our services and solutions, including the effect on the healthcare and higher education industries which are areas of significant focus for our business;</w:t>
      </w:r>
    </w:p>
    <w:p>
      <w:pPr>
        <w:spacing w:after="0" w:line="143" w:lineRule="exact"/>
        <w:rPr>
          <w:rFonts w:ascii="Arial" w:cs="Arial" w:eastAsia="Arial" w:hAnsi="Arial"/>
          <w:sz w:val="18"/>
          <w:szCs w:val="18"/>
          <w:color w:val="auto"/>
        </w:rPr>
      </w:pPr>
    </w:p>
    <w:p>
      <w:pPr>
        <w:ind w:left="660" w:right="60" w:hanging="328"/>
        <w:spacing w:after="0" w:line="261"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health and welfare of our employees, including our senior management team, practice leaders and managing directors, and their ongoing ability to serve clients and manage operations if they contract COVID-19;</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on our key third-party vendors;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on the businesses in which we have invested;</w:t>
      </w:r>
    </w:p>
    <w:p>
      <w:pPr>
        <w:sectPr>
          <w:pgSz w:w="11900" w:h="16838" w:orient="portrait"/>
          <w:cols w:equalWidth="0" w:num="1">
            <w:col w:w="11240"/>
          </w:cols>
          <w:pgMar w:left="320" w:top="140" w:right="339" w:bottom="1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157"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right="580" w:hanging="328"/>
        <w:spacing w:after="0" w:line="261"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sell and provide our services and solutions and maintain adequate utilization levels, including as a result of travel restrictions, shelter-in-place and quarantine orders and people working from home;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clients to pay for our services and solutions;</w:t>
      </w:r>
    </w:p>
    <w:p>
      <w:pPr>
        <w:spacing w:after="0" w:line="171" w:lineRule="exact"/>
        <w:rPr>
          <w:rFonts w:ascii="Arial" w:cs="Arial" w:eastAsia="Arial" w:hAnsi="Arial"/>
          <w:sz w:val="18"/>
          <w:szCs w:val="18"/>
          <w:color w:val="auto"/>
        </w:rPr>
      </w:pPr>
    </w:p>
    <w:p>
      <w:pPr>
        <w:ind w:left="660" w:right="160" w:hanging="328"/>
        <w:spacing w:after="0" w:line="261"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disruption to the Internet and related systems, which may impact our ability to provide our services and solutions remotely, and increased vulnerability to hackers or third parties seeking to disrupt operations;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closures of our clients’ offices and facilities.</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Additionally, in some instances, clients have slowed down decision making, delayed planned work or are seeking to reduce the scope of current engagements or terminate existing agreements, which may continue. Any of these events could cause or contribute to the risks and uncertainties enumerated in our 2019 Annual Report and could materially adversely affect our business, financial condition, results of operations and/or stock price.</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total assets reflect a substantial amount of intangible assets, primarily goodwill. At December 31, 2019, goodwill and other intangible assets totaled $678.3 million, or 61%, of our total assets. During the first quarter of 2020, we incurred non-cash pretax goodwill impairment charges totaling $59.8 million related to our Strategy and Innovation and Life Sciences reporting units within our Business Advisory segment, as discussed below. At September 30, 2020, goodwill and other intangible assets totaled $609.0 million, or 56%, of our total assets as of September 30, 2020. The goodwill results from our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worldwide spread of the coronavirus (COVID-19) in the first quarter of 2020 created significant volatility, uncertainty and disruption to the global economy. We are closely monitoring the impact of the COVID-19 pandemic on all aspects of our business, including how we expect it will continue to negatively impact our clients, employees and business partners. While the COVID-19 pandemic did not have a significant impact on our consolidated revenues in the first quarter of 2020, we expected it to have an unfavorable impact on sales, increase uncertainty in the backlog and negatively impact full year 2020 results. The services provided by our Strategy and Innovation and Life Sciences reporting units within our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due to the uncertainty caused by the COVID-19 pandemic, we are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that the fair value of these two reporting units no longer exceeded their carrying values and performed an interim impairment test on both reporting units as of March 31, 2020.</w:t>
      </w:r>
    </w:p>
    <w:p>
      <w:pPr>
        <w:spacing w:after="0" w:line="1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Based on the estimated fair values of the Strategy and Innovation and Life Sciences reporting units,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Determining the fair value of any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impairment charge is recognized and also the magnitude of any such charge. The results of an impairment analysis are as of a point in time. There is no assurance that the actual future earnings or cash flows of our reporting units will be consistent with our projections. We continue to monitor any changes to our assumptions and will evaluate goodwill as deemed warranted during future periods. Any significant decline in our operations could result in additional non-cash goodwill impairment charges or impairment charges with respect to our other intangible assets, which could be material.</w:t>
      </w:r>
    </w:p>
    <w:p>
      <w:pPr>
        <w:spacing w:after="0" w:line="15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Refer to “Critical Accounting Policies” within Part I - Item 2. “Management’s Discussion and Analysis of Financial Condition and Results of Operations” and Note 4 “Goodwill and Intangible Assets” within the notes to our consolidated financial statements for further discussion of our goodwill, intangible assets, and impairment tests performed in 2020.</w:t>
      </w:r>
    </w:p>
    <w:p>
      <w:pPr>
        <w:spacing w:after="0" w:line="26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September 30, 2020, we reacquired 12,468 shares of common stock with a weighted average fair market value of $46.49 as a result of such tax withholdings.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had a share repurchase program permitting us to repurchase up to $125 million of our common stock through October 31, 2020 (the "Share Repurchase Program"), with less than $0.1 million available for share repurchases as of September 30, 2020. The Share Repurchase Program expired on October 31, 2020.</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September 30, 2020.</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Dollar Value of Shares</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Average Price</w:t>
            </w: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that may yet be</w:t>
            </w:r>
          </w:p>
        </w:tc>
        <w:tc>
          <w:tcPr>
            <w:tcW w:w="0" w:type="dxa"/>
            <w:vAlign w:val="bottom"/>
          </w:tcPr>
          <w:p>
            <w:pPr>
              <w:spacing w:after="0"/>
              <w:rPr>
                <w:sz w:val="1"/>
                <w:szCs w:val="1"/>
                <w:color w:val="auto"/>
              </w:rPr>
            </w:pPr>
          </w:p>
        </w:tc>
      </w:tr>
      <w:tr>
        <w:trPr>
          <w:trHeight w:val="176"/>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5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Paid per Share</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center"/>
              <w:ind w:right="70"/>
              <w:spacing w:after="0" w:line="230" w:lineRule="exact"/>
              <w:rPr>
                <w:sz w:val="20"/>
                <w:szCs w:val="20"/>
                <w:color w:val="auto"/>
              </w:rPr>
            </w:pPr>
            <w:r>
              <w:rPr>
                <w:rFonts w:ascii="Arial" w:cs="Arial" w:eastAsia="Arial" w:hAnsi="Arial"/>
                <w:sz w:val="18"/>
                <w:szCs w:val="18"/>
                <w:b w:val="1"/>
                <w:bCs w:val="1"/>
                <w:color w:val="auto"/>
                <w:w w:val="97"/>
              </w:rPr>
              <w:t xml:space="preserve">Plans or Programs </w:t>
            </w:r>
            <w:r>
              <w:rPr>
                <w:rFonts w:ascii="Arial" w:cs="Arial" w:eastAsia="Arial" w:hAnsi="Arial"/>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2020 - July 31, 2020</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43,572</w:t>
            </w:r>
          </w:p>
        </w:tc>
        <w:tc>
          <w:tcPr>
            <w:tcW w:w="0" w:type="dxa"/>
            <w:vAlign w:val="bottom"/>
          </w:tcPr>
          <w:p>
            <w:pPr>
              <w:spacing w:after="0"/>
              <w:rPr>
                <w:sz w:val="1"/>
                <w:szCs w:val="1"/>
                <w:color w:val="auto"/>
              </w:rPr>
            </w:pPr>
          </w:p>
        </w:tc>
      </w:tr>
      <w:tr>
        <w:trPr>
          <w:trHeight w:val="229"/>
        </w:trPr>
        <w:tc>
          <w:tcPr>
            <w:tcW w:w="3720" w:type="dxa"/>
            <w:vAlign w:val="bottom"/>
            <w:gridSpan w:val="2"/>
          </w:tcPr>
          <w:p>
            <w:pPr>
              <w:spacing w:after="0"/>
              <w:rPr>
                <w:sz w:val="20"/>
                <w:szCs w:val="20"/>
                <w:color w:val="auto"/>
              </w:rPr>
            </w:pPr>
            <w:r>
              <w:rPr>
                <w:rFonts w:ascii="Arial" w:cs="Arial" w:eastAsia="Arial" w:hAnsi="Arial"/>
                <w:sz w:val="18"/>
                <w:szCs w:val="18"/>
                <w:color w:val="auto"/>
              </w:rPr>
              <w:t>August 1, 2020 - August 31, 2020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8,705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19"/>
                <w:szCs w:val="19"/>
                <w:color w:val="auto"/>
              </w:rPr>
            </w:pPr>
          </w:p>
        </w:tc>
        <w:tc>
          <w:tcPr>
            <w:tcW w:w="1840" w:type="dxa"/>
            <w:vAlign w:val="bottom"/>
          </w:tcPr>
          <w:p>
            <w:pPr>
              <w:ind w:left="15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43,572</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2020 - September 30, 2020</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43,572</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19"/>
                <w:szCs w:val="19"/>
                <w:color w:val="auto"/>
              </w:rPr>
            </w:pPr>
          </w:p>
        </w:tc>
        <w:tc>
          <w:tcPr>
            <w:tcW w:w="184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980" w:right="480" w:hanging="972"/>
        <w:spacing w:after="0" w:line="261" w:lineRule="auto"/>
        <w:tabs>
          <w:tab w:leader="none" w:pos="10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repurchased each period represent shares to satisfy employee tax withholding requirements. These shares do not reduce the repurchase authority under the Share Repurchase Program.</w:t>
      </w:r>
    </w:p>
    <w:p>
      <w:pPr>
        <w:spacing w:after="0" w:line="35" w:lineRule="exact"/>
        <w:rPr>
          <w:rFonts w:ascii="Arial" w:cs="Arial" w:eastAsia="Arial" w:hAnsi="Arial"/>
          <w:sz w:val="18"/>
          <w:szCs w:val="18"/>
          <w:color w:val="auto"/>
        </w:rPr>
      </w:pPr>
    </w:p>
    <w:p>
      <w:pPr>
        <w:ind w:left="1020" w:hanging="101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30"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4560" w:type="dxa"/>
            <w:vAlign w:val="bottom"/>
            <w:gridSpan w:val="9"/>
            <w:vMerge w:val="restart"/>
          </w:tcPr>
          <w:p>
            <w:pPr>
              <w:ind w:left="16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8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Filed</w:t>
            </w: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Furnished</w:t>
            </w:r>
          </w:p>
        </w:tc>
        <w:tc>
          <w:tcPr>
            <w:tcW w:w="8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2"/>
                <w:szCs w:val="12"/>
                <w:color w:val="auto"/>
              </w:rPr>
            </w:pPr>
          </w:p>
        </w:tc>
        <w:tc>
          <w:tcPr>
            <w:tcW w:w="7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Period</w:t>
            </w:r>
          </w:p>
        </w:tc>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7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gridSpan w:val="9"/>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69"/>
        </w:trPr>
        <w:tc>
          <w:tcPr>
            <w:tcW w:w="840" w:type="dxa"/>
            <w:vAlign w:val="bottom"/>
          </w:tcPr>
          <w:p>
            <w:pPr>
              <w:ind w:left="20"/>
              <w:spacing w:after="0" w:line="169"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gridSpan w:val="10"/>
          </w:tcPr>
          <w:p>
            <w:pPr>
              <w:spacing w:after="0" w:line="169" w:lineRule="exact"/>
              <w:rPr>
                <w:rFonts w:ascii="Arial" w:cs="Arial" w:eastAsia="Arial" w:hAnsi="Arial"/>
                <w:sz w:val="16"/>
                <w:szCs w:val="16"/>
                <w:color w:val="0000FF"/>
              </w:rPr>
            </w:pPr>
            <w:hyperlink w:anchor="page54">
              <w:r>
                <w:rPr>
                  <w:rFonts w:ascii="Arial" w:cs="Arial" w:eastAsia="Arial" w:hAnsi="Arial"/>
                  <w:sz w:val="16"/>
                  <w:szCs w:val="16"/>
                  <w:color w:val="0000FF"/>
                </w:rPr>
                <w:t>Certification of the Chief Executive Officer, pursuant to Rule</w:t>
              </w:r>
            </w:hyperlink>
          </w:p>
        </w:tc>
        <w:tc>
          <w:tcPr>
            <w:tcW w:w="88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w:anchor="page54">
              <w:r>
                <w:rPr>
                  <w:rFonts w:ascii="Arial" w:cs="Arial" w:eastAsia="Arial" w:hAnsi="Arial"/>
                  <w:sz w:val="16"/>
                  <w:szCs w:val="16"/>
                  <w:color w:val="0000FF"/>
                </w:rPr>
                <w:t>13a-14(a)/15d-14(a), as adopted pursuant to Section 302 of</w:t>
              </w:r>
            </w:hyperlink>
          </w:p>
        </w:tc>
        <w:tc>
          <w:tcPr>
            <w:tcW w:w="40" w:type="dxa"/>
            <w:vAlign w:val="bottom"/>
          </w:tcPr>
          <w:p>
            <w:pPr>
              <w:spacing w:after="0"/>
              <w:rPr>
                <w:sz w:val="12"/>
                <w:szCs w:val="12"/>
                <w:color w:val="auto"/>
              </w:rPr>
            </w:pPr>
          </w:p>
        </w:tc>
        <w:tc>
          <w:tcPr>
            <w:tcW w:w="380" w:type="dxa"/>
            <w:vAlign w:val="bottom"/>
            <w:gridSpan w:val="3"/>
          </w:tcPr>
          <w:p>
            <w:pPr>
              <w:ind w:left="20"/>
              <w:spacing w:after="0" w:line="142" w:lineRule="exact"/>
              <w:rPr>
                <w:rFonts w:ascii="Arial" w:cs="Arial" w:eastAsia="Arial" w:hAnsi="Arial"/>
                <w:sz w:val="16"/>
                <w:szCs w:val="16"/>
                <w:color w:val="0000FF"/>
              </w:rPr>
            </w:pPr>
            <w:hyperlink w:anchor="page54">
              <w:r>
                <w:rPr>
                  <w:rFonts w:ascii="Arial" w:cs="Arial" w:eastAsia="Arial" w:hAnsi="Arial"/>
                  <w:sz w:val="16"/>
                  <w:szCs w:val="16"/>
                  <w:color w:val="0000FF"/>
                </w:rPr>
                <w:t>the</w:t>
              </w:r>
            </w:hyperlink>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w:anchor="page54">
              <w:r>
                <w:rPr>
                  <w:rFonts w:ascii="Arial" w:cs="Arial" w:eastAsia="Arial" w:hAnsi="Arial"/>
                  <w:sz w:val="16"/>
                  <w:szCs w:val="16"/>
                  <w:color w:val="0000FF"/>
                </w:rPr>
                <w:t>Sarbanes-Oxley Act of 2002.</w:t>
              </w:r>
            </w:hyperlink>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gridSpan w:val="10"/>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Certification of the Chief Financial Officer, pursuant to Rule</w:t>
              </w:r>
            </w:hyperlink>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gridSpan w:val="10"/>
          </w:tcPr>
          <w:p>
            <w:pPr>
              <w:spacing w:after="0" w:line="142" w:lineRule="exact"/>
              <w:rPr>
                <w:rFonts w:ascii="Arial" w:cs="Arial" w:eastAsia="Arial" w:hAnsi="Arial"/>
                <w:sz w:val="16"/>
                <w:szCs w:val="16"/>
                <w:color w:val="0000FF"/>
              </w:rPr>
            </w:pPr>
            <w:hyperlink w:anchor="page55">
              <w:r>
                <w:rPr>
                  <w:rFonts w:ascii="Arial" w:cs="Arial" w:eastAsia="Arial" w:hAnsi="Arial"/>
                  <w:sz w:val="16"/>
                  <w:szCs w:val="16"/>
                  <w:color w:val="0000FF"/>
                </w:rPr>
                <w:t>13a-14(a)/15d-14(a), as adopted pursuant to Section 302 of the</w:t>
              </w:r>
            </w:hyperlink>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w:anchor="page55">
              <w:r>
                <w:rPr>
                  <w:rFonts w:ascii="Arial" w:cs="Arial" w:eastAsia="Arial" w:hAnsi="Arial"/>
                  <w:sz w:val="16"/>
                  <w:szCs w:val="16"/>
                  <w:color w:val="0000FF"/>
                </w:rPr>
                <w:t>Sarbanes-Oxley Act of 2002.</w:t>
              </w:r>
            </w:hyperlink>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gridSpan w:val="10"/>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Certification of the Chief Executive Officer, pursuant to 18</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top w:val="single" w:sz="8" w:color="0000FF"/>
            </w:tcBorders>
            <w:gridSpan w:val="4"/>
          </w:tcPr>
          <w:p>
            <w:pPr>
              <w:spacing w:after="0" w:line="142" w:lineRule="exact"/>
              <w:rPr>
                <w:rFonts w:ascii="Arial" w:cs="Arial" w:eastAsia="Arial" w:hAnsi="Arial"/>
                <w:sz w:val="16"/>
                <w:szCs w:val="16"/>
                <w:color w:val="0000FF"/>
              </w:rPr>
            </w:pPr>
            <w:hyperlink w:anchor="page56">
              <w:r>
                <w:rPr>
                  <w:rFonts w:ascii="Arial" w:cs="Arial" w:eastAsia="Arial" w:hAnsi="Arial"/>
                  <w:sz w:val="16"/>
                  <w:szCs w:val="16"/>
                  <w:color w:val="0000FF"/>
                </w:rPr>
                <w:t>U.S.C. Section 1350, as adopted pursuant to Section 906</w:t>
              </w:r>
            </w:hyperlink>
          </w:p>
        </w:tc>
        <w:tc>
          <w:tcPr>
            <w:tcW w:w="580" w:type="dxa"/>
            <w:vAlign w:val="bottom"/>
            <w:gridSpan w:val="6"/>
          </w:tcPr>
          <w:p>
            <w:pPr>
              <w:ind w:left="60"/>
              <w:spacing w:after="0" w:line="142" w:lineRule="exact"/>
              <w:rPr>
                <w:rFonts w:ascii="Arial" w:cs="Arial" w:eastAsia="Arial" w:hAnsi="Arial"/>
                <w:sz w:val="16"/>
                <w:szCs w:val="16"/>
                <w:color w:val="0000FF"/>
              </w:rPr>
            </w:pPr>
            <w:hyperlink w:anchor="page56">
              <w:r>
                <w:rPr>
                  <w:rFonts w:ascii="Arial" w:cs="Arial" w:eastAsia="Arial" w:hAnsi="Arial"/>
                  <w:sz w:val="16"/>
                  <w:szCs w:val="16"/>
                  <w:color w:val="0000FF"/>
                </w:rPr>
                <w:t>of</w:t>
              </w:r>
            </w:hyperlink>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56">
              <w:r>
                <w:rPr>
                  <w:rFonts w:ascii="Arial" w:cs="Arial" w:eastAsia="Arial" w:hAnsi="Arial"/>
                  <w:sz w:val="16"/>
                  <w:szCs w:val="16"/>
                  <w:color w:val="0000FF"/>
                </w:rPr>
                <w:t>the Sarbanes-Oxley Act of 2002.</w:t>
              </w:r>
            </w:hyperlink>
          </w:p>
        </w:tc>
        <w:tc>
          <w:tcPr>
            <w:tcW w:w="1960" w:type="dxa"/>
            <w:vAlign w:val="bottom"/>
            <w:tcBorders>
              <w:top w:val="single" w:sz="8" w:color="0000FF"/>
            </w:tcBorders>
            <w:gridSpan w:val="5"/>
          </w:tcPr>
          <w:p>
            <w:pPr>
              <w:spacing w:after="0"/>
              <w:rPr>
                <w:sz w:val="12"/>
                <w:szCs w:val="12"/>
                <w:color w:val="auto"/>
              </w:rPr>
            </w:pPr>
          </w:p>
        </w:tc>
        <w:tc>
          <w:tcPr>
            <w:tcW w:w="38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gridSpan w:val="10"/>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Certification of the Chief Financial Officer, pursuant to 18</w:t>
              </w:r>
            </w:hyperlink>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tcBorders>
            <w:gridSpan w:val="3"/>
          </w:tcPr>
          <w:p>
            <w:pPr>
              <w:spacing w:after="0" w:line="142" w:lineRule="exact"/>
              <w:rPr>
                <w:rFonts w:ascii="Arial" w:cs="Arial" w:eastAsia="Arial" w:hAnsi="Arial"/>
                <w:sz w:val="16"/>
                <w:szCs w:val="16"/>
                <w:color w:val="0000FF"/>
                <w:w w:val="99"/>
              </w:rPr>
            </w:pPr>
            <w:hyperlink w:anchor="page57">
              <w:r>
                <w:rPr>
                  <w:rFonts w:ascii="Arial" w:cs="Arial" w:eastAsia="Arial" w:hAnsi="Arial"/>
                  <w:sz w:val="16"/>
                  <w:szCs w:val="16"/>
                  <w:color w:val="0000FF"/>
                  <w:w w:val="99"/>
                </w:rPr>
                <w:t>U.S.C. Section 1350, as adopted pursuant to Section 906</w:t>
              </w:r>
            </w:hyperlink>
          </w:p>
        </w:tc>
        <w:tc>
          <w:tcPr>
            <w:tcW w:w="620" w:type="dxa"/>
            <w:vAlign w:val="bottom"/>
            <w:gridSpan w:val="7"/>
          </w:tcPr>
          <w:p>
            <w:pPr>
              <w:ind w:left="100"/>
              <w:spacing w:after="0" w:line="142" w:lineRule="exact"/>
              <w:rPr>
                <w:rFonts w:ascii="Arial" w:cs="Arial" w:eastAsia="Arial" w:hAnsi="Arial"/>
                <w:sz w:val="16"/>
                <w:szCs w:val="16"/>
                <w:color w:val="0000FF"/>
              </w:rPr>
            </w:pPr>
            <w:hyperlink w:anchor="page57">
              <w:r>
                <w:rPr>
                  <w:rFonts w:ascii="Arial" w:cs="Arial" w:eastAsia="Arial" w:hAnsi="Arial"/>
                  <w:sz w:val="16"/>
                  <w:szCs w:val="16"/>
                  <w:color w:val="0000FF"/>
                </w:rPr>
                <w:t>of</w:t>
              </w:r>
            </w:hyperlink>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57">
              <w:r>
                <w:rPr>
                  <w:rFonts w:ascii="Arial" w:cs="Arial" w:eastAsia="Arial" w:hAnsi="Arial"/>
                  <w:sz w:val="16"/>
                  <w:szCs w:val="16"/>
                  <w:color w:val="0000FF"/>
                </w:rPr>
                <w:t>the Sarbanes-Oxley Act of 2002.</w:t>
              </w:r>
            </w:hyperlink>
          </w:p>
        </w:tc>
        <w:tc>
          <w:tcPr>
            <w:tcW w:w="1960" w:type="dxa"/>
            <w:vAlign w:val="bottom"/>
            <w:tcBorders>
              <w:top w:val="single" w:sz="8" w:color="0000FF"/>
            </w:tcBorders>
            <w:gridSpan w:val="5"/>
          </w:tcPr>
          <w:p>
            <w:pPr>
              <w:spacing w:after="0"/>
              <w:rPr>
                <w:sz w:val="12"/>
                <w:szCs w:val="12"/>
                <w:color w:val="auto"/>
              </w:rPr>
            </w:pPr>
          </w:p>
        </w:tc>
        <w:tc>
          <w:tcPr>
            <w:tcW w:w="38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7"/>
                <w:szCs w:val="17"/>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gridSpan w:val="10"/>
          </w:tcPr>
          <w:p>
            <w:pPr>
              <w:spacing w:after="0" w:line="162" w:lineRule="exact"/>
              <w:rPr>
                <w:sz w:val="20"/>
                <w:szCs w:val="20"/>
                <w:color w:val="auto"/>
              </w:rPr>
            </w:pPr>
            <w:r>
              <w:rPr>
                <w:rFonts w:ascii="Arial" w:cs="Arial" w:eastAsia="Arial" w:hAnsi="Arial"/>
                <w:sz w:val="16"/>
                <w:szCs w:val="16"/>
                <w:color w:val="auto"/>
              </w:rPr>
              <w:t>not appear in the Interactive Data File because its XBRL tags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are embedded within the Inline XBRL document.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5"/>
                <w:szCs w:val="15"/>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Inline XBRL Taxonomy Extension Calculation Linkbase</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5"/>
                <w:szCs w:val="15"/>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5"/>
                <w:szCs w:val="15"/>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Inline XBRL Taxonomy Extension Definition Linkbase</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gridSpan w:val="10"/>
          </w:tcPr>
          <w:p>
            <w:pPr>
              <w:spacing w:after="0"/>
              <w:rPr>
                <w:sz w:val="20"/>
                <w:szCs w:val="20"/>
                <w:color w:val="auto"/>
              </w:rPr>
            </w:pPr>
            <w:r>
              <w:rPr>
                <w:rFonts w:ascii="Arial" w:cs="Arial" w:eastAsia="Arial" w:hAnsi="Arial"/>
                <w:sz w:val="16"/>
                <w:szCs w:val="16"/>
                <w:color w:val="auto"/>
              </w:rPr>
              <w:t>contained in Exhibit 101)</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Huron Consulting Group Inc.</w:t>
            </w:r>
          </w:p>
        </w:tc>
      </w:tr>
      <w:tr>
        <w:trPr>
          <w:trHeight w:val="223"/>
        </w:trPr>
        <w:tc>
          <w:tcPr>
            <w:tcW w:w="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49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gridSpan w:val="2"/>
          </w:tcPr>
          <w:p>
            <w:pPr>
              <w:ind w:left="220"/>
              <w:spacing w:after="0"/>
              <w:rPr>
                <w:sz w:val="20"/>
                <w:szCs w:val="20"/>
                <w:color w:val="auto"/>
              </w:rPr>
            </w:pPr>
            <w:r>
              <w:rPr>
                <w:rFonts w:ascii="Arial" w:cs="Arial" w:eastAsia="Arial" w:hAnsi="Arial"/>
                <w:sz w:val="18"/>
                <w:szCs w:val="18"/>
                <w:color w:val="auto"/>
              </w:rPr>
              <w:t>November 2, 2020</w:t>
            </w:r>
          </w:p>
        </w:tc>
        <w:tc>
          <w:tcPr>
            <w:tcW w:w="520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D. K</w:t>
            </w:r>
            <w:r>
              <w:rPr>
                <w:rFonts w:ascii="Arial" w:cs="Arial" w:eastAsia="Arial" w:hAnsi="Arial"/>
                <w:sz w:val="14"/>
                <w:szCs w:val="14"/>
                <w:color w:val="auto"/>
              </w:rPr>
              <w:t>ELLY</w:t>
            </w:r>
          </w:p>
        </w:tc>
      </w:tr>
      <w:tr>
        <w:trPr>
          <w:trHeight w:val="223"/>
        </w:trPr>
        <w:tc>
          <w:tcPr>
            <w:tcW w:w="680" w:type="dxa"/>
            <w:vAlign w:val="bottom"/>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2940" w:type="dxa"/>
            <w:vAlign w:val="bottom"/>
          </w:tcPr>
          <w:p>
            <w:pPr>
              <w:spacing w:after="0"/>
              <w:rPr>
                <w:sz w:val="19"/>
                <w:szCs w:val="19"/>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6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200" w:type="dxa"/>
            <w:vAlign w:val="bottom"/>
          </w:tcPr>
          <w:p>
            <w:pPr>
              <w:ind w:left="1560"/>
              <w:spacing w:after="0" w:line="189" w:lineRule="exact"/>
              <w:rPr>
                <w:sz w:val="20"/>
                <w:szCs w:val="20"/>
                <w:color w:val="auto"/>
              </w:rPr>
            </w:pPr>
            <w:r>
              <w:rPr>
                <w:rFonts w:ascii="Arial" w:cs="Arial" w:eastAsia="Arial" w:hAnsi="Arial"/>
                <w:sz w:val="18"/>
                <w:szCs w:val="18"/>
                <w:color w:val="auto"/>
              </w:rPr>
              <w:t>Executive Vice President,</w:t>
            </w:r>
          </w:p>
        </w:tc>
      </w:tr>
      <w:tr>
        <w:trPr>
          <w:trHeight w:val="217"/>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40"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November 2, 2020</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H. ROTH</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James H. Roth</w:t>
            </w:r>
          </w:p>
        </w:tc>
      </w:tr>
      <w:tr>
        <w:trPr>
          <w:trHeight w:val="230"/>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ectPr>
          <w:pgSz w:w="11900" w:h="16838" w:orient="portrait"/>
          <w:cols w:equalWidth="0" w:num="1">
            <w:col w:w="11240"/>
          </w:cols>
          <w:pgMar w:left="320" w:top="886"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November 2, 2020</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60" w:type="dxa"/>
            <w:vAlign w:val="bottom"/>
          </w:tcPr>
          <w:p>
            <w:pPr>
              <w:jc w:val="center"/>
              <w:spacing w:after="0" w:line="189" w:lineRule="exact"/>
              <w:rPr>
                <w:sz w:val="20"/>
                <w:szCs w:val="20"/>
                <w:color w:val="auto"/>
              </w:rPr>
            </w:pPr>
            <w:r>
              <w:rPr>
                <w:rFonts w:ascii="Arial" w:cs="Arial" w:eastAsia="Arial" w:hAnsi="Arial"/>
                <w:sz w:val="18"/>
                <w:szCs w:val="18"/>
                <w:color w:val="auto"/>
                <w:w w:val="98"/>
              </w:rPr>
              <w:t>Executive Vice President,</w:t>
            </w:r>
          </w:p>
        </w:tc>
      </w:tr>
      <w:tr>
        <w:trPr>
          <w:trHeight w:val="217"/>
        </w:trPr>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40"/>
          </w:cols>
          <w:pgMar w:left="320" w:top="886"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9"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September 30, 2020 as filed with the Securities and Exchange Commission on the date hereof (the "Report"), I, James H. Roth, Chief Executive Officer of the Company, hereby certify, pursuant to 18 U.S.C. Section 1350, as adopted pursuant to Section 906 of the Sarbanes-Oxley Act of 2002, that:</w:t>
      </w:r>
    </w:p>
    <w:p>
      <w:pPr>
        <w:spacing w:after="0" w:line="150" w:lineRule="exact"/>
        <w:rPr>
          <w:sz w:val="20"/>
          <w:szCs w:val="20"/>
          <w:color w:val="auto"/>
        </w:rPr>
      </w:pPr>
    </w:p>
    <w:p>
      <w:pPr>
        <w:ind w:left="840" w:hanging="346"/>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November 2, 2020</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tc>
      </w:tr>
      <w:tr>
        <w:trPr>
          <w:trHeight w:val="223"/>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James H. Roth</w:t>
            </w:r>
          </w:p>
        </w:tc>
      </w:tr>
      <w:tr>
        <w:trPr>
          <w:trHeight w:val="230"/>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240"/>
          </w:cols>
          <w:pgMar w:left="320" w:top="88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September 30, 2020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50" w:lineRule="exact"/>
        <w:rPr>
          <w:sz w:val="20"/>
          <w:szCs w:val="20"/>
          <w:color w:val="auto"/>
        </w:rPr>
      </w:pPr>
    </w:p>
    <w:p>
      <w:pPr>
        <w:ind w:left="840" w:hanging="34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November 2, 2020</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D. K</w:t>
            </w:r>
            <w:r>
              <w:rPr>
                <w:rFonts w:ascii="Arial" w:cs="Arial" w:eastAsia="Arial" w:hAnsi="Arial"/>
                <w:sz w:val="14"/>
                <w:szCs w:val="14"/>
                <w:color w:val="auto"/>
              </w:rPr>
              <w:t>ELLY</w:t>
            </w:r>
          </w:p>
        </w:tc>
      </w:tr>
      <w:tr>
        <w:trPr>
          <w:trHeight w:val="223"/>
        </w:trPr>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60" w:type="dxa"/>
            <w:vAlign w:val="bottom"/>
          </w:tcPr>
          <w:p>
            <w:pPr>
              <w:jc w:val="center"/>
              <w:spacing w:after="0" w:line="189" w:lineRule="exact"/>
              <w:rPr>
                <w:sz w:val="20"/>
                <w:szCs w:val="20"/>
                <w:color w:val="auto"/>
              </w:rPr>
            </w:pPr>
            <w:r>
              <w:rPr>
                <w:rFonts w:ascii="Arial" w:cs="Arial" w:eastAsia="Arial" w:hAnsi="Arial"/>
                <w:sz w:val="18"/>
                <w:szCs w:val="18"/>
                <w:color w:val="auto"/>
                <w:w w:val="98"/>
              </w:rPr>
              <w:t>Executive Vice President,</w:t>
            </w:r>
          </w:p>
        </w:tc>
      </w:tr>
      <w:tr>
        <w:trPr>
          <w:trHeight w:val="217"/>
        </w:trPr>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lowerRoman"/>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1)"/>
      <w:numFmt w:val="decimal"/>
      <w:start w:val="6"/>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2020-11-02T15:51:45Z</dcterms:created>
  <dcterms:modified xsi:type="dcterms:W3CDTF">2020-11-02T15:51:45Z</dcterms:modified>
</cp:coreProperties>
</file>