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5"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ind w:left="35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137160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3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2760" w:right="700" w:hanging="2757"/>
        <w:spacing w:after="0" w:line="381"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34290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32" w:lineRule="exact"/>
        <w:rPr>
          <w:sz w:val="24"/>
          <w:szCs w:val="24"/>
          <w:color w:val="auto"/>
        </w:rPr>
      </w:pPr>
    </w:p>
    <w:p>
      <w:pPr>
        <w:sectPr>
          <w:pgSz w:w="11900" w:h="16838" w:orient="portrait"/>
          <w:cols w:equalWidth="0" w:num="2">
            <w:col w:w="940" w:space="380"/>
            <w:col w:w="992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25"/>
          <w:szCs w:val="25"/>
          <w:b w:val="1"/>
          <w:bCs w:val="1"/>
          <w:color w:val="auto"/>
        </w:rPr>
        <w:t>HURON CONSULTING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109220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20" w:type="dxa"/>
            <w:vAlign w:val="bottom"/>
          </w:tcPr>
          <w:p>
            <w:pPr>
              <w:jc w:val="center"/>
              <w:ind w:left="1378"/>
              <w:spacing w:after="0"/>
              <w:rPr>
                <w:sz w:val="20"/>
                <w:szCs w:val="20"/>
                <w:color w:val="auto"/>
              </w:rPr>
            </w:pPr>
            <w:r>
              <w:rPr>
                <w:rFonts w:ascii="Arial" w:cs="Arial" w:eastAsia="Arial" w:hAnsi="Arial"/>
                <w:sz w:val="18"/>
                <w:szCs w:val="18"/>
                <w:b w:val="1"/>
                <w:bCs w:val="1"/>
                <w:color w:val="auto"/>
                <w:w w:val="98"/>
              </w:rPr>
              <w:t>Delaware</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tcPr>
          <w:p>
            <w:pPr>
              <w:ind w:left="700"/>
              <w:spacing w:after="0"/>
              <w:rPr>
                <w:sz w:val="20"/>
                <w:szCs w:val="20"/>
                <w:color w:val="auto"/>
              </w:rPr>
            </w:pPr>
            <w:r>
              <w:rPr>
                <w:rFonts w:ascii="Arial" w:cs="Arial" w:eastAsia="Arial" w:hAnsi="Arial"/>
                <w:sz w:val="18"/>
                <w:szCs w:val="18"/>
                <w:b w:val="1"/>
                <w:bCs w:val="1"/>
                <w:color w:val="auto"/>
              </w:rPr>
              <w:t>01-0666114</w:t>
            </w:r>
          </w:p>
        </w:tc>
      </w:tr>
      <w:tr>
        <w:trPr>
          <w:trHeight w:val="148"/>
        </w:trPr>
        <w:tc>
          <w:tcPr>
            <w:tcW w:w="3720" w:type="dxa"/>
            <w:vAlign w:val="bottom"/>
          </w:tcPr>
          <w:p>
            <w:pPr>
              <w:jc w:val="center"/>
              <w:ind w:left="137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720" w:type="dxa"/>
            <w:vAlign w:val="bottom"/>
          </w:tcPr>
          <w:p>
            <w:pPr>
              <w:jc w:val="center"/>
              <w:ind w:left="1378"/>
              <w:spacing w:after="0"/>
              <w:rPr>
                <w:sz w:val="20"/>
                <w:szCs w:val="20"/>
                <w:color w:val="auto"/>
              </w:rPr>
            </w:pPr>
            <w:r>
              <w:rPr>
                <w:rFonts w:ascii="Arial" w:cs="Arial" w:eastAsia="Arial" w:hAnsi="Arial"/>
                <w:sz w:val="14"/>
                <w:szCs w:val="14"/>
                <w:b w:val="1"/>
                <w:bCs w:val="1"/>
                <w:color w:val="auto"/>
              </w:rPr>
              <w:t>incorporation or organization)</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tcPr>
          <w:p>
            <w:pPr>
              <w:ind w:left="420"/>
              <w:spacing w:after="0"/>
              <w:rPr>
                <w:sz w:val="20"/>
                <w:szCs w:val="20"/>
                <w:color w:val="auto"/>
              </w:rPr>
            </w:pPr>
            <w:r>
              <w:rPr>
                <w:rFonts w:ascii="Arial" w:cs="Arial" w:eastAsia="Arial" w:hAnsi="Arial"/>
                <w:sz w:val="14"/>
                <w:szCs w:val="14"/>
                <w:b w:val="1"/>
                <w:bCs w:val="1"/>
                <w:color w:val="auto"/>
              </w:rPr>
              <w:t>Identification Number)</w:t>
            </w:r>
          </w:p>
        </w:tc>
      </w:tr>
      <w:tr>
        <w:trPr>
          <w:trHeight w:val="259"/>
        </w:trPr>
        <w:tc>
          <w:tcPr>
            <w:tcW w:w="3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5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9"/>
              </w:rPr>
              <w:t>550 West Van Buren Street</w:t>
            </w:r>
          </w:p>
        </w:tc>
        <w:tc>
          <w:tcPr>
            <w:tcW w:w="4120" w:type="dxa"/>
            <w:vAlign w:val="bottom"/>
          </w:tcPr>
          <w:p>
            <w:pPr>
              <w:spacing w:after="0"/>
              <w:rPr>
                <w:sz w:val="22"/>
                <w:szCs w:val="22"/>
                <w:color w:val="auto"/>
              </w:rPr>
            </w:pPr>
          </w:p>
        </w:tc>
      </w:tr>
      <w:tr>
        <w:trPr>
          <w:trHeight w:val="216"/>
        </w:trPr>
        <w:tc>
          <w:tcPr>
            <w:tcW w:w="3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Chicago, Illinois</w:t>
            </w:r>
          </w:p>
        </w:tc>
        <w:tc>
          <w:tcPr>
            <w:tcW w:w="4120" w:type="dxa"/>
            <w:vAlign w:val="bottom"/>
          </w:tcPr>
          <w:p>
            <w:pPr>
              <w:spacing w:after="0"/>
              <w:rPr>
                <w:sz w:val="18"/>
                <w:szCs w:val="18"/>
                <w:color w:val="auto"/>
              </w:rPr>
            </w:pPr>
          </w:p>
        </w:tc>
      </w:tr>
      <w:tr>
        <w:trPr>
          <w:trHeight w:val="226"/>
        </w:trPr>
        <w:tc>
          <w:tcPr>
            <w:tcW w:w="3720" w:type="dxa"/>
            <w:vAlign w:val="bottom"/>
          </w:tcPr>
          <w:p>
            <w:pPr>
              <w:spacing w:after="0"/>
              <w:rPr>
                <w:sz w:val="19"/>
                <w:szCs w:val="19"/>
                <w:color w:val="auto"/>
              </w:rPr>
            </w:pPr>
          </w:p>
        </w:tc>
        <w:tc>
          <w:tcPr>
            <w:tcW w:w="2920" w:type="dxa"/>
            <w:vAlign w:val="bottom"/>
            <w:gridSpan w:val="3"/>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1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162"/>
        </w:trPr>
        <w:tc>
          <w:tcPr>
            <w:tcW w:w="3720" w:type="dxa"/>
            <w:vAlign w:val="bottom"/>
          </w:tcPr>
          <w:p>
            <w:pPr>
              <w:spacing w:after="0"/>
              <w:rPr>
                <w:sz w:val="14"/>
                <w:szCs w:val="14"/>
                <w:color w:val="auto"/>
              </w:rPr>
            </w:pPr>
          </w:p>
        </w:tc>
        <w:tc>
          <w:tcPr>
            <w:tcW w:w="7220" w:type="dxa"/>
            <w:vAlign w:val="bottom"/>
            <w:gridSpan w:val="5"/>
          </w:tcPr>
          <w:p>
            <w:pPr>
              <w:jc w:val="center"/>
              <w:ind w:right="3339"/>
              <w:spacing w:after="0"/>
              <w:rPr>
                <w:sz w:val="20"/>
                <w:szCs w:val="20"/>
                <w:color w:val="auto"/>
              </w:rPr>
            </w:pPr>
            <w:r>
              <w:rPr>
                <w:rFonts w:ascii="Arial" w:cs="Arial" w:eastAsia="Arial" w:hAnsi="Arial"/>
                <w:sz w:val="14"/>
                <w:szCs w:val="14"/>
                <w:b w:val="1"/>
                <w:bCs w:val="1"/>
                <w:color w:val="auto"/>
              </w:rPr>
              <w:t>(Address of principal executive offices)</w:t>
            </w:r>
          </w:p>
        </w:tc>
      </w:tr>
      <w:tr>
        <w:trPr>
          <w:trHeight w:val="190"/>
        </w:trPr>
        <w:tc>
          <w:tcPr>
            <w:tcW w:w="3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(Zip Code)</w:t>
            </w:r>
          </w:p>
        </w:tc>
        <w:tc>
          <w:tcPr>
            <w:tcW w:w="4120" w:type="dxa"/>
            <w:vAlign w:val="bottom"/>
          </w:tcPr>
          <w:p>
            <w:pPr>
              <w:spacing w:after="0"/>
              <w:rPr>
                <w:sz w:val="16"/>
                <w:szCs w:val="16"/>
                <w:color w:val="auto"/>
              </w:rPr>
            </w:pPr>
          </w:p>
        </w:tc>
      </w:tr>
      <w:tr>
        <w:trPr>
          <w:trHeight w:val="296"/>
        </w:trPr>
        <w:tc>
          <w:tcPr>
            <w:tcW w:w="3720" w:type="dxa"/>
            <w:vAlign w:val="bottom"/>
          </w:tcPr>
          <w:p>
            <w:pPr>
              <w:spacing w:after="0"/>
              <w:rPr>
                <w:sz w:val="24"/>
                <w:szCs w:val="24"/>
                <w:color w:val="auto"/>
              </w:rPr>
            </w:pPr>
          </w:p>
        </w:tc>
        <w:tc>
          <w:tcPr>
            <w:tcW w:w="2920" w:type="dxa"/>
            <w:vAlign w:val="bottom"/>
            <w:gridSpan w:val="3"/>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1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90"/>
        </w:trPr>
        <w:tc>
          <w:tcPr>
            <w:tcW w:w="3720" w:type="dxa"/>
            <w:vAlign w:val="bottom"/>
          </w:tcPr>
          <w:p>
            <w:pPr>
              <w:spacing w:after="0"/>
              <w:rPr>
                <w:sz w:val="16"/>
                <w:szCs w:val="16"/>
                <w:color w:val="auto"/>
              </w:rPr>
            </w:pPr>
          </w:p>
        </w:tc>
        <w:tc>
          <w:tcPr>
            <w:tcW w:w="7220" w:type="dxa"/>
            <w:vAlign w:val="bottom"/>
            <w:gridSpan w:val="5"/>
          </w:tcPr>
          <w:p>
            <w:pPr>
              <w:jc w:val="center"/>
              <w:ind w:right="333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60"/>
        </w:trPr>
        <w:tc>
          <w:tcPr>
            <w:tcW w:w="432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273"/>
        </w:trPr>
        <w:tc>
          <w:tcPr>
            <w:tcW w:w="6820" w:type="dxa"/>
            <w:vAlign w:val="bottom"/>
            <w:gridSpan w:val="5"/>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4120" w:type="dxa"/>
            <w:vAlign w:val="bottom"/>
          </w:tcPr>
          <w:p>
            <w:pPr>
              <w:spacing w:after="0"/>
              <w:rPr>
                <w:sz w:val="23"/>
                <w:szCs w:val="23"/>
                <w:color w:val="auto"/>
              </w:rPr>
            </w:pPr>
          </w:p>
        </w:tc>
      </w:tr>
      <w:tr>
        <w:trPr>
          <w:trHeight w:val="125"/>
        </w:trPr>
        <w:tc>
          <w:tcPr>
            <w:tcW w:w="3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2"/>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r>
      <w:tr>
        <w:trPr>
          <w:trHeight w:val="210"/>
        </w:trPr>
        <w:tc>
          <w:tcPr>
            <w:tcW w:w="3720" w:type="dxa"/>
            <w:vAlign w:val="bottom"/>
            <w:tcBorders>
              <w:left w:val="single" w:sz="8" w:color="auto"/>
              <w:bottom w:val="single" w:sz="8" w:color="auto"/>
            </w:tcBorders>
          </w:tcPr>
          <w:p>
            <w:pPr>
              <w:jc w:val="center"/>
              <w:ind w:left="198"/>
              <w:spacing w:after="0"/>
              <w:rPr>
                <w:sz w:val="20"/>
                <w:szCs w:val="20"/>
                <w:color w:val="auto"/>
              </w:rPr>
            </w:pPr>
            <w:r>
              <w:rPr>
                <w:rFonts w:ascii="Arial" w:cs="Arial" w:eastAsia="Arial" w:hAnsi="Arial"/>
                <w:sz w:val="17"/>
                <w:szCs w:val="17"/>
                <w:b w:val="1"/>
                <w:bCs w:val="1"/>
                <w:color w:val="auto"/>
              </w:rPr>
              <w:t>Title of each class</w:t>
            </w: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7"/>
                <w:szCs w:val="17"/>
                <w:b w:val="1"/>
                <w:bCs w:val="1"/>
                <w:color w:val="auto"/>
              </w:rPr>
              <w:t>Trading Symbol(s)</w:t>
            </w:r>
          </w:p>
        </w:tc>
        <w:tc>
          <w:tcPr>
            <w:tcW w:w="4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8"/>
        </w:trPr>
        <w:tc>
          <w:tcPr>
            <w:tcW w:w="3720" w:type="dxa"/>
            <w:vAlign w:val="bottom"/>
            <w:tcBorders>
              <w:left w:val="single" w:sz="8" w:color="auto"/>
              <w:bottom w:val="single" w:sz="8" w:color="auto"/>
            </w:tcBorders>
          </w:tcPr>
          <w:p>
            <w:pPr>
              <w:jc w:val="center"/>
              <w:ind w:left="198"/>
              <w:spacing w:after="0"/>
              <w:rPr>
                <w:sz w:val="20"/>
                <w:szCs w:val="20"/>
                <w:color w:val="auto"/>
              </w:rPr>
            </w:pPr>
            <w:r>
              <w:rPr>
                <w:rFonts w:ascii="Arial" w:cs="Arial" w:eastAsia="Arial" w:hAnsi="Arial"/>
                <w:sz w:val="17"/>
                <w:szCs w:val="17"/>
                <w:color w:val="auto"/>
              </w:rPr>
              <w:t>Common Stock, par value $0.01 per share</w:t>
            </w: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7"/>
                <w:szCs w:val="17"/>
                <w:color w:val="auto"/>
              </w:rPr>
              <w:t>HURN</w:t>
            </w:r>
          </w:p>
        </w:tc>
        <w:tc>
          <w:tcPr>
            <w:tcW w:w="41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7"/>
                <w:szCs w:val="17"/>
                <w:color w:val="auto"/>
              </w:rPr>
              <w:t>NASDAQ Global Select Market</w:t>
            </w:r>
          </w:p>
        </w:tc>
      </w:tr>
    </w:tbl>
    <w:p>
      <w:pPr>
        <w:spacing w:after="0" w:line="88" w:lineRule="exact"/>
        <w:rPr>
          <w:sz w:val="24"/>
          <w:szCs w:val="24"/>
          <w:color w:val="auto"/>
        </w:rPr>
      </w:pPr>
    </w:p>
    <w:p>
      <w:pPr>
        <w:jc w:val="both"/>
        <w:ind w:right="300"/>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80"/>
        <w:spacing w:after="0" w:line="21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5"/>
        </w:trPr>
        <w:tc>
          <w:tcPr>
            <w:tcW w:w="23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right="8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320"/>
        <w:spacing w:after="0" w:line="26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66" w:lineRule="exact"/>
        <w:rPr>
          <w:sz w:val="24"/>
          <w:szCs w:val="24"/>
          <w:color w:val="auto"/>
        </w:rPr>
      </w:pPr>
    </w:p>
    <w:p>
      <w:pPr>
        <w:spacing w:after="0"/>
        <w:rPr>
          <w:sz w:val="20"/>
          <w:szCs w:val="20"/>
          <w:color w:val="auto"/>
        </w:rPr>
      </w:pPr>
      <w:r>
        <w:rPr>
          <w:rFonts w:ascii="Arial" w:cs="Arial" w:eastAsia="Arial" w:hAnsi="Arial"/>
          <w:sz w:val="17"/>
          <w:szCs w:val="17"/>
          <w:color w:val="auto"/>
        </w:rPr>
        <w:t>As of October 26, 2021, 21,917,598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20320</wp:posOffset>
            </wp:positionV>
            <wp:extent cx="6763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 w:type="dxa"/>
            <w:vAlign w:val="bottom"/>
          </w:tcPr>
          <w:p>
            <w:pPr>
              <w:spacing w:after="0"/>
              <w:rPr>
                <w:sz w:val="16"/>
                <w:szCs w:val="16"/>
                <w:color w:val="auto"/>
              </w:rPr>
            </w:pPr>
          </w:p>
        </w:tc>
        <w:tc>
          <w:tcPr>
            <w:tcW w:w="9820" w:type="dxa"/>
            <w:vAlign w:val="bottom"/>
            <w:gridSpan w:val="20"/>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820" w:type="dxa"/>
            <w:vAlign w:val="bottom"/>
            <w:gridSpan w:val="20"/>
            <w:vMerge w:val="continue"/>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Financial Statements (Unaudited)</w:t>
              </w:r>
            </w:hyperlink>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Borders>
              <w:top w:val="single" w:sz="8" w:color="0000FF"/>
            </w:tcBorders>
            <w:gridSpan w:val="8"/>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Balance Sheets</w:t>
              </w:r>
            </w:hyperlink>
          </w:p>
        </w:tc>
        <w:tc>
          <w:tcPr>
            <w:tcW w:w="1400" w:type="dxa"/>
            <w:vAlign w:val="bottom"/>
            <w:tcBorders>
              <w:top w:val="single" w:sz="8" w:color="0000FF"/>
            </w:tcBorders>
            <w:gridSpan w:val="4"/>
          </w:tcPr>
          <w:p>
            <w:pPr>
              <w:spacing w:after="0"/>
              <w:rPr>
                <w:sz w:val="18"/>
                <w:szCs w:val="18"/>
                <w:color w:val="auto"/>
              </w:rPr>
            </w:pPr>
          </w:p>
        </w:tc>
        <w:tc>
          <w:tcPr>
            <w:tcW w:w="4820" w:type="dxa"/>
            <w:vAlign w:val="bottom"/>
            <w:gridSpan w:val="6"/>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Statements of Operations and Other Comprehensive Income</w:t>
              </w:r>
            </w:hyperlink>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Stockholders’ Equity</w:t>
              </w:r>
            </w:hyperlink>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10"/>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Statements of Cash Flows</w:t>
              </w:r>
            </w:hyperlink>
          </w:p>
        </w:tc>
        <w:tc>
          <w:tcPr>
            <w:tcW w:w="680" w:type="dxa"/>
            <w:vAlign w:val="bottom"/>
            <w:gridSpan w:val="3"/>
          </w:tcPr>
          <w:p>
            <w:pPr>
              <w:spacing w:after="0"/>
              <w:rPr>
                <w:sz w:val="18"/>
                <w:szCs w:val="18"/>
                <w:color w:val="auto"/>
              </w:rPr>
            </w:pPr>
          </w:p>
        </w:tc>
        <w:tc>
          <w:tcPr>
            <w:tcW w:w="4700" w:type="dxa"/>
            <w:vAlign w:val="bottom"/>
            <w:gridSpan w:val="5"/>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0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Notes to Consolidated Financial Statements</w:t>
              </w:r>
            </w:hyperlink>
          </w:p>
        </w:tc>
        <w:tc>
          <w:tcPr>
            <w:tcW w:w="5080" w:type="dxa"/>
            <w:vAlign w:val="bottom"/>
            <w:gridSpan w:val="7"/>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rFonts w:ascii="Arial" w:cs="Arial" w:eastAsia="Arial" w:hAnsi="Arial"/>
                <w:sz w:val="18"/>
                <w:szCs w:val="18"/>
                <w:color w:val="0000FF"/>
                <w:w w:val="99"/>
              </w:rPr>
            </w:pPr>
            <w:hyperlink w:anchor="page24">
              <w:r>
                <w:rPr>
                  <w:rFonts w:ascii="Arial" w:cs="Arial" w:eastAsia="Arial" w:hAnsi="Arial"/>
                  <w:sz w:val="18"/>
                  <w:szCs w:val="18"/>
                  <w:color w:val="0000FF"/>
                  <w:w w:val="99"/>
                </w:rPr>
                <w:t>Management’s Discussion and Analysis of Financial Condition and Results of Operations</w:t>
              </w:r>
            </w:hyperlink>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3880" w:type="dxa"/>
            <w:vAlign w:val="bottom"/>
            <w:gridSpan w:val="4"/>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20" w:type="dxa"/>
            <w:vAlign w:val="bottom"/>
            <w:tcBorders>
              <w:bottom w:val="single" w:sz="8" w:color="0000FF"/>
            </w:tcBorders>
            <w:gridSpan w:val="4"/>
          </w:tcPr>
          <w:p>
            <w:pPr>
              <w:spacing w:after="0"/>
              <w:rPr>
                <w:rFonts w:ascii="Arial" w:cs="Arial" w:eastAsia="Arial" w:hAnsi="Arial"/>
                <w:sz w:val="18"/>
                <w:szCs w:val="18"/>
                <w:b w:val="1"/>
                <w:bCs w:val="1"/>
                <w:color w:val="0000FF"/>
                <w:w w:val="99"/>
              </w:rPr>
            </w:pPr>
            <w:hyperlink w:anchor="page46">
              <w:r>
                <w:rPr>
                  <w:rFonts w:ascii="Arial" w:cs="Arial" w:eastAsia="Arial" w:hAnsi="Arial"/>
                  <w:sz w:val="18"/>
                  <w:szCs w:val="18"/>
                  <w:b w:val="1"/>
                  <w:bCs w:val="1"/>
                  <w:color w:val="0000FF"/>
                  <w:w w:val="99"/>
                </w:rPr>
                <w:t>Part II – Other Information</w:t>
              </w:r>
            </w:hyperlink>
          </w:p>
        </w:tc>
        <w:tc>
          <w:tcPr>
            <w:tcW w:w="7600" w:type="dxa"/>
            <w:vAlign w:val="bottom"/>
            <w:gridSpan w:val="16"/>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FF"/>
                <w:w w:val="97"/>
              </w:rPr>
            </w:pPr>
            <w:hyperlink w:anchor="page46">
              <w:r>
                <w:rPr>
                  <w:rFonts w:ascii="Arial" w:cs="Arial" w:eastAsia="Arial" w:hAnsi="Arial"/>
                  <w:sz w:val="18"/>
                  <w:szCs w:val="18"/>
                  <w:color w:val="0000FF"/>
                  <w:w w:val="97"/>
                </w:rPr>
                <w:t>Risk Factors</w:t>
              </w:r>
            </w:hyperlink>
          </w:p>
        </w:tc>
        <w:tc>
          <w:tcPr>
            <w:tcW w:w="480" w:type="dxa"/>
            <w:vAlign w:val="bottom"/>
            <w:gridSpan w:val="3"/>
          </w:tcPr>
          <w:p>
            <w:pPr>
              <w:spacing w:after="0"/>
              <w:rPr>
                <w:sz w:val="22"/>
                <w:szCs w:val="22"/>
                <w:color w:val="auto"/>
              </w:rPr>
            </w:pPr>
          </w:p>
        </w:tc>
        <w:tc>
          <w:tcPr>
            <w:tcW w:w="7100" w:type="dxa"/>
            <w:vAlign w:val="bottom"/>
            <w:gridSpan w:val="12"/>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858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Unregistered Sales of Equity Securities and Use of Proceeds</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Defaults Upon Senior Securities</w:t>
              </w:r>
            </w:hyperlink>
          </w:p>
        </w:tc>
        <w:tc>
          <w:tcPr>
            <w:tcW w:w="3740" w:type="dxa"/>
            <w:vAlign w:val="bottom"/>
            <w:gridSpan w:val="3"/>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6040" w:type="dxa"/>
            <w:vAlign w:val="bottom"/>
            <w:gridSpan w:val="9"/>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rFonts w:ascii="Arial" w:cs="Arial" w:eastAsia="Arial" w:hAnsi="Arial"/>
                <w:sz w:val="18"/>
                <w:szCs w:val="18"/>
                <w:color w:val="0000FF"/>
                <w:w w:val="98"/>
              </w:rPr>
            </w:pPr>
            <w:hyperlink w:anchor="page47">
              <w:r>
                <w:rPr>
                  <w:rFonts w:ascii="Arial" w:cs="Arial" w:eastAsia="Arial" w:hAnsi="Arial"/>
                  <w:sz w:val="18"/>
                  <w:szCs w:val="18"/>
                  <w:color w:val="0000FF"/>
                  <w:w w:val="98"/>
                </w:rPr>
                <w:t>Other Information</w:t>
              </w:r>
            </w:hyperlink>
          </w:p>
        </w:tc>
        <w:tc>
          <w:tcPr>
            <w:tcW w:w="520" w:type="dxa"/>
            <w:vAlign w:val="bottom"/>
            <w:gridSpan w:val="2"/>
          </w:tcPr>
          <w:p>
            <w:pPr>
              <w:spacing w:after="0"/>
              <w:rPr>
                <w:sz w:val="22"/>
                <w:szCs w:val="22"/>
                <w:color w:val="auto"/>
              </w:rPr>
            </w:pPr>
          </w:p>
        </w:tc>
        <w:tc>
          <w:tcPr>
            <w:tcW w:w="6660" w:type="dxa"/>
            <w:vAlign w:val="bottom"/>
            <w:gridSpan w:val="11"/>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7180" w:type="dxa"/>
            <w:vAlign w:val="bottom"/>
            <w:gridSpan w:val="13"/>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40" w:type="dxa"/>
            <w:vAlign w:val="bottom"/>
            <w:gridSpan w:val="2"/>
            <w:vMerge w:val="restart"/>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Signature</w:t>
              </w:r>
            </w:hyperlink>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6"/>
        </w:trPr>
        <w:tc>
          <w:tcPr>
            <w:tcW w:w="3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943"/>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PART I - FINANCIAL INFORMATION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6"/>
        </w:trPr>
        <w:tc>
          <w:tcPr>
            <w:tcW w:w="1400" w:type="dxa"/>
            <w:vAlign w:val="bottom"/>
          </w:tcPr>
          <w:p>
            <w:pPr>
              <w:spacing w:after="0"/>
              <w:rPr>
                <w:sz w:val="24"/>
                <w:szCs w:val="24"/>
                <w:color w:val="auto"/>
              </w:rPr>
            </w:pPr>
          </w:p>
        </w:tc>
        <w:tc>
          <w:tcPr>
            <w:tcW w:w="6820" w:type="dxa"/>
            <w:vAlign w:val="bottom"/>
          </w:tcPr>
          <w:p>
            <w:pPr>
              <w:ind w:left="3040"/>
              <w:spacing w:after="0"/>
              <w:rPr>
                <w:sz w:val="20"/>
                <w:szCs w:val="20"/>
                <w:color w:val="auto"/>
              </w:rPr>
            </w:pPr>
            <w:r>
              <w:rPr>
                <w:rFonts w:ascii="Arial" w:cs="Arial" w:eastAsia="Arial" w:hAnsi="Arial"/>
                <w:sz w:val="18"/>
                <w:szCs w:val="18"/>
                <w:b w:val="1"/>
                <w:bCs w:val="1"/>
                <w:color w:val="auto"/>
              </w:rPr>
              <w:t>HURON CONSULTING GROUP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7"/>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9"/>
        </w:trPr>
        <w:tc>
          <w:tcPr>
            <w:tcW w:w="140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67,177</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$8,236 and $7,680, respectively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111,548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87,687</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$2,738 and $2,603, respectively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53,959</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5,121</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16,569</w:t>
            </w: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233,343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230,513</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4,191</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71,030</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39,360</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62,068</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20,483</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594,237</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1,050,975</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14,874</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133,830</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r>
      <w:tr>
        <w:trPr>
          <w:trHeight w:val="229"/>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revenues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28,247</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186,869</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47,131</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portion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202,780</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61,825</w:t>
            </w:r>
          </w:p>
        </w:tc>
      </w:tr>
      <w:tr>
        <w:trPr>
          <w:trHeight w:val="229"/>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non-current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312,164</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88"/>
        </w:trPr>
        <w:tc>
          <w:tcPr>
            <w:tcW w:w="82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Common stock; $0.01 par value; 500,000,000 shares authorized; 24,377,457 and 25,346,916 shares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issued, respectively</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2,457,456 and 2,584,119 shares, respectively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(129,886)</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409,910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454,512</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214,009</w:t>
            </w: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551,942</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1,050,975</w:t>
            </w:r>
          </w:p>
        </w:tc>
      </w:tr>
      <w:tr>
        <w:trPr>
          <w:trHeight w:val="21"/>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495"/>
              <w:spacing w:after="0"/>
              <w:rPr>
                <w:sz w:val="20"/>
                <w:szCs w:val="20"/>
                <w:color w:val="auto"/>
              </w:rPr>
            </w:pPr>
            <w:r>
              <w:rPr>
                <w:rFonts w:ascii="Arial" w:cs="Arial" w:eastAsia="Arial" w:hAnsi="Arial"/>
                <w:sz w:val="17"/>
                <w:szCs w:val="17"/>
                <w:b w:val="1"/>
                <w:bCs w:val="1"/>
                <w:color w:val="auto"/>
              </w:rPr>
              <w:t>Nine Months Ended</w:t>
            </w:r>
          </w:p>
        </w:tc>
      </w:tr>
      <w:tr>
        <w:trPr>
          <w:trHeight w:val="216"/>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9"/>
              </w:rPr>
              <w:t>September 30,</w:t>
            </w:r>
          </w:p>
        </w:tc>
        <w:tc>
          <w:tcPr>
            <w:tcW w:w="300" w:type="dxa"/>
            <w:vAlign w:val="bottom"/>
          </w:tcPr>
          <w:p>
            <w:pPr>
              <w:spacing w:after="0"/>
              <w:rPr>
                <w:sz w:val="18"/>
                <w:szCs w:val="18"/>
                <w:color w:val="auto"/>
              </w:rPr>
            </w:pPr>
          </w:p>
        </w:tc>
        <w:tc>
          <w:tcPr>
            <w:tcW w:w="246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September 30,</w:t>
            </w:r>
          </w:p>
        </w:tc>
      </w:tr>
      <w:tr>
        <w:trPr>
          <w:trHeight w:val="209"/>
        </w:trPr>
        <w:tc>
          <w:tcPr>
            <w:tcW w:w="56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r>
      <w:tr>
        <w:trPr>
          <w:trHeight w:val="196"/>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and reimbursable expenses: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224,007</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205,304</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657,346</w:t>
            </w:r>
          </w:p>
        </w:tc>
        <w:tc>
          <w:tcPr>
            <w:tcW w:w="1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645,780</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25,133</w:t>
            </w:r>
          </w:p>
        </w:tc>
      </w:tr>
      <w:tr>
        <w:trPr>
          <w:trHeight w:val="208"/>
        </w:trPr>
        <w:tc>
          <w:tcPr>
            <w:tcW w:w="5660" w:type="dxa"/>
            <w:vAlign w:val="bottom"/>
          </w:tcPr>
          <w:p>
            <w:pPr>
              <w:ind w:left="360"/>
              <w:spacing w:after="0" w:line="192" w:lineRule="exact"/>
              <w:rPr>
                <w:sz w:val="20"/>
                <w:szCs w:val="20"/>
                <w:color w:val="auto"/>
              </w:rPr>
            </w:pPr>
            <w:r>
              <w:rPr>
                <w:rFonts w:ascii="Arial" w:cs="Arial" w:eastAsia="Arial" w:hAnsi="Arial"/>
                <w:sz w:val="17"/>
                <w:szCs w:val="17"/>
                <w:color w:val="auto"/>
              </w:rPr>
              <w:t>Total revenues and reimbursable expenses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227,697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208,164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666,222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670,913</w:t>
            </w:r>
          </w:p>
        </w:tc>
      </w:tr>
      <w:tr>
        <w:trPr>
          <w:trHeight w:val="171"/>
        </w:trPr>
        <w:tc>
          <w:tcPr>
            <w:tcW w:w="56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b w:val="1"/>
                <w:bCs w:val="1"/>
                <w:color w:val="auto"/>
              </w:rPr>
              <w:t xml:space="preserve">Direct costs and reimbursable expenses </w:t>
            </w:r>
            <w:r>
              <w:rPr>
                <w:rFonts w:ascii="Arial" w:cs="Arial" w:eastAsia="Arial" w:hAnsi="Arial"/>
                <w:sz w:val="17"/>
                <w:szCs w:val="17"/>
                <w:color w:val="auto"/>
              </w:rPr>
              <w:t>(exclusive of depreciation and</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shown in operating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Direct costs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153,902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145,459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463,543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451,221</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 and software development costs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4,005</w:t>
            </w:r>
          </w:p>
        </w:tc>
      </w:tr>
      <w:tr>
        <w:trPr>
          <w:trHeight w:val="214"/>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25,095</w:t>
            </w:r>
          </w:p>
        </w:tc>
      </w:tr>
      <w:tr>
        <w:trPr>
          <w:trHeight w:val="212"/>
        </w:trPr>
        <w:tc>
          <w:tcPr>
            <w:tcW w:w="566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Total direct costs and reimbursable expenses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149,669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475,521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480,321</w:t>
            </w:r>
          </w:p>
        </w:tc>
      </w:tr>
      <w:tr>
        <w:trPr>
          <w:trHeight w:val="196"/>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Operating expenses and other losses (gains), net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126,864</w:t>
            </w: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1,777</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and other losses (gains)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16,286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18,483</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charges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59,816</w:t>
            </w:r>
          </w:p>
        </w:tc>
      </w:tr>
      <w:tr>
        <w:trPr>
          <w:trHeight w:val="207"/>
        </w:trPr>
        <w:tc>
          <w:tcPr>
            <w:tcW w:w="5660" w:type="dxa"/>
            <w:vAlign w:val="bottom"/>
            <w:tcBorders>
              <w:bottom w:val="single" w:sz="8" w:color="CCEEFF"/>
            </w:tcBorders>
          </w:tcPr>
          <w:p>
            <w:pPr>
              <w:ind w:left="360"/>
              <w:spacing w:after="0" w:line="192" w:lineRule="exact"/>
              <w:rPr>
                <w:sz w:val="20"/>
                <w:szCs w:val="20"/>
                <w:color w:val="auto"/>
              </w:rPr>
            </w:pPr>
            <w:r>
              <w:rPr>
                <w:rFonts w:ascii="Arial" w:cs="Arial" w:eastAsia="Arial" w:hAnsi="Arial"/>
                <w:sz w:val="17"/>
                <w:szCs w:val="17"/>
                <w:color w:val="auto"/>
              </w:rPr>
              <w:t>Total operating expenses and other losses (gains), net</w:t>
            </w: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50,665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44,796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148,026</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206,790</w:t>
            </w:r>
          </w:p>
        </w:tc>
      </w:tr>
      <w:tr>
        <w:trPr>
          <w:trHeight w:val="212"/>
        </w:trPr>
        <w:tc>
          <w:tcPr>
            <w:tcW w:w="56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Operating income (loss)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(16,198)</w:t>
            </w:r>
          </w:p>
        </w:tc>
      </w:tr>
      <w:tr>
        <w:trPr>
          <w:trHeight w:val="216"/>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(7,516)</w:t>
            </w:r>
          </w:p>
        </w:tc>
      </w:tr>
      <w:tr>
        <w:trPr>
          <w:trHeight w:val="214"/>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w:t>
            </w:r>
          </w:p>
        </w:tc>
      </w:tr>
      <w:tr>
        <w:trPr>
          <w:trHeight w:val="211"/>
        </w:trPr>
        <w:tc>
          <w:tcPr>
            <w:tcW w:w="566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Total other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(6,829)</w:t>
            </w:r>
          </w:p>
        </w:tc>
      </w:tr>
      <w:tr>
        <w:trPr>
          <w:trHeight w:val="208"/>
        </w:trPr>
        <w:tc>
          <w:tcPr>
            <w:tcW w:w="5660" w:type="dxa"/>
            <w:vAlign w:val="bottom"/>
          </w:tcPr>
          <w:p>
            <w:pPr>
              <w:ind w:left="20"/>
              <w:spacing w:after="0" w:line="192" w:lineRule="exact"/>
              <w:rPr>
                <w:sz w:val="20"/>
                <w:szCs w:val="20"/>
                <w:color w:val="auto"/>
              </w:rPr>
            </w:pPr>
            <w:r>
              <w:rPr>
                <w:rFonts w:ascii="Arial" w:cs="Arial" w:eastAsia="Arial" w:hAnsi="Arial"/>
                <w:sz w:val="17"/>
                <w:szCs w:val="17"/>
                <w:color w:val="auto"/>
              </w:rPr>
              <w:t>Income (loss) from continuing operations before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15,695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38,887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(23,027)</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(5,413)</w:t>
            </w:r>
          </w:p>
        </w:tc>
      </w:tr>
      <w:tr>
        <w:trPr>
          <w:trHeight w:val="208"/>
        </w:trPr>
        <w:tc>
          <w:tcPr>
            <w:tcW w:w="5660" w:type="dxa"/>
            <w:vAlign w:val="bottom"/>
          </w:tcPr>
          <w:p>
            <w:pPr>
              <w:ind w:left="20"/>
              <w:spacing w:after="0" w:line="192" w:lineRule="exact"/>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13,727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31,929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(17,614)</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08"/>
        </w:trPr>
        <w:tc>
          <w:tcPr>
            <w:tcW w:w="5660" w:type="dxa"/>
            <w:vAlign w:val="bottom"/>
          </w:tcPr>
          <w:p>
            <w:pPr>
              <w:ind w:left="20"/>
              <w:spacing w:after="0" w:line="192" w:lineRule="exact"/>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13,727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11,058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31,929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(17,703)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56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Net earnings (loss) per basic share: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5660" w:type="dxa"/>
            <w:vAlign w:val="bottom"/>
          </w:tcPr>
          <w:p>
            <w:pPr>
              <w:ind w:left="36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0.65</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(0.81)</w:t>
            </w:r>
          </w:p>
        </w:tc>
      </w:tr>
      <w:tr>
        <w:trPr>
          <w:trHeight w:val="218"/>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 net of tax</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8"/>
        </w:trPr>
        <w:tc>
          <w:tcPr>
            <w:tcW w:w="5660" w:type="dxa"/>
            <w:vAlign w:val="bottom"/>
          </w:tcPr>
          <w:p>
            <w:pPr>
              <w:ind w:left="360"/>
              <w:spacing w:after="0" w:line="192" w:lineRule="exact"/>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56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Net earnings (loss) per diluted share: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5660" w:type="dxa"/>
            <w:vAlign w:val="bottom"/>
          </w:tcPr>
          <w:p>
            <w:pPr>
              <w:ind w:left="36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0.64</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(0.81)</w:t>
            </w:r>
          </w:p>
        </w:tc>
      </w:tr>
      <w:tr>
        <w:trPr>
          <w:trHeight w:val="218"/>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 net of tax</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tcPr>
          <w:p>
            <w:pPr>
              <w:ind w:left="360"/>
              <w:spacing w:after="0" w:line="192" w:lineRule="exact"/>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56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Weighted average shares used in calculating earnings (loss) per share: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5660" w:type="dxa"/>
            <w:vAlign w:val="bottom"/>
          </w:tcPr>
          <w:p>
            <w:pPr>
              <w:ind w:left="360"/>
              <w:spacing w:after="0"/>
              <w:rPr>
                <w:sz w:val="20"/>
                <w:szCs w:val="20"/>
                <w:color w:val="auto"/>
              </w:rPr>
            </w:pPr>
            <w:r>
              <w:rPr>
                <w:rFonts w:ascii="Arial" w:cs="Arial" w:eastAsia="Arial" w:hAnsi="Arial"/>
                <w:sz w:val="17"/>
                <w:szCs w:val="17"/>
                <w:color w:val="auto"/>
              </w:rPr>
              <w:t>Basic</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21,905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21,574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21,868</w:t>
            </w:r>
          </w:p>
        </w:tc>
      </w:tr>
      <w:tr>
        <w:trPr>
          <w:trHeight w:val="218"/>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21,868</w:t>
            </w:r>
          </w:p>
        </w:tc>
      </w:tr>
      <w:tr>
        <w:trPr>
          <w:trHeight w:val="216"/>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(17,703)</w:t>
            </w: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(294)</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 (loss) on investment, net of tax</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w:t>
            </w:r>
          </w:p>
        </w:tc>
      </w:tr>
      <w:tr>
        <w:trPr>
          <w:trHeight w:val="214"/>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Unrealized gain (loss) on cash flow hedging instruments, net of tax</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(3,633)</w:t>
            </w:r>
          </w:p>
        </w:tc>
      </w:tr>
      <w:tr>
        <w:trPr>
          <w:trHeight w:val="211"/>
        </w:trPr>
        <w:tc>
          <w:tcPr>
            <w:tcW w:w="56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(4,978)</w:t>
            </w:r>
          </w:p>
        </w:tc>
      </w:tr>
      <w:tr>
        <w:trPr>
          <w:trHeight w:val="208"/>
        </w:trPr>
        <w:tc>
          <w:tcPr>
            <w:tcW w:w="5660" w:type="dxa"/>
            <w:vAlign w:val="bottom"/>
          </w:tcPr>
          <w:p>
            <w:pPr>
              <w:ind w:left="20"/>
              <w:spacing w:after="0" w:line="192" w:lineRule="exact"/>
              <w:rPr>
                <w:sz w:val="20"/>
                <w:szCs w:val="20"/>
                <w:color w:val="auto"/>
              </w:rPr>
            </w:pPr>
            <w:r>
              <w:rPr>
                <w:rFonts w:ascii="Arial" w:cs="Arial" w:eastAsia="Arial" w:hAnsi="Arial"/>
                <w:sz w:val="17"/>
                <w:szCs w:val="17"/>
                <w:color w:val="auto"/>
              </w:rPr>
              <w:t>Comprehensive income (loss)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32,053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(22,681)</w:t>
            </w:r>
          </w:p>
        </w:tc>
      </w:tr>
      <w:tr>
        <w:trPr>
          <w:trHeight w:val="22"/>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9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9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320" w:type="dxa"/>
            <w:vAlign w:val="bottom"/>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8"/>
                <w:szCs w:val="8"/>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24,321,728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(2,899,933)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(135,364)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429,084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232,211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11,964</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538,138</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14,948</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45,190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5,693</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(12,489)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(518,045)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(24,981)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(24,986)</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23,853,873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(2,911,051)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(135,903)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409,910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245,938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533,368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32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24,586,236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(2,786,798)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(128,646)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450,391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209,088</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4,935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536,014</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16,081</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51,860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6,800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(12,468)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24,644,896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(2,803,396)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454,153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220,146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555,066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3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9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9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320" w:type="dxa"/>
            <w:vAlign w:val="bottom"/>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8"/>
                <w:szCs w:val="8"/>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24,560,855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(2,812,896)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(129,886)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454,512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214,009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551,942</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31,929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32,053</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443,741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82,380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3,250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(3,254)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18,256</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(180,535)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(1,169,126)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(60,229)</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23,853,873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(2,911,051)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(135,903)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409,910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245,938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533,368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24,603,308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(2,763,302)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585,465</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(17,703)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(22,681)</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321,986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94,180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6,707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20,135</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(134,274)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(7,797)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(7,797)</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(313,998)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(20,881)</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24,644,896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(2,803,396)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454,153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220,146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555,066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7060"/>
        <w:spacing w:after="0"/>
        <w:rPr>
          <w:sz w:val="20"/>
          <w:szCs w:val="20"/>
          <w:color w:val="auto"/>
        </w:rPr>
      </w:pPr>
      <w:r>
        <w:rPr>
          <w:rFonts w:ascii="Arial" w:cs="Arial" w:eastAsia="Arial" w:hAnsi="Arial"/>
          <w:sz w:val="16"/>
          <w:szCs w:val="16"/>
          <w:b w:val="1"/>
          <w:bCs w:val="1"/>
          <w:color w:val="auto"/>
        </w:rPr>
        <w:t>Nine Months Ended</w:t>
      </w:r>
    </w:p>
    <w:p>
      <w:pPr>
        <w:jc w:val="center"/>
        <w:ind w:left="7060"/>
        <w:spacing w:after="0"/>
        <w:rPr>
          <w:sz w:val="20"/>
          <w:szCs w:val="20"/>
          <w:color w:val="auto"/>
        </w:rPr>
      </w:pPr>
      <w:r>
        <w:rPr>
          <w:rFonts w:ascii="Arial" w:cs="Arial" w:eastAsia="Arial" w:hAnsi="Arial"/>
          <w:sz w:val="16"/>
          <w:szCs w:val="16"/>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31,929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(17,703)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22,511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18,559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Goodwill impairment charges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59,816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Allowances for doubtful accounts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(16,125)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 and divestiture: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23,493</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(40,883)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9,455</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(3,426)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(25,290)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06"/>
        </w:trPr>
        <w:tc>
          <w:tcPr>
            <w:tcW w:w="7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77,985</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(5,731)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investment securities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business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(6,830)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(28,388)</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(60,229)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(22,115)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bank borrowings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283,000</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Repayments of bank borrowings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(129,362)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(240,396)</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13,517</w:t>
            </w:r>
          </w:p>
        </w:tc>
        <w:tc>
          <w:tcPr>
            <w:tcW w:w="0" w:type="dxa"/>
            <w:vAlign w:val="bottom"/>
          </w:tcPr>
          <w:p>
            <w:pPr>
              <w:spacing w:after="0"/>
              <w:rPr>
                <w:sz w:val="1"/>
                <w:szCs w:val="1"/>
                <w:color w:val="auto"/>
              </w:rPr>
            </w:pPr>
          </w:p>
        </w:tc>
      </w:tr>
      <w:tr>
        <w:trPr>
          <w:trHeight w:val="207"/>
        </w:trPr>
        <w:tc>
          <w:tcPr>
            <w:tcW w:w="76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63,141</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74,745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640" w:type="dxa"/>
            <w:vAlign w:val="bottom"/>
          </w:tcPr>
          <w:p>
            <w:pPr>
              <w:ind w:left="360"/>
              <w:spacing w:after="0" w:line="178"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360"/>
              <w:spacing w:after="0"/>
              <w:rPr>
                <w:sz w:val="20"/>
                <w:szCs w:val="20"/>
                <w:color w:val="auto"/>
              </w:rPr>
            </w:pPr>
            <w:r>
              <w:rPr>
                <w:rFonts w:ascii="Arial" w:cs="Arial" w:eastAsia="Arial" w:hAnsi="Arial"/>
                <w:sz w:val="16"/>
                <w:szCs w:val="16"/>
                <w:color w:val="auto"/>
              </w:rPr>
              <w:t>expenses and accrued payroll and related benefits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2,140</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0680"/>
          </w:cols>
          <w:pgMar w:left="320" w:top="1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0" w:right="89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Huron creates sustainable results for the organizations it serves.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and nine months ended September 30, 2021 and 2020.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2020 included in our Annual Report on Form 10-K and our Quarterly Reports on Form 10-Q for the periods ended March 31, 2021 and June 30, 2021. Our results for any interim period are not necessarily indicative of results for a full year or any other interim period.</w:t>
      </w:r>
    </w:p>
    <w:p>
      <w:pPr>
        <w:spacing w:after="0" w:line="15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first quarter of 2021, we identified an error on our previously reported consolidated balance sheet as of December 31, 2020 related to the classification between receivables from clients, unbilled services, and deferred revenues. Our consolidated balance sheet as of December 31, 2020 presented herein has been revised to reflect the correction of this error. The results of this correction on our consolidated balance sheet were a decrease in unbilled services of $7.2 million, an increase in receivables from clients of $0.7 million, and a decrease in deferred revenues of $6.5 million. This error had no impact on our consolidated statement of operations and other comprehensive income and consolidated statements of cash flows for any current or prior period. We evaluated the materiality of this error from both quantitative and qualitative perspectives and concluded that the impact of the error was not material to the financial statements for the year ended December 31, 2020.</w:t>
      </w:r>
    </w:p>
    <w:p>
      <w:pPr>
        <w:spacing w:after="0" w:line="151"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Preparation of our consolidated financial statements requires management to make estimates and assumptions that affect the amounts reported in our consolidated financial statements and related disclosures. The business and economic uncertainty resulting from the coronavirus (COVID-19) pandemic has made such estimates and assumptions more difficult to predict. Accordingly, actual results and outcomes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In October 2020, the FASB issued Accounting Standards Update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ASU 2020-10 situates all disclosure guidance within the appropriate disclosure section of the Codification and makes other improvements and technical corrections to the Codification. We adopted ASU 2020-10 effective January 1, 2021, which did not have any impact on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In January 2021, the FASB clarified the scope of that guidance with the issuance of ASU 2021-01,</w:t>
      </w:r>
      <w:r>
        <w:rPr>
          <w:rFonts w:ascii="Arial" w:cs="Arial" w:eastAsia="Arial" w:hAnsi="Arial"/>
          <w:sz w:val="18"/>
          <w:szCs w:val="18"/>
          <w:i w:val="1"/>
          <w:iCs w:val="1"/>
          <w:color w:val="auto"/>
        </w:rPr>
        <w:t xml:space="preserve"> Reference Rate Reform (Topic 848): Scope</w:t>
      </w:r>
      <w:r>
        <w:rPr>
          <w:rFonts w:ascii="Arial" w:cs="Arial" w:eastAsia="Arial" w:hAnsi="Arial"/>
          <w:sz w:val="18"/>
          <w:szCs w:val="18"/>
          <w:color w:val="auto"/>
        </w:rPr>
        <w:t>. Together, these ASUs provide optional expedients and exceptions for a limited period of time to 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burden in accounting for, or recognizing the effects of, reference rate reform on financial reporting under GAAP. This standard is optional and may be applied by entities after March 12, 2020, but no later than December 31, 2022. We have certain debt instruments and related interest rate swaps that are indexed to LIBOR; as such, we are currently evaluating the potential impact this guidance will have on our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table below sets forth the changes in the carrying amount of goodwill by reportable segment for the nine months ended September 30,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Healthcare</w:t>
            </w:r>
          </w:p>
        </w:tc>
        <w:tc>
          <w:tcPr>
            <w:tcW w:w="2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Business</w:t>
            </w:r>
          </w:p>
        </w:tc>
        <w:tc>
          <w:tcPr>
            <w:tcW w:w="220" w:type="dxa"/>
            <w:vAlign w:val="bottom"/>
          </w:tcPr>
          <w:p>
            <w:pPr>
              <w:spacing w:after="0"/>
              <w:rPr>
                <w:sz w:val="17"/>
                <w:szCs w:val="17"/>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Education</w:t>
            </w:r>
          </w:p>
        </w:tc>
        <w:tc>
          <w:tcPr>
            <w:tcW w:w="340" w:type="dxa"/>
            <w:vAlign w:val="bottom"/>
          </w:tcPr>
          <w:p>
            <w:pPr>
              <w:spacing w:after="0"/>
              <w:rPr>
                <w:sz w:val="17"/>
                <w:szCs w:val="17"/>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Advisory</w:t>
            </w: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308,935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1,050,129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(455,892)</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2020</w:t>
            </w: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594,237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Goodwill recorded in connection with a business acquisition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Goodwill, net as of September 30, 2021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597,552</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200" w:hanging="652"/>
        <w:spacing w:after="0" w:line="254"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February 1, 2021, we completed the acquisition of Unico Solution, a data strategy and technology consulting firm focused on helping clients use their data to speed business transformation and accelerate cloud adoption. The results of operations of Unico Solution are included in our consolidated financial statements and results of operations of our Business Advisory segment from the date of acquisition. This acquisition is not significant to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worldwide spread of the COVID-19 pandemic in the first quarter of 2020 created significant volatility, uncertainty and disruption to the global economy. From the onset of the COVID-19 pandemic, we closely monitored the impact it could have on all aspects of our business, including how we expect it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at the onset of the COVID-19 pandemic in the U.S. and due to the uncertainty caused by the pandemic, we were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it was more likely than not that the fair value of these two reporting units no longer exceeded their carrying values and performed an interim impairment test on both reporting units as of March 31, 2020.</w:t>
      </w:r>
    </w:p>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50"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seven-year forecasts. Our forecasts are based on historical experience, current backlog, expected market demand, and other industry information.</w:t>
      </w:r>
    </w:p>
    <w:p>
      <w:pPr>
        <w:spacing w:after="0" w:line="15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the market approach, we utilized the guideline company method, which involved calculating revenue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 applied to the reporting units' operating data to arrive at an indication of value.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2021 and December 31, 2020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As of September 30, 2021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000" w:type="dxa"/>
            <w:vAlign w:val="bottom"/>
            <w:vMerge w:val="restart"/>
          </w:tcPr>
          <w:p>
            <w:pPr>
              <w:jc w:val="center"/>
              <w:ind w:left="51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0" w:type="dxa"/>
            <w:vAlign w:val="bottom"/>
            <w:tcBorders>
              <w:top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rPr>
              <w:t>3 to 13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56,232</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0" w:type="dxa"/>
            <w:vAlign w:val="bottom"/>
          </w:tcPr>
          <w:p>
            <w:pPr>
              <w:jc w:val="center"/>
              <w:ind w:left="530"/>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software</w:t>
            </w:r>
          </w:p>
        </w:tc>
        <w:tc>
          <w:tcPr>
            <w:tcW w:w="2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2000" w:type="dxa"/>
            <w:vAlign w:val="bottom"/>
          </w:tcPr>
          <w:p>
            <w:pPr>
              <w:jc w:val="center"/>
              <w:ind w:left="530"/>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2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48"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Intangible asset amortization expense was $2.2 million and $3.2 million for the three months ended September 30, 2021 and 2020, respectively; and $6.9 million and $9.6 million for the nine months ended September 30, 2021 and 2020. The table below sets forth the estimated annual amortization expense for the intangible assets recorded as of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8"/>
                <w:szCs w:val="18"/>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30"/>
        </w:trPr>
        <w:tc>
          <w:tcPr>
            <w:tcW w:w="8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jc w:val="right"/>
              <w:ind w:right="670"/>
              <w:spacing w:after="0" w:line="230" w:lineRule="exact"/>
              <w:rPr>
                <w:sz w:val="20"/>
                <w:szCs w:val="20"/>
                <w:color w:val="auto"/>
              </w:rPr>
            </w:pPr>
            <w:r>
              <w:rPr>
                <w:rFonts w:ascii="Arial" w:cs="Arial" w:eastAsia="Arial" w:hAnsi="Arial"/>
                <w:sz w:val="18"/>
                <w:szCs w:val="18"/>
                <w:b w:val="1"/>
                <w:bCs w:val="1"/>
                <w:color w:val="auto"/>
              </w:rPr>
              <w:t>Expense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480" w:hanging="652"/>
        <w:spacing w:after="0" w:line="256" w:lineRule="auto"/>
        <w:tabs>
          <w:tab w:leader="none" w:pos="691"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 2021, we completed the divestiture of the Life Sciences business, including the sale of customer relationships previously acquired which had a net book value of $2.0 million as of September 30, 2021. The amortization of these customer relationships is included in the table above through 2024.</w:t>
      </w:r>
    </w:p>
    <w:p>
      <w:pPr>
        <w:spacing w:after="0" w:line="6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2021 and 2020, we recognized revenues of $224.0 million and $205.3 million, respectively.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$224.0 million recognized in the third quarter of 2021, we recognized revenues of $4.3 million from obligations satisfied, or partially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satisfied, in prior periods, of which $2.2 million was primarily due to the release of allowances on unbilled services and $2.1 million was due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changes in the estimates of our variable consideration under performance-based billing arrangements. Of the $205.3 million recognized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 of 2020, we recognized revenues of $7.4 million from obligations satisfied, or partially satisfied, in prior periods, of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$5.7 million was primarily due to the release of allowances on unbilled services and $1.7 million was due to changes in the estimates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variable consideration under performance-based billing arrangements.</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nine months ended September 30, 2021 and 2020, we recognized revenues of $657.3 million and $645.8 million, respectively. Of the $657.3 million recognized in the first nine months of 2021, we recognized revenues of $ 22.1 million from obligations satisfied, or partially satisfied, in prior periods, of which $14.6 million was due to changes in the estimates of our variable consideration under performance-based billing arrangements and $7.5 million was primarily due to the release of allowances on unbilled services. Of the $645.8 million recognized in the first nine months of 2020, we recognized revenues of $11.0 million from obligations satisfied, or partially satisfied, in prior periods, of which $6.5 million was due to changes in the estimates of our variable consideration under performance-based billing arrangements and $4.5 million was primarily due to the release of allowances on unbilled services.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September 30, 2021, we had $72.8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$72.8 million of performance obligations, we expect to recognize approximately $15.8 million as revenue in 2021, $30.2 million in 2022, and the remaining $ 26.8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September 30, 2021 and December 31, 2020 was $20.8 million and $17.3 million, respectively. The $3.5 million increase primarily reflects timing differences between the completion of our performance obligations and the amounts billed or billable to clients in accordance with their contractual billing terms.</w:t>
      </w:r>
    </w:p>
    <w:p>
      <w:pPr>
        <w:spacing w:after="0" w:line="15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September 30, 2021 and December 31, 2020, was $ 17.8 million and $28.2 million, respectively. The $10.4 million decrease primarily reflects timing differences between client payments in accordance with their contract terms and the completion of our performance obligations. For the three and nine months ended September 30, 2021, $1.3 million and $27.3 million of revenues recognized were included in the deferred revenue balance as of December 31, 2020.</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6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1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21,868</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basic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earnings (loss) per diluted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were less than 0.1 million shares at both September 30, 2021 and 2020, and related to unvested restricted stock.</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$ 125 million of our common stock through October 31, 2020. During the third quarter of 2021, our board of directors authorized an extension of the 2020 Share Repurchase Program through December 31, 2022 and increased the authorized amount from $50 million to $100 million.The amount and timing of repurchases under both share repurchase programs were and will continue to be determined by management and depend on a variety of factors, including the trading price of our common stock, capacity under our credit facility, general market and business conditions, and applicable legal requirements. All shares repurchased and retired are reflected as a reduction to our basic weighted average shares outstanding based on the trade date of the share repurchase.</w:t>
      </w:r>
    </w:p>
    <w:p>
      <w:pPr>
        <w:spacing w:after="0" w:line="15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three and nine months ended September 30, 2021, we repurchased and retired 518,045 and 1,169,126 shares for $25.0 million and $60.2 million, respectively, under the 2020 Share Repurchase Program. In the first quarter of 2020, we repurchased 313,998 shares for $20.9 million under the 2015 Share Repurchase Program. Additionally, in the first quarter of 2020, we settled the repurchase of 18,000 shares for $1.2 million that were accrued as of December 31, 2019. No shares were repurchased in the second or third quarters of 2020. As of September 30, 2021, $34.7 million remained available for share repurchases under our 2020 Share Repurchase Program.</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18"/>
                <w:szCs w:val="18"/>
                <w:b w:val="1"/>
                <w:bCs w:val="1"/>
                <w:color w:val="auto"/>
              </w:rPr>
              <w:t>7. Financing Arrangements</w:t>
            </w: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78"/>
        </w:trPr>
        <w:tc>
          <w:tcPr>
            <w:tcW w:w="650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2"/>
        </w:trPr>
        <w:tc>
          <w:tcPr>
            <w:tcW w:w="6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gridSpan w:val="2"/>
          </w:tcPr>
          <w:p>
            <w:pPr>
              <w:ind w:left="200"/>
              <w:spacing w:after="0" w:line="202"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6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2020</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Promissory note due 2024</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r>
      <w:tr>
        <w:trPr>
          <w:trHeight w:val="223"/>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203,279</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48"/>
        </w:trPr>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202,780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8920" w:type="dxa"/>
            <w:vAlign w:val="bottom"/>
            <w:gridSpan w:val="4"/>
          </w:tcPr>
          <w:p>
            <w:pPr>
              <w:spacing w:after="0"/>
              <w:rPr>
                <w:sz w:val="20"/>
                <w:szCs w:val="20"/>
                <w:color w:val="auto"/>
              </w:rPr>
            </w:pPr>
            <w:r>
              <w:rPr>
                <w:rFonts w:ascii="Arial" w:cs="Arial" w:eastAsia="Arial" w:hAnsi="Arial"/>
                <w:sz w:val="18"/>
                <w:szCs w:val="18"/>
                <w:color w:val="auto"/>
              </w:rPr>
              <w:t>Below is a summary of the scheduled remaining principal payments of our debt as of September 30, 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6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Principal Payments of</w:t>
            </w:r>
          </w:p>
        </w:tc>
      </w:tr>
      <w:tr>
        <w:trPr>
          <w:trHeight w:val="229"/>
        </w:trPr>
        <w:tc>
          <w:tcPr>
            <w:tcW w:w="65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261,646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80" w:firstLine="8"/>
        <w:spacing w:after="0" w:line="253"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acquired, and other specified items in accordance with the Amended Credit Agreement. For purposes of the Consolidated Leverage Ratio, total debt is on a gross basis and is not netted against our cash balances. At September 30, 2021, we were in compliance with these financial covenants with a Consolidated Leverage Ratio of 2.73 to 1.00 and a Consolidated Interest Coverage Ratio of 13.99 to 1.00.</w:t>
      </w:r>
    </w:p>
    <w:p>
      <w:pPr>
        <w:spacing w:after="0" w:line="14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Borrowings outstanding under the Amended Credit Agreement at September 30, 2021 totaled $ 260.0 million. These borrowings carried a weighted average interest rate of 2.7%, including the effect of the interest rate swaps described in Note 9 “Derivative Instruments and Hedging Activity.” Borrowings outstanding under the Amended Credit Agreement at December 31, 2020 were $200.0 million and carried a weighted average interest rate of 2.5%, including the effect of the interest rate swaps. The borrowing capacity under the revolving credit facility is reduced by any outstanding borrowings under the revolving credit facility and outstanding letters of credit. At September 30, 2021, we had outstanding letters of credit totaling $0.7 million, which are used as security deposits for our office facilities. As of September 30, 2021, the unused borrowing capacity under the revolving credit facility was $339.3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September 30, 2021, the outstanding principal amount of the promissory note was $2.9 million, and the aircraft had a carrying amount of $3.9 million. At December 31, 2020, the outstanding principal amount of the promissory note was $3.3 million, and the aircraft had a carrying amount of $4.4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Restructuring charges for the three and nine months ended September 30, 2021 were $ 1.7 million and $3.2 million, respectively. The $1.7 million of restructuring charges recognized in the third quarter of 2021 consisted of $0.7 million of third-party transaction expenses related to the evaluation of the divestiture of our Life Sciences business within our Business Advisory segment, $0.5 million of rent and related expenses, net of sublease income, for previously vacated office spaces, and $0.5 million of employee-related expenses. Of the $3.2 million restructuring charge incurred in the first nine months of 2021, $1.8 million related to rent and related expenses, net of sublease income, and accelerated depreciation on furniture and fixtures for vacated office spaces; $0.9 million related to third-party transaction expenses related to the evaluation of the divestiture of our Life Sciences business within our Business Advisory segment; and $0.5 million related to the employee-related expenses recognized in the third quarter of 2021.</w:t>
      </w:r>
    </w:p>
    <w:p>
      <w:pPr>
        <w:spacing w:after="0" w:line="15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Restructuring charges for the three and nine months ended September 30, 2020 were $0.1 million and $1.8 million, respectively. The $0.1 million charge recognized in the third quarter of 2020 primarily related to rent and related expenses, net of sublease income, for vacated office spaces. Restructuring charges recognized in the first nine months of 2020 include a $1.2 million accrual for the termination of a third-party advisor agreement, $ 0.3 million related to workforce reductions to better align resources with market demand, $0.2 million related to rent and related expenses, net of sublease income, for vacated office spaces, and $0.1 million related to workforce reductions in our corporate operations.</w:t>
      </w:r>
    </w:p>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fourth quarter of 2020, we announced a restructuring plan to reduce operating costs to address the impact of the COVID-19 pandemic on our business. The restructuring plan, which was substantially complete in the fourth quarter of 2020, provided for a reduction in certain leased office spaces and a reduction in workforce.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nine months ended September 30, 2021.</w:t>
      </w: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Employee Costs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line="185" w:lineRule="exact"/>
              <w:rPr>
                <w:sz w:val="20"/>
                <w:szCs w:val="20"/>
                <w:color w:val="auto"/>
              </w:rPr>
            </w:pPr>
            <w:r>
              <w:rPr>
                <w:rFonts w:ascii="Arial" w:cs="Arial" w:eastAsia="Arial" w:hAnsi="Arial"/>
                <w:sz w:val="18"/>
                <w:szCs w:val="18"/>
                <w:b w:val="1"/>
                <w:bCs w:val="1"/>
                <w:color w:val="auto"/>
              </w:rPr>
              <w:t>Office Space</w:t>
            </w:r>
          </w:p>
        </w:tc>
        <w:tc>
          <w:tcPr>
            <w:tcW w:w="28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6"/>
                <w:szCs w:val="16"/>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Reductions</w:t>
            </w:r>
          </w:p>
        </w:tc>
        <w:tc>
          <w:tcPr>
            <w:tcW w:w="2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Adjustments</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charge liability related to employee costs at September 30, 2021 is expected to be paid in the next 12 months and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included as a component of accrued payroll and related benefits. The employee related payments made in the first nine months of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primarily related to the fourth quarter 2020 restructuring plan. Of the $1.1 million other restructuring charge liability at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2021,$0.6 million is related to the divestiture of our Life Sciences business within our Business Advisory segment and is expected to be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and the remaining $0.5 million is related to the termination of a third-party advisor agreement expected to be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16 months. The other restructuring charge liabilities are included as a component of accrued expenses and other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and deferred compensation and other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As of September 30, 2021, it was anticipated that $1.7 million of the losses, net of tax, currently recorded in accumulated other comprehensive income will be reclassified into earnings within the next 12 months.</w:t>
      </w:r>
    </w:p>
    <w:p>
      <w:pPr>
        <w:spacing w:after="0" w:line="15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table below sets forth additional information relating to the interest rate swaps designated as a cash flow hedging instrument as of September 30, 2021 and December 31, 2020.</w:t>
      </w:r>
    </w:p>
    <w:tbl>
      <w:tblPr>
        <w:tblLayout w:type="fixed"/>
        <w:tblInd w:w="0" w:type="dxa"/>
        <w:tblCellMar>
          <w:top w:w="0" w:type="dxa"/>
          <w:left w:w="0" w:type="dxa"/>
          <w:bottom w:w="0" w:type="dxa"/>
          <w:right w:w="0" w:type="dxa"/>
        </w:tblCellMar>
      </w:tblPr>
      <w:tr>
        <w:trPr>
          <w:trHeight w:val="239"/>
        </w:trPr>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Fair Value (Derivative Asset and Liability)</w:t>
            </w:r>
          </w:p>
        </w:tc>
        <w:tc>
          <w:tcPr>
            <w:tcW w:w="0" w:type="dxa"/>
            <w:vAlign w:val="bottom"/>
          </w:tcPr>
          <w:p>
            <w:pPr>
              <w:spacing w:after="0"/>
              <w:rPr>
                <w:sz w:val="1"/>
                <w:szCs w:val="1"/>
                <w:color w:val="auto"/>
              </w:rPr>
            </w:pPr>
          </w:p>
        </w:tc>
      </w:tr>
      <w:tr>
        <w:trPr>
          <w:trHeight w:val="169"/>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2"/>
          </w:tcPr>
          <w:p>
            <w:pPr>
              <w:ind w:left="180"/>
              <w:spacing w:after="0" w:line="169"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4"/>
                <w:szCs w:val="14"/>
                <w:color w:val="auto"/>
              </w:rPr>
            </w:pPr>
          </w:p>
        </w:tc>
        <w:tc>
          <w:tcPr>
            <w:tcW w:w="18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00"/>
          </w:cols>
          <w:pgMar w:left="320" w:top="140" w:right="37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36" w:lineRule="exact"/>
        <w:rPr>
          <w:sz w:val="20"/>
          <w:szCs w:val="20"/>
          <w:color w:val="auto"/>
        </w:rPr>
      </w:pPr>
    </w:p>
    <w:p>
      <w:pPr>
        <w:sectPr>
          <w:pgSz w:w="11900" w:h="16838" w:orient="portrait"/>
          <w:cols w:equalWidth="0" w:num="2">
            <w:col w:w="1820" w:space="720"/>
            <w:col w:w="8660"/>
          </w:cols>
          <w:pgMar w:left="320" w:top="140" w:right="379" w:bottom="1440" w:gutter="0" w:footer="0" w:header="0"/>
          <w:type w:val="continuous"/>
        </w:sectPr>
      </w:pPr>
    </w:p>
    <w:p>
      <w:pPr>
        <w:ind w:left="2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7"/>
          <w:szCs w:val="17"/>
          <w:color w:val="auto"/>
        </w:rPr>
        <w:t>Unobservable inputs for the asset or liability, and include situations in which there is little, if any, market</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activity for the asset or liability.</w:t>
      </w:r>
    </w:p>
    <w:p>
      <w:pPr>
        <w:spacing w:after="0" w:line="19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September 30, 2021 and December 31, 2020.</w:t>
      </w:r>
    </w:p>
    <w:tbl>
      <w:tblPr>
        <w:tblLayout w:type="fixed"/>
        <w:tblInd w:w="0" w:type="dxa"/>
        <w:tblCellMar>
          <w:top w:w="0" w:type="dxa"/>
          <w:left w:w="0" w:type="dxa"/>
          <w:bottom w:w="0" w:type="dxa"/>
          <w:right w:w="0" w:type="dxa"/>
        </w:tblCellMar>
      </w:tblPr>
      <w:tr>
        <w:trPr>
          <w:trHeight w:val="239"/>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61,549</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37,195</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98,744</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for business acquisition</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64,364</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34,056</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98,420</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5,397</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for business acquisition</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w:t>
            </w:r>
          </w:p>
        </w:tc>
      </w:tr>
    </w:tbl>
    <w:p>
      <w:pPr>
        <w:spacing w:after="0" w:line="14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 Refer to Note 9 “Derivative Instruments and Hedging Activity” for additional information on our interest rate swaps.</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(the "initial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 Shorelight Holdings, LLC (“Shorelight”), the parent company of Shorelight, a U.S.-based company that partners with leading nonprofit universities to increase access to and retention of international students, boost institutional growth, and enhance an institution’s global footprint. In the first quarter of 2020, we invested an additional $13.0 million, in the form of 1.69% convertible debt with a</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senior liquidation preference to the initial convertible notes (the “additional convertible note”) and amended our initial convertible notes to extend the maturity date to January 17, 2024, which coincides with the maturity date of the additional convertible note.</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w:t>
      </w:r>
    </w:p>
    <w:p>
      <w:pPr>
        <w:sectPr>
          <w:pgSz w:w="11900" w:h="16838" w:orient="portrait"/>
          <w:cols w:equalWidth="0" w:num="1">
            <w:col w:w="11200"/>
          </w:cols>
          <w:pgMar w:left="320" w:top="140" w:right="37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notes are not in-substance common stock that would warrant equity method accounting. After we reviewed all of the terms of the investment, we concluded the appropriate accounting treatment to be that of an available-for-sale debt security.</w:t>
      </w:r>
    </w:p>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22.5% and 24.0% as of September 30, 2021 and December 31, 2020, respectively; and the concluded equity volatility of 45.0% as of both September 30, 2021 and December 31, 2020,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nine months ended September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typically reflects a risk-free rate, and was 2.39% and 2.41% as of September 30, 2021 and December 31, 2020, respectively.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15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nine months ended September 30, 2021.</w:t>
      </w: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rPr>
              <w:t>Contingent Consideration for</w:t>
            </w:r>
          </w:p>
        </w:tc>
      </w:tr>
      <w:tr>
        <w:trPr>
          <w:trHeight w:val="230"/>
        </w:trPr>
        <w:tc>
          <w:tcPr>
            <w:tcW w:w="8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contingent consideration for business acquisition</w:t>
            </w: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89"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In the fourth quarter of 2019, we invested $5.0 million, in the form of preferred stock, in Medically Home Group, Inc. (“Medically Home”), a healthcare technology-enabled services company. To determine the appropriate accounting treatment for our investment, we performed 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the fair value of the preferred stock using such identified transactions, with changes in the fair value recorded in consolidated statement of operations. During the nine months ended September 30, 2021, there has been no impairment, nor any observable price change related to our investment. As of September 30, 2021, the carrying amount of our preferred stock investment was $6.7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93"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The table below sets forth the components of other comprehensive income (loss), net of tax, for the three and nine months ended September 30,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9"/>
              </w:rPr>
              <w:t>Three Months Ended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9"/>
              </w:rPr>
              <w:t>Three Months Ended</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9"/>
              </w:rPr>
              <w:t>September 30, 2021</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9"/>
              </w:rPr>
              <w:t>September 30, 2020</w:t>
            </w:r>
          </w:p>
        </w:tc>
        <w:tc>
          <w:tcPr>
            <w:tcW w:w="8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Before</w:t>
            </w:r>
          </w:p>
        </w:tc>
        <w:tc>
          <w:tcPr>
            <w:tcW w:w="320" w:type="dxa"/>
            <w:vAlign w:val="bottom"/>
          </w:tcPr>
          <w:p>
            <w:pPr>
              <w:spacing w:after="0"/>
              <w:rPr>
                <w:sz w:val="14"/>
                <w:szCs w:val="14"/>
                <w:color w:val="auto"/>
              </w:rPr>
            </w:pPr>
          </w:p>
        </w:tc>
        <w:tc>
          <w:tcPr>
            <w:tcW w:w="840" w:type="dxa"/>
            <w:vAlign w:val="bottom"/>
            <w:gridSpan w:val="2"/>
          </w:tcPr>
          <w:p>
            <w:pPr>
              <w:jc w:val="center"/>
              <w:ind w:right="420"/>
              <w:spacing w:after="0" w:line="169" w:lineRule="exact"/>
              <w:rPr>
                <w:sz w:val="20"/>
                <w:szCs w:val="20"/>
                <w:color w:val="auto"/>
              </w:rPr>
            </w:pPr>
            <w:r>
              <w:rPr>
                <w:rFonts w:ascii="Arial" w:cs="Arial" w:eastAsia="Arial" w:hAnsi="Arial"/>
                <w:sz w:val="18"/>
                <w:szCs w:val="18"/>
                <w:b w:val="1"/>
                <w:bCs w:val="1"/>
                <w:color w:val="auto"/>
                <w:w w:val="96"/>
              </w:rPr>
              <w:t>Tax</w:t>
            </w:r>
          </w:p>
        </w:tc>
        <w:tc>
          <w:tcPr>
            <w:tcW w:w="28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Before</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Taxes</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Benefit</w:t>
            </w:r>
          </w:p>
        </w:tc>
        <w:tc>
          <w:tcPr>
            <w:tcW w:w="2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Taxes</w:t>
            </w: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6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9"/>
              </w:rPr>
              <w:t>Nine Months Ended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9"/>
              </w:rPr>
              <w:t>Nine Months Ended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99"/>
              </w:rPr>
              <w:t>September 30, 2021</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99"/>
              </w:rPr>
              <w:t>September 30, 2020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Before</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22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Before</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40" w:type="dxa"/>
            <w:vAlign w:val="bottom"/>
          </w:tcPr>
          <w:p>
            <w:pPr>
              <w:spacing w:after="0"/>
              <w:rPr>
                <w:sz w:val="14"/>
                <w:szCs w:val="14"/>
                <w:color w:val="auto"/>
              </w:rPr>
            </w:pP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Taxes</w:t>
            </w: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Benefit</w:t>
            </w:r>
          </w:p>
        </w:tc>
        <w:tc>
          <w:tcPr>
            <w:tcW w:w="2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Taxes</w:t>
            </w: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4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200" w:type="dxa"/>
            <w:vAlign w:val="bottom"/>
          </w:tcPr>
          <w:p>
            <w:pPr>
              <w:spacing w:after="0"/>
              <w:rPr>
                <w:sz w:val="17"/>
                <w:szCs w:val="17"/>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Available-for-Sale</w:t>
            </w:r>
          </w:p>
        </w:tc>
        <w:tc>
          <w:tcPr>
            <w:tcW w:w="180" w:type="dxa"/>
            <w:vAlign w:val="bottom"/>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Pr>
          <w:p>
            <w:pPr>
              <w:spacing w:after="0"/>
              <w:rPr>
                <w:sz w:val="17"/>
                <w:szCs w:val="17"/>
                <w:color w:val="auto"/>
              </w:rPr>
            </w:pPr>
          </w:p>
        </w:tc>
        <w:tc>
          <w:tcPr>
            <w:tcW w:w="156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Translation</w:t>
            </w:r>
          </w:p>
        </w:tc>
        <w:tc>
          <w:tcPr>
            <w:tcW w:w="200" w:type="dxa"/>
            <w:vAlign w:val="bottom"/>
          </w:tcPr>
          <w:p>
            <w:pPr>
              <w:spacing w:after="0"/>
              <w:rPr>
                <w:sz w:val="19"/>
                <w:szCs w:val="19"/>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rPr>
              <w:t>(3,926)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97"/>
              </w:rPr>
              <w:t>1,956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For the three months ended September 30, 2021, our effective tax rate was 12.5% as we recognized income tax expense from continuing operations of $2.0 million on income from continuing operations of $15.7 million. The effective tax rate of 12.5% was more favorable than the statutory rate, inclusive of state income taxes, of 26.6%, primarily due to a discrete tax benefit for U.S. federal return to provision adjustments related to the 2020 corporate income tax return.</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For the three months ended September 30, 2020, our effective tax rate was 17.7% as we recognized income tax expense from continuing operations of $2.4 million on income from continuing operations of $13.5 million. The effective tax rate of 17.7% was more favorable than the statutory rate, inclusive of state income taxes, of 26.0%, primarily due to the year-to-date pre-tax losses and the impact during the quarter of certain nondeductible expense items, including the nondeductible portion of the goodwill impairment charges, based on the attribution of those expenses to the quarter in accordance with the allocation of income tax expense on a year-to-date basis. The effective tax rate also reflected the positive impact of certain federal tax credits.</w:t>
      </w:r>
    </w:p>
    <w:p>
      <w:pPr>
        <w:spacing w:after="0" w:line="21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For the nine months ended September 30, 2021, our effective tax rate was 17.9% as we recognized income tax expense from continuing operations of $7.0 million on income from continuing operations of $38.9 million. The effective tax rate of 17.9% was more favorable than the statutory rate, inclusive of state income taxes, of 26.6% primarily due to the discrete tax benefit during the third quarter of 2021 for U.S. federal return to provision adjustment related to the 2020 corporate income tax return. The effective tax rate also reflected the positive impact of certain federal tax credits and a discrete tax benefit recognized during the second quarter of 2021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These favorable items were partially offset by certain nondeductible business expenses.</w:t>
      </w:r>
    </w:p>
    <w:p>
      <w:pPr>
        <w:spacing w:after="0" w:line="140"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For the nine months ended September 30, 2020, our effective tax rate was 23.5% as we recognized an income tax benefit from continuing operations of $5.4 million on a loss from continuing operations of $23.0 million. The effective tax rate of 23.5% was less favorable than the statutory rate, inclusive of state income taxes, of 26.0%, primarily due to certain nondeductible business expenses and the nondeductible portion of the goodwill impairment charges recorded during the first quarter of 2020. These unfavorable items were partially offset by a discrete tax benefit for share-based compensation awards that vested primarily during the first quarter, the positive impact of certain federal</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tax credits and the discrete tax benefit for the remeasurement of a portion of our income tax receivable as a result of the enactment of the Coronavirus Aid, Relief, and Economic Security Act (“CARES Act”) in the first quarter of 2020.</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CARES Act, which was signed into law on March 27, 2020,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In the first nine months of 2020, as a result of the CARES Act, we recognized a $0.8 million tax benefit related to the remeasurement of a portion of our income tax receivable due to the ability to apply the federal net operating loss incurred in 2018 to prior year income for a refund at the higher tax rate in the carryback period. As a result of electing the retroactive GILTI high-tax exclusion in the second quarter of 2021, we recognized a $1.0 million tax benefit of which $0.4 million related to carrying back our increased 2018 federal net operating loss to prior year income for a refund at the higher, prior year tax rate. During the third quarter of 2021, we recognized an additional tax benefit of $ 2.0 million, primarily related to the U.S. federal return to provision adjustments for carrying back our increased 2020 federal net operating loss to prior year income for a refund at the higher, prior year tax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November 9, 2018, Huron Consulting Services LLC, a wholly owned subsidiary of Huron, was engaged by Oaktree Medical Centre LLC, a management services organization (“Oaktree”), to perform interim management and financial advisory services. As part of the services, a Huron employee was appointed by Oaktree’s board of directors to serve as Chief Restructuring Officer of Oaktree (the “CRO”). The engagement letter through which Oaktree retained Huron’s services (the “Engagement Letter”) states that all disputes or claims arising thereunder are subject to binding arbitration, disclaims special, consequential, incidental and exemplary damages and losses and caps liability to the fees paid for the portion of the engagement giving rise to any liability. On September 19, 2019, Oaktree and certain of its affiliates filed for Chapter 7 liquidation in the U.S. Bankruptcy Court for the Western District of North Carolina, with the cases subsequently transferred to the District of South Carolina. As a result of the bankruptcy filing, a Chapter 7 trustee was appointed to oversee the bankruptcy estates, at which time Huron’s services for Oaktree concluded.</w:t>
      </w:r>
    </w:p>
    <w:p>
      <w:pPr>
        <w:spacing w:after="0" w:line="15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April 2021, Trustee’s counsel communicated in writing to Huron its intent to pursue various claims against Huron and the CRO, among others, on behalf of the bankruptcy estates related to the services carried out by Huron and the CRO during the engagement.</w:t>
      </w:r>
    </w:p>
    <w:p>
      <w:pPr>
        <w:spacing w:after="0" w:line="14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September 17, 2021, the Trustee filed a complaint in the Bankruptcy Court for the District of South Carolina against Huron and the CRO, among others (the “Complaint”), alleging breach of fiduciary duty, aiding and abetting a breach of fiduciary duty, negligence, violations of the South Carolina Unfair Trade Practices Act, fraud, civil conspiracy, unjust enrichment, and recovery of avoided transfers under sections 547, 548 and 550 of the Bankruptcy Code. In the Complaint, the Trustee asserts that Huron and the CRO, among others, did not develop and implement a Chapter 11 restructuring plan on a timely basis and that their failure to do so led to significant damages. The Trustee seeks an unspecified amount of monetary damages in the Complaint. We believe the Trustee’s allegations with respect to Huron and the CRO are without merit and will vigorously defend ourselves against the allegations raised in the Complaint. Notwithstanding the foregoing, given the inherent risk and uncertainty associated with all litigation, we cannot estimate the potential liability with respect to such allegations at this time.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Guarantees in the form of letters of credit totaling $0.7 million and $1.6 million were outstanding at September 30, 2021 and December 31, 2020, respectively, primarily to support certain office lease obligations.</w:t>
      </w:r>
    </w:p>
    <w:p>
      <w:pPr>
        <w:spacing w:after="0" w:line="144"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September 30, 2021 and December 31, 2020, the total estimated fair value of our outstanding contingent consideration liability was $1.9 million and $1.8 million, respectively.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b w:val="1"/>
          <w:bCs w:val="1"/>
          <w:color w:val="auto"/>
        </w:rPr>
      </w:pPr>
    </w:p>
    <w:p>
      <w:pPr>
        <w:ind w:left="66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national and regional hospitals, integrated health systems, academic medical centers, community hospitals, and medical groups.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and evolving their digital, technology and analytic capabilities. Our solutions help clients adapt to this rapidly changing healthcare environment to become a more agile,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93" w:lineRule="exact"/>
        <w:rPr>
          <w:rFonts w:ascii="Arial" w:cs="Arial" w:eastAsia="Arial" w:hAnsi="Arial"/>
          <w:sz w:val="18"/>
          <w:szCs w:val="18"/>
          <w:b w:val="1"/>
          <w:bCs w:val="1"/>
          <w:color w:val="auto"/>
        </w:rPr>
      </w:pPr>
    </w:p>
    <w:p>
      <w:pPr>
        <w:ind w:left="66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Business Advisory segment works with C-suite executives, boards, and business unit and functional leadership across a diverse set of organizations, including healthy, well-capitalized companies to organizations in transition, and across a broad range of industries, including financial services, healthcare, education, energy and utilities, industrials and manufacturing, and the public sector. Our Business Advisory professionals have deep industry, functional and technical expertise that they put forward when delivering our digital, technology and analytics, strategy and innovation and corporate finance and restructuring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environment.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and managing through stressed and distressed situations to create a viable path forward for stakeholders.</w:t>
      </w:r>
    </w:p>
    <w:p>
      <w:pPr>
        <w:spacing w:after="0" w:line="13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academic medical centers, research institutes and other not-for-profit organizations. Our Education professionals have a depth of expertise in strategy and innovation; business operations, including the research enterprise and student lifecycle; digital, technology and analytic solutions; and organizational transformation. Our Education segment clients are increasingly faced with financial and/or demographic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lifecycle.</w:t>
      </w:r>
    </w:p>
    <w:p>
      <w:pPr>
        <w:spacing w:after="0" w:line="157"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4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table below sets forth information about our operating segments for the three and nine months ended September 30, 2021 and 2020, along with the items necessary to reconcile the segment information to the totals reported in the accompanying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6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92,845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87,406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273,924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268,340</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30,255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70,831</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69,966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213,741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201,423</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37,284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37,306</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61,196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51,850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169,681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176,017</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14,788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37,211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41,792</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224,007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205,304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657,346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645,780</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25,133</w:t>
            </w: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227,697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208,164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666,222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670,913</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54,935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48,938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152,858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149,929</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31,374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29,042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94,536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87,826</w:t>
            </w:r>
          </w:p>
        </w:tc>
      </w:tr>
      <w:tr>
        <w:trPr>
          <w:trHeight w:val="229"/>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other losses (gains)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15,549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18,635</w:t>
            </w:r>
          </w:p>
        </w:tc>
      </w:tr>
      <w:tr>
        <w:trPr>
          <w:trHeight w:val="230"/>
        </w:trPr>
        <w:tc>
          <w:tcPr>
            <w:tcW w:w="51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Goodwill impairment charges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r>
      <w:tr>
        <w:trPr>
          <w:trHeight w:val="230"/>
        </w:trPr>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6,829</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15,695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13,475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38,887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(23,027)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20" w:hanging="652"/>
        <w:spacing w:after="0" w:line="256" w:lineRule="auto"/>
        <w:tabs>
          <w:tab w:leader="none" w:pos="47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illustrates the disaggregation of revenues by billing arrangements, employee types, and timing of revenue recognition, including a reconciliation of the disaggregated revenues to revenues from our three operating segments for the three and nine months ended September 30, 2021 and 2020.</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conjunction with our continuous evaluation of the appropriate level of disaggregation of revenues as our business evolves and in consideration of a group hire of approximately 300 employees in our Healthcare Managed Services solution within our Healthcare segment in the second quarter of 2021, we began assessing our operating performance by the following three employee types: billable consultants, full-time equivalents, and Healthcare Managed Services employees. The disaggregation of revenues by employee type previously reported for the three and nine months ended September 30, 2020 was revised below to reflect this change. This change has no impact on our consolidated total revenues or total revenues by segment.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10"/>
          </w:tcPr>
          <w:p>
            <w:pPr>
              <w:jc w:val="right"/>
              <w:ind w:right="610"/>
              <w:spacing w:after="0"/>
              <w:rPr>
                <w:sz w:val="20"/>
                <w:szCs w:val="20"/>
                <w:color w:val="auto"/>
              </w:rPr>
            </w:pPr>
            <w:r>
              <w:rPr>
                <w:rFonts w:ascii="Arial" w:cs="Arial" w:eastAsia="Arial" w:hAnsi="Arial"/>
                <w:sz w:val="18"/>
                <w:szCs w:val="18"/>
                <w:b w:val="1"/>
                <w:bCs w:val="1"/>
                <w:color w:val="auto"/>
              </w:rPr>
              <w:t>Three Months Ended September 30, 2021</w:t>
            </w: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Healthcare</w:t>
            </w:r>
          </w:p>
        </w:tc>
        <w:tc>
          <w:tcPr>
            <w:tcW w:w="14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24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56,836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102,604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91,915</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92,845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69,966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61,196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224,007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175,208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35,187</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92,845</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69,966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61,196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222,687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224,007</w:t>
            </w:r>
          </w:p>
        </w:tc>
        <w:tc>
          <w:tcPr>
            <w:tcW w:w="0" w:type="dxa"/>
            <w:vAlign w:val="bottom"/>
          </w:tcPr>
          <w:p>
            <w:pPr>
              <w:spacing w:after="0"/>
              <w:rPr>
                <w:sz w:val="1"/>
                <w:szCs w:val="1"/>
                <w:color w:val="auto"/>
              </w:rPr>
            </w:pPr>
          </w:p>
        </w:tc>
      </w:tr>
      <w:tr>
        <w:trPr>
          <w:trHeight w:val="405"/>
        </w:trPr>
        <w:tc>
          <w:tcPr>
            <w:tcW w:w="6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Nine Months Ended September 30, 2021</w:t>
            </w: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Healthcare</w:t>
            </w:r>
          </w:p>
        </w:tc>
        <w:tc>
          <w:tcPr>
            <w:tcW w:w="14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160,226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92,014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48,130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300,370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256,773</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56,941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43,262</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273,924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213,741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169,681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657,346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521,480</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100,457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35,409</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273,924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213,741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169,681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657,346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653,595</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10"/>
          </w:tcPr>
          <w:p>
            <w:pPr>
              <w:jc w:val="right"/>
              <w:ind w:right="590"/>
              <w:spacing w:after="0"/>
              <w:rPr>
                <w:sz w:val="20"/>
                <w:szCs w:val="20"/>
                <w:color w:val="auto"/>
              </w:rPr>
            </w:pPr>
            <w:r>
              <w:rPr>
                <w:rFonts w:ascii="Arial" w:cs="Arial" w:eastAsia="Arial" w:hAnsi="Arial"/>
                <w:sz w:val="18"/>
                <w:szCs w:val="18"/>
                <w:b w:val="1"/>
                <w:bCs w:val="1"/>
                <w:color w:val="auto"/>
              </w:rPr>
              <w:t>Three Months Ended September 30, 2020</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2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2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51,491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83,124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19,312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87,406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205,304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166,608</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87,406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51,850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205,304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204,124</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Revenue recognized at a point in time</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205,304</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10"/>
          </w:tcPr>
          <w:p>
            <w:pPr>
              <w:jc w:val="right"/>
              <w:ind w:right="650"/>
              <w:spacing w:after="0"/>
              <w:rPr>
                <w:sz w:val="20"/>
                <w:szCs w:val="20"/>
                <w:color w:val="auto"/>
              </w:rPr>
            </w:pPr>
            <w:r>
              <w:rPr>
                <w:rFonts w:ascii="Arial" w:cs="Arial" w:eastAsia="Arial" w:hAnsi="Arial"/>
                <w:sz w:val="18"/>
                <w:szCs w:val="18"/>
                <w:b w:val="1"/>
                <w:bCs w:val="1"/>
                <w:color w:val="auto"/>
              </w:rPr>
              <w:t>Nine Months Ended September 30, 2020</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2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158,079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73,442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35,530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267,051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285,246</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55,640</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37,843</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268,340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201,423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176,017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645,780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519,572</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104,715</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21,493</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268,340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201,423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176,017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645,780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642,951</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645,780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20" w:hanging="652"/>
        <w:spacing w:after="0" w:line="271" w:lineRule="auto"/>
        <w:tabs>
          <w:tab w:leader="none" w:pos="482" w:val="left"/>
        </w:tabs>
        <w:numPr>
          <w:ilvl w:val="0"/>
          <w:numId w:val="6"/>
        </w:numPr>
        <w:rPr>
          <w:rFonts w:ascii="Arial" w:cs="Arial" w:eastAsia="Arial" w:hAnsi="Arial"/>
          <w:sz w:val="17"/>
          <w:szCs w:val="17"/>
          <w:color w:val="auto"/>
        </w:rPr>
      </w:pPr>
      <w:r>
        <w:rPr>
          <w:rFonts w:ascii="Arial" w:cs="Arial" w:eastAsia="Arial" w:hAnsi="Arial"/>
          <w:sz w:val="17"/>
          <w:szCs w:val="17"/>
          <w:color w:val="auto"/>
        </w:rPr>
        <w:t>Billable consultants consist of our consulting professionals who provide consulting services to our clients and are billable to our clients based on the number of hours worked. Full-time equivalent professionals consist of leadership coaches and their support staff within our Culture and Organizational Excellence solution, consultants who work variable schedules as needed by our clients, and full-time employees who provide software support and maintenance services to our clients. Healthcare Managed Services employees manage and provide revenue cycle billing, collections, insurance verification and change integrity services to healthcare clients.</w:t>
      </w:r>
    </w:p>
    <w:p>
      <w:pPr>
        <w:spacing w:after="0" w:line="8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At September 30, 2021 and December 31, 2020, no single client accounted for greater than 10% of our combined balance of receivables from clients, net and unbilled services, net. During the three and nine months ended September 30, 2021 and 2020, no single client generated greater than 10% of our consolidated revenues.</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1, 2021, we completed the divestiture of our Life Sciences business to Oliver Wyman. The Life Sciences business, a reporting unit within the Business Advisory segment, provides commercial and research and development strategy, pricing and market access strategy solutions to customers in the life sciences industries. For the three and nine months ended September 30, 2021, Life Sciences revenues were $5.1 million and $14.8 million, respectively. The Life Sciences business is not significant to our consolidated financial statements and does not qualify as a discontinued operation for reporting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2020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4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93" w:lineRule="exact"/>
        <w:rPr>
          <w:rFonts w:ascii="Arial" w:cs="Arial" w:eastAsia="Arial" w:hAnsi="Arial"/>
          <w:sz w:val="18"/>
          <w:szCs w:val="18"/>
          <w:b w:val="1"/>
          <w:bCs w:val="1"/>
          <w:color w:val="auto"/>
        </w:rPr>
      </w:pPr>
    </w:p>
    <w:p>
      <w:pPr>
        <w:ind w:left="66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national and regional hospitals, integrated health systems, academic medical centers, community hospitals, and medical groups.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and evolving their digital, technology and analytic capabilities. Our solutions help clients adapt to this rapidly changing healthcare environment to become a more agile,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93" w:lineRule="exact"/>
        <w:rPr>
          <w:rFonts w:ascii="Arial" w:cs="Arial" w:eastAsia="Arial" w:hAnsi="Arial"/>
          <w:sz w:val="18"/>
          <w:szCs w:val="18"/>
          <w:color w:val="auto"/>
        </w:rPr>
      </w:pPr>
    </w:p>
    <w:p>
      <w:pPr>
        <w:ind w:left="660" w:right="60"/>
        <w:spacing w:after="0" w:line="251" w:lineRule="auto"/>
        <w:rPr>
          <w:rFonts w:ascii="Arial" w:cs="Arial" w:eastAsia="Arial" w:hAnsi="Arial"/>
          <w:sz w:val="18"/>
          <w:szCs w:val="18"/>
          <w:color w:val="auto"/>
        </w:rPr>
      </w:pPr>
      <w:r>
        <w:rPr>
          <w:rFonts w:ascii="Arial" w:cs="Arial" w:eastAsia="Arial" w:hAnsi="Arial"/>
          <w:sz w:val="18"/>
          <w:szCs w:val="18"/>
          <w:color w:val="auto"/>
        </w:rPr>
        <w:t>Our Business Advisory segment works with C-suite executives, boards, and business unit and functional leadership across a diverse set of organizations, including healthy, well-capitalized companies to organizations in transition, and across a broad range of industries, including financial services, healthcare, education, energy and utilities, industrials and manufacturing, and the public sector. Our Business Advisory professionals have deep industry, functional and technical expertise that they put forward when delivering our digital, technology and analytics, strategy and innovation and corporate finance and restructuring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environment.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and managing through stressed and distressed situations to create a viable path forward for stakeholders.</w:t>
      </w:r>
    </w:p>
    <w:p>
      <w:pPr>
        <w:sectPr>
          <w:pgSz w:w="11900" w:h="16838" w:orient="portrait"/>
          <w:cols w:equalWidth="0" w:num="1">
            <w:col w:w="11240"/>
          </w:cols>
          <w:pgMar w:left="320" w:top="140" w:right="339" w:bottom="914"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914"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93" w:lineRule="exact"/>
        <w:rPr>
          <w:rFonts w:ascii="Arial" w:cs="Arial" w:eastAsia="Arial" w:hAnsi="Arial"/>
          <w:sz w:val="18"/>
          <w:szCs w:val="18"/>
          <w:b w:val="1"/>
          <w:bCs w:val="1"/>
          <w:color w:val="auto"/>
        </w:rPr>
      </w:pPr>
    </w:p>
    <w:p>
      <w:pPr>
        <w:ind w:left="6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academic medical centers, research institutes and other not-for-profit organizations. Our Education professionals have a depth of expertise in strategy and innovation; business operations, including the research enterprise and student lifecycle; digital, technology and analytic solutions; and organizational transformation. Our Education segment clients are increasingly faced with financial and/or demographic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lifecycle.</w:t>
      </w:r>
    </w:p>
    <w:p>
      <w:pPr>
        <w:spacing w:after="0" w:line="15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Huron is an Oracle partner, a Gold-level consulting partner with Salesforce.com and a Premium Partner with Salesforce.org, a Workday Services and Software Partner, an Amazon Web Services consulting partner, a Silver-level system integrator with Informatica and an SAP Concur implementation partner.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(COVID-</w:t>
      </w:r>
      <w:r>
        <w:rPr>
          <w:rFonts w:ascii="Arial" w:cs="Arial" w:eastAsia="Arial" w:hAnsi="Arial"/>
          <w:sz w:val="18"/>
          <w:szCs w:val="18"/>
          <w:b w:val="1"/>
          <w:bCs w:val="1"/>
          <w:color w:val="auto"/>
        </w:rPr>
        <w:t>19)</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worldwide spread of COVID-19 beginning in 2020 has created significant volatility, uncertainty and disruption to the global economy. This pandemic had an unfavorable impact on aspects of our business, operations, and financial results, and caused us to significantly change the way we operate. Near the end of the first quarter of 2020, we suspended almost all business travel and our employees began working from their homes. While traditionally a majority of the work performed by our revenue-generating professionals occurred at client sites, the nature of the services we provide and enhanced available technology allows our revenue-generating professionals to effectively serve clients in a remote work environment. As federal, state and local government restrictions evolve, we continue to refine our comprehensive plan to return to our offices and client sites with our people’s safety and the needs of our clients guiding how we implement our phased transition. As of September 30, 2021, our employees continue to primarily work from their homes; however, most of our offices are open and we are providing our employees the flexibility to choose to work remotely, from our offices, or from client sites as needed and in accordance with recommended public health guidelines.</w:t>
      </w:r>
    </w:p>
    <w:p>
      <w:pPr>
        <w:spacing w:after="0" w:line="15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each of our operating segments, we are working closely with our clients to support them and their ongoing business needs and provide relevant services to address their needs caused by the COVID-19 pandemic. However, since the beginning of the pandemic, some clients reprioritized and delayed projects which negatively impacted demand for certain offerings, particularly within our Healthcare and Education segments. Conversely, the COVID-19 pandemic strengthened demand for other services we provide, such as our cloud-based technology and analytics solutions within our Business Advisory segment and our restructuring and capital advisory solutions provided to organizations in transition also within our Business Advisory segment.</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Beginning in the second quarter of 2021 and continuing through the third quarter of 2021, we saw strengthened demand for services in all of our segments compared to the same prior year period. As a result, total revenues in the first nine months of 2021 increased 1.8% compared to the first nine months of 2020, and total revenues in the third quarter of 2021 increased 9.1% compared to the third quarter of 2020. We expect continued revenue growth in the fourth quarter of 2021 compared to the fourth quarter of 2020.</w:t>
      </w:r>
    </w:p>
    <w:p>
      <w:pPr>
        <w:spacing w:after="0" w:line="1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order to support our liquidity during the COVID-19 pandemic, we took proactive measures to increase available cash on hand including, but not limited to, borrowing under our senior secured credit facility in the first quarter of 2020 and reducing discretionary operating and capital spending. In the second, third and fourth quarters of 2020, we made repayments on our borrowings to reduce our total debt outstanding to pre-pandemic levels due to our ability to maintain adequate cash flows from operations and improved clarity around access to capital resources. In the first nine months of 2021, we borrowed under our credit facility primarily to fund our annual performance bonus payment. To further support our liquidity during the COVID-19 pandemic, we elected to defer the deposit of our employer portion of social security taxes beginning in April 2020 and through December 31, 2020, as provided for under the CARES Act. These deferred payments, which totaled $12.2 million, were paid in full in the third quarter of 2021. See the “Liquidity and Capital Resources” section below for additional information on these items.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Resource Planning System Implementation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fourth quarter of 2019, we began the implementation of a new cloud-based enterprise resource planning (“ERP”) system designed to improve the efficiency of our internal finance, human resources, resource planning, and administrative operations. In January 2021, we successfully went live with the new ERP system, and we continue to progress with additional functionality and integrations as scheduled. The implementation progressed on schedule and was not significantly impacted by the COVID-19 pandemic due to the ability of our implementation team to work and collaborate remotely and the enhanced technology and cloud-based nature of our new ERP system. We believe our investment in this new system will position our teams to drive efficiencies and provide more robust management reporting and data analytics to support future growth and the goals and vision of the company.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large portion of our revenues is generated by our billable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coaches and their support staff from our Culture and Organizational Excellence solution, consultants who work variable schedules as needed by our clients, and our employees who provide software support and maintenance services to our clients. We translate the hours that these other professionals work on client engagements into a full-time equivalent measure that we use to manage our business. Another portion of our revenue is generated by our Healthcare Managed Services employees within our Healthcare segment. Our Healthcare Managed Services employees manage and provide revenue cycle billing, collections, insurance verification and change integrity services to clients. We refer to our billable consultants, full-time equivalents and Healthcare Managed Services employees as revenue-generating professionals.</w:t>
      </w:r>
    </w:p>
    <w:p>
      <w:pPr>
        <w:spacing w:after="0" w:line="15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generated by our billable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 Revenues generated by our Healthcare Managed Services employees are largely dependent on the number of Healthcare Managed Services employees we employ and the total value, scope and terms of the related contracts.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(“Partner Contracts”), which primarily consist of coaching services, as well as speaking engagements, conferences, publications and software products.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Fixed-fee engagements represented 45.8% and 40.5% of our revenues for the three months ended September 30, 2021 and 2020, respectively, and 45.7% and 41.3% of our revenues for the nine months ended September 30, 2021 and 2020, respectively.</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and the portion of our Healthcare Managed Services contracts that are billed under time-and -expense arrangements. We recognize revenues under time-and-expense billing arrangements as the related services or publications are provided. Time-and-expense engagements represented 41.0% and 44.0% of our revenues for the three months ended September 30, 2021 and 2020, respectively, and 39.1% and 44.2% of our revenues for the nine months ended September 30, 2021 and 2020, respectively.</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6.4% and 9.4% of our revenues for the three months ended September 30, 2021 and 2020, respectively, and 8.6% and 8.6% of our revenues for the nine months ended September 30, 2021 and 2020, respectively. The level of performance-based fees earned may vary based on our clients' risk sharing preferences and the mix of services we provide.</w:t>
      </w:r>
    </w:p>
    <w:p>
      <w:pPr>
        <w:spacing w:after="0" w:line="15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w:t>
      </w:r>
    </w:p>
    <w:p>
      <w:pPr>
        <w:sectPr>
          <w:pgSz w:w="11900" w:h="16838" w:orient="portrait"/>
          <w:cols w:equalWidth="0" w:num="1">
            <w:col w:w="11220"/>
          </w:cols>
          <w:pgMar w:left="320" w:top="140" w:right="359" w:bottom="90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90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ratably over the support or subscription period. These fees are generally billed in advance and included in deferred revenues until recognized. Software support, maintenance and subscription revenues represented 6.8% and 6.1% of our revenues for the three months ended September 30, 2021 and 2020, respectively, and 6.6% and 5.9% of our revenues for the nine months ended September 30, 2021 and 2020, respectively.</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quarterly results are impacted principally by our billable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5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conjunction with our continuous evaluation of the appropriate level of disaggregation of revenues as our business evolves and in consideration of a group hire of approximately 300 employees in our Healthcare Managed Services solution within our Healthcare segment in the second quarter of 2021, we began assessing our operating performance by the following three employee types: billable consultants, full-time equivalents, and Healthcare Managed Services employees. The other operating data previously reported for the three and nine months ended September 30, 2020 was revised below to reflect this change. This change has no impact on our consolidated total revenues or total revenues by segment.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20" w:right="540"/>
        <w:spacing w:after="0" w:line="256"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30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September 30,</w:t>
            </w: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-7620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4480" w:space="720"/>
            <w:col w:w="60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92,845</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87,406</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273,924</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268,340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30,255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70,831</w:t>
            </w:r>
          </w:p>
        </w:tc>
      </w:tr>
      <w:tr>
        <w:trPr>
          <w:trHeight w:val="188"/>
        </w:trPr>
        <w:tc>
          <w:tcPr>
            <w:tcW w:w="520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26.4 %</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69,966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213,741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201,423</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37,306</w:t>
            </w:r>
          </w:p>
        </w:tc>
      </w:tr>
      <w:tr>
        <w:trPr>
          <w:trHeight w:val="188"/>
        </w:trPr>
        <w:tc>
          <w:tcPr>
            <w:tcW w:w="520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61,196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51,850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169,681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176,017</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14,788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41,792</w:t>
            </w:r>
          </w:p>
        </w:tc>
      </w:tr>
      <w:tr>
        <w:trPr>
          <w:trHeight w:val="188"/>
        </w:trPr>
        <w:tc>
          <w:tcPr>
            <w:tcW w:w="520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23.7 %</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224,007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205,304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657,346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645,780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25,133</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227,697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208,164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666,222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670,913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54,935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48,938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152,858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149,929</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31,374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94,536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87,826</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Litigation and other losses (gains)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18,635</w:t>
            </w:r>
          </w:p>
        </w:tc>
      </w:tr>
      <w:tr>
        <w:trPr>
          <w:trHeight w:val="230"/>
        </w:trPr>
        <w:tc>
          <w:tcPr>
            <w:tcW w:w="52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18,306</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42,675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(16,198)</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(6,829)</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22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15,695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(23,027)</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6,958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(5,413)</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13,727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11,087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31,929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(17,614)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from continuing operations: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(0.81)</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(0.81)</w:t>
            </w:r>
          </w:p>
        </w:tc>
      </w:tr>
      <w:tr>
        <w:trPr>
          <w:trHeight w:val="891"/>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6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 xml:space="preserve">Number of billable consultants (at period end)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838</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1,001</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790</w:t>
            </w:r>
          </w:p>
        </w:tc>
      </w:tr>
      <w:tr>
        <w:trPr>
          <w:trHeight w:val="223"/>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2,629</w:t>
            </w: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billable consultants (for the period)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873</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940</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779</w:t>
            </w:r>
          </w:p>
        </w:tc>
      </w:tr>
      <w:tr>
        <w:trPr>
          <w:trHeight w:val="223"/>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2,592</w:t>
            </w:r>
          </w:p>
        </w:tc>
      </w:tr>
      <w:tr>
        <w:trPr>
          <w:trHeight w:val="229"/>
        </w:trPr>
        <w:tc>
          <w:tcPr>
            <w:tcW w:w="524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Billable consultant utilization rate </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70.2 %</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72.6 %</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71.7 %</w:t>
            </w:r>
          </w:p>
        </w:tc>
      </w:tr>
      <w:tr>
        <w:trPr>
          <w:trHeight w:val="229"/>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71.5 %</w:t>
            </w: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Billable consultant average billing rate per hour </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218</w:t>
            </w: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3"/>
                <w:szCs w:val="23"/>
                <w:color w:val="auto"/>
                <w:vertAlign w:val="superscript"/>
              </w:rPr>
              <w:t>(5)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197</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189</w:t>
            </w:r>
          </w:p>
        </w:tc>
      </w:tr>
      <w:tr>
        <w:trPr>
          <w:trHeight w:val="230"/>
        </w:trPr>
        <w:tc>
          <w:tcPr>
            <w:tcW w:w="524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per billable consultant (in thousands):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203</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204</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194</w:t>
            </w:r>
          </w:p>
        </w:tc>
      </w:tr>
      <w:tr>
        <w:trPr>
          <w:trHeight w:val="229"/>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200</w:t>
            </w:r>
          </w:p>
        </w:tc>
      </w:tr>
      <w:tr>
        <w:trPr>
          <w:trHeight w:val="230"/>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3"/>
                <w:szCs w:val="23"/>
                <w:b w:val="1"/>
                <w:bCs w:val="1"/>
                <w:color w:val="auto"/>
                <w:vertAlign w:val="superscript"/>
              </w:rPr>
              <w:t>(6)</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188</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w:t>
            </w:r>
          </w:p>
        </w:tc>
      </w:tr>
      <w:tr>
        <w:trPr>
          <w:trHeight w:val="223"/>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271</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371</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370</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453</w:t>
            </w:r>
          </w:p>
        </w:tc>
      </w:tr>
      <w:tr>
        <w:trPr>
          <w:trHeight w:val="229"/>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388</w:t>
            </w:r>
          </w:p>
        </w:tc>
      </w:tr>
      <w:tr>
        <w:trPr>
          <w:trHeight w:val="230"/>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Healthcare Managed Services employees</w:t>
            </w:r>
            <w:r>
              <w:rPr>
                <w:rFonts w:ascii="Arial" w:cs="Arial" w:eastAsia="Arial" w:hAnsi="Arial"/>
                <w:sz w:val="23"/>
                <w:szCs w:val="23"/>
                <w:b w:val="1"/>
                <w:bCs w:val="1"/>
                <w:color w:val="auto"/>
                <w:vertAlign w:val="superscript"/>
              </w:rPr>
              <w:t>(7)</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revenues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13,612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35,409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21,493</w:t>
            </w:r>
          </w:p>
        </w:tc>
      </w:tr>
      <w:tr>
        <w:trPr>
          <w:trHeight w:val="188"/>
        </w:trPr>
        <w:tc>
          <w:tcPr>
            <w:tcW w:w="5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Average number of Healthcare Managed Services employees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7"/>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period)</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r>
    </w:tbl>
    <w:p>
      <w:pPr>
        <w:spacing w:after="0" w:line="94" w:lineRule="exact"/>
        <w:rPr>
          <w:sz w:val="20"/>
          <w:szCs w:val="20"/>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non-cash goodwill impairment charges are not allocated at the segment level because the underlying goodwill asset is reflective</w:t>
      </w:r>
    </w:p>
    <w:p>
      <w:pPr>
        <w:spacing w:after="0" w:line="9" w:lineRule="exact"/>
        <w:rPr>
          <w:sz w:val="20"/>
          <w:szCs w:val="20"/>
          <w:color w:val="auto"/>
        </w:rPr>
      </w:pPr>
    </w:p>
    <w:p>
      <w:pPr>
        <w:ind w:left="580" w:right="440"/>
        <w:spacing w:after="0" w:line="261" w:lineRule="auto"/>
        <w:rPr>
          <w:sz w:val="20"/>
          <w:szCs w:val="20"/>
          <w:color w:val="auto"/>
        </w:rPr>
      </w:pPr>
      <w:r>
        <w:rPr>
          <w:rFonts w:ascii="Arial" w:cs="Arial" w:eastAsia="Arial" w:hAnsi="Arial"/>
          <w:sz w:val="18"/>
          <w:szCs w:val="18"/>
          <w:color w:val="auto"/>
        </w:rPr>
        <w:t>of our corporate investment in the segments. We do not include the impact of goodwill impairment charges in our evaluation of segment performance.</w:t>
      </w:r>
    </w:p>
    <w:p>
      <w:pPr>
        <w:spacing w:after="0" w:line="36" w:lineRule="exact"/>
        <w:rPr>
          <w:sz w:val="20"/>
          <w:szCs w:val="20"/>
          <w:color w:val="auto"/>
        </w:rPr>
      </w:pPr>
    </w:p>
    <w:p>
      <w:pPr>
        <w:ind w:left="580" w:right="520" w:hanging="572"/>
        <w:spacing w:after="0" w:line="261"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our consulting professionals who provide consulting services and generate revenues based on the number of hours worked.</w:t>
      </w:r>
    </w:p>
    <w:p>
      <w:pPr>
        <w:spacing w:after="0" w:line="35" w:lineRule="exact"/>
        <w:rPr>
          <w:rFonts w:ascii="Arial" w:cs="Arial" w:eastAsia="Arial" w:hAnsi="Arial"/>
          <w:sz w:val="18"/>
          <w:szCs w:val="18"/>
          <w:color w:val="auto"/>
        </w:rPr>
      </w:pPr>
    </w:p>
    <w:p>
      <w:pPr>
        <w:ind w:left="580" w:right="100" w:hanging="572"/>
        <w:spacing w:after="0" w:line="256"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Utilization rate for our billable consultants is calculated by dividing the number of hours our billable consultants worked on client assignments during a period by the total available working hours for these consultants during the same period, assuming a forty-hour work week, less paid holidays and vacation days.</w:t>
      </w:r>
    </w:p>
    <w:p>
      <w:pPr>
        <w:spacing w:after="0" w:line="39" w:lineRule="exact"/>
        <w:rPr>
          <w:rFonts w:ascii="Arial" w:cs="Arial" w:eastAsia="Arial" w:hAnsi="Arial"/>
          <w:sz w:val="18"/>
          <w:szCs w:val="18"/>
          <w:color w:val="auto"/>
        </w:rPr>
      </w:pPr>
    </w:p>
    <w:p>
      <w:pPr>
        <w:ind w:left="580" w:right="20" w:hanging="572"/>
        <w:spacing w:after="0" w:line="261"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billing rate per hour for our billable consultants is calculated by dividing revenues for a period by the number of hours worked on client assignments during the same period.</w:t>
      </w:r>
    </w:p>
    <w:p>
      <w:pPr>
        <w:spacing w:after="0" w:line="35" w:lineRule="exact"/>
        <w:rPr>
          <w:rFonts w:ascii="Arial" w:cs="Arial" w:eastAsia="Arial" w:hAnsi="Arial"/>
          <w:sz w:val="18"/>
          <w:szCs w:val="18"/>
          <w:color w:val="auto"/>
        </w:rPr>
      </w:pPr>
    </w:p>
    <w:p>
      <w:pPr>
        <w:jc w:val="both"/>
        <w:ind w:left="580" w:right="200" w:hanging="572"/>
        <w:spacing w:after="0" w:line="278" w:lineRule="auto"/>
        <w:tabs>
          <w:tab w:leader="none" w:pos="61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Business Advisory segment includes operations of Huron Eurasia India. Absent the impact of Huron Eurasia India, the average billing rate per hour for the Business Advisory segment would have been $200 and $201 for the three months ended September 30, 2021 and 2020, respectively; and $207 and $217 for the nine months ended September 30, 2021 and 2020, respectively.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580" w:right="100"/>
        <w:spacing w:after="0" w:line="256" w:lineRule="auto"/>
        <w:rPr>
          <w:sz w:val="20"/>
          <w:szCs w:val="20"/>
          <w:color w:val="auto"/>
        </w:rPr>
      </w:pPr>
      <w:r>
        <w:rPr>
          <w:rFonts w:ascii="Arial" w:cs="Arial" w:eastAsia="Arial" w:hAnsi="Arial"/>
          <w:sz w:val="18"/>
          <w:szCs w:val="18"/>
          <w:color w:val="auto"/>
        </w:rPr>
        <w:t>Absent the impact of Huron Eurasia India, Huron's consolidated average billing rate per hour would have been $207 and $206 for the three months ended September 30, 2021 and 2020, respectively; and $208 for both the nine months ended September 30, 2021 and 2020.</w:t>
      </w:r>
    </w:p>
    <w:p>
      <w:pPr>
        <w:spacing w:after="0" w:line="40" w:lineRule="exact"/>
        <w:rPr>
          <w:sz w:val="20"/>
          <w:szCs w:val="20"/>
          <w:color w:val="auto"/>
        </w:rPr>
      </w:pPr>
    </w:p>
    <w:p>
      <w:pPr>
        <w:jc w:val="both"/>
        <w:ind w:left="580" w:right="140" w:hanging="572"/>
        <w:spacing w:after="0" w:line="291" w:lineRule="auto"/>
        <w:tabs>
          <w:tab w:leader="none" w:pos="611"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Consists of coaches and their support staff within our Culture and Organizational Excellence solution, consultants who work variable schedules as needed by our clients, and full-time employees who provide software support and maintenance services to our clients.</w:t>
      </w:r>
    </w:p>
    <w:p>
      <w:pPr>
        <w:spacing w:after="0" w:line="11" w:lineRule="exact"/>
        <w:rPr>
          <w:rFonts w:ascii="Arial" w:cs="Arial" w:eastAsia="Arial" w:hAnsi="Arial"/>
          <w:sz w:val="17"/>
          <w:szCs w:val="17"/>
          <w:color w:val="auto"/>
        </w:rPr>
      </w:pPr>
    </w:p>
    <w:p>
      <w:pPr>
        <w:ind w:left="580" w:right="680" w:hanging="572"/>
        <w:spacing w:after="0" w:line="261" w:lineRule="auto"/>
        <w:tabs>
          <w:tab w:leader="none" w:pos="6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employees who manage and provide revenue cycle billing, collections, insurance verification and change integrity services to our healthcare clients.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9"/>
                <w:szCs w:val="19"/>
                <w:color w:val="auto"/>
              </w:rPr>
            </w:pPr>
          </w:p>
        </w:tc>
        <w:tc>
          <w:tcPr>
            <w:tcW w:w="27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224,007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205,304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657,346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645,780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13,727</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11,087</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31,929</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(17,614)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19,640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22,488</w:t>
            </w:r>
          </w:p>
        </w:tc>
        <w:tc>
          <w:tcPr>
            <w:tcW w:w="0" w:type="dxa"/>
            <w:vAlign w:val="bottom"/>
          </w:tcPr>
          <w:p>
            <w:pPr>
              <w:spacing w:after="0"/>
              <w:rPr>
                <w:sz w:val="1"/>
                <w:szCs w:val="1"/>
                <w:color w:val="auto"/>
              </w:rPr>
            </w:pPr>
          </w:p>
        </w:tc>
      </w:tr>
      <w:tr>
        <w:trPr>
          <w:trHeight w:val="169"/>
        </w:trPr>
        <w:tc>
          <w:tcPr>
            <w:tcW w:w="50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Earnings before interest, taxes, depreciation and</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24,446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23,280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64,492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 (EBITDA)</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Add back:</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Litigation and other losses (gains)</w:t>
            </w:r>
          </w:p>
        </w:tc>
        <w:tc>
          <w:tcPr>
            <w:tcW w:w="3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charges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Loss on sale of business</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Transaction-related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68,489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70,053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as a percentage of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5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19"/>
                <w:szCs w:val="19"/>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21,531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22,175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21,904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21,868</w:t>
            </w:r>
          </w:p>
        </w:tc>
        <w:tc>
          <w:tcPr>
            <w:tcW w:w="0" w:type="dxa"/>
            <w:vAlign w:val="bottom"/>
          </w:tcPr>
          <w:p>
            <w:pPr>
              <w:spacing w:after="0"/>
              <w:rPr>
                <w:sz w:val="1"/>
                <w:szCs w:val="1"/>
                <w:color w:val="auto"/>
              </w:rPr>
            </w:pPr>
          </w:p>
        </w:tc>
      </w:tr>
      <w:tr>
        <w:trPr>
          <w:trHeight w:val="25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and other losses (gains)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Goodwill impairment charges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business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Transaction-related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effect of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(17,041)</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55,348</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21,531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22,175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21,904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22,207</w:t>
            </w: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5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continuing operations presented above. Amortization of intangible assets is inconsistent in its amount and frequency and is significantly affected by the timing and size of our acquisitions.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We have incurred charges due to the restructuring of various parts of our business. These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have primarily consisted of costs associated with office space consolidations, including lease impairment charges and accelerated depreciation on lease-related property and equipment, and severance charges. Additionally, we have excluded the effect of a $0.8 million one-time charge incurred during the first quarter of 2020, related to redundant administrative costs in our corporate operations which is recorded within selling, general and administrative expenses on our consolidated statement of operations. We have excluded the effect of the restructuring and other charges from our non-GAAP measures to permit comparability with periods that were not impacted by these items.</w:t>
      </w:r>
    </w:p>
    <w:p>
      <w:pPr>
        <w:spacing w:after="0" w:line="13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Litigation and other losses (gains): </w:t>
      </w:r>
      <w:r>
        <w:rPr>
          <w:rFonts w:ascii="Arial" w:cs="Arial" w:eastAsia="Arial" w:hAnsi="Arial"/>
          <w:sz w:val="18"/>
          <w:szCs w:val="18"/>
          <w:color w:val="auto"/>
        </w:rPr>
        <w:t>We have excluded the effect of a loss in the first and third quarter of 2021 from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value of our liability for contingent consideration related to a business acquisition and a litigation settlement gain recognized in the first quarter of 2020 to permit comparability with periods that were not impacted by these items.</w:t>
      </w:r>
    </w:p>
    <w:p>
      <w:pPr>
        <w:spacing w:after="0" w:line="12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recognized in the first quarter of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these charges are infrequent events and their exclusion permits comparability with periods that were not impacted by such charges.</w:t>
      </w:r>
    </w:p>
    <w:p>
      <w:pPr>
        <w:spacing w:after="0" w:line="10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Loss on sale of business: </w:t>
      </w:r>
      <w:r>
        <w:rPr>
          <w:rFonts w:ascii="Arial" w:cs="Arial" w:eastAsia="Arial" w:hAnsi="Arial"/>
          <w:sz w:val="18"/>
          <w:szCs w:val="18"/>
          <w:color w:val="auto"/>
        </w:rPr>
        <w:t>We excluded the effect of the loss on sale of a software-based solution within our Business Advisory segment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2020. Divestitures of businesses are infrequent and are not indicative of the ongoing performance of our business.</w:t>
      </w:r>
    </w:p>
    <w:p>
      <w:pPr>
        <w:spacing w:after="0" w:line="108"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excluded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the first nine months of 2021 and 2020 related to business acquisitions.</w:t>
      </w:r>
    </w:p>
    <w:p>
      <w:pPr>
        <w:spacing w:after="0" w:line="108" w:lineRule="exact"/>
        <w:rPr>
          <w:sz w:val="20"/>
          <w:szCs w:val="20"/>
          <w:color w:val="auto"/>
        </w:rPr>
      </w:pPr>
    </w:p>
    <w:p>
      <w:pPr>
        <w:jc w:val="both"/>
        <w:ind w:right="500"/>
        <w:spacing w:after="0" w:line="282"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have excluded the effect of foreign currency transaction losses and gains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adjusted EBITDA because the amount of each loss or gain is significantly affected by changes in foreign exchange rates.</w:t>
      </w:r>
    </w:p>
    <w:p>
      <w:pPr>
        <w:spacing w:after="0" w:line="108"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10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interest expense, net of interest income, and depreciation and amortization in the calculation of EBITDA, as these are customary exclusions as defined by the calculation of EBITDA to arrive at meaningful earnings from core operations excluding the effect of such items. Included within the depreciation and amortization adjustment is the amortization of capitalized implementation costs of our ERP and other related software, which is included within selling, general and administrative expenses on our consolidated statement of operations.</w:t>
      </w:r>
    </w:p>
    <w:p>
      <w:pPr>
        <w:spacing w:after="0" w:line="129" w:lineRule="exact"/>
        <w:rPr>
          <w:sz w:val="20"/>
          <w:szCs w:val="20"/>
          <w:color w:val="auto"/>
        </w:rPr>
      </w:pPr>
    </w:p>
    <w:p>
      <w:pPr>
        <w:jc w:val="both"/>
        <w:ind w:right="420"/>
        <w:spacing w:after="0" w:line="261"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first nine months of 2020, GAAP diluted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outstanding equals the basic weighted average shares outstanding for that period. The non-GAAP adjustments described above resulted in adjusted net income from continuing operations for the first nine months of 2020. Therefore, we included the dilutive common stock equivalents in the calculation of adjusted diluted weighted average shares outstanding for that period.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960"/>
        <w:spacing w:after="0" w:line="451" w:lineRule="auto"/>
        <w:rPr>
          <w:sz w:val="20"/>
          <w:szCs w:val="20"/>
          <w:color w:val="auto"/>
        </w:rPr>
      </w:pPr>
      <w:r>
        <w:rPr>
          <w:rFonts w:ascii="Arial" w:cs="Arial" w:eastAsia="Arial" w:hAnsi="Arial"/>
          <w:sz w:val="18"/>
          <w:szCs w:val="18"/>
          <w:b w:val="1"/>
          <w:bCs w:val="1"/>
          <w:color w:val="auto"/>
        </w:rPr>
        <w:t>Three Months Ended September 30, 2021 Compared to Three Months Ended September 30, 2020 Revenues</w:t>
      </w:r>
    </w:p>
    <w:p>
      <w:pPr>
        <w:ind w:right="280"/>
        <w:spacing w:after="0" w:line="254" w:lineRule="auto"/>
        <w:rPr>
          <w:sz w:val="20"/>
          <w:szCs w:val="20"/>
          <w:color w:val="auto"/>
        </w:rPr>
      </w:pPr>
      <w:r>
        <w:rPr>
          <w:rFonts w:ascii="Arial" w:cs="Arial" w:eastAsia="Arial" w:hAnsi="Arial"/>
          <w:sz w:val="18"/>
          <w:szCs w:val="18"/>
          <w:color w:val="auto"/>
        </w:rPr>
        <w:t>Revenues increased $18.7 million, or 9.1%, to $224.0 million for the third quarter of 2021 from $205.3 million for the third quarter of 2020. The increase in revenues reflects strengthened demand for services in all of our segments, as well as the favorable comparison against results for the third quarter of 2020 in our Healthcare and Education segments which were more significantly impacted by the COVID-19 pandemic as some clients reprioritized and delayed certain projects as a result of the uncertainties surrounding the pandemic.</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the $18.7 million increase in revenues, $8.6 million was attributable to an increase in revenues generated by our billable consultants, $7.2 million was attributable to an increase in revenues generated by our Healthcare Managed Services employees, and $2.9 million was attributable to revenues generated by our full-time equivalents.</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increase in billable consultant revenues reflected strengthened demand for services in our Education and Business Advisory segments, partially offset by a decrease in demand for certain services in our Healthcare segment, as discussed below in Segment Results. The overall increase in billable consultant revenues was primarily attributable to overall increases in the average number of billable consultants and the consultant utilization rate for the third quarter of 2021 compared to the same prior year period.</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increase in Healthcare Managed Services revenues was primarily attributable to an increase in demand for these services, which led to an increase in the average number of managed services employees in the third quarter of 2021 compared to the same prior year period. At the beginning of the second quarter of 2021, we hired approximately 300 employees to expand our capacity to manage and provide revenue cycle billing, collections, insurance verification and change integrity services to our healthcare clients. These employees are serving new and existing clients in our Healthcare Managed Services solution, including serving under a short-term contract with an existing client which we entered into in connection with this group hire.</w:t>
      </w:r>
    </w:p>
    <w:p>
      <w:pPr>
        <w:spacing w:after="0" w:line="15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increase in full-time equivalent revenues was primarily attributable to an increase in full-time equivalent revenues in our Education and Business Advisory segments, as discussed below in Segment Results. The overall increase in full-time equivalent revenues reflected an overall increase in revenue per full-time equivalent, partially offset by an overall decrease in the average number of full-time equivalents in the third quarter of 2021 compared to the same prior year period.</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most of 2020 and the first quarter of 2021, the COVID-19 pandemic negatively impacted sales and elongated the sales cycle for new opportunities for certain services, particularly within our Healthcare and Education segments as some clients reprioritized or delayed certain projects. During the second and third quarters of 2021, we saw an increase in our sales pipeline and the pace of signings in our Healthcare and Education businesses. As the overall demand for our services continued to strengthen in the second and third quarters of 2021, we expect continued revenue growth in the fourth quarter of 2021 compared to the fourth quarter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Direct costs, excluding amortization of intangible assets and software development costs, increased $8.4 million, or 5.8%, to $153.9 million for the three months ended September 30, 2021, from $145.5 million for the three months ended September 30, 2020. The $8.4 million increase primarily related to a $9.8 million increase in salaries and related expenses for our revenue-generating professionals, a $1.0 million increase in signing, retention and other bonus expense for our revenue-generating professionals, a $0.9 million increase in share-based compensation expense for our revenue-generating professionals, a $0.7 million increase in contractor expense and a $0.5 million increase in product and event costs. These increases in direct costs were partially offset by a $4.5 million decrease in performance bonus expense for our revenue-generating professionals which primarily reflects a decrease in the performance bonus adjustment recorded in the third quarter of 2021 compared to the third quarter of 2020 to adjust our year-to-date performance bonus accrual to reflect the revised full year forecasts. As a percentage of revenues, direct costs decreased to 68.7% during the third quarter of 2021 compared to 70.9% during the third quarter of 2020, primarily due to the decrease in performance bonus expense for our revenue-generating professionals, partially offset by the increases in signing, retention and other bonus expense and share-based compensation expense for our revenue-generating professionals, as percentages of revenues.</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Total direct costs for the three months ended September 30, 2021 included $0.9 million of amortization expense for internal software development costs and intangible assets, compared to $1.4 million of amortization expense for the same prior year period. Intangible asset amortization included within direct costs for the three months ended September 30, 2021 and 2020 primarily related to technology and software, certain customer relationships and customer contracts acquired in connection with our business acquisitions. See Note 4 “Goodwill and Intangible Assets” within the notes to our consolidated financial statements for additional information on our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Selling, general and administrative expenses increased by $5.0 million, or 12.9%, to $43.5 million in the third quarter of 2021 from $38.6 million in the third quarter of 2020. The overall $5.0 million increase primarily related to a $1.4 million increase in share-based compensation expense for our support personnel, a $1.2 million increase in promotion and marketing expense, a $1.1 million increase in salaries and related expenses for our support personnel, a $0.8 million increase in software and data hosting expense, a $0.6 million increase in signing, retention and other bonus</w:t>
      </w:r>
    </w:p>
    <w:p>
      <w:pPr>
        <w:sectPr>
          <w:pgSz w:w="11900" w:h="16838" w:orient="portrait"/>
          <w:cols w:equalWidth="0" w:num="1">
            <w:col w:w="11200"/>
          </w:cols>
          <w:pgMar w:left="320" w:top="140" w:right="379" w:bottom="1062"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062"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expense for our support personnel, a $ 0.6 million increase in research expense, a $0.6 million increase in legal expenses, a $0.5 million increase in practice administration and meetings expense, and a $0.5 million increase in third-party consulting expense. The increase in share-based compensation expense primarily related to a decrease in the expected funding of performance-based share awards for our executive officers recorded in the third quarter of 2020. These increases were partially offset by a $2.2 million decrease in deferred compensation expense attributable to the change in the market value of our deferred compensation liability, and a $1.2 million decrease in performance bonus expense for our support personnel. During the third quarter of 2021, the market value of our deferred compensation liability decreased by $0.4 million, compared to an increase of $1.8 million in the third quarter of 2020. This $2.2 million decrease in expense is offset by a $2.2 million decrease in the gain recognized for the change in the market value of investments that are used to fund our deferred compensation liability and recognized in other income (expense), net. As a percentage of revenues, selling, general and administrative expenses increased to 19.4% during the third quarter of 2021 compared to 18.8% during the third quarter of 2020. This increase was primarily attributable to the increases in selling, general and administrative expenses described above, as percentages of revenues, partially offset by the decreases in deferred compensation expense and performance bonus expense for our support personnel.</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Restructuring charges for the third quarter of 2021 were $1.7 million, compared to $0.1 million for the third quarter of 2020. The $1.7 million of restructuring charges recognized in the third quarter of 2021 consisted of $0.7 million of third-party transaction expenses related to the evaluation of the divestiture of our Life Sciences business within our Business Advisory segment, $0.5 million of rent and related expenses, net of sublease income, for previously vacated office spaces, and $0.5 million of employee-related expenses. The $0.1 million of restructuring charges recognized in the third quarter of 2020 primarily related to rent and related expenses, net of sublease income, for vacated office spaces. See Note 8 “Restructuring Charges” within the notes to our consolidated financial statements for additional information on our restructuring charges.</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Depreciation and amortization expense decreased $0.8 million, or 12.4%, to $5.4 million for the three months ended September 30, 2021 compared to $6.2 million for the three months ended September 30, 2020. The $0.8 million decrease in depreciation and amortization expense was primarily attributable to decreasing amortization expense for customer relationships acquired in business acquisitions due to the accelerated basis of amortization in prior periods, including the customer relationships acquired in our Studer Group acquisition; and customer relationships acquired in other business acquisitions that were fully amortized in prior periods; as well as a decrease in depreciation expense for leasehold improvements and furniture and fixtures related to vacated office spaces. Intangible asset amortization expense included within operating expenses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increased $4.6 million to $18.3 million in the third quarter of 2021 from $13.7 million in the third quarter of 2020. Operating margin, which is defined as operating income expressed as a percentage of revenues, was 8.2% for the three months ended September 30, 2021 compared to 6.7% for the three months ended September 30, 2020. The increase in operating margin was primarily attributable to the increase in revenues and the decreases in performance bonus expense for our revenue-generating professionals, deferred compensation expense, performance bonus expense for our support personnel, and depreciation and amortization expense, partially offset by the increases in share-based compensation expense for our support personnel and restructuring charges, as percentages of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 Net</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Interest expense, net of interest income decreased less than $0.1 million to $2.2 million in the third quarter of 2021 from $2.3 million in the third quarter of 2020. See Note 7 “Financing Arrangements” within the notes to our consolidated financial statements for additional information about our senior secured credit facility.</w:t>
      </w:r>
    </w:p>
    <w:p>
      <w:pPr>
        <w:spacing w:after="0" w:line="14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Other income (expense), net decreased $2.4 million to other expense, net of $0.4 million in the third quarter of 2021 from other income, net of $2.0 million in the third quarter of 2020. The decrease in other income, net was primarily attributable to the $2.2 million decrease in the gain recognized for the market value of our investments that are used to fund our deferred compensation liability. During the third quarter of 2021, we recognized a $0.4 million loss for the market value of our deferred compensation investments compared to a $1.8 million gain recognized in the third quarter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three months ended September 30, 2021, our effective tax rate was 12.5% as we recognized income tax expense from continuing operations of $2.0 million on income from continuing operations of $15.7 million. The effective tax rate of 12.5% was more favorable than the statutory rate, inclusive of state income taxes, of 26.6%, primarily due to a discrete tax benefit for U.S. federal return to provision adjustments related to the 2020 corporate income tax return.</w:t>
      </w:r>
    </w:p>
    <w:p>
      <w:pPr>
        <w:spacing w:after="0" w:line="1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the three months ended September 30, 2020, our effective tax rate was 17.7% as we recognized income tax expense from continuing operations of $2.4 million on income from continuing operations of $13.5 million. The effective tax rate of 17.7% was more favorable than the statutory rate, inclusive of state income taxes, of 26.0%, primarily due to the year-to-date pre-tax losses and the impact during the quarter of certain nondeductible expense items, including the nondeductible portion of the goodwill impairment charges, based on the attribution of those expenses to the quarter in</w:t>
      </w:r>
    </w:p>
    <w:p>
      <w:pPr>
        <w:sectPr>
          <w:pgSz w:w="11900" w:h="16838" w:orient="portrait"/>
          <w:cols w:equalWidth="0" w:num="1">
            <w:col w:w="11240"/>
          </w:cols>
          <w:pgMar w:left="320" w:top="140" w:right="339" w:bottom="954"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954"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accordance with the allocation of income tax expense on a year-to-date basis. The effective tax rate also reflected the positive impact of certain federal tax credits. See Note 4 “Goodwill and Intangible Assets” within the notes to our consolidated financial statements for additional information on the goodwill impairment charges recognized in the first quarter of 2020.</w:t>
      </w:r>
    </w:p>
    <w:p>
      <w:pPr>
        <w:spacing w:after="0" w:line="148" w:lineRule="exact"/>
        <w:rPr>
          <w:sz w:val="20"/>
          <w:szCs w:val="20"/>
          <w:color w:val="auto"/>
        </w:rPr>
      </w:pPr>
    </w:p>
    <w:p>
      <w:pPr>
        <w:ind w:right="160"/>
        <w:spacing w:after="0" w:line="430" w:lineRule="auto"/>
        <w:rPr>
          <w:sz w:val="20"/>
          <w:szCs w:val="20"/>
          <w:color w:val="auto"/>
        </w:rPr>
      </w:pPr>
      <w:r>
        <w:rPr>
          <w:rFonts w:ascii="Arial" w:cs="Arial" w:eastAsia="Arial" w:hAnsi="Arial"/>
          <w:sz w:val="18"/>
          <w:szCs w:val="18"/>
          <w:color w:val="auto"/>
        </w:rPr>
        <w:t xml:space="preserve">See Note 12 “Income Taxes” within the notes to our consolidated financial statements for additional information on our income tax expense. </w:t>
      </w:r>
      <w:r>
        <w:rPr>
          <w:rFonts w:ascii="Arial" w:cs="Arial" w:eastAsia="Arial" w:hAnsi="Arial"/>
          <w:sz w:val="18"/>
          <w:szCs w:val="18"/>
          <w:b w:val="1"/>
          <w:bCs w:val="1"/>
          <w:color w:val="auto"/>
        </w:rPr>
        <w:t>Net Income from Continuing Operations and Earnings per Share</w:t>
      </w:r>
    </w:p>
    <w:p>
      <w:pPr>
        <w:spacing w:after="0" w:line="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Net income from continuing operations increased $2.6 million to $13.7 million for the three months ended September 30, 2021 from $ 11.1 million for the same period last year. As a result of the decrease in net income from continuing operations, diluted earnings per share from continuing operations for the third quarter of 2021 was $0.64 compared to $0.50 for the third quarter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EBITDA increased $1.2 million to $24.4 million for the three months ended September 30, 2021 from $23.3 million for the three months ended September 30, 2020. Adjusted EBITDA increased $2.8 million to $26.4 million in the third quarter of 2021 from $23.6 million in the third quarter of 2020. The increase in EBITDA was primarily attributable to an overall increase in segment operating income, partially offset by an increase in corporate expenses. The increase in adjusted EBITDA was primarily attributable to an increase in segment operating income, partially offset by an increase in corporate expenses, excluding the change in the market value of our deferred compensation liability for the third quarter of 2021 compared to the third quarter of 2020 and restructuring charges not allocated at the segment level. See Segment Results below for additional information on segment operating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Adjusted net income from continuing operations increased $3.7 million to $16.8 million in the third quarter of 2021 compared to $13.0 million in the third quarter of 2020. As a result of the increase in adjusted net income from continuing operations, adjusted diluted earnings per share from continuing operations was $0.78 for the third quarter of 2021, compared to $0.59 for the third quarter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Healthcare segment revenues increased $5.4 million, or 6.2%, to $92.8 million for the third quarter of 2021 from $87.4 million for the third quarter of 2020 due to strengthened demand for services in this segment in the third quarter of 2021, as well as the favorable comparison against results for the third quarter of 2020 which was significantly impacted by the COVID-19 pandemic as some clients reprioritized and delayed certain projects as a result of the uncertainties surrounding the pandemic.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three months ended September 30, 2021, revenues from fixed-fee engagements; time-and-expense engagements; performance-based arrangements; and software support, maintenance and subscription arrangements represented 61.2%, 19.2%, 13.7%, and 5.9% of this segment’s revenues, respectively, compared to 58.9%, 16.7%, 17.9%, and 6.5% of this segment’s revenues, respectively, for the same prior year period. Performance-based fee revenue was $12.7 million for the third quarter of 2021 compared to $15.6 million for the third quarter of 2020. The level of performance-based fees earned may vary based on our clients’ risk sharing preferences and the mix of services we provide.</w:t>
      </w:r>
    </w:p>
    <w:p>
      <w:pPr>
        <w:spacing w:after="0" w:line="154"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Of the overall $5.4 million increase in revenues, $7.2 million was attributable to an increase in revenues from our Healthcare Managed Services employees, partially offset by a $1.2 million decrease in revenues from our full-time equivalents and a $0.6 million decrease in revenues from our billable consultants.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increase in Healthcare Managed Services revenues was primarily attributable to an increase in demand for these services, which led to an increase in the average number of managed services employees in the third quarter of 2021 compared to the same prior year period. At the beginning of the second quarter of 2021, we hired approximately 300 employees to expand our capacity to manage and provide revenue cycle billing, collections, insurance verification and change integrity services to our healthcare clients. These employees are serving new and existing clients in our Healthcare Managed Services solution, including serving under a short-term contract with an existing client which we entered into in connection with this group hire.</w:t>
      </w:r>
    </w:p>
    <w:p>
      <w:pPr>
        <w:spacing w:after="0" w:line="15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decrease in revenues from our full-time equivalents was primarily driven by a decrease in demand for certain services and a decreased use of contractors and project consultants; and reflected a decrease in the average number of full-time equivalents, partially offset by an increase in revenue per full-time equivalent in the third quarter of 2021 compared to the same prior year period.</w:t>
      </w:r>
    </w:p>
    <w:p>
      <w:pPr>
        <w:spacing w:after="0" w:line="14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decrease in revenues attributable to our billable consultants reflected decreases in the average number of billable consultants and the average billing rate, partially offset by an increase in the consultant utilization rate in the third quarter of 2021 compared to the same prior year period.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Healthcare segment operating income increased $4.6 million, or 18.1%, to $30.3 million for the three months ended September 30, 2021 from $25.6 million for the three months ended September 30, 2020. The Healthcare segment operating margin, defined as segment operating income expressed as a percentage of segment revenues, increased to 32.6% for the third quarter of 2021 from 29.3% in the same period last year. The increase in this segment’s operating margin was primarily attributable to a decrease in performance bonus expense for our revenue-generating professionals as well as a decrease in salaries and related expenses for our support personnel. These increases to the operating margin were partially offset by increases in signing, retention and other bonus expense for our revenue-generating professionals and product and event costs, as percentages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Business Advisory segment revenues increased $3.9 million, or 5.9%, to $70.0 million for the third quarter of 2021 from $66.0 million for the third quarter of 2020, primarily related to strengthened demand for our strategy and innovation solutions and our cloud-based technology and analytics solutions. Revenues for the third quarter of 2021 included $4.5 million from our acquisitions of ForceIQ and Unico Solutions, which were completed in November 2020 and February 2021, respectively.</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three months ended September 30, 2021, revenues from fixed-fee engagements; time-and-expense engagements; performance-based arrangements; and software support, maintenance and subscription arrangements represented 44.0%, 50.4%, 2.3%, and 3.3% of this segment’s revenues, respectively, compared to 31.3%, 61.3%, 5.6%, and 1.8% of this segment's revenues, respectively, for the same prior year period. Performance-based fee revenue was $1.6 million for the third quarter of 2021 compared to $3.7 million for the third quarter of 2020. The level of performance-based fees earned may vary based on our clients’ preferences, the mix of services we provide, and the timing of transactions or milestones.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Of the overall $3.9 million increase in revenues, $2.1 million was attributable to an increase in revenues from our billable consultants and</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$1.8 million was attributable to an increase in revenues from our full-time equivalents. The increase in revenues from our billable consultants reflected an increase in the average number of billable consultants, partially offset by decreases in the consultant utilization rate and the average billing rate in the third quarter of 2021 compared to the same prior year period. The increase in revenues generated by our full-time equivalents was primarily driven by an increased use of contractors and project consultants; and reflected an increase in the average number of full-time equivalents, partially offset by a decrease in revenue per full-time equivalent in the third quarter of 2021 compared to the same prior year period.</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November 1, 2021, we completed the divestiture of the Life Sciences business to Oliver Wyman. The Life Sciences business, a reporting unit within the Business Advisory segment, provides commercial and research and development strategy, pricing and market access strategy solutions to customers in the life sciences industries. For the three months ended September 30, 2021, Life Sciences revenues were $5.1 million. The Life Sciences business is not significant to our consolidated financial statements and does not qualify as a discontinued operation for reporting under GAAP.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Business Advisory segment operating income decreased by $0.9 million, or 8.2%, to $9.9 million for the three months ended September 30, 2021 from $10.8 million for the three months ended September 30, 2020. The Business Advisory segment operating margin decreased to 14.1% for the third quarter of 2021 from 16.3% in the same period last year. The decrease in this segment’s operating margin was primarily attributable to increases in salaries and related expenses for our revenue-generating professionals and contractor expense, as percentages of revenues, as well as increases in restructuring charges, promotion and marketing expense and practice administration and meetings expense, as percentages of revenues. These decreases to the segment's operating margin were partially offset by a decrease in performance bonus expense for our revenue-generating professionals.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Education segment revenues increased $9.3 million, or 18.0%, to $61.2 million for the third quarter of 2021 from $51.9 million for the third quarter of 2020 due to strengthened demand for services in this segment in the third quarter of 2021, as well as the favorable comparison against results for the third quarter of 2020 which was significantly impacted by the COVID-19 pandemic as some clients reprioritized and delayed certain projects as a result of the uncertainties surrounding the pandemic.</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three months ended September 30, 2021, revenues from fixed-fee engagements; time-and-expense engagements; and software support, maintenance and subscription arrangements represented 24.5%, 63.4%, and 12.1% of this segment’s revenues, respectively, compared to 21.1%, 67.9%, and 11.0% of this segment’s revenues, respectively, for the same prior year period.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Of the overall $9.3 million increase in revenues, $7.0 million was attributable to an increase in revenues from our billable consultants and $2.3 million was attributable to an increase in revenues from our full-time equivalents. The increase in revenues attributable to our billable consultants reflected increases in the consultant utilization rate, the average billing rate, and the average number of billable consultants in the third quarter of 2021 compared to the same prior year period. The increase in revenues from our full-time equivalents was primarily driven by an increase in software subscriptions and data hosting revenues, and reflected increases in revenue per full-time equivalent and the average number of full-time equivalents in the third quarter of 2021 compared to the same prior year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Education segment operating income increased $2.2 million, or 17.9% to $14.8 million for the three months ended September 30, 2021 from $12.5 million for the three months ended September 30, 2020. The Education segment operating margin was 24.2% for both the third quarter of 2021 and 2020. This segment's revenue growth outpaced the increase in salaries and related expenses for our revenue-generating professionals. This increase to the segment's operating margin was largely offset by increases in performance bonus expense and share-based compensation expense for our revenue-generating professionals, as percentages of revenues.</w:t>
      </w:r>
    </w:p>
    <w:p>
      <w:pPr>
        <w:spacing w:after="0" w:line="129" w:lineRule="exact"/>
        <w:rPr>
          <w:sz w:val="20"/>
          <w:szCs w:val="20"/>
          <w:color w:val="auto"/>
        </w:rPr>
      </w:pPr>
    </w:p>
    <w:p>
      <w:pPr>
        <w:ind w:right="3200"/>
        <w:spacing w:after="0" w:line="451" w:lineRule="auto"/>
        <w:rPr>
          <w:sz w:val="20"/>
          <w:szCs w:val="20"/>
          <w:color w:val="auto"/>
        </w:rPr>
      </w:pPr>
      <w:r>
        <w:rPr>
          <w:rFonts w:ascii="Arial" w:cs="Arial" w:eastAsia="Arial" w:hAnsi="Arial"/>
          <w:sz w:val="18"/>
          <w:szCs w:val="18"/>
          <w:b w:val="1"/>
          <w:bCs w:val="1"/>
          <w:color w:val="auto"/>
        </w:rPr>
        <w:t>Nine Months Ended September 30, 2021 Compared to Nine Months Ended September 30, 2020 Revenues</w:t>
      </w:r>
    </w:p>
    <w:p>
      <w:pPr>
        <w:ind w:right="120"/>
        <w:spacing w:after="0" w:line="256" w:lineRule="auto"/>
        <w:rPr>
          <w:sz w:val="20"/>
          <w:szCs w:val="20"/>
          <w:color w:val="auto"/>
        </w:rPr>
      </w:pPr>
      <w:r>
        <w:rPr>
          <w:rFonts w:ascii="Arial" w:cs="Arial" w:eastAsia="Arial" w:hAnsi="Arial"/>
          <w:sz w:val="18"/>
          <w:szCs w:val="18"/>
          <w:color w:val="auto"/>
        </w:rPr>
        <w:t>Revenues increased $11.6 million, or 1.8%, to $657.3 million for the first nine months of 2021 from $ 645.8 million for the first nine months of 2020. The increase in revenues reflects strengthened demand for services in our Business Advisory and Healthcare segments, partially offset by a decrease in demand for services in our Education segment, as discussed below in Segment Results.</w:t>
      </w:r>
    </w:p>
    <w:p>
      <w:pPr>
        <w:spacing w:after="0" w:line="14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Of the overall $11.6 million increase in revenues, $13.9 million was attributable to an increase in revenues from our Healthcare Managed Services employees and $2.0 million was attributable to an increase in revenues from our billable consultants, partially offset by a $4.3 million decrease in revenues from our full-time equivalents.</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increase in Healthcare Managed Services revenues was primarily attributable to an increase in demand for these services, which led to an increase in the average number of Healthcare Managed Services employees in the first nine months of 2021 compared to the same prior year period. At the beginning of the second quarter of 2021, we hired approximately 300 employees to expand our capacity to manage and provide revenue cycle billing, collections, insurance verification and change integrity services to our healthcare clients. These employees are serving new and existing clients in our Healthcare Managed Services solution, including serving under a short-term contract with an existing client which we entered into in connection with this group hire.</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increase in billable consultant revenues was attributable to an increase in demand for services in our Business Advisory segment, largely offset by a decrease in demand for services in our Education segment, as discussed below in Segment Results. The overall increase in billable consultant revenues reflected an overall increase in the average number of billable consultants during the first nine months of 2021 compared to the same prior year period.</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decrease in full-time equivalent revenues was primarily attributable to a decrease in full-time equivalent revenues in our Healthcare segment, partially offset by increases in full-time equivalent revenues in our Business Advisory and Education segments, as discussed below in Segment Results; and reflected an overall decrease in the average number of full-time equivalents, partially offset by an overall increase in revenue per full-time equivalent during the first nine months of 2021 compared to the first nine months of 2020.</w:t>
      </w:r>
    </w:p>
    <w:p>
      <w:pPr>
        <w:spacing w:after="0" w:line="15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most of 2020 and the first quarter of 2021, the COVID-19 pandemic negatively impacted sales and elongated the sales cycle for new opportunities for certain services, particularly within our Healthcare and Education segments as some clients reprioritized or delayed certain projects. During the second and third quarters of 2021, we saw an increase in our sales pipeline and the pace of signings in our Healthcare and Education businesses. While overall demand for our services in the first quarter of 2021 was negatively impacted by the COVID-19 pandemic, the overall demand for our services strengthened in the second and third quarters of 2021 and we expect continued revenue growth in the fourth quarter of 2021 compared to the fourth quarter of 2020.</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COVID-19 pandemic has caused the need for many companies to accelerate their digital transformation to drive operational efficiencies, better engage with their customers, and make better data-driven decisions. This has resulted in strong demand for our digital, technology and analytic offerings, particularly within our Business Advisory segment. Indicative of our expectations for future growth in this segment, we continue to make investments in these offerings, both organically and through strategic acquisitions, such as our acquisitions of ForceIQ in November 2020 and Unico Solutions in February 2021, and through the addition of new offerings and capabilities within this segment where we see strategic opportunities.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Direct costs, excluding amortization of intangible assets and software development costs, increased $12.3 million, or 2.7%, to $463.5 million for the nine months ended September 30, 2021, from $451.2 million for the nine months ended September 30, 2020. The overall $12.3 million increase primarily related to a $16.1 million increase in salaries and related expenses for our revenue-generating professionals and a $2.4 million increase in</w:t>
      </w:r>
    </w:p>
    <w:p>
      <w:pPr>
        <w:sectPr>
          <w:pgSz w:w="11900" w:h="16838" w:orient="portrait"/>
          <w:cols w:equalWidth="0" w:num="1">
            <w:col w:w="11240"/>
          </w:cols>
          <w:pgMar w:left="320" w:top="140" w:right="339" w:bottom="1116"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116"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signing, retention and other bonus expense for our revenue-generating professionals, partially offset by a $4.2 million decrease in performance bonus expense for our revenue-generating professionals and a $1.8 million decrease in contractor expense. As a percentage of revenues, our direct costs increased to 70.5% during the first nine months of 2021 compared to 69.9% during the first nine months of 2020 primarily due to the increase in salaries and related expenses for our revenue-generating professionals, as a percentage of revenues, partially offset by the decrease in performance bonus expense for our revenue-generating professionals.</w:t>
      </w:r>
    </w:p>
    <w:p>
      <w:pPr>
        <w:spacing w:after="0" w:line="15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Total direct costs for the nine months ended September 30, 2021 included $2.7 million of amortization expense for internal software development costs and intangible assets, compared to $4.0 million of amortization expense for the same prior year period. Intangible asset amortization included within direct costs for the nine months ended September 30, 2021 and 2020 related to technology and software, certain customer relationships and customer contracts acquired in connection with our business acquisitions. See Note 4 “Goodwill and Intangible Assets” within the notes to our consolidated financial statements for additional information about our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Selling, general and administrative expenses increased $1.6 million, or 1.3%, to $128.5 million in the nine months ended September 30, 2021 from $126.9 million in the nine months ended September 30, 2020. The $1.6 million increase primarily related to a $1.7 million increase in software and data hosting expense, a $1.6 million increase in deferred compensation expense, a $1.4 million increase in legal expense, and a $1.1 million increase in signing, retention and other bonus expense for our support personnel. The $1.6 million increase in deferred compensation expense was attributable to the change in the market value of our deferred compensation liability. During the first nine months of 2021, the market value of our deferred compensation liability increased by $ 2.6 million, compared to $ 1.0 million in the first nine months of 2020. This $ 1.6 million increase in expense is offset by a $1.6 million increase in the gain recognized for the change in the market value of investments that are used to fund our deferred compensation liability and recognized in other income (expense), net. These increases to selling, general and administrative expenses were largely offset by a $3.7 million decrease in practice administration and meetings expense and a $1.0 million decrease in promotion and marketing expense. As a percentage of revenues, selling, general and administrative expenses decreased to 19.5% for the first nine months of 2021 compared to 19.6% during the first nine months of 2020, primarily attributable to the decrease in practice administration and meetings expense, largely offset by the increases in the other selling, general and administrative expenses described above.</w:t>
      </w:r>
    </w:p>
    <w:p>
      <w:pPr>
        <w:spacing w:after="0" w:line="15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Restructuring charges for the first nine months of 2021 totaled $3.2 million, compared to $1.8 million for the first nine months of 2020. The $3.2 million restructuring charge incurred in the first nine months of 2021 consisted of $1.8 million of rent and related expenses, net of sublease income, and accelerated depreciation on furniture and fixtures for vacated office spaces, $0.9 million of third-party transaction expenses related to the evaluation of the divestiture of our Life Sciences business within our Business Advisory segment, and $ 0.5 million of employee-related expenses. The $1.8 million restructuring charge incurred in the first nine months of 2020 primarily related to a $1.2 million accrual for the termination of a third-party advisor agreement; $0.3 million related to workforce reductions to better align resources with market demand; $0.2 million related to rent and related expenses, net of sublease income, for office spaces previously vacated, and $0.1 million related to workforce reductions in our corporate operations. See Note 8 “Restructuring Charges” within the notes to our consolidated financial statements for additional information on our restructuring charges.</w:t>
      </w:r>
    </w:p>
    <w:p>
      <w:pPr>
        <w:spacing w:after="0" w:line="15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Litigation and other losses (gains), net totaled a net loss of $0.1 million for the nine months ended September 30, 2021, which consisted of remeasurement losses to increase the fair value of our liability for contingent consideration related to a business combination. Litigation and other losses (gains), net totaled a net gain of $0.2 million for the nine months ended September 30, 2020, which consisted of a litigation settlement gain for the resolution of a claim that was settled in the first quarter of 2020.</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Depreciation and amortization expense decreased by $2.2 million, or 11.9%, to $16.3 million for the nine months ended September 30, 2021, from $18.5 million for the nine months ended September 30, 2020. The $2.2 million decrease was primarily attributable to decreasing amortization expense for customer relationships acquired in business acquisitions due to the accelerated basis of amortization in prior periods, including the customer relationships acquired in our Studer Group acquisition; and customer relationships acquired in other business acquisitions that were fully amortized in prior periods; as well as a decrease in depreciation expense for leasehold improvements and furniture and fixtures related to vacated office spaces. Intangible asset amortization expense included within operating expenses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first quarter of 2020, we recorded $59.8 million of non-cash pretax goodwill impairment charges related to our Strategy and Innovation and Life Sciences reporting units within our Business Advisory segment; primarily related to the expected decline in sales, increased uncertainty in the backlog and a decrease in the demand for the services these reporting units provide, as a result of the COVID-19 pandemic. These charges were non-cash in nature and did not affect our liquidity or debt covenants. See Note 4 “Goodwill and Intangible Assets” within the notes to our consolidated financial statements for additional information on the charges.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Operating income increased $58.9 million to income of $42.7 million in the first nine months of 2021 from a loss of $16.2 million in the first nine months of 2020. This increase is primarily attributable to the $59.8 million of non-cash pretax goodwill impairment charges recognized in the first</w:t>
      </w:r>
    </w:p>
    <w:p>
      <w:pPr>
        <w:sectPr>
          <w:pgSz w:w="11900" w:h="16838" w:orient="portrait"/>
          <w:cols w:equalWidth="0" w:num="1">
            <w:col w:w="11240"/>
          </w:cols>
          <w:pgMar w:left="320" w:top="140" w:right="339" w:bottom="90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90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quarter of 2020 related to our Business Advisory segment. Operating margin, which is defined as operating income (loss) expressed as a percentage of revenues, was 6.5% for the nine months ended September 30, 2021, compared to (2.5)% for the nine months ended September 30, 2020. The increase in operating margin was primarily attributable to the goodwill impairment charges recognized in the first quarter of 2020, as well as the increase in revenues and decreases in performance bonus expense for our revenue-generating professionals and practice administration and meetings expenses. These increases to the operating margin were partially offset by the increase in salaries and related expenses for our revenue-generating professionals, as a percentage of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 Net</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expense, net of interest income decreased $1.6 million to $6.0 million in the first nine months of 2021 from $7.5 million in the first nine months of 2020, primarily attributable to lower levels of borrowing under our credit facility during the first nine months of 2021 compared to the same prior year period. See Note 7 “Financing Arrangements” within the notes to our consolidated financial statements for additional information about our senior secured credit facility.</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Other income (expense), net increased by $1.5 million to a net gain of $2.2 million in the first nine months of 2021 from a net gain of $0.7 million in the first nine months of 2020. The increase in total other income, net was primarily attributable to the $2.6 million gain recognized during the first nine months of 2021 for the market value of our investments that are used to fund our deferred compensation liability, compared to the $1.0 million gain recognized during the first nine months of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 the nine months ended September 30, 2021, our effective tax rate was 17.9% as we recognized income tax expense from continuing operations of $7.0 million on income from continuing operations of $38.9 million. The effective tax rate of 17.9% was more favorable than the statutory rate, inclusive of state income taxes, of 26.6% primarily due to a discrete tax benefit recognized in the third quarter of 2021 related to U.S. federal return to provision adjustments related to the 2020 corporate income tax return. The effective tax rate also reflected the positive impact of certain federal tax credits and a discrete tax benefit recognized during the second quarter of 2021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These favorable items were partially offset by certain nondeductible business expenses.</w:t>
      </w:r>
    </w:p>
    <w:p>
      <w:pPr>
        <w:spacing w:after="0" w:line="1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the nine months ended September 30, 2020, our effective tax rate was 23.5% as we recognized an income tax benefit from continuing operations of $5.4 million on a loss from continuing operations of $23.0 million. The effective tax rate of 23.5% was less favorable than the statutory rate, inclusive of state income taxes, of 26.0%, primarily due to certain nondeductible business expenses and the nondeductible portion of the goodwill impairment charges recorded during the first quarter of 2020. These unfavorable items were partially offset by a discrete tax benefit for share-based compensation awards that vested during the first quarter, the positive impact of certain federal tax credits, and a discrete tax benefit for the remeasurement portion of our income tax receivable as a result of the enactment of the CARES Act in the first quarter of 2020.</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CARES Act, which was signed into law on March 27, 2020,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In the first nine months of 2020, as a result of the CARES Act, we recognized a $0.8 million tax benefit related to the remeasurement of a portion of our income tax receivable due to the ability to apply the federal net operating loss incurred in 2018 to prior year income for a refund at the higher tax rate in the carryback period. As a result of electing the retroactive GILTI high-tax exclusion in the second quarter of 2021, we recognized a $1.0 million tax benefit of which $0.4 million related to carrying back our increased 2018 federal net operating loss to prior year income for a refund at the higher, prior year tax rate. During the third quarter of 2021, we recognized an additional tax benefit of $ 2.0 million primarily related to the U.S. federal return to provision adjustments for carrying back our increased 2020 federal net operating loss to prior year income for a refund at the higher, prior year tax rate.</w:t>
      </w:r>
    </w:p>
    <w:p>
      <w:pPr>
        <w:spacing w:after="0" w:line="152" w:lineRule="exact"/>
        <w:rPr>
          <w:sz w:val="20"/>
          <w:szCs w:val="20"/>
          <w:color w:val="auto"/>
        </w:rPr>
      </w:pPr>
    </w:p>
    <w:p>
      <w:pPr>
        <w:ind w:right="120"/>
        <w:spacing w:after="0" w:line="438" w:lineRule="auto"/>
        <w:rPr>
          <w:sz w:val="20"/>
          <w:szCs w:val="20"/>
          <w:color w:val="auto"/>
        </w:rPr>
      </w:pPr>
      <w:r>
        <w:rPr>
          <w:rFonts w:ascii="Arial" w:cs="Arial" w:eastAsia="Arial" w:hAnsi="Arial"/>
          <w:sz w:val="18"/>
          <w:szCs w:val="18"/>
          <w:color w:val="auto"/>
        </w:rPr>
        <w:t xml:space="preserve">See Note 12 “Income Taxes” within the notes to our consolidated financial statements for additional information on our income tax expense. </w:t>
      </w:r>
      <w:r>
        <w:rPr>
          <w:rFonts w:ascii="Arial" w:cs="Arial" w:eastAsia="Arial" w:hAnsi="Arial"/>
          <w:sz w:val="18"/>
          <w:szCs w:val="18"/>
          <w:b w:val="1"/>
          <w:bCs w:val="1"/>
          <w:color w:val="auto"/>
        </w:rPr>
        <w:t>Net Income (Loss) from Continuing Operations and Earnings (Loss) Per Share</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Net income from continuing operations increased by $49.5 million to net income from continuing operations of $31.9 million for the nine months ended September 30, 2021, from a net loss from continuing operations of $17.6 million for the same prior year period. This increase is primarily attributable to the $59.8 million of non-cash pretax goodwill impairment charges recognized in the first quarter of 2020 related to our Business Advisory segment. As a result of the increase in net income from continuing operations, diluted earnings per share from continuing operations for the first nine months of 2021 was $ 1.46 compared to a loss per share from continuing operations of $0.81 for the first nine months of 2020. The non-cash goodwill impairment charges had a $2.11 unfavorable impact on diluted earnings per share from continuing operations for the first nine months of 2020.</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EBITDA increased $57.5 million to $64.5 million for the nine months ended September 30, 2021, from $7.0 million for the nine months ended September 30, 2020. The increase in EBITDA was primarily attributable to the non-cash goodwill impairment charges of $ 59.8 million recognized in the first quarter of 2020. Adjusted EBITDA decreased $1.6 million to $68.5 million in the first nine months of 2021 from $70.1 million in the first nine months of 2020. The decrease in adjusted EBITDA was primarily attributable to an increase in corporate expenses, excluding the change in the market value of our deferred compensation liability for the first nine months of 2021 compared to the first nine months of 2020 and restructuring charges not allocated at the segment level, partially offset by the overall increase in segment operating income, excluding depreciation and amortization and restructuring charges allocated at the segment level. See Segment Results below for additional information on segment operating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Adjusted net income from continuing operations increased $1.9 million to $39.7 million in the first nine months of 2021 compared to $37.7 million in the first nine months of 2020. As a result of the increase in adjusted net income from continuing operations, adjusted diluted earnings per share from continuing operations for the first nine months of 2021 was $1.81 compared to $1.70 for the first nine months of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Healthcare segment revenues increased $5.6 million, or 2.1%, to $273.9 million for the first nine months of 2021 from $268.3 million for the first nine months of 2020. The overall increase was primarily due to strengthened demand for this segment's services in the second and third quarters of 2021 and the favorable comparison against the first nine months of 2020, which was more significantly impacted by the COVID-19 pandemic as some clients reprioritized and delayed certain projects as a result of the uncertainties surrounding the pandemic.</w:t>
      </w:r>
    </w:p>
    <w:p>
      <w:pPr>
        <w:spacing w:after="0" w:line="15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During the nine months ended September 30, 2021, revenues from fixed-fee engagements; time-and-expense engagements; performance-based arrangements; and software support, maintenance and subscription arrangements represented 58.5%, 17.2%, 18.4%, and 5.9% of this segment’s revenues, respectively, compared to 58.9%, 16.2%, 18.3%, and 6.6% of this segment’s revenues, respectively, for the same prior year period. Performance-based fee revenue was $50.4 million during the first nine months of 2021, compared to $49.0 million during the first nine months of 2020. The level of performance-based fees earned may vary based on our clients’ risk sharing preferences and the mix of services we provide.</w:t>
      </w:r>
    </w:p>
    <w:p>
      <w:pPr>
        <w:spacing w:after="0" w:line="15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Of the overall $5.6 million increase in revenues, $13.9 million was attributable to an increase in revenues from our Healthcare Managed Services employees and $0.9 million was attributable to an increase in revenues from our billable consultants, partially offset by a $9.2 million decrease in revenues from our full-time equivalents.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increase in revenues attributable to our Healthcare Managed Services employees was primarily attributable to an increase in demand for these services, which led to an increase in the average number of managed services employees in the first nine months of 2021 compared to the same prior year period. At the beginning of the second quarter of 2021, we hired approximately 300 employees to expand our capacity to manage and provide revenue cycle billing, collections, insurance verification and change integrity services to our healthcare clients. These employees are serving new and existing clients in our Healthcare Managed Services solution, including serving under a short-term contract with an existing client which we entered into in connection with this group hire.</w:t>
      </w:r>
    </w:p>
    <w:p>
      <w:pPr>
        <w:spacing w:after="0" w:line="15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increase in revenues attributable to our billable consultants reflected increases in the average billing rate and the consultant utilization rate, largely offset by a decrease in the average number of billable consultants during the first nine months of 2021 compared to the same prior year period.</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decrease in full-time equivalent revenues was primarily driven by a decrease in demand for certain services and a decreased use of contractors and project consultants; and reflected a decrease in the average number of full-time equivalents, partially offset by an increase in revenue per full-time equivalent in the first nine months of 2021 compared to the same prior 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Healthcare segment operating income increased $7.5 million, or 10.6%, to $78.4 million for the nine months ended September 30, 2021, from $70.8 million for the nine months ended September 30, 2020. The Healthcare segment operating margin increased to 28.6% for the first nine months of 2021 from 26.4% in the same period last year. The increase in this segment’s operating margin was primarily attributable to decreases in practice administration and meetings expense, contractor expense, and salaries and related expenses for our support personnel. These increases to the segment operating margin were partially offset by an increase in signing, retention and other bonus expense for our revenue-generating professionals, as a percentage of revenues.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Business Advisory segment revenues increased $12.3 million, or 6.1%, to $213.7 million for the first nine months of 2021 from $201.4 million for the first nine months of 2020, primarily related to strengthened demand for our cloud-based technology and analytics solutions and our strategy and innovation solutions. Revenues for the first nine months of 2021 included $11.9 million from our acquisitions of ForceIQ and Unico Solutions, which were completed in November 2020 and February 2021, respectively.</w:t>
      </w:r>
    </w:p>
    <w:p>
      <w:pPr>
        <w:spacing w:after="0" w:line="150"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During the first nine months of 2021, revenues from fixed-fee engagements; time-and-expense engagements; performance-based arrangements; and software support, maintenance and subscription arrangements represented 43.0%, 50.9%, 3.1%, and 3.0% of this segment’s revenues, respectively, compared to 36.5%, 58.8%, 2.9%, and 1.8% of this segment’s revenues, respectively, during the same prior year period. Performance-based fee revenue was $6.5 million for the first nine months of 2021, compared to $ 5.9 million for the first nine months of 2020. The level of performance-based fees earned may vary based on our clients’ preferences and the mix of services we provide.</w:t>
      </w:r>
    </w:p>
    <w:p>
      <w:pPr>
        <w:spacing w:after="0" w:line="15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Of the overall $12.3 million increase in revenues, $ 8.8 million was attributable to revenues generated by our billable consultants and $3.5 million was attributable to our full-time equivalents. The increase in revenues from our billable consultants was primarily driven by an increase in the average number of billable consultants, partially offset by decreases in the consultant utilization rate and the average billing rate in the first nine months of 2021 compared to the same prior year period. The increase in revenues from our full-time equivalents was driven by an increased use of contractors and project consultants; and reflected an increase in the average number of full-time equivalents, partially offset by a decrease in revenue per full-time equivalent in the first nine months of 2021 compared to the same prior year period.</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November 1, 2021, we completed the divestiture of the Life Sciences business to Oliver Wyman. The Life Sciences business, a reporting unit within the Business Advisory segment, provides commercial and research and development strategy, pricing and market access strategy solutions to customers in the life sciences industries. For the nine months ended September 30, 2021, Life Sciences revenues were $14.8 million. The Life Sciences business is not significant to our consolidated financial statements and does not qualify as a discontinued operation for reporting under GAAP.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Business Advisory segment operating income was $37.3 million for both the nine months ended September 30, 2021 and 2020. The Business Advisory segment operating margin decreased to 17.4% for the first nine months of 2021 from 18.5% in the same period last year. The decrease in this segment’s operating margin was primarily attributable to increases in salaries and related expenses for our revenue-generating professionals, contractor expense, and salaries and related expenses for our support personnel, as percentages of revenues; partially offset by decreases in performance bonus expense for our revenue-generating professionals and restructuring charges.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first quarter 2020 non-cash goodwill impairment charges related to the Strategy and Innovation and Life Sciences reporting units within the Business Advisory segment, which are discussed above within consolidated results, are not allocated at the segment level because the underlying goodwill asset is reflective of our corporate investment in the segment. We do not include the impact of goodwill impairment charges in our evaluation of segment performance. See Note 4 “Goodwill and Intangible Assets” within the notes to our consolidated financial statements for additional information on the goodwill impairment charges recorded in the first quarter of 2020 and our goodwill balances.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Education segment revenues decreased $ 6.3 million, or 3.6%, to $169.7 million for the first nine months of 2021 from $176.0 million for the first nine months of 2020. The decrease in revenues was primarily related to the negative impact of the COVID-19 pandemic on demand for this segment's services beginning in the third quarter of 2020 and continuing through the second quarter of 2021 as some clients reprioritized and delayed certain projects as a result of the uncertainties surrounding the pandemic. The decrease in revenues is also reflective of the difficult prior year comparison driven by the strong growth of this segment's revenues in the first half of 2020 prior to the impact of the pandemic on this segment.</w:t>
      </w:r>
    </w:p>
    <w:p>
      <w:pPr>
        <w:spacing w:after="0" w:line="154"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For the nine months ended September 30, 2021, revenues from fixed-fee engagements; time-and-expense engagements; and software support, maintenance and subscription arrangements represented 28.4%, 59.3%, and 12.3% of this segment's revenues, respectively. During the same prior year period, revenues from fixed-fee engagements; time-and-expense engagements; performance-based arrangements; and software support, maintenance and subscription arrangements represented 20.2%, 70.1%, 0.4% and 9.3% of this segment’s revenues, respectively.</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Of the overall $6.3 million decrease in revenues, $7.8 million was attributable to a decrease in revenues generated by our billable consultants, partially offset by a $1.5 million increase in revenues generated by our full-time equivalents. The decrease in revenues from our full-time billable consultants reflected decreases in the average number of billable consultants and the average billing rate, partially offset by an increase in the consultant utilization rate in the first nine months of 2021 compared to the same prior year period. The increase in revenues from our full-time equivalents was primarily driven by an increase in software subscriptions, software support and maintenance, and data hosting revenues, partially</w:t>
      </w:r>
    </w:p>
    <w:p>
      <w:pPr>
        <w:sectPr>
          <w:pgSz w:w="11900" w:h="16838" w:orient="portrait"/>
          <w:cols w:equalWidth="0" w:num="1">
            <w:col w:w="11240"/>
          </w:cols>
          <w:pgMar w:left="320" w:top="140" w:right="339" w:bottom="684"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684"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offset by a decreased use of contractors and project consultants. The overall increase in full-time equivalent revenues reflected an increase in revenue per full-time equivalent, partially offset by a decrease in the average number of full-time equivalents in the first nine months of 2021 compared to the same prior 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Education segment operating income decreased $4.6 million, or 11.0%, to $37.2 million for the nine months ended September 30, 2021, from $41.8 million for the nine months ended September 30, 2020. The Education segment operating margin decreased to 21.9% for the first nine months of 2021 from 23.7% in the same period last year. The decrease in this segment’s operating margin was primarily attributable to an increase in performance bonus expense for our revenue-generating professionals and an increase in salaries and related expenses for our revenue-generating professionals as a percentage of revenues. These increases to the segment's operating margin were partially offset by a decrease in contractor expense, as a percentage of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Cash and cash equivalents decreased $56.0 million to $11.2 million at September 30, 2021 from $67.2 million at December 31, 2020. As of September 30, 2021, our primary sources of liquidity are cash on hand, cash flows from our U.S. operations, and borrowing capacity available under our credit facility.</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8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77,985</w:t>
            </w:r>
          </w:p>
        </w:tc>
      </w:tr>
      <w:tr>
        <w:trPr>
          <w:trHeight w:val="229"/>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(28,388)</w:t>
            </w:r>
          </w:p>
        </w:tc>
      </w:tr>
      <w:tr>
        <w:trPr>
          <w:trHeight w:val="230"/>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w:t>
            </w:r>
          </w:p>
        </w:tc>
      </w:tr>
      <w:tr>
        <w:trPr>
          <w:trHeight w:val="229"/>
        </w:trPr>
        <w:tc>
          <w:tcPr>
            <w:tcW w:w="8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Net cash used in operating activities totaled $28.2 million for the nine months ended September 30, 2021, compared to net cash provided by operating activities of $78.0 million for the nine months ended September 30, 2020.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5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decrease in net operating cash flows for the first nine months of 2021 compared to the same prior year period was primarily attributable to a decrease in cash collections in the first nine months of 2021 compared to the same prior year period and the $12.2 million payment in the third quarter of 2021 of the employer's portion of social security taxes deferred under the CARES Act. These decreases to net operating cash flows were partially offset by a decrease in the amount paid for annual performance bonuses in the first quarter of 2021 compared to the first quarter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Net cash used in investing activities was $18.7 million and $28.4 million for the nine months ended September 30, 2021 and 2020, respectively.</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use of cash in the first nine months of 2021 primarily consisted of $8.9 million for purchases of property and equipment, primarily related to purchases of leasehold improvements and furniture for certain office spaces and computers and related equipment; $5.9 million for the purchase of a business; and $3.6 million for payments related to internally developed software.</w:t>
      </w:r>
    </w:p>
    <w:p>
      <w:pPr>
        <w:spacing w:after="0" w:line="148"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The use of cash in the first nine months of 2020 primarily consisted of $13.0 million for the purchase of an additional convertible debt investment in</w:t>
      </w:r>
    </w:p>
    <w:p>
      <w:pPr>
        <w:spacing w:after="0" w:line="1"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Shorelight Holdings, LLC; $6.8 million for payments related to internally developed software; $5.7 million for purchases of property and equipment, primarily related to purchases of leasehold improvements and furniture for certain office spaces and computers and related equipment; and $2.0 million for contributions to our life insurance policies which fund our deferred compensation plan.</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2021 will total approximately $13 million to $17 million; primarily consisting of leasehold improvements for certain office locations, software development costs, and information technology equipment.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in financing activities was $9.2 million for the nine months ended September 30, 2021. During the first nine months of 2021, we borrowed $189.0 million under our credit facility, primarily to fund our operations, including our annual performance bonus payment in the first quarter of 2021, and made repayments on our borrowings of $129.4 million. Additionally, during the first nine months of 2021, we repurchased and retired $60.2 million of our common stock under our 2020 Share Repurchase Program, as defined below.</w:t>
      </w:r>
    </w:p>
    <w:p>
      <w:pPr>
        <w:spacing w:after="0" w:line="15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Net cash provided by financing activities was $13.5 million for the nine months ended September 30, 2020. During the first nine months of 2020, we borrowed $283.0 million under our credit facility, including $125.0 million prior to March 31, 2020 to maintain excess cash and support liquidity during the period of uncertainty created by the COVID-19 pandemic, as well as to fund our annual performance bonus payment. During the first nine months of 2020, we made repayments on our borrowings of $240.4 million, including $200.0 million in the second and third quarters of 2020 due to our ability to maintain adequate cash flows from operations and improved clarity around access to capital resources. Additionally, we repurchased and retired $20.9 million of our common stock under our 2015 Share Repurchase Program, as defined below, and settled $1.2 million of share repurchases that were accrued as of December 31,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$ 125 million of our common stock through October 31, 2020. During the third quarter of 2021, our board of directors authorized an extension of the 2020 Share Repurchase Program through December 31, 2022 and increased the authorized amount from $50 million to $100 million. The amount and timing of repurchases under both share repurchase programs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three and nine months ended September 30, 2021, we repurchased and retired 518,045 and 1,169,126 shares for $25.0 million and $60.2 million, respectively, under the 2020 Share Repurchase Program. In the first quarter of 2020, we repurchased 313,998 shares for $20.9 million under the 2015 Share Repurchase Program. Additionally, in the first quarter of 2020, we settled the repurchase of 18,000 shares for $1.2 million that were accrued as of December 31, 2019. No shares were repurchased in the second or third quarters of 2020. As of September 30, 2021, $34.7 million remained available for share repurchases under the 2020 Share Repurchase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At September 30, 2021, we had $260.0 million outstanding under our senior secured credit facility and $2.9 million outstanding under a promissory note, as discussed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360" w:firstLine="8"/>
        <w:spacing w:after="0" w:line="254" w:lineRule="auto"/>
        <w:tabs>
          <w:tab w:leader="none" w:pos="2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2021 and December 31, 2020, we were in compliance with these financial covenants. Our Consolidated Leverage Ratio as of September 30, 2021 was 2.73 to 1.00, compared to 1.94 to 1.00 as of December 31, 2020. Our Consolidated Interest Coverage Ratio as of September 30, 2021 was 13.99 to 1.00, compared to 12.51 to 1.00 as of December 31, 2020.</w:t>
      </w:r>
    </w:p>
    <w:p>
      <w:pPr>
        <w:spacing w:after="0" w:line="154"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Principal borrowings outstanding under the Amended Credit Agreement at September 30, 2021 and December 31, 2020 totaled $260.0 million and $200.0 million, respectively. These borrowings carried a weighted average interest rate of 2.7% at September 30, 2021 and 2.5% at December 31, 2020, including the impact of the interest rate swaps described in Note 9 “Derivative Instruments and Hedging Activity” within the notes to the consolidated financial statements. The borrowing capacity under the revolving credit facility is reduced by any outstanding borrowings under the revolving credit facility and outstanding letters of credit. At September 30, 2021, we had outstanding letters of credit totaling $0.7 million, which are primarily used as security deposits for our office facilities. As of September 30, 2021, the unused borrowing capacity under the revolving credit facility was $339.3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September 30, 2021, the outstanding principal amount of the promissory note was $2.9 million, and the aircraft had a carrying amount of $3.9 million. At December 31, 2020, the outstanding principal amount of the promissory note was $3.3 million, and the aircraft had a carrying amount of $4.4 million.</w:t>
      </w:r>
    </w:p>
    <w:p>
      <w:pPr>
        <w:spacing w:after="0" w:line="158" w:lineRule="exact"/>
        <w:rPr>
          <w:sz w:val="20"/>
          <w:szCs w:val="20"/>
          <w:color w:val="auto"/>
        </w:rPr>
      </w:pPr>
    </w:p>
    <w:p>
      <w:pPr>
        <w:ind w:right="1800"/>
        <w:spacing w:after="0" w:line="438" w:lineRule="auto"/>
        <w:rPr>
          <w:sz w:val="20"/>
          <w:szCs w:val="20"/>
          <w:color w:val="auto"/>
        </w:rPr>
      </w:pPr>
      <w:r>
        <w:rPr>
          <w:rFonts w:ascii="Arial" w:cs="Arial" w:eastAsia="Arial" w:hAnsi="Arial"/>
          <w:sz w:val="18"/>
          <w:szCs w:val="18"/>
          <w:color w:val="auto"/>
        </w:rPr>
        <w:t xml:space="preserve">For further information, see Note 7 “Financing Arrangements” within the notes to the consolidated financial statements. </w:t>
      </w:r>
      <w:r>
        <w:rPr>
          <w:rFonts w:ascii="Arial" w:cs="Arial" w:eastAsia="Arial" w:hAnsi="Arial"/>
          <w:sz w:val="18"/>
          <w:szCs w:val="18"/>
          <w:b w:val="1"/>
          <w:bCs w:val="1"/>
          <w:color w:val="auto"/>
        </w:rPr>
        <w:t>Future Financing Needs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Throughout 2020 and into 2021, our primary financing need was to support our operations and maintain our liquidity during the COVID-19 pandemic. As such, we took proactive measures to increase available cash on hand, including, but not limited to, borrowing under our senior secured credit facility, reducing discretionary operating and capital expenses, and electing to defer the deposit of our employer portion of social security taxes as provided for under the CARES Act.</w:t>
      </w:r>
    </w:p>
    <w:p>
      <w:pPr>
        <w:spacing w:after="0" w:line="15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Given improved visibility to our project backlog and access to capital resources, our primary financing need has now returned to funding our long-term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2020. As of September 30, 2021, borrowings outstanding under our senior secured credit facility totaled $260.0 million compared to $200.0 million at December 31, 2020. See the “Liquidity and Capital Resources” section above and Note 7 “Financing Arrangements” within the notes to our consolidated financial statements for additional information on our outstanding borrowings as of September 30, 2021. There have been no other material changes to our contractual obligations since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2020. There have been no material changes to our critical accounting policies during the first nine months of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See Note 3 “New Accounting Pronouncements” within the notes to the consolidated financial statements for information on new accounting pronouncements.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November 1, 2021, we completed the divestiture of our Life Sciences business to Oliver Wyman. The Life Sciences business, a reporting unit within the Business Advisory segment, provides commercial and research and development strategy, pricing and market access strategy solutions to customers in the life sciences industries. For the three and nine months ended September 30, 2021, Life Sciences revenues were $5.1 million and $14.8 million, respectively. The Life Sciences business is not significant to our consolidated financial statements and does not qualify as a discontinued operation for reporting under GAAP.</w:t>
      </w:r>
    </w:p>
    <w:p>
      <w:pPr>
        <w:spacing w:after="0" w:line="170"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ind w:right="1320"/>
        <w:spacing w:after="0" w:line="438" w:lineRule="auto"/>
        <w:rPr>
          <w:sz w:val="20"/>
          <w:szCs w:val="20"/>
          <w:color w:val="auto"/>
        </w:rPr>
      </w:pPr>
      <w:r>
        <w:rPr>
          <w:rFonts w:ascii="Arial" w:cs="Arial" w:eastAsia="Arial" w:hAnsi="Arial"/>
          <w:sz w:val="18"/>
          <w:szCs w:val="18"/>
          <w:color w:val="auto"/>
        </w:rPr>
        <w:t xml:space="preserve">We are exposed to market risks primarily from changes in interest rates and changes in the market value of our investments. </w:t>
      </w:r>
      <w:r>
        <w:rPr>
          <w:rFonts w:ascii="Arial" w:cs="Arial" w:eastAsia="Arial" w:hAnsi="Arial"/>
          <w:sz w:val="18"/>
          <w:szCs w:val="18"/>
          <w:b w:val="1"/>
          <w:bCs w:val="1"/>
          <w:color w:val="auto"/>
        </w:rPr>
        <w:t>Market Risk and Interest Rate Risk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LIBOR or an alternate base rate, at our option. At September 30, 2021, we had borrowings outstanding under the credit facility totaling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$260.0 million that carried a weighted average interest rate of 2.7%, including the impact of the interest rate swaps described below.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hypothetical 100 basis point change in the interest rate would have a $0.6 million effect on our pretax income on an annualized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the effect of the interest rate swaps. At December 31, 2020, we had borrowings outstanding under the credit facility totaling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that carried a weighted average interest rate of 2.5% including the impact of the interest rate swaps. As of December 31, 2020,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variable rate borrowings were fully hedged against changes in interest rates by the interest rate swaps, which have a notional amount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million. A hypothetical 100 basis point change in the interest rate would have had no impact on our pretax income, on an 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basis, including the effect of the interest rate swaps.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September 30, 2021, the outstanding principal amount of the promissory note was $2.9 million and carried an interest rate of 2.1%. A hypothetical 100 basis point change in this interest rate would not have a material effect on our</w:t>
      </w:r>
    </w:p>
    <w:p>
      <w:pPr>
        <w:sectPr>
          <w:pgSz w:w="11900" w:h="16838" w:orient="portrait"/>
          <w:cols w:equalWidth="0" w:num="1">
            <w:col w:w="11220"/>
          </w:cols>
          <w:pgMar w:left="320" w:top="140" w:right="359" w:bottom="1076"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076"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pretax income. At December 31, 2020, the outstanding principal amount of the promissory note was $3.3 million and carried an interest rate of 2.1%. A hypothetical 100 basis point change in the interest rate as of December 31, 2020 would not have had a material effect on our pretax income.</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an investment in the form of 1.69% convertible debt in Shorelight Holdings, LLC, a privately-held company, which we account for as an available-for-sale debt security. As such, the investment is carried at fair value with unrealized holding gains and losses excluded from earnings and reported in other comprehensive income. As of September 30, 2021, the fair value of the investment was $61.5 million, with a total cost basis of $40.9 million. At December 31, 2020, the fair value of the investment was $64.4 million, with a total cost basis of $40.9 million.</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 preferred stock investment in Medically Home Group, Inc.,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September 30, 2021 and December 31, 2020, the carrying value of the investment was $6.7 million, with a total cost basis of $5.0 million. Following our purchase, we have not identified any impairment of our investment.</w:t>
      </w:r>
    </w:p>
    <w:p>
      <w:pPr>
        <w:spacing w:after="0" w:line="15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See Note 10 “Fair Value of Financial Instruments” for further information on our long-term investments in Shorelight Holdings, LLC and Medically Home Group, Inc.</w:t>
      </w:r>
    </w:p>
    <w:p>
      <w:pPr>
        <w:spacing w:after="0" w:line="16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2021. Based on this evaluation, our Chief Executive Officer and Chief Financial Officer have concluded that, as of September 30, 2021,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September 30, 2021 that has materially affected, or is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8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Note 13 “Commitments, Contingencies and Guarantees” included in Part I, Item 1 of this Form 10-Q.</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6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2020, which was filed with the Securities and Exchange Commission on February 23, 2021, for a complete description of the material risks we face.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September 30, 2021, we reacquired 12,489 shares of common stock with a weighted average fair market value of $49.35 as a result of such tax withholdings.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“2020 Share Repurchase Program”). During the third quarter of 2021, our board of directors authorized an extension of the 2020 Share Repurchase Program through December 31, 2022 and increased the authorized amount from $50 million to $100 million. The amount and timing of the repurchases will be determined by management and will depend on a variety of factors, including the trading price of our common stock, capacity under our line of credit, general market and business conditions, and applicable legal requirements.</w:t>
      </w:r>
    </w:p>
    <w:p>
      <w:pPr>
        <w:spacing w:after="0" w:line="15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September 30, 2021.</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76"/>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10"/>
                <w:szCs w:val="10"/>
                <w:b w:val="1"/>
                <w:bCs w:val="1"/>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Paid per Share</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2021 - July 31, 2021</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59,731,354</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Arial" w:cs="Arial" w:eastAsia="Arial" w:hAnsi="Arial"/>
                <w:sz w:val="18"/>
                <w:szCs w:val="18"/>
                <w:color w:val="auto"/>
              </w:rPr>
              <w:t>August 1, 2021 - August 31, 2021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526,471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518,045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34,745,565</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2021 - September 30, 2021</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34,745,565</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530,534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518,045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980" w:right="160" w:hanging="972"/>
        <w:spacing w:after="0" w:line="256" w:lineRule="auto"/>
        <w:tabs>
          <w:tab w:leader="none" w:pos="10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repurchased included 2,739 shares in July 2021, 8,426 shares in August 2021, and 1,324 shares in September 2021 to satisfy employee tax withholding requirements. These shares do not reduce the repurchase authority under the 2020 Share Repurchase Program.</w:t>
      </w:r>
    </w:p>
    <w:p>
      <w:pPr>
        <w:spacing w:after="0" w:line="39" w:lineRule="exact"/>
        <w:rPr>
          <w:rFonts w:ascii="Arial" w:cs="Arial" w:eastAsia="Arial" w:hAnsi="Arial"/>
          <w:sz w:val="18"/>
          <w:szCs w:val="18"/>
          <w:color w:val="auto"/>
        </w:rPr>
      </w:pPr>
    </w:p>
    <w:p>
      <w:pPr>
        <w:ind w:left="1020" w:hanging="101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4700" w:type="dxa"/>
            <w:vAlign w:val="bottom"/>
            <w:gridSpan w:val="10"/>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Filed</w:t>
            </w: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Furnished</w:t>
            </w: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Period</w:t>
            </w:r>
          </w:p>
        </w:tc>
        <w:tc>
          <w:tcPr>
            <w:tcW w:w="9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2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7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4700" w:type="dxa"/>
            <w:vAlign w:val="bottom"/>
            <w:gridSpan w:val="10"/>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55"/>
        </w:trPr>
        <w:tc>
          <w:tcPr>
            <w:tcW w:w="840" w:type="dxa"/>
            <w:vAlign w:val="bottom"/>
          </w:tcPr>
          <w:p>
            <w:pPr>
              <w:ind w:left="20"/>
              <w:spacing w:after="0" w:line="155"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3"/>
                <w:szCs w:val="13"/>
                <w:color w:val="auto"/>
              </w:rPr>
            </w:pPr>
          </w:p>
        </w:tc>
        <w:tc>
          <w:tcPr>
            <w:tcW w:w="4020" w:type="dxa"/>
            <w:vAlign w:val="bottom"/>
            <w:tcBorders>
              <w:bottom w:val="single" w:sz="8" w:color="0000FF"/>
            </w:tcBorders>
            <w:gridSpan w:val="3"/>
          </w:tcPr>
          <w:p>
            <w:pPr>
              <w:spacing w:after="0" w:line="136" w:lineRule="exact"/>
              <w:rPr>
                <w:rFonts w:ascii="Arial" w:cs="Arial" w:eastAsia="Arial" w:hAnsi="Arial"/>
                <w:sz w:val="15"/>
                <w:szCs w:val="15"/>
                <w:color w:val="0000FF"/>
              </w:rPr>
            </w:pPr>
            <w:hyperlink w:anchor="page50">
              <w:r>
                <w:rPr>
                  <w:rFonts w:ascii="Arial" w:cs="Arial" w:eastAsia="Arial" w:hAnsi="Arial"/>
                  <w:sz w:val="15"/>
                  <w:szCs w:val="15"/>
                  <w:color w:val="0000FF"/>
                </w:rPr>
                <w:t>Form of the Huron Consulting Group Inc. 2012 Omnibus</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20"/>
              <w:spacing w:after="0" w:line="155" w:lineRule="exact"/>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Incentive Plan Restricted Stock Unit Agreement.</w:t>
              </w:r>
            </w:hyperlink>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7"/>
                <w:szCs w:val="17"/>
                <w:color w:val="auto"/>
              </w:rPr>
            </w:pPr>
          </w:p>
        </w:tc>
        <w:tc>
          <w:tcPr>
            <w:tcW w:w="4700" w:type="dxa"/>
            <w:vAlign w:val="bottom"/>
            <w:gridSpan w:val="10"/>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Certification of the Chief Executive Officer, pursuant to Rule</w:t>
              </w:r>
            </w:hyperlink>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55">
              <w:r>
                <w:rPr>
                  <w:rFonts w:ascii="Arial" w:cs="Arial" w:eastAsia="Arial" w:hAnsi="Arial"/>
                  <w:sz w:val="16"/>
                  <w:szCs w:val="16"/>
                  <w:color w:val="0000FF"/>
                </w:rPr>
                <w:t>13a-14(a)/15d-14(a), as adopted pursuant to Section 302 of</w:t>
              </w:r>
            </w:hyperlink>
          </w:p>
        </w:tc>
        <w:tc>
          <w:tcPr>
            <w:tcW w:w="440" w:type="dxa"/>
            <w:vAlign w:val="bottom"/>
            <w:gridSpan w:val="3"/>
          </w:tcPr>
          <w:p>
            <w:pPr>
              <w:ind w:left="60"/>
              <w:spacing w:after="0" w:line="142" w:lineRule="exact"/>
              <w:rPr>
                <w:rFonts w:ascii="Arial" w:cs="Arial" w:eastAsia="Arial" w:hAnsi="Arial"/>
                <w:sz w:val="16"/>
                <w:szCs w:val="16"/>
                <w:color w:val="0000FF"/>
              </w:rPr>
            </w:pPr>
            <w:hyperlink w:anchor="page55">
              <w:r>
                <w:rPr>
                  <w:rFonts w:ascii="Arial" w:cs="Arial" w:eastAsia="Arial" w:hAnsi="Arial"/>
                  <w:sz w:val="16"/>
                  <w:szCs w:val="16"/>
                  <w:color w:val="0000FF"/>
                </w:rPr>
                <w:t>the</w:t>
              </w:r>
            </w:hyperlink>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w:anchor="page55">
              <w:r>
                <w:rPr>
                  <w:rFonts w:ascii="Arial" w:cs="Arial" w:eastAsia="Arial" w:hAnsi="Arial"/>
                  <w:sz w:val="16"/>
                  <w:szCs w:val="16"/>
                  <w:color w:val="0000FF"/>
                </w:rPr>
                <w:t>Sarbanes-Oxley Act of 2002.</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4700" w:type="dxa"/>
            <w:vAlign w:val="bottom"/>
            <w:gridSpan w:val="10"/>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Certification of the Chief Financial Officer, pursuant to Rule</w:t>
              </w:r>
            </w:hyperlink>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00" w:type="dxa"/>
            <w:vAlign w:val="bottom"/>
            <w:gridSpan w:val="10"/>
          </w:tcPr>
          <w:p>
            <w:pPr>
              <w:spacing w:after="0" w:line="142" w:lineRule="exact"/>
              <w:rPr>
                <w:rFonts w:ascii="Arial" w:cs="Arial" w:eastAsia="Arial" w:hAnsi="Arial"/>
                <w:sz w:val="16"/>
                <w:szCs w:val="16"/>
                <w:color w:val="0000FF"/>
              </w:rPr>
            </w:pPr>
            <w:hyperlink w:anchor="page56">
              <w:r>
                <w:rPr>
                  <w:rFonts w:ascii="Arial" w:cs="Arial" w:eastAsia="Arial" w:hAnsi="Arial"/>
                  <w:sz w:val="16"/>
                  <w:szCs w:val="16"/>
                  <w:color w:val="0000FF"/>
                </w:rPr>
                <w:t>13a-14(a)/15d-14(a), as adopted pursuant to Section 302 of the</w:t>
              </w:r>
            </w:hyperlink>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w:anchor="page56">
              <w:r>
                <w:rPr>
                  <w:rFonts w:ascii="Arial" w:cs="Arial" w:eastAsia="Arial" w:hAnsi="Arial"/>
                  <w:sz w:val="16"/>
                  <w:szCs w:val="16"/>
                  <w:color w:val="0000FF"/>
                </w:rPr>
                <w:t>Sarbanes-Oxley Act of 2002.</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4700" w:type="dxa"/>
            <w:vAlign w:val="bottom"/>
            <w:gridSpan w:val="10"/>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Certification of the Chief Executive Officer, pursuant to 18</w:t>
              </w:r>
            </w:hyperlink>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0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w:anchor="page57">
              <w:r>
                <w:rPr>
                  <w:rFonts w:ascii="Arial" w:cs="Arial" w:eastAsia="Arial" w:hAnsi="Arial"/>
                  <w:sz w:val="16"/>
                  <w:szCs w:val="16"/>
                  <w:color w:val="0000FF"/>
                </w:rPr>
                <w:t>U.S.C. Section 1350, as adopted pursuant to Section 906</w:t>
              </w:r>
            </w:hyperlink>
          </w:p>
        </w:tc>
        <w:tc>
          <w:tcPr>
            <w:tcW w:w="600" w:type="dxa"/>
            <w:vAlign w:val="bottom"/>
            <w:gridSpan w:val="5"/>
          </w:tcPr>
          <w:p>
            <w:pPr>
              <w:ind w:left="60"/>
              <w:spacing w:after="0" w:line="142" w:lineRule="exact"/>
              <w:rPr>
                <w:rFonts w:ascii="Arial" w:cs="Arial" w:eastAsia="Arial" w:hAnsi="Arial"/>
                <w:sz w:val="16"/>
                <w:szCs w:val="16"/>
                <w:color w:val="0000FF"/>
              </w:rPr>
            </w:pPr>
            <w:hyperlink w:anchor="page57">
              <w:r>
                <w:rPr>
                  <w:rFonts w:ascii="Arial" w:cs="Arial" w:eastAsia="Arial" w:hAnsi="Arial"/>
                  <w:sz w:val="16"/>
                  <w:szCs w:val="16"/>
                  <w:color w:val="0000FF"/>
                </w:rPr>
                <w:t>of the</w:t>
              </w:r>
            </w:hyperlink>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6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57">
              <w:r>
                <w:rPr>
                  <w:rFonts w:ascii="Arial" w:cs="Arial" w:eastAsia="Arial" w:hAnsi="Arial"/>
                  <w:sz w:val="16"/>
                  <w:szCs w:val="16"/>
                  <w:color w:val="0000FF"/>
                </w:rPr>
                <w:t>Sarbanes-Oxley Act of 2002.</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4700" w:type="dxa"/>
            <w:vAlign w:val="bottom"/>
            <w:gridSpan w:val="10"/>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Certification of the Chief Financial Officer, pursuant to 18</w:t>
              </w:r>
            </w:hyperlink>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Borders>
              <w:top w:val="single" w:sz="8" w:color="0000FF"/>
            </w:tcBorders>
            <w:gridSpan w:val="4"/>
          </w:tcPr>
          <w:p>
            <w:pPr>
              <w:spacing w:after="0" w:line="142" w:lineRule="exact"/>
              <w:rPr>
                <w:rFonts w:ascii="Arial" w:cs="Arial" w:eastAsia="Arial" w:hAnsi="Arial"/>
                <w:sz w:val="16"/>
                <w:szCs w:val="16"/>
                <w:color w:val="0000FF"/>
                <w:w w:val="99"/>
              </w:rPr>
            </w:pPr>
            <w:hyperlink w:anchor="page58">
              <w:r>
                <w:rPr>
                  <w:rFonts w:ascii="Arial" w:cs="Arial" w:eastAsia="Arial" w:hAnsi="Arial"/>
                  <w:sz w:val="16"/>
                  <w:szCs w:val="16"/>
                  <w:color w:val="0000FF"/>
                  <w:w w:val="99"/>
                </w:rPr>
                <w:t>U.S.C. Section 1350, as adopted pursuant to Section 906</w:t>
              </w:r>
            </w:hyperlink>
          </w:p>
        </w:tc>
        <w:tc>
          <w:tcPr>
            <w:tcW w:w="640" w:type="dxa"/>
            <w:vAlign w:val="bottom"/>
            <w:gridSpan w:val="6"/>
          </w:tcPr>
          <w:p>
            <w:pPr>
              <w:ind w:left="100"/>
              <w:spacing w:after="0" w:line="142" w:lineRule="exact"/>
              <w:rPr>
                <w:rFonts w:ascii="Arial" w:cs="Arial" w:eastAsia="Arial" w:hAnsi="Arial"/>
                <w:sz w:val="16"/>
                <w:szCs w:val="16"/>
                <w:color w:val="0000FF"/>
              </w:rPr>
            </w:pPr>
            <w:hyperlink w:anchor="page58">
              <w:r>
                <w:rPr>
                  <w:rFonts w:ascii="Arial" w:cs="Arial" w:eastAsia="Arial" w:hAnsi="Arial"/>
                  <w:sz w:val="16"/>
                  <w:szCs w:val="16"/>
                  <w:color w:val="0000FF"/>
                </w:rPr>
                <w:t>of the</w:t>
              </w:r>
            </w:hyperlink>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6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58">
              <w:r>
                <w:rPr>
                  <w:rFonts w:ascii="Arial" w:cs="Arial" w:eastAsia="Arial" w:hAnsi="Arial"/>
                  <w:sz w:val="16"/>
                  <w:szCs w:val="16"/>
                  <w:color w:val="0000FF"/>
                </w:rPr>
                <w:t>Sarbanes-Oxley Act of 2002.</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0" w:type="dxa"/>
            <w:vAlign w:val="bottom"/>
          </w:tcPr>
          <w:p>
            <w:pPr>
              <w:ind w:left="20"/>
              <w:spacing w:after="0"/>
              <w:rPr>
                <w:sz w:val="20"/>
                <w:szCs w:val="20"/>
                <w:color w:val="auto"/>
              </w:rPr>
            </w:pPr>
            <w:r>
              <w:rPr>
                <w:rFonts w:ascii="Arial" w:cs="Arial" w:eastAsia="Arial" w:hAnsi="Arial"/>
                <w:sz w:val="16"/>
                <w:szCs w:val="16"/>
                <w:color w:val="auto"/>
              </w:rPr>
              <w:t>101.INS</w:t>
            </w:r>
          </w:p>
        </w:tc>
        <w:tc>
          <w:tcPr>
            <w:tcW w:w="120" w:type="dxa"/>
            <w:vAlign w:val="bottom"/>
          </w:tcPr>
          <w:p>
            <w:pPr>
              <w:spacing w:after="0"/>
              <w:rPr>
                <w:sz w:val="17"/>
                <w:szCs w:val="17"/>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00" w:type="dxa"/>
            <w:vAlign w:val="bottom"/>
            <w:gridSpan w:val="10"/>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are embedded within the Inline XBRL 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101.SCH</w:t>
            </w:r>
          </w:p>
        </w:tc>
        <w:tc>
          <w:tcPr>
            <w:tcW w:w="120" w:type="dxa"/>
            <w:vAlign w:val="bottom"/>
          </w:tcPr>
          <w:p>
            <w:pPr>
              <w:spacing w:after="0"/>
              <w:rPr>
                <w:sz w:val="18"/>
                <w:szCs w:val="18"/>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101.CAL</w:t>
            </w:r>
          </w:p>
        </w:tc>
        <w:tc>
          <w:tcPr>
            <w:tcW w:w="120" w:type="dxa"/>
            <w:vAlign w:val="bottom"/>
          </w:tcPr>
          <w:p>
            <w:pPr>
              <w:spacing w:after="0"/>
              <w:rPr>
                <w:sz w:val="15"/>
                <w:szCs w:val="15"/>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101.LAB</w:t>
            </w:r>
          </w:p>
        </w:tc>
        <w:tc>
          <w:tcPr>
            <w:tcW w:w="120" w:type="dxa"/>
            <w:vAlign w:val="bottom"/>
          </w:tcPr>
          <w:p>
            <w:pPr>
              <w:spacing w:after="0"/>
              <w:rPr>
                <w:sz w:val="18"/>
                <w:szCs w:val="18"/>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101.PRE</w:t>
            </w:r>
          </w:p>
        </w:tc>
        <w:tc>
          <w:tcPr>
            <w:tcW w:w="120" w:type="dxa"/>
            <w:vAlign w:val="bottom"/>
          </w:tcPr>
          <w:p>
            <w:pPr>
              <w:spacing w:after="0"/>
              <w:rPr>
                <w:sz w:val="15"/>
                <w:szCs w:val="15"/>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101.DEF</w:t>
            </w:r>
          </w:p>
        </w:tc>
        <w:tc>
          <w:tcPr>
            <w:tcW w:w="120" w:type="dxa"/>
            <w:vAlign w:val="bottom"/>
          </w:tcPr>
          <w:p>
            <w:pPr>
              <w:spacing w:after="0"/>
              <w:rPr>
                <w:sz w:val="15"/>
                <w:szCs w:val="15"/>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5"/>
                <w:szCs w:val="15"/>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gridSpan w:val="10"/>
          </w:tcPr>
          <w:p>
            <w:pPr>
              <w:spacing w:after="0"/>
              <w:rPr>
                <w:sz w:val="20"/>
                <w:szCs w:val="20"/>
                <w:color w:val="auto"/>
              </w:rPr>
            </w:pPr>
            <w:r>
              <w:rPr>
                <w:rFonts w:ascii="Arial" w:cs="Arial" w:eastAsia="Arial" w:hAnsi="Arial"/>
                <w:sz w:val="16"/>
                <w:szCs w:val="16"/>
                <w:color w:val="auto"/>
              </w:rPr>
              <w:t>contained in Exhibit 101)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23"/>
        </w:trPr>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0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220"/>
              <w:spacing w:after="0"/>
              <w:rPr>
                <w:sz w:val="20"/>
                <w:szCs w:val="20"/>
                <w:color w:val="auto"/>
              </w:rPr>
            </w:pPr>
            <w:r>
              <w:rPr>
                <w:rFonts w:ascii="Arial" w:cs="Arial" w:eastAsia="Arial" w:hAnsi="Arial"/>
                <w:sz w:val="18"/>
                <w:szCs w:val="18"/>
                <w:color w:val="auto"/>
              </w:rPr>
              <w:t>November 2, 2021</w:t>
            </w:r>
          </w:p>
        </w:tc>
        <w:tc>
          <w:tcPr>
            <w:tcW w:w="52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68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0" w:type="dxa"/>
            <w:vAlign w:val="bottom"/>
          </w:tcPr>
          <w:p>
            <w:pPr>
              <w:ind w:left="1560"/>
              <w:spacing w:after="0" w:line="189" w:lineRule="exact"/>
              <w:rPr>
                <w:sz w:val="20"/>
                <w:szCs w:val="20"/>
                <w:color w:val="auto"/>
              </w:rPr>
            </w:pPr>
            <w:r>
              <w:rPr>
                <w:rFonts w:ascii="Arial" w:cs="Arial" w:eastAsia="Arial" w:hAnsi="Arial"/>
                <w:sz w:val="18"/>
                <w:szCs w:val="18"/>
                <w:color w:val="auto"/>
              </w:rPr>
              <w:t>Executive Vice President,</w:t>
            </w:r>
          </w:p>
        </w:tc>
      </w:t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0" w:right="359" w:bottom="1440" w:gutter="0" w:footer="0" w:header="0"/>
        </w:sectPr>
      </w:pPr>
    </w:p>
    <w:bookmarkStart w:id="49" w:name="page50"/>
    <w:bookmarkEnd w:id="49"/>
    <w:p>
      <w:pPr>
        <w:spacing w:after="0" w:line="288" w:lineRule="exact"/>
        <w:rPr>
          <w:sz w:val="20"/>
          <w:szCs w:val="20"/>
          <w:color w:val="auto"/>
        </w:rPr>
      </w:pPr>
    </w:p>
    <w:p>
      <w:pPr>
        <w:ind w:left="9900"/>
        <w:spacing w:after="0"/>
        <w:rPr>
          <w:sz w:val="20"/>
          <w:szCs w:val="20"/>
          <w:color w:val="auto"/>
        </w:rPr>
      </w:pPr>
      <w:r>
        <w:rPr>
          <w:rFonts w:ascii="Arial" w:cs="Arial" w:eastAsia="Arial" w:hAnsi="Arial"/>
          <w:sz w:val="21"/>
          <w:szCs w:val="21"/>
          <w:b w:val="1"/>
          <w:bCs w:val="1"/>
          <w:color w:val="auto"/>
        </w:rPr>
        <w:t>EXHIBIT 10.1</w:t>
      </w:r>
    </w:p>
    <w:p>
      <w:pPr>
        <w:jc w:val="center"/>
        <w:spacing w:after="0" w:line="233" w:lineRule="auto"/>
        <w:rPr>
          <w:sz w:val="20"/>
          <w:szCs w:val="20"/>
          <w:color w:val="auto"/>
        </w:rPr>
      </w:pPr>
      <w:r>
        <w:rPr>
          <w:rFonts w:ascii="Arial" w:cs="Arial" w:eastAsia="Arial" w:hAnsi="Arial"/>
          <w:sz w:val="22"/>
          <w:szCs w:val="22"/>
          <w:b w:val="1"/>
          <w:bCs w:val="1"/>
          <w:color w:val="auto"/>
        </w:rPr>
        <w:t>HURON CONSULTING GROUP INC.</w:t>
      </w:r>
    </w:p>
    <w:p>
      <w:pPr>
        <w:jc w:val="center"/>
        <w:spacing w:after="0" w:line="218" w:lineRule="auto"/>
        <w:rPr>
          <w:sz w:val="20"/>
          <w:szCs w:val="20"/>
          <w:color w:val="auto"/>
        </w:rPr>
      </w:pPr>
      <w:r>
        <w:rPr>
          <w:rFonts w:ascii="Arial" w:cs="Arial" w:eastAsia="Arial" w:hAnsi="Arial"/>
          <w:sz w:val="22"/>
          <w:szCs w:val="22"/>
          <w:b w:val="1"/>
          <w:bCs w:val="1"/>
          <w:color w:val="auto"/>
        </w:rPr>
        <w:t>2012 OMNIBUS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175" w:lineRule="exact"/>
        <w:rPr>
          <w:sz w:val="20"/>
          <w:szCs w:val="20"/>
          <w:color w:val="auto"/>
        </w:rPr>
      </w:pPr>
    </w:p>
    <w:p>
      <w:pPr>
        <w:ind w:left="540" w:right="160" w:firstLine="277"/>
        <w:spacing w:after="0" w:line="261" w:lineRule="auto"/>
        <w:rPr>
          <w:sz w:val="20"/>
          <w:szCs w:val="20"/>
          <w:color w:val="auto"/>
        </w:rPr>
      </w:pPr>
      <w:r>
        <w:rPr>
          <w:rFonts w:ascii="Arial" w:cs="Arial" w:eastAsia="Arial" w:hAnsi="Arial"/>
          <w:sz w:val="19"/>
          <w:szCs w:val="19"/>
          <w:color w:val="auto"/>
        </w:rPr>
        <w:t>This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October 1, 2021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Huron Consulting Group Inc., a Delaware corporation (“</w:t>
      </w:r>
      <w:r>
        <w:rPr>
          <w:rFonts w:ascii="Arial" w:cs="Arial" w:eastAsia="Arial" w:hAnsi="Arial"/>
          <w:sz w:val="19"/>
          <w:szCs w:val="19"/>
          <w:u w:val="single" w:color="auto"/>
          <w:color w:val="auto"/>
        </w:rPr>
        <w:t>Huron</w:t>
      </w:r>
      <w:r>
        <w:rPr>
          <w:rFonts w:ascii="Arial" w:cs="Arial" w:eastAsia="Arial" w:hAnsi="Arial"/>
          <w:sz w:val="19"/>
          <w:szCs w:val="19"/>
          <w:color w:val="auto"/>
        </w:rPr>
        <w:t>”), and you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WHEREAS, the Compensation Committee of the Board of Directors (the “</w:t>
      </w:r>
      <w:r>
        <w:rPr>
          <w:rFonts w:ascii="Arial" w:cs="Arial" w:eastAsia="Arial" w:hAnsi="Arial"/>
          <w:sz w:val="22"/>
          <w:szCs w:val="22"/>
          <w:u w:val="single" w:color="auto"/>
          <w:color w:val="auto"/>
        </w:rPr>
        <w:t>Committee</w:t>
      </w:r>
      <w:r>
        <w:rPr>
          <w:rFonts w:ascii="Arial" w:cs="Arial" w:eastAsia="Arial" w:hAnsi="Arial"/>
          <w:sz w:val="22"/>
          <w:szCs w:val="22"/>
          <w:color w:val="auto"/>
        </w:rPr>
        <w:t>”) has approved the grant to Recipient of Restricted Stock Units pursuant to the Huron Consulting Group Inc. 2012 Omnibus Incentive Plan (the “Plan”) as set forth below (which award shall constitute the grant of a Full Value Award);</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NOW, THEREFORE, in consideration of the covenants and agreements herein contained, and intending to be legally bound hereby, the parties agree as follows:</w:t>
      </w:r>
    </w:p>
    <w:p>
      <w:pPr>
        <w:spacing w:after="0" w:line="171" w:lineRule="exact"/>
        <w:rPr>
          <w:sz w:val="20"/>
          <w:szCs w:val="20"/>
          <w:color w:val="auto"/>
        </w:rPr>
      </w:pPr>
    </w:p>
    <w:p>
      <w:pPr>
        <w:jc w:val="both"/>
        <w:ind w:left="660" w:hanging="652"/>
        <w:spacing w:after="0" w:line="231"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which are not defined herein shall have the meaning set forth in the Plan. In addition, the Recipient’s “</w:t>
      </w:r>
      <w:r>
        <w:rPr>
          <w:rFonts w:ascii="Arial" w:cs="Arial" w:eastAsia="Arial" w:hAnsi="Arial"/>
          <w:sz w:val="22"/>
          <w:szCs w:val="22"/>
          <w:u w:val="single" w:color="auto"/>
          <w:color w:val="auto"/>
        </w:rPr>
        <w:t>Termination Date</w:t>
      </w:r>
      <w:r>
        <w:rPr>
          <w:rFonts w:ascii="Arial" w:cs="Arial" w:eastAsia="Arial" w:hAnsi="Arial"/>
          <w:sz w:val="22"/>
          <w:szCs w:val="22"/>
          <w:color w:val="auto"/>
        </w:rPr>
        <w:t>” is the date on which his or her employment with Huron and its Affiliates (collectively, the “</w:t>
      </w:r>
      <w:r>
        <w:rPr>
          <w:rFonts w:ascii="Arial" w:cs="Arial" w:eastAsia="Arial" w:hAnsi="Arial"/>
          <w:sz w:val="22"/>
          <w:szCs w:val="22"/>
          <w:u w:val="single" w:color="auto"/>
          <w:color w:val="auto"/>
        </w:rPr>
        <w:t>Company</w:t>
      </w:r>
      <w:r>
        <w:rPr>
          <w:rFonts w:ascii="Arial" w:cs="Arial" w:eastAsia="Arial" w:hAnsi="Arial"/>
          <w:sz w:val="22"/>
          <w:szCs w:val="22"/>
          <w:color w:val="auto"/>
        </w:rPr>
        <w:t>”) terminates for any reason.</w:t>
      </w:r>
    </w:p>
    <w:p>
      <w:pPr>
        <w:spacing w:after="0" w:line="174" w:lineRule="exact"/>
        <w:rPr>
          <w:rFonts w:ascii="Arial" w:cs="Arial" w:eastAsia="Arial" w:hAnsi="Arial"/>
          <w:sz w:val="22"/>
          <w:szCs w:val="22"/>
          <w:color w:val="auto"/>
        </w:rPr>
      </w:pPr>
    </w:p>
    <w:p>
      <w:pPr>
        <w:jc w:val="both"/>
        <w:ind w:left="660" w:hanging="652"/>
        <w:spacing w:after="0" w:line="228"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Huron hereby grants to Recipient a number of Restricted Stock Units (the “</w:t>
      </w:r>
      <w:r>
        <w:rPr>
          <w:rFonts w:ascii="Arial" w:cs="Arial" w:eastAsia="Arial" w:hAnsi="Arial"/>
          <w:sz w:val="22"/>
          <w:szCs w:val="22"/>
          <w:u w:val="single" w:color="auto"/>
          <w:color w:val="auto"/>
        </w:rPr>
        <w:t>RSUs</w:t>
      </w:r>
      <w:r>
        <w:rPr>
          <w:rFonts w:ascii="Arial" w:cs="Arial" w:eastAsia="Arial" w:hAnsi="Arial"/>
          <w:sz w:val="22"/>
          <w:szCs w:val="22"/>
          <w:color w:val="auto"/>
        </w:rPr>
        <w:t>”), subject to all of the terms and conditions of this Agreement and the Plan. The Recipient’s grant details, including the number of RSUs granted, vesting schedule and expiration date, are reflected in the Recipient’s Fidelity NetBenefits account.</w:t>
      </w:r>
    </w:p>
    <w:p>
      <w:pPr>
        <w:spacing w:after="0" w:line="172"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All RSUs shall be unvested unless and until they become vested RSUs in accordance with this Section 3. Except as otherwise provided below, the RSUs shall become “</w:t>
      </w:r>
      <w:r>
        <w:rPr>
          <w:rFonts w:ascii="Arial" w:cs="Arial" w:eastAsia="Arial" w:hAnsi="Arial"/>
          <w:sz w:val="19"/>
          <w:szCs w:val="19"/>
          <w:u w:val="single" w:color="auto"/>
          <w:color w:val="auto"/>
        </w:rPr>
        <w:t>Vested RSUs</w:t>
      </w:r>
      <w:r>
        <w:rPr>
          <w:rFonts w:ascii="Arial" w:cs="Arial" w:eastAsia="Arial" w:hAnsi="Arial"/>
          <w:sz w:val="19"/>
          <w:szCs w:val="19"/>
          <w:color w:val="auto"/>
        </w:rPr>
        <w:t>” in accordance with the schedule reflected in the Recipient’s Fidelity NetBenefits account for this grant of RSUs; provided, however, that in order for the shares of RSUs to become Vested RSUs, the Recipient must be employed by Huron or one of its Affiliates as of the applicable date that the RSUs are to become Vested RSUs (each a “</w:t>
      </w:r>
      <w:r>
        <w:rPr>
          <w:rFonts w:ascii="Arial" w:cs="Arial" w:eastAsia="Arial" w:hAnsi="Arial"/>
          <w:sz w:val="19"/>
          <w:szCs w:val="19"/>
          <w:u w:val="single" w:color="auto"/>
          <w:color w:val="auto"/>
        </w:rPr>
        <w:t>Vesting Date</w:t>
      </w:r>
      <w:r>
        <w:rPr>
          <w:rFonts w:ascii="Arial" w:cs="Arial" w:eastAsia="Arial" w:hAnsi="Arial"/>
          <w:sz w:val="19"/>
          <w:szCs w:val="19"/>
          <w:color w:val="auto"/>
        </w:rPr>
        <w:t>”) except as specifically provided in the Plan or in an Alternative Agreement in effect on the Date of Grant. On the Recipient’s death, being Disabled (as defined in the Plan) or Retirement (as defined in the Plan), the RSUs shall be treated as provided under Section 8(b) of the Plan. Subject to the foregoing, any RSUs which are not Vested RSUs on the Recipient’s Termination Date shall be forfeited and cancelled and the Recipient shall have no further rights with respect to such RSUs.</w:t>
      </w:r>
    </w:p>
    <w:p>
      <w:pPr>
        <w:spacing w:after="0" w:line="159" w:lineRule="exact"/>
        <w:rPr>
          <w:rFonts w:ascii="Arial" w:cs="Arial" w:eastAsia="Arial" w:hAnsi="Arial"/>
          <w:sz w:val="19"/>
          <w:szCs w:val="19"/>
          <w:color w:val="auto"/>
        </w:rPr>
      </w:pPr>
    </w:p>
    <w:p>
      <w:pPr>
        <w:ind w:left="660" w:hanging="652"/>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Issuance of Common Stock</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99" w:lineRule="exact"/>
        <w:rPr>
          <w:sz w:val="20"/>
          <w:szCs w:val="20"/>
          <w:color w:val="auto"/>
        </w:rPr>
      </w:pPr>
    </w:p>
    <w:p>
      <w:pPr>
        <w:jc w:val="both"/>
        <w:ind w:left="972" w:hanging="324"/>
        <w:spacing w:after="0" w:line="231" w:lineRule="auto"/>
        <w:tabs>
          <w:tab w:leader="none" w:pos="960" w:val="left"/>
        </w:tabs>
        <w:numPr>
          <w:ilvl w:val="1"/>
          <w:numId w:val="15"/>
        </w:numPr>
        <w:rPr>
          <w:rFonts w:ascii="Arial" w:cs="Arial" w:eastAsia="Arial" w:hAnsi="Arial"/>
          <w:sz w:val="22"/>
          <w:szCs w:val="22"/>
          <w:color w:val="auto"/>
        </w:rPr>
      </w:pPr>
      <w:r>
        <w:rPr>
          <w:rFonts w:ascii="Arial" w:cs="Arial" w:eastAsia="Arial" w:hAnsi="Arial"/>
          <w:sz w:val="22"/>
          <w:szCs w:val="22"/>
          <w:color w:val="auto"/>
        </w:rPr>
        <w:t xml:space="preserve">As soon as practicable following each Vesting Date (but in no event later than thirty (30) days after the Vesting Date occurs), Recipient shall be issued one share of Common Stock in settlement of each RSU earned in accordance with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972" w:hanging="324"/>
        <w:spacing w:after="0" w:line="239" w:lineRule="auto"/>
        <w:tabs>
          <w:tab w:leader="none" w:pos="972" w:val="left"/>
        </w:tabs>
        <w:numPr>
          <w:ilvl w:val="1"/>
          <w:numId w:val="15"/>
        </w:numPr>
        <w:rPr>
          <w:rFonts w:ascii="Arial" w:cs="Arial" w:eastAsia="Arial" w:hAnsi="Arial"/>
          <w:sz w:val="21"/>
          <w:szCs w:val="21"/>
          <w:color w:val="auto"/>
        </w:rPr>
      </w:pPr>
      <w:r>
        <w:rPr>
          <w:rFonts w:ascii="Arial" w:cs="Arial" w:eastAsia="Arial" w:hAnsi="Arial"/>
          <w:sz w:val="21"/>
          <w:szCs w:val="21"/>
          <w:color w:val="auto"/>
        </w:rPr>
        <w:t>Recipient’s grant details with respect to RSUs issued hereunder, including the number of RSUs granted and vesting schedule, shall be reflected in Recipient’s Fidelity NetBenefits account. Any shares of Common Stock issued may be evidenced by stock certificates, at the request of Recipient, which certificates shall be registered in the name of Recipient and delivered to Recipient within five (5) days of such request.</w:t>
      </w:r>
    </w:p>
    <w:p>
      <w:pPr>
        <w:spacing w:after="0" w:line="172" w:lineRule="exact"/>
        <w:rPr>
          <w:rFonts w:ascii="Arial" w:cs="Arial" w:eastAsia="Arial" w:hAnsi="Arial"/>
          <w:sz w:val="21"/>
          <w:szCs w:val="21"/>
          <w:color w:val="auto"/>
        </w:rPr>
      </w:pPr>
    </w:p>
    <w:p>
      <w:pPr>
        <w:jc w:val="both"/>
        <w:ind w:left="652" w:hanging="652"/>
        <w:spacing w:after="0" w:line="244" w:lineRule="auto"/>
        <w:tabs>
          <w:tab w:leader="none" w:pos="652"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Restrictions on Transfer</w:t>
      </w:r>
      <w:r>
        <w:rPr>
          <w:rFonts w:ascii="Arial" w:cs="Arial" w:eastAsia="Arial" w:hAnsi="Arial"/>
          <w:sz w:val="21"/>
          <w:szCs w:val="21"/>
          <w:color w:val="auto"/>
        </w:rPr>
        <w:t>. Except by will or the laws of descent and distribution, Recipient may not sell, assign, pledge or transfer or otherwise dispose of Recipient’s RSUs or any rights under or with respect to the RSUs. The rights of Recipient with respect to the RSUs shall not be subject to the claims of creditors of Recipient.</w:t>
      </w:r>
    </w:p>
    <w:p>
      <w:pPr>
        <w:spacing w:after="0" w:line="167" w:lineRule="exact"/>
        <w:rPr>
          <w:rFonts w:ascii="Arial" w:cs="Arial" w:eastAsia="Arial" w:hAnsi="Arial"/>
          <w:sz w:val="21"/>
          <w:szCs w:val="21"/>
          <w:color w:val="auto"/>
        </w:rPr>
      </w:pPr>
    </w:p>
    <w:p>
      <w:pPr>
        <w:jc w:val="both"/>
        <w:ind w:left="652" w:hanging="652"/>
        <w:spacing w:after="0" w:line="231" w:lineRule="auto"/>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Adjustment of Award</w:t>
      </w:r>
      <w:r>
        <w:rPr>
          <w:rFonts w:ascii="Arial" w:cs="Arial" w:eastAsia="Arial" w:hAnsi="Arial"/>
          <w:sz w:val="22"/>
          <w:szCs w:val="22"/>
          <w:color w:val="auto"/>
        </w:rPr>
        <w:t>. The number and type of RSUs or shares awarded pursuant to this Agreement shall be adjusted by the Committee in accordance with the Plan to reflect certain corporate transactions which affect the number, type or value of Common Stock.</w:t>
      </w:r>
    </w:p>
    <w:p>
      <w:pPr>
        <w:spacing w:after="0" w:line="174" w:lineRule="exact"/>
        <w:rPr>
          <w:rFonts w:ascii="Arial" w:cs="Arial" w:eastAsia="Arial" w:hAnsi="Arial"/>
          <w:sz w:val="22"/>
          <w:szCs w:val="22"/>
          <w:color w:val="auto"/>
        </w:rPr>
      </w:pPr>
    </w:p>
    <w:p>
      <w:pPr>
        <w:jc w:val="both"/>
        <w:ind w:left="652" w:hanging="652"/>
        <w:spacing w:after="0" w:line="282" w:lineRule="auto"/>
        <w:tabs>
          <w:tab w:leader="none" w:pos="652"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Undertakings by Recipient</w:t>
      </w:r>
      <w:r>
        <w:rPr>
          <w:rFonts w:ascii="Arial" w:cs="Arial" w:eastAsia="Arial" w:hAnsi="Arial"/>
          <w:sz w:val="19"/>
          <w:szCs w:val="19"/>
          <w:color w:val="auto"/>
        </w:rPr>
        <w:t>. Recipient hereby agrees to take whatever additional actions and execute whatever additional documents the Committee may, in its discretion, deem necessary or advisable in order to carry out or affect one or more of the obligations or restrictions imposed on Recipient pursuant to the express provisions of this Agreement and the Plan.</w:t>
      </w:r>
    </w:p>
    <w:p>
      <w:pPr>
        <w:spacing w:after="0" w:line="134" w:lineRule="exact"/>
        <w:rPr>
          <w:rFonts w:ascii="Arial" w:cs="Arial" w:eastAsia="Arial" w:hAnsi="Arial"/>
          <w:sz w:val="19"/>
          <w:szCs w:val="19"/>
          <w:color w:val="auto"/>
        </w:rPr>
      </w:pPr>
    </w:p>
    <w:p>
      <w:pPr>
        <w:jc w:val="both"/>
        <w:ind w:left="652" w:hanging="652"/>
        <w:spacing w:after="0" w:line="226" w:lineRule="auto"/>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Recipient shall not be a stockholder of Huron unless and until shares of Common Stock are issued in settlement of the RSUs and are registered in Recipient’s name in accordance with the terms of this Agreement. Huron shall hold in escrow all dividends, if any, that are paid with respect to the RSUs until shares have been issued in respect of such RSUs and all restrictions on such shares have lapsed. Recipient agrees that the RSUs shall not have any voting rights.</w:t>
      </w:r>
    </w:p>
    <w:p>
      <w:pPr>
        <w:spacing w:after="0" w:line="172" w:lineRule="exact"/>
        <w:rPr>
          <w:rFonts w:ascii="Arial" w:cs="Arial" w:eastAsia="Arial" w:hAnsi="Arial"/>
          <w:sz w:val="22"/>
          <w:szCs w:val="22"/>
          <w:color w:val="auto"/>
        </w:rPr>
      </w:pPr>
    </w:p>
    <w:p>
      <w:pPr>
        <w:jc w:val="both"/>
        <w:ind w:left="652" w:hanging="652"/>
        <w:spacing w:after="0" w:line="228" w:lineRule="auto"/>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personally, or when deposited within the United States Post Office, postage prepaid, addressed, as appropriate, to Huron at its principal offices, to Recipient at Recipient’s address as last known by Huron or, in either case, such other address as one party may designate in writing to the other.</w:t>
      </w:r>
    </w:p>
    <w:p>
      <w:pPr>
        <w:spacing w:after="0" w:line="172" w:lineRule="exact"/>
        <w:rPr>
          <w:rFonts w:ascii="Arial" w:cs="Arial" w:eastAsia="Arial" w:hAnsi="Arial"/>
          <w:sz w:val="22"/>
          <w:szCs w:val="22"/>
          <w:color w:val="auto"/>
        </w:rPr>
      </w:pPr>
    </w:p>
    <w:p>
      <w:pPr>
        <w:jc w:val="both"/>
        <w:ind w:left="652" w:hanging="652"/>
        <w:spacing w:after="0" w:line="224" w:lineRule="auto"/>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Securities Laws Requirements</w:t>
      </w:r>
      <w:r>
        <w:rPr>
          <w:rFonts w:ascii="Arial" w:cs="Arial" w:eastAsia="Arial" w:hAnsi="Arial"/>
          <w:sz w:val="22"/>
          <w:szCs w:val="22"/>
          <w:color w:val="auto"/>
        </w:rPr>
        <w:t>. Huron shall not be obligated to transfer any shares of Common Stock from Recipient to another party if such transfer, in the opinion of counsel for Huron, would violate the Securities Act of 1933, as amended from time to time (or any other federal or state statutes having similar requirements as may be in effect at that time). Further, Huron may require as a condition of transfer of any shares of Common Stock in settlement of the RSUs that Recipient furnish a written representation that Recipient is holding the shares for investment and not with a view to resale or distribution to the public.</w:t>
      </w:r>
    </w:p>
    <w:p>
      <w:pPr>
        <w:sectPr>
          <w:pgSz w:w="11900" w:h="16838" w:orient="portrait"/>
          <w:cols w:equalWidth="0" w:num="1">
            <w:col w:w="11232"/>
          </w:cols>
          <w:pgMar w:left="328" w:top="1440" w:right="339" w:bottom="1440" w:gutter="0" w:footer="0" w:header="0"/>
        </w:sectPr>
      </w:pPr>
    </w:p>
    <w:bookmarkStart w:id="51" w:name="page52"/>
    <w:bookmarkEnd w:id="51"/>
    <w:p>
      <w:pPr>
        <w:spacing w:after="0" w:line="299" w:lineRule="exact"/>
        <w:rPr>
          <w:sz w:val="20"/>
          <w:szCs w:val="20"/>
          <w:color w:val="auto"/>
        </w:rPr>
      </w:pPr>
    </w:p>
    <w:p>
      <w:pPr>
        <w:jc w:val="both"/>
        <w:ind w:left="652" w:hanging="652"/>
        <w:spacing w:after="0" w:line="233" w:lineRule="auto"/>
        <w:tabs>
          <w:tab w:leader="none" w:pos="644"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Protections Against Violations of Restricted Stock Unit Agreement</w:t>
      </w:r>
      <w:r>
        <w:rPr>
          <w:rFonts w:ascii="Arial" w:cs="Arial" w:eastAsia="Arial" w:hAnsi="Arial"/>
          <w:sz w:val="21"/>
          <w:szCs w:val="21"/>
          <w:color w:val="auto"/>
        </w:rPr>
        <w:t>. No purported sale, assignment, mortgage, hypothecation, transfer, pledge, encumbrance, gift, transfer in trust (voting or other) or other disposition of, or creation of a security interest in or lien on, any of the RSUs by any holder thereof in violation of the provisions of this Agreement or the Certificate of Incorporation or the By-Laws of Huron, shall be valid and Huron will not transfer any of said RSUs on its books nor will any of said RSUs or shares issued in respect of such RSUs be entitled to vote, nor will any dividends be paid thereon, unless and until there has been full compliance with said provisions to the satisfaction of Huron. The RSUs do not constitute shares of Common Stock and Recipient shall not, as a result of this Agreement, be a stockholder of Huron. The foregoing restrictions are in addition to and not in lieu of any other remedies, legal or equitable, available to enforce said provisions.</w:t>
      </w:r>
    </w:p>
    <w:p>
      <w:pPr>
        <w:spacing w:after="0" w:line="171" w:lineRule="exact"/>
        <w:rPr>
          <w:rFonts w:ascii="Arial" w:cs="Arial" w:eastAsia="Arial" w:hAnsi="Arial"/>
          <w:sz w:val="21"/>
          <w:szCs w:val="21"/>
          <w:color w:val="auto"/>
        </w:rPr>
      </w:pPr>
    </w:p>
    <w:p>
      <w:pPr>
        <w:jc w:val="both"/>
        <w:ind w:left="652" w:hanging="652"/>
        <w:spacing w:after="0" w:line="232" w:lineRule="auto"/>
        <w:tabs>
          <w:tab w:leader="none" w:pos="652"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The award hereunder and any payments or distributions pursuant to the award are subject to withholding of all applicable taxes. Recipient understands that Recipient (and not Huron or any of its Affiliates) shall be responsible for any tax obligations that may arise as a result of the transactions contemplated by this Agreement and shall pay to Huron the amount determined by Huron to be such tax obligation at the time such tax obligation arises. Recipient agrees to indemnify and hold Huron harmless from any tax liabilities resulting from Recipient’s receipt of stock under this Agreement. If Recipient fails to make such payment, the number of shares of stock necessary to satisfy the tax obligations shall be withheld from any distribution or vesting of shares hereunder and shall be used to satisfy Recipient’s withholding obligations. Without limiting the generality of the foregoing, Huron has the right, but is not obligated, to withhold any shares of Common Stock or cash to satisfy any applicable withholding taxes required by law, to the extent that Huron determines it is required to do so by law.</w:t>
      </w:r>
    </w:p>
    <w:p>
      <w:pPr>
        <w:spacing w:after="0" w:line="176" w:lineRule="exact"/>
        <w:rPr>
          <w:rFonts w:ascii="Arial" w:cs="Arial" w:eastAsia="Arial" w:hAnsi="Arial"/>
          <w:sz w:val="21"/>
          <w:szCs w:val="21"/>
          <w:color w:val="auto"/>
        </w:rPr>
      </w:pPr>
    </w:p>
    <w:p>
      <w:pPr>
        <w:ind w:left="652" w:hanging="652"/>
        <w:spacing w:after="0" w:line="239" w:lineRule="auto"/>
        <w:tabs>
          <w:tab w:leader="none" w:pos="65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Failure to Enforce Not a Waiver</w:t>
      </w:r>
      <w:r>
        <w:rPr>
          <w:rFonts w:ascii="Arial" w:cs="Arial" w:eastAsia="Arial" w:hAnsi="Arial"/>
          <w:sz w:val="22"/>
          <w:szCs w:val="22"/>
          <w:color w:val="auto"/>
        </w:rPr>
        <w:t>. The failure of Huron to enforce at any time any provision of this Agreement shall in no way be construed to be a waiver of such provision or of any other provision hereof.</w:t>
      </w:r>
    </w:p>
    <w:p>
      <w:pPr>
        <w:spacing w:after="0" w:line="171" w:lineRule="exact"/>
        <w:rPr>
          <w:rFonts w:ascii="Arial" w:cs="Arial" w:eastAsia="Arial" w:hAnsi="Arial"/>
          <w:sz w:val="22"/>
          <w:szCs w:val="22"/>
          <w:color w:val="auto"/>
        </w:rPr>
      </w:pPr>
    </w:p>
    <w:p>
      <w:pPr>
        <w:ind w:left="652" w:hanging="652"/>
        <w:spacing w:after="0" w:line="239" w:lineRule="auto"/>
        <w:tabs>
          <w:tab w:leader="none" w:pos="65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71" w:lineRule="exact"/>
        <w:rPr>
          <w:rFonts w:ascii="Arial" w:cs="Arial" w:eastAsia="Arial" w:hAnsi="Arial"/>
          <w:sz w:val="22"/>
          <w:szCs w:val="22"/>
          <w:color w:val="auto"/>
        </w:rPr>
      </w:pPr>
    </w:p>
    <w:p>
      <w:pPr>
        <w:jc w:val="both"/>
        <w:ind w:left="652" w:hanging="652"/>
        <w:spacing w:after="0" w:line="228" w:lineRule="auto"/>
        <w:tabs>
          <w:tab w:leader="none" w:pos="65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Board of Directors may at any time amend or terminate the Plan, provided that, in the absence of written consent to the change by the Recipient, no such amendment or termination may reduce the rights of the Recipient hereunder. Certain adjustments and amendments shall not be subject to the foregoing limitations as described in the Plan.</w:t>
      </w:r>
    </w:p>
    <w:p>
      <w:pPr>
        <w:spacing w:after="0" w:line="172" w:lineRule="exact"/>
        <w:rPr>
          <w:rFonts w:ascii="Arial" w:cs="Arial" w:eastAsia="Arial" w:hAnsi="Arial"/>
          <w:sz w:val="22"/>
          <w:szCs w:val="22"/>
          <w:color w:val="auto"/>
        </w:rPr>
      </w:pPr>
    </w:p>
    <w:p>
      <w:pPr>
        <w:jc w:val="both"/>
        <w:ind w:left="652" w:hanging="652"/>
        <w:spacing w:after="0" w:line="228" w:lineRule="auto"/>
        <w:tabs>
          <w:tab w:leader="none" w:pos="65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Subject to Section 5 of the Plan, the authority to administer and interpret this Agreement shall be vested in the Committee, and the Committee shall have all the powers with respect to the award hereunder and this Agreement as it has with respect to the Plan. Any interpretation of this Agreement by the Committee and any decision made by it with respect to this Agreement are final and binding on all persons.</w:t>
      </w:r>
    </w:p>
    <w:p>
      <w:pPr>
        <w:sectPr>
          <w:pgSz w:w="11900" w:h="16838" w:orient="portrait"/>
          <w:cols w:equalWidth="0" w:num="1">
            <w:col w:w="11232"/>
          </w:cols>
          <w:pgMar w:left="328" w:top="1440" w:right="339" w:bottom="1440" w:gutter="0" w:footer="0" w:header="0"/>
        </w:sectPr>
      </w:pPr>
    </w:p>
    <w:bookmarkStart w:id="52" w:name="page53"/>
    <w:bookmarkEnd w:id="52"/>
    <w:p>
      <w:pPr>
        <w:spacing w:after="0" w:line="299" w:lineRule="exact"/>
        <w:rPr>
          <w:sz w:val="20"/>
          <w:szCs w:val="20"/>
          <w:color w:val="auto"/>
        </w:rPr>
      </w:pPr>
    </w:p>
    <w:p>
      <w:pPr>
        <w:ind w:left="652" w:hanging="652"/>
        <w:spacing w:after="0" w:line="239"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Survival of Terms</w:t>
      </w:r>
      <w:r>
        <w:rPr>
          <w:rFonts w:ascii="Arial" w:cs="Arial" w:eastAsia="Arial" w:hAnsi="Arial"/>
          <w:sz w:val="22"/>
          <w:szCs w:val="22"/>
          <w:color w:val="auto"/>
        </w:rPr>
        <w:t>. This Agreement shall apply to and bind Recipient and Huron and their respective permitted assignees and transferees, heirs, legatees, executors, administrators, and legal successors.</w:t>
      </w:r>
    </w:p>
    <w:p>
      <w:pPr>
        <w:spacing w:after="0" w:line="171" w:lineRule="exact"/>
        <w:rPr>
          <w:rFonts w:ascii="Arial" w:cs="Arial" w:eastAsia="Arial" w:hAnsi="Arial"/>
          <w:sz w:val="22"/>
          <w:szCs w:val="22"/>
          <w:color w:val="auto"/>
        </w:rPr>
      </w:pPr>
    </w:p>
    <w:p>
      <w:pPr>
        <w:jc w:val="both"/>
        <w:ind w:left="652" w:hanging="652"/>
        <w:spacing w:after="0" w:line="226"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Agreement Not a Contract for Services</w:t>
      </w:r>
      <w:r>
        <w:rPr>
          <w:rFonts w:ascii="Arial" w:cs="Arial" w:eastAsia="Arial" w:hAnsi="Arial"/>
          <w:sz w:val="22"/>
          <w:szCs w:val="22"/>
          <w:color w:val="auto"/>
        </w:rPr>
        <w:t>. Neither the grant of RSUs nor the issuance of shares of Common Stock pursuant to this Agreement or any other action taken pursuant to this Agreement shall constitute or be evidence of any agreement or understanding, express or implied, that Recipient has a right to continue to provide services as an officer, director, employee or consultant of the Company for any period of time or at any specific rate of compensation or to any right or claim to any benefit under the Plan or this Agreement.</w:t>
      </w:r>
    </w:p>
    <w:p>
      <w:pPr>
        <w:spacing w:after="0" w:line="172" w:lineRule="exact"/>
        <w:rPr>
          <w:rFonts w:ascii="Arial" w:cs="Arial" w:eastAsia="Arial" w:hAnsi="Arial"/>
          <w:sz w:val="22"/>
          <w:szCs w:val="22"/>
          <w:color w:val="auto"/>
        </w:rPr>
      </w:pPr>
    </w:p>
    <w:p>
      <w:pPr>
        <w:jc w:val="both"/>
        <w:ind w:left="652" w:hanging="652"/>
        <w:spacing w:after="0" w:line="228"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 provision of this Agreement is held invalid by a court of competent jurisdiction, the remaining provisions will nonetheless be enforceable according to their terms. Further, if any provision is held to be overbroad as written, that provision shall be amended to narrow its application to the extent necessary to make the provision enforceable according to applicable law and enforced as amended.</w:t>
      </w:r>
    </w:p>
    <w:p>
      <w:pPr>
        <w:spacing w:after="0" w:line="172" w:lineRule="exact"/>
        <w:rPr>
          <w:rFonts w:ascii="Arial" w:cs="Arial" w:eastAsia="Arial" w:hAnsi="Arial"/>
          <w:sz w:val="22"/>
          <w:szCs w:val="22"/>
          <w:color w:val="auto"/>
        </w:rPr>
      </w:pPr>
    </w:p>
    <w:p>
      <w:pPr>
        <w:jc w:val="both"/>
        <w:ind w:left="652" w:hanging="652"/>
        <w:spacing w:after="0" w:line="239" w:lineRule="auto"/>
        <w:tabs>
          <w:tab w:leader="none" w:pos="652"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Incorporation of Plan; Acknowledgement</w:t>
      </w:r>
      <w:r>
        <w:rPr>
          <w:rFonts w:ascii="Arial" w:cs="Arial" w:eastAsia="Arial" w:hAnsi="Arial"/>
          <w:sz w:val="21"/>
          <w:szCs w:val="21"/>
          <w:color w:val="auto"/>
        </w:rPr>
        <w:t>. The Plan is hereby incorporated herein by reference and made a part hereof and the RSUs and this Agreement are subject to all terms and conditions of the Plan. In the event of any inconsistency between the Plan terms and conditions and this Agreement, the provisions of the Plan shall govern. By signing a copy of this Agreement, Recipient acknowledges having received and read a copy of the Plan.</w:t>
      </w:r>
    </w:p>
    <w:p>
      <w:pPr>
        <w:spacing w:after="0" w:line="172" w:lineRule="exact"/>
        <w:rPr>
          <w:rFonts w:ascii="Arial" w:cs="Arial" w:eastAsia="Arial" w:hAnsi="Arial"/>
          <w:sz w:val="21"/>
          <w:szCs w:val="21"/>
          <w:color w:val="auto"/>
        </w:rPr>
      </w:pPr>
    </w:p>
    <w:p>
      <w:pPr>
        <w:ind w:left="652" w:hanging="652"/>
        <w:spacing w:after="0"/>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972" w:hanging="324"/>
        <w:spacing w:after="0" w:line="257" w:lineRule="auto"/>
        <w:rPr>
          <w:rFonts w:ascii="Arial" w:cs="Arial" w:eastAsia="Arial" w:hAnsi="Arial"/>
          <w:sz w:val="22"/>
          <w:szCs w:val="22"/>
          <w:color w:val="auto"/>
        </w:rPr>
      </w:pPr>
      <w:r>
        <w:rPr>
          <w:rFonts w:ascii="Arial" w:cs="Arial" w:eastAsia="Arial" w:hAnsi="Arial"/>
          <w:sz w:val="19"/>
          <w:szCs w:val="19"/>
          <w:color w:val="auto"/>
        </w:rPr>
        <w:t xml:space="preserve">a. The Plan and the Awards granted hereunder are intended to be exempt from or comply with the requirements set forth in Code Section 409A, and any regulations and rulings thereunder, so as to avoid the imposition of excise taxes and other penalties under Code Section 409A. In the event that participation in the Plan would subject Recipient to Code Section 409A excise taxes or penalties, the Company and Recipient shall cooperate to amend the terms of the Award to avoid, insofar as possible, such Code Section 409A penalties while minimizing any material and adverse impact of any such amendment upon the economic, tax or accounting implications of the Plan to the Company. For purposes of the Plan, Recipient’s termination of employment with the Company, whether voluntary or involuntary, shall be determined by the Committee in accordance with the requirements of Treasury Regulation Section 1.409A-1(h) which defines “separation from service”. Recipient’s right to receive installment payments pursuant to the terms of the Agreement shall be treated as a right to receive a series of separate and distinct payments. No action or failure by the Company in good faith to act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shall subject the Company to any claim, liability, or expense, and the Company shall not have any obligation to indemnify or otherwise protect Recipient from the obligation to pay any taxes pursuant to Section 409A.</w:t>
      </w:r>
    </w:p>
    <w:p>
      <w:pPr>
        <w:sectPr>
          <w:pgSz w:w="11900" w:h="16838" w:orient="portrait"/>
          <w:cols w:equalWidth="0" w:num="1">
            <w:col w:w="11232"/>
          </w:cols>
          <w:pgMar w:left="328" w:top="1440" w:right="339" w:bottom="1440" w:gutter="0" w:footer="0" w:header="0"/>
        </w:sectPr>
      </w:pPr>
    </w:p>
    <w:bookmarkStart w:id="53" w:name="page54"/>
    <w:bookmarkEnd w:id="53"/>
    <w:p>
      <w:pPr>
        <w:spacing w:after="0" w:line="299" w:lineRule="exact"/>
        <w:rPr>
          <w:sz w:val="20"/>
          <w:szCs w:val="20"/>
          <w:color w:val="auto"/>
        </w:rPr>
      </w:pPr>
    </w:p>
    <w:p>
      <w:pPr>
        <w:jc w:val="both"/>
        <w:ind w:left="972" w:hanging="324"/>
        <w:spacing w:after="0" w:line="235" w:lineRule="auto"/>
        <w:tabs>
          <w:tab w:leader="none" w:pos="972" w:val="left"/>
        </w:tabs>
        <w:numPr>
          <w:ilvl w:val="1"/>
          <w:numId w:val="19"/>
        </w:numPr>
        <w:rPr>
          <w:rFonts w:ascii="Arial" w:cs="Arial" w:eastAsia="Arial" w:hAnsi="Arial"/>
          <w:sz w:val="21"/>
          <w:szCs w:val="21"/>
          <w:color w:val="auto"/>
        </w:rPr>
      </w:pPr>
      <w:r>
        <w:rPr>
          <w:rFonts w:ascii="Arial" w:cs="Arial" w:eastAsia="Arial" w:hAnsi="Arial"/>
          <w:sz w:val="21"/>
          <w:szCs w:val="21"/>
          <w:color w:val="auto"/>
        </w:rPr>
        <w:t>Notwithstanding any provision contained in this Agreement to the contrary, if (i) any payment hereunder is subject to Section 409A of the Code, (ii) such payment is to be paid on account of Recipient’s separation from service or termination of employment (within the meaning of Section 409A of the Code) and (iii) Recipient is a “</w:t>
      </w:r>
      <w:r>
        <w:rPr>
          <w:rFonts w:ascii="Arial" w:cs="Arial" w:eastAsia="Arial" w:hAnsi="Arial"/>
          <w:sz w:val="21"/>
          <w:szCs w:val="21"/>
          <w:u w:val="single" w:color="auto"/>
          <w:color w:val="auto"/>
        </w:rPr>
        <w:t>specified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employee</w:t>
      </w:r>
      <w:r>
        <w:rPr>
          <w:rFonts w:ascii="Arial" w:cs="Arial" w:eastAsia="Arial" w:hAnsi="Arial"/>
          <w:sz w:val="21"/>
          <w:szCs w:val="21"/>
          <w:color w:val="auto"/>
        </w:rPr>
        <w:t>” (within the meaning of Section 409A(a)(2)(B) of the Code), then such payment shall be delayed, if necessary, until the first day of the seventh month following Recipient’s separation from service (or, if later, the date on which such payment is otherwise to be paid under this Agreement).</w:t>
      </w:r>
    </w:p>
    <w:p>
      <w:pPr>
        <w:spacing w:after="0" w:line="174" w:lineRule="exact"/>
        <w:rPr>
          <w:rFonts w:ascii="Arial" w:cs="Arial" w:eastAsia="Arial" w:hAnsi="Arial"/>
          <w:sz w:val="21"/>
          <w:szCs w:val="21"/>
          <w:color w:val="auto"/>
        </w:rPr>
      </w:pPr>
    </w:p>
    <w:p>
      <w:pPr>
        <w:jc w:val="both"/>
        <w:ind w:left="652" w:hanging="652"/>
        <w:spacing w:after="0" w:line="228" w:lineRule="auto"/>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Execution of Award Agreement</w:t>
      </w:r>
      <w:r>
        <w:rPr>
          <w:rFonts w:ascii="Arial" w:cs="Arial" w:eastAsia="Arial" w:hAnsi="Arial"/>
          <w:sz w:val="22"/>
          <w:szCs w:val="22"/>
          <w:color w:val="auto"/>
        </w:rPr>
        <w:t>. The award granted to the Recipient pursuant to this Agreement shall be subject to the Recipient’s execution and return of this Agreement to Huron or its designee (including by electronic means) and if this Agreement is not so executed and returned prior to the first date on which RSUs become Vested RSUs, the award shall be forfeited in its entirety.</w:t>
      </w:r>
    </w:p>
    <w:p>
      <w:pPr>
        <w:spacing w:after="0" w:line="172"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The parties hereto have executed and delivered this Restricted Stock Agreement as of October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HURON CONSULTING GROUP INC.</w:t>
      </w:r>
    </w:p>
    <w:p>
      <w:pPr>
        <w:sectPr>
          <w:pgSz w:w="11900" w:h="16838" w:orient="portrait"/>
          <w:cols w:equalWidth="0" w:num="1">
            <w:col w:w="11232"/>
          </w:cols>
          <w:pgMar w:left="328"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November 2, 2021</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H. ROTH</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James H. Roth</w:t>
            </w:r>
          </w:p>
        </w:tc>
      </w:tr>
      <w:tr>
        <w:trPr>
          <w:trHeight w:val="230"/>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88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November 2, 2021</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8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9"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2021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50" w:lineRule="exact"/>
        <w:rPr>
          <w:sz w:val="20"/>
          <w:szCs w:val="20"/>
          <w:color w:val="auto"/>
        </w:rPr>
      </w:pPr>
    </w:p>
    <w:p>
      <w:pPr>
        <w:ind w:left="840" w:hanging="346"/>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November 2, 2021</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James H. Roth</w:t>
            </w:r>
          </w:p>
        </w:tc>
      </w:tr>
      <w:tr>
        <w:trPr>
          <w:trHeight w:val="229"/>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8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2021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50" w:lineRule="exact"/>
        <w:rPr>
          <w:sz w:val="20"/>
          <w:szCs w:val="20"/>
          <w:color w:val="auto"/>
        </w:rPr>
      </w:pPr>
    </w:p>
    <w:p>
      <w:pPr>
        <w:ind w:left="840" w:hanging="346"/>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November 2, 2021</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lowerRoman"/>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decimal"/>
      <w:start w:val="6"/>
    </w:lvl>
  </w:abstractNum>
  <w:abstractNum w:abstractNumId="11">
    <w:nsid w:val="431BD7B7"/>
    <w:multiLevelType w:val="hybridMultilevel"/>
    <w:lvl w:ilvl="0">
      <w:lvlJc w:val="left"/>
      <w:lvlText w:val="(%1)"/>
      <w:numFmt w:val="lowerRoman"/>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lvl w:ilvl="1">
      <w:lvlJc w:val="left"/>
      <w:lvlText w:val="%2."/>
      <w:numFmt w:val="lowerLetter"/>
      <w:start w:val="1"/>
    </w:lvl>
  </w:abstractNum>
  <w:abstractNum w:abstractNumId="15">
    <w:nsid w:val="62BBD95A"/>
    <w:multiLevelType w:val="hybridMultilevel"/>
    <w:lvl w:ilvl="0">
      <w:lvlJc w:val="left"/>
      <w:lvlText w:val="%1."/>
      <w:numFmt w:val="decimal"/>
      <w:start w:val="5"/>
    </w:lvl>
    <w:lvl w:ilvl="1">
      <w:lvlJc w:val="left"/>
      <w:lvlText w:val="%2"/>
      <w:numFmt w:val="lowerLetter"/>
      <w:start w:val="1"/>
    </w:lvl>
  </w:abstractNum>
  <w:abstractNum w:abstractNumId="16">
    <w:nsid w:val="436C6125"/>
    <w:multiLevelType w:val="hybridMultilevel"/>
    <w:lvl w:ilvl="0">
      <w:lvlJc w:val="left"/>
      <w:lvlText w:val="%1."/>
      <w:numFmt w:val="decimal"/>
      <w:start w:val="11"/>
    </w:lvl>
  </w:abstractNum>
  <w:abstractNum w:abstractNumId="17">
    <w:nsid w:val="628C895D"/>
    <w:multiLevelType w:val="hybridMultilevel"/>
    <w:lvl w:ilvl="0">
      <w:lvlJc w:val="left"/>
      <w:lvlText w:val="%1."/>
      <w:numFmt w:val="decimal"/>
      <w:start w:val="17"/>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2"/>
    </w:lvl>
  </w:abstractNum>
  <w:abstractNum w:abstractNumId="19">
    <w:nsid w:val="721DA317"/>
    <w:multiLevelType w:val="hybridMultilevel"/>
    <w:lvl w:ilvl="0">
      <w:lvlJc w:val="left"/>
      <w:lvlText w:val="%1."/>
      <w:numFmt w:val="decimal"/>
      <w:start w:val="22"/>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2021-11-02T15:34:52Z</dcterms:created>
  <dcterms:modified xsi:type="dcterms:W3CDTF">2021-11-02T15:34:52Z</dcterms:modified>
</cp:coreProperties>
</file>