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UNITED STATES</w:t>
      </w:r>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SECURITIES AND EXCHANGE COMMISSION</w:t>
      </w:r>
    </w:p>
    <w:p>
      <w:pPr>
        <w:pStyle w:val="TextBody"/>
        <w:bidi w:val="0"/>
        <w:spacing w:lineRule="auto" w:line="288" w:before="0" w:after="0"/>
        <w:jc w:val="center"/>
        <w:rPr/>
      </w:pPr>
      <w:r>
        <w:rPr>
          <w:rFonts w:ascii="Arial Narrow;sans-serif" w:hAnsi="Arial Narrow;sans-serif"/>
          <w:b/>
          <w:color w:val="000000"/>
          <w:sz w:val="20"/>
        </w:rPr>
        <w:t>Washington, D.C. 20549</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Arial Narrow;sans-serif" w:hAnsi="Arial Narrow;sans-serif"/>
          <w:b/>
          <w:color w:val="000000"/>
          <w:sz w:val="28"/>
        </w:rPr>
        <w:t>FORM 10-Q</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(Mark One)</w:t>
      </w:r>
    </w:p>
    <w:tbl>
      <w:tblPr>
        <w:tblW w:w="8877" w:type="dxa"/>
        <w:jc w:val="left"/>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the quarterly period ended March 31, 2024</w:t>
      </w:r>
    </w:p>
    <w:p>
      <w:pPr>
        <w:pStyle w:val="TextBody"/>
        <w:bidi w:val="0"/>
        <w:spacing w:lineRule="auto" w:line="288" w:before="0" w:after="0"/>
        <w:jc w:val="center"/>
        <w:rPr/>
      </w:pPr>
      <w:r>
        <w:rPr>
          <w:rFonts w:ascii="Arial Narrow;sans-serif" w:hAnsi="Arial Narrow;sans-serif"/>
          <w:b/>
          <w:color w:val="000000"/>
          <w:sz w:val="20"/>
        </w:rPr>
        <w:t>OR</w:t>
      </w:r>
      <w:r>
        <w:rPr>
          <w:color w:val="000000"/>
        </w:rPr>
        <w:t> </w:t>
      </w:r>
    </w:p>
    <w:tbl>
      <w:tblPr>
        <w:tblW w:w="8862" w:type="dxa"/>
        <w:jc w:val="left"/>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Arial Narrow;sans-serif" w:hAnsi="Arial Narrow;sans-serif"/>
          <w:b/>
          <w:color w:val="000000"/>
          <w:sz w:val="20"/>
        </w:rPr>
        <w:t>Commission file number: 000-50976</w:t>
      </w: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color w:val="000000"/>
          <w:sz w:val="28"/>
        </w:rPr>
      </w:pPr>
      <w:r>
        <w:rPr>
          <w:rFonts w:ascii="Arial Narrow;sans-serif" w:hAnsi="Arial Narrow;sans-serif"/>
          <w:b/>
          <w:color w:val="000000"/>
          <w:sz w:val="28"/>
        </w:rPr>
        <w:t xml:space="preserve">HURON CONSULTING GROUP INC.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4227" w:type="dxa"/>
        <w:jc w:val="left"/>
        <w:tblInd w:w="0" w:type="dxa"/>
        <w:tblLayout w:type="fixed"/>
        <w:tblCellMar>
          <w:top w:w="28" w:type="dxa"/>
          <w:left w:w="28" w:type="dxa"/>
          <w:bottom w:w="28" w:type="dxa"/>
          <w:right w:w="28" w:type="dxa"/>
        </w:tblCellMar>
      </w:tblPr>
      <w:tblGrid>
        <w:gridCol w:w="802"/>
        <w:gridCol w:w="706"/>
        <w:gridCol w:w="712"/>
        <w:gridCol w:w="109"/>
        <w:gridCol w:w="109"/>
        <w:gridCol w:w="109"/>
        <w:gridCol w:w="489"/>
        <w:gridCol w:w="489"/>
        <w:gridCol w:w="702"/>
      </w:tblGrid>
      <w:tr>
        <w:trPr/>
        <w:tc>
          <w:tcPr>
            <w:tcW w:w="8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01-0666114</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(IRS Employer</w:t>
              <w:br/>
              <w:t>Identification Number)</w:t>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550 West Van Buren Street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Chicago, Illinois </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 xml:space="preserve">60607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(Address of principal executive offices)</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(Zip Code)</w:t>
      </w:r>
    </w:p>
    <w:p>
      <w:pPr>
        <w:pStyle w:val="TextBody"/>
        <w:bidi w:val="0"/>
        <w:spacing w:lineRule="auto" w:line="288" w:before="120" w:after="283"/>
        <w:jc w:val="center"/>
        <w:rPr>
          <w:rFonts w:ascii="Arial Narrow;sans-serif" w:hAnsi="Arial Narrow;sans-serif"/>
          <w:b/>
          <w:color w:val="000000"/>
          <w:sz w:val="20"/>
        </w:rPr>
      </w:pPr>
      <w:r>
        <w:rPr>
          <w:rFonts w:ascii="Arial Narrow;sans-serif" w:hAnsi="Arial Narrow;sans-serif"/>
          <w:b/>
          <w:color w:val="000000"/>
          <w:sz w:val="20"/>
        </w:rPr>
        <w:t xml:space="preserve">(312) 583-8700 </w:t>
      </w:r>
    </w:p>
    <w:p>
      <w:pPr>
        <w:pStyle w:val="TextBody"/>
        <w:bidi w:val="0"/>
        <w:spacing w:lineRule="auto" w:line="288" w:before="0" w:after="0"/>
        <w:jc w:val="center"/>
        <w:rPr>
          <w:rFonts w:ascii="Arial Narrow;sans-serif" w:hAnsi="Arial Narrow;sans-serif"/>
          <w:b/>
          <w:color w:val="000000"/>
          <w:sz w:val="16"/>
        </w:rPr>
      </w:pPr>
      <w:r>
        <w:rPr>
          <w:rFonts w:ascii="Arial Narrow;sans-serif" w:hAnsi="Arial Narrow;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 Narrow;sans-serif" w:hAnsi="Arial Narrow;sans-serif"/>
          <w:b w:val="false"/>
          <w:color w:val="000000"/>
          <w:sz w:val="19"/>
        </w:rPr>
      </w:pPr>
      <w:r>
        <w:rPr>
          <w:rFonts w:ascii="Arial Narrow;sans-serif" w:hAnsi="Arial Narrow;sans-serif"/>
          <w:b w:val="false"/>
          <w:color w:val="000000"/>
          <w:sz w:val="19"/>
        </w:rPr>
        <w:t>Securities registered pursuant to Section 12(b) of the Act:</w:t>
      </w:r>
    </w:p>
    <w:tbl>
      <w:tblPr>
        <w:tblW w:w="8338" w:type="dxa"/>
        <w:jc w:val="center"/>
        <w:tblInd w:w="0" w:type="dxa"/>
        <w:tblLayout w:type="fixed"/>
        <w:tblCellMar>
          <w:top w:w="28" w:type="dxa"/>
          <w:left w:w="28" w:type="dxa"/>
          <w:bottom w:w="28" w:type="dxa"/>
          <w:right w:w="28" w:type="dxa"/>
        </w:tblCellMar>
      </w:tblPr>
      <w:tblGrid>
        <w:gridCol w:w="1138"/>
        <w:gridCol w:w="999"/>
        <w:gridCol w:w="1012"/>
        <w:gridCol w:w="519"/>
        <w:gridCol w:w="519"/>
        <w:gridCol w:w="521"/>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Title of each class</w:t>
            </w:r>
          </w:p>
        </w:tc>
        <w:tc>
          <w:tcPr>
            <w:tcW w:w="1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Trading Symbol(s)</w:t>
            </w:r>
          </w:p>
        </w:tc>
        <w:tc>
          <w:tcPr>
            <w:tcW w:w="363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Name of each exchange on which registered</w:t>
            </w:r>
          </w:p>
        </w:tc>
      </w:tr>
      <w:tr>
        <w:trPr/>
        <w:tc>
          <w:tcPr>
            <w:tcW w:w="314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Common Stock, par value $0.01 per share</w:t>
            </w:r>
          </w:p>
        </w:tc>
        <w:tc>
          <w:tcPr>
            <w:tcW w:w="1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HURN</w:t>
            </w:r>
          </w:p>
        </w:tc>
        <w:tc>
          <w:tcPr>
            <w:tcW w:w="363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NASDAQ Global Select Market</w:t>
            </w:r>
          </w:p>
        </w:tc>
      </w:tr>
    </w:tbl>
    <w:p>
      <w:pPr>
        <w:pStyle w:val="TextBody"/>
        <w:bidi w:val="0"/>
        <w:spacing w:lineRule="auto" w:line="288" w:before="0" w:after="0"/>
        <w:ind w:left="0" w:right="0" w:hanging="360"/>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6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left"/>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9"/>
              </w:rPr>
            </w:pPr>
            <w:r>
              <w:rPr>
                <w:rFonts w:ascii="Arial Narrow;sans-serif" w:hAnsi="Arial Narrow;sans-serif"/>
                <w:b w:val="false"/>
                <w:color w:val="000000"/>
                <w:sz w:val="19"/>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jc w:val="left"/>
        <w:rPr/>
      </w:pPr>
      <w:r>
        <w:rPr>
          <w:rFonts w:ascii="Arial Narrow;sans-serif" w:hAnsi="Arial Narrow;sans-serif"/>
          <w:b w:val="false"/>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80" w:after="283"/>
        <w:jc w:val="left"/>
        <w:rPr/>
      </w:pPr>
      <w:r>
        <w:rPr>
          <w:rFonts w:ascii="Arial Narrow;sans-serif" w:hAnsi="Arial Narrow;sans-serif"/>
          <w:b w:val="false"/>
          <w:color w:val="000000"/>
          <w:sz w:val="19"/>
        </w:rPr>
        <w:t>Indicate by check mark whether the registrant is a shell company (as defined in Rule 12b-2 of the Exchange Act).    Yes  </w:t>
      </w:r>
      <w:r>
        <w:rPr>
          <w:color w:val="000000"/>
        </w:rPr>
        <w:t>☐    </w:t>
      </w:r>
      <w:r>
        <w:rPr>
          <w:rFonts w:ascii="Arial Narrow;sans-serif" w:hAnsi="Arial Narrow;sans-serif"/>
          <w:b w:val="false"/>
          <w:color w:val="000000"/>
          <w:sz w:val="19"/>
        </w:rPr>
        <w:t>No  </w:t>
      </w:r>
      <w:r>
        <w:rPr>
          <w:color w:val="000000"/>
        </w:rPr>
        <w:t>☒</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Indicate the number of shares outstanding of each of the issuer’s classes of common stock, as of the latest practicable date.</w:t>
      </w:r>
    </w:p>
    <w:p>
      <w:pPr>
        <w:pStyle w:val="TextBody"/>
        <w:bidi w:val="0"/>
        <w:spacing w:lineRule="auto" w:line="288" w:before="80" w:after="283"/>
        <w:jc w:val="left"/>
        <w:rPr>
          <w:rFonts w:ascii="Arial Narrow;sans-serif" w:hAnsi="Arial Narrow;sans-serif"/>
          <w:b w:val="false"/>
          <w:color w:val="000000"/>
          <w:sz w:val="19"/>
        </w:rPr>
      </w:pPr>
      <w:r>
        <w:rPr>
          <w:rFonts w:ascii="Arial Narrow;sans-serif" w:hAnsi="Arial Narrow;sans-serif"/>
          <w:b w:val="false"/>
          <w:color w:val="000000"/>
          <w:sz w:val="19"/>
        </w:rPr>
        <w:t>As of April 23, 2024, 18,005,790 shares of the registrant’s common stock, par value $0.01 per share, were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2460" w:type="dxa"/>
        <w:jc w:val="center"/>
        <w:tblInd w:w="0" w:type="dxa"/>
        <w:tblLayout w:type="fixed"/>
        <w:tblCellMar>
          <w:top w:w="28" w:type="dxa"/>
          <w:left w:w="28" w:type="dxa"/>
          <w:bottom w:w="28" w:type="dxa"/>
          <w:right w:w="28" w:type="dxa"/>
        </w:tblCellMar>
      </w:tblPr>
      <w:tblGrid>
        <w:gridCol w:w="786"/>
        <w:gridCol w:w="693"/>
        <w:gridCol w:w="981"/>
      </w:tblGrid>
      <w:tr>
        <w:trPr/>
        <w:tc>
          <w:tcPr>
            <w:tcW w:w="7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Huron Consulting Group Inc.</w:t>
            </w:r>
          </w:p>
        </w:tc>
      </w:tr>
    </w:tbl>
    <w:p>
      <w:pPr>
        <w:pStyle w:val="TextBody"/>
        <w:bidi w:val="0"/>
        <w:spacing w:lineRule="auto" w:line="288" w:before="140" w:after="283"/>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240" w:after="283"/>
        <w:jc w:val="center"/>
        <w:rPr>
          <w:rFonts w:ascii="Arial Narrow;sans-serif" w:hAnsi="Arial Narrow;sans-serif"/>
          <w:b/>
          <w:color w:val="000000"/>
          <w:sz w:val="20"/>
        </w:rPr>
      </w:pPr>
      <w:r>
        <w:rPr>
          <w:rFonts w:ascii="Arial Narrow;sans-serif" w:hAnsi="Arial Narrow;sans-serif"/>
          <w:b/>
          <w:color w:val="000000"/>
          <w:sz w:val="20"/>
        </w:rPr>
        <w:t>INDEX</w:t>
      </w:r>
    </w:p>
    <w:tbl>
      <w:tblPr>
        <w:tblW w:w="8039" w:type="dxa"/>
        <w:jc w:val="center"/>
        <w:tblInd w:w="0" w:type="dxa"/>
        <w:tblLayout w:type="fixed"/>
        <w:tblCellMar>
          <w:top w:w="28" w:type="dxa"/>
          <w:left w:w="28" w:type="dxa"/>
          <w:bottom w:w="28" w:type="dxa"/>
          <w:right w:w="28" w:type="dxa"/>
        </w:tblCellMar>
      </w:tblPr>
      <w:tblGrid>
        <w:gridCol w:w="442"/>
        <w:gridCol w:w="386"/>
        <w:gridCol w:w="386"/>
        <w:gridCol w:w="2096"/>
        <w:gridCol w:w="2096"/>
        <w:gridCol w:w="2152"/>
        <w:gridCol w:w="140"/>
        <w:gridCol w:w="140"/>
        <w:gridCol w:w="201"/>
      </w:tblGrid>
      <w:tr>
        <w:trPr/>
        <w:tc>
          <w:tcPr>
            <w:tcW w:w="442"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096"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Page</w:t>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0">
              <w:r>
                <w:rPr>
                  <w:rStyle w:val="InternetLink"/>
                  <w:rFonts w:ascii="Arial Narrow;sans-serif" w:hAnsi="Arial Narrow;sans-serif"/>
                  <w:b/>
                  <w:color w:val="0000FF"/>
                  <w:sz w:val="20"/>
                  <w:u w:val="single"/>
                </w:rPr>
                <w:t>Part I – Financial Information</w:t>
              </w:r>
            </w:hyperlink>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3">
              <w:r>
                <w:rPr>
                  <w:rStyle w:val="InternetLink"/>
                  <w:rFonts w:ascii="Arial Narrow;sans-serif" w:hAnsi="Arial Narrow;sans-serif"/>
                  <w:b w:val="false"/>
                  <w:color w:val="0000FF"/>
                  <w:sz w:val="20"/>
                  <w:u w:val="single"/>
                </w:rPr>
                <w:t>Consolidated Financial Statements (Unaudited)</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6">
              <w:r>
                <w:rPr>
                  <w:rStyle w:val="InternetLink"/>
                  <w:rFonts w:ascii="Arial Narrow;sans-serif" w:hAnsi="Arial Narrow;sans-serif"/>
                  <w:b w:val="false"/>
                  <w:color w:val="0000FF"/>
                  <w:sz w:val="20"/>
                  <w:u w:val="single"/>
                </w:rPr>
                <w:t>Consolidated Balance Sheets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6">
              <w:r>
                <w:rPr>
                  <w:rStyle w:val="InternetLink"/>
                  <w:rFonts w:ascii="Arial Narrow;sans-serif" w:hAnsi="Arial Narrow;sans-serif"/>
                  <w:b w:val="false"/>
                  <w:color w:val="0000FF"/>
                  <w:sz w:val="20"/>
                  <w:u w:val="single"/>
                </w:rPr>
                <w:t>1</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9">
              <w:r>
                <w:rPr>
                  <w:rStyle w:val="InternetLink"/>
                  <w:rFonts w:ascii="Arial Narrow;sans-serif" w:hAnsi="Arial Narrow;sans-serif"/>
                  <w:b w:val="false"/>
                  <w:color w:val="0000FF"/>
                  <w:sz w:val="20"/>
                  <w:u w:val="single"/>
                </w:rPr>
                <w:t>Consolidated Statements of Operations and Other Comprehensive Income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9">
              <w:r>
                <w:rPr>
                  <w:rStyle w:val="InternetLink"/>
                  <w:rFonts w:ascii="Arial Narrow;sans-serif" w:hAnsi="Arial Narrow;sans-serif"/>
                  <w:b w:val="false"/>
                  <w:color w:val="0000FF"/>
                  <w:sz w:val="20"/>
                  <w:u w:val="single"/>
                </w:rPr>
                <w:t>2</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22">
              <w:r>
                <w:rPr>
                  <w:rStyle w:val="InternetLink"/>
                  <w:rFonts w:ascii="Arial Narrow;sans-serif" w:hAnsi="Arial Narrow;sans-serif"/>
                  <w:b w:val="false"/>
                  <w:color w:val="0000FF"/>
                  <w:sz w:val="20"/>
                  <w:u w:val="single"/>
                </w:rPr>
                <w:t>Consolidated Statements of Stockholders’ Equity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22">
              <w:r>
                <w:rPr>
                  <w:rStyle w:val="InternetLink"/>
                  <w:rFonts w:ascii="Arial Narrow;sans-serif" w:hAnsi="Arial Narrow;sans-serif"/>
                  <w:b w:val="false"/>
                  <w:color w:val="0000FF"/>
                  <w:sz w:val="20"/>
                  <w:u w:val="single"/>
                </w:rPr>
                <w:t>3</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25">
              <w:r>
                <w:rPr>
                  <w:rStyle w:val="InternetLink"/>
                  <w:rFonts w:ascii="Arial Narrow;sans-serif" w:hAnsi="Arial Narrow;sans-serif"/>
                  <w:b w:val="false"/>
                  <w:color w:val="0000FF"/>
                  <w:sz w:val="20"/>
                  <w:u w:val="single"/>
                </w:rPr>
                <w:t>Consolidated Statements of Cash Flows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25">
              <w:r>
                <w:rPr>
                  <w:rStyle w:val="InternetLink"/>
                  <w:rFonts w:ascii="Arial Narrow;sans-serif" w:hAnsi="Arial Narrow;sans-serif"/>
                  <w:b w:val="false"/>
                  <w:color w:val="0000FF"/>
                  <w:sz w:val="20"/>
                  <w:u w:val="single"/>
                </w:rPr>
                <w:t>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28">
              <w:r>
                <w:rPr>
                  <w:rStyle w:val="InternetLink"/>
                  <w:rFonts w:ascii="Arial Narrow;sans-serif" w:hAnsi="Arial Narrow;sans-serif"/>
                  <w:b w:val="false"/>
                  <w:color w:val="0000FF"/>
                  <w:sz w:val="20"/>
                  <w:u w:val="single"/>
                </w:rPr>
                <w:t>Notes to Consolidated Financial Statements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28">
              <w:r>
                <w:rPr>
                  <w:rStyle w:val="InternetLink"/>
                  <w:rFonts w:ascii="Arial Narrow;sans-serif" w:hAnsi="Arial Narrow;sans-serif"/>
                  <w:b w:val="false"/>
                  <w:color w:val="0000FF"/>
                  <w:sz w:val="20"/>
                  <w:u w:val="single"/>
                </w:rPr>
                <w:t>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76">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76">
              <w:r>
                <w:rPr>
                  <w:rStyle w:val="InternetLink"/>
                  <w:rFonts w:ascii="Arial Narrow;sans-serif" w:hAnsi="Arial Narrow;sans-serif"/>
                  <w:b w:val="false"/>
                  <w:color w:val="0000FF"/>
                  <w:sz w:val="20"/>
                  <w:u w:val="single"/>
                </w:rPr>
                <w:t>20</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12">
              <w:r>
                <w:rPr>
                  <w:rStyle w:val="InternetLink"/>
                  <w:rFonts w:ascii="Arial Narrow;sans-serif" w:hAnsi="Arial Narrow;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12">
              <w:r>
                <w:rPr>
                  <w:rStyle w:val="InternetLink"/>
                  <w:rFonts w:ascii="Arial Narrow;sans-serif" w:hAnsi="Arial Narrow;sans-serif"/>
                  <w:b w:val="false"/>
                  <w:color w:val="0000FF"/>
                  <w:sz w:val="20"/>
                  <w:u w:val="single"/>
                </w:rPr>
                <w:t>34</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15">
              <w:r>
                <w:rPr>
                  <w:rStyle w:val="InternetLink"/>
                  <w:rFonts w:ascii="Arial Narrow;sans-serif" w:hAnsi="Arial Narrow;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15">
              <w:r>
                <w:rPr>
                  <w:rStyle w:val="InternetLink"/>
                  <w:rFonts w:ascii="Arial Narrow;sans-serif" w:hAnsi="Arial Narrow;sans-serif"/>
                  <w:b w:val="false"/>
                  <w:color w:val="0000FF"/>
                  <w:sz w:val="20"/>
                  <w:u w:val="single"/>
                </w:rPr>
                <w:t>35</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18">
              <w:r>
                <w:rPr>
                  <w:rStyle w:val="InternetLink"/>
                  <w:rFonts w:ascii="Arial Narrow;sans-serif" w:hAnsi="Arial Narrow;sans-serif"/>
                  <w:b/>
                  <w:color w:val="0000FF"/>
                  <w:sz w:val="20"/>
                  <w:u w:val="single"/>
                </w:rPr>
                <w:t>Part II – Other Information</w:t>
              </w:r>
            </w:hyperlink>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21">
              <w:r>
                <w:rPr>
                  <w:rStyle w:val="InternetLink"/>
                  <w:rFonts w:ascii="Arial Narrow;sans-serif" w:hAnsi="Arial Narrow;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21">
              <w:r>
                <w:rPr>
                  <w:rStyle w:val="InternetLink"/>
                  <w:rFonts w:ascii="Arial Narrow;sans-serif" w:hAnsi="Arial Narrow;sans-serif"/>
                  <w:b w:val="false"/>
                  <w:color w:val="0000FF"/>
                  <w:sz w:val="20"/>
                  <w:u w:val="single"/>
                </w:rPr>
                <w:t>35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24">
              <w:r>
                <w:rPr>
                  <w:rStyle w:val="InternetLink"/>
                  <w:rFonts w:ascii="Arial Narrow;sans-serif" w:hAnsi="Arial Narrow;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24">
              <w:r>
                <w:rPr>
                  <w:rStyle w:val="InternetLink"/>
                  <w:rFonts w:ascii="Arial Narrow;sans-serif" w:hAnsi="Arial Narrow;sans-serif"/>
                  <w:b w:val="false"/>
                  <w:color w:val="0000FF"/>
                  <w:sz w:val="20"/>
                  <w:u w:val="single"/>
                </w:rPr>
                <w:t>35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27">
              <w:r>
                <w:rPr>
                  <w:rStyle w:val="InternetLink"/>
                  <w:rFonts w:ascii="Arial Narrow;sans-serif" w:hAnsi="Arial Narrow;sans-serif"/>
                  <w:b w:val="false"/>
                  <w:color w:val="0000FF"/>
                  <w:sz w:val="20"/>
                  <w:u w:val="single"/>
                </w:rPr>
                <w:t>Unregistered Sales of Equity Securities and Use of Proceeds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27">
              <w:r>
                <w:rPr>
                  <w:rStyle w:val="InternetLink"/>
                  <w:rFonts w:ascii="Arial Narrow;sans-serif" w:hAnsi="Arial Narrow;sans-serif"/>
                  <w:b w:val="false"/>
                  <w:color w:val="0000FF"/>
                  <w:sz w:val="20"/>
                  <w:u w:val="single"/>
                </w:rPr>
                <w:t>35</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30">
              <w:r>
                <w:rPr>
                  <w:rStyle w:val="InternetLink"/>
                  <w:rFonts w:ascii="Arial Narrow;sans-serif" w:hAnsi="Arial Narrow;sans-serif"/>
                  <w:b w:val="false"/>
                  <w:color w:val="0000FF"/>
                  <w:sz w:val="20"/>
                  <w:u w:val="single"/>
                </w:rPr>
                <w:t>Defaults Upon Senior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30">
              <w:r>
                <w:rPr>
                  <w:rStyle w:val="InternetLink"/>
                  <w:rFonts w:ascii="Arial Narrow;sans-serif" w:hAnsi="Arial Narrow;sans-serif"/>
                  <w:b w:val="false"/>
                  <w:color w:val="0000FF"/>
                  <w:sz w:val="20"/>
                  <w:u w:val="single"/>
                </w:rPr>
                <w:t>36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33">
              <w:r>
                <w:rPr>
                  <w:rStyle w:val="InternetLink"/>
                  <w:rFonts w:ascii="Arial Narrow;sans-serif" w:hAnsi="Arial Narrow;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33">
              <w:r>
                <w:rPr>
                  <w:rStyle w:val="InternetLink"/>
                  <w:rFonts w:ascii="Arial Narrow;sans-serif" w:hAnsi="Arial Narrow;sans-serif"/>
                  <w:b w:val="false"/>
                  <w:color w:val="0000FF"/>
                  <w:sz w:val="20"/>
                  <w:u w:val="single"/>
                </w:rPr>
                <w:t>36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36">
              <w:r>
                <w:rPr>
                  <w:rStyle w:val="InternetLink"/>
                  <w:rFonts w:ascii="Arial Narrow;sans-serif" w:hAnsi="Arial Narrow;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36">
              <w:r>
                <w:rPr>
                  <w:rStyle w:val="InternetLink"/>
                  <w:rFonts w:ascii="Arial Narrow;sans-serif" w:hAnsi="Arial Narrow;sans-serif"/>
                  <w:b w:val="false"/>
                  <w:color w:val="0000FF"/>
                  <w:sz w:val="20"/>
                  <w:u w:val="single"/>
                </w:rPr>
                <w:t>36</w:t>
              </w:r>
            </w:hyperlink>
          </w:p>
        </w:tc>
      </w:tr>
      <w:tr>
        <w:trPr/>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63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39">
              <w:r>
                <w:rPr>
                  <w:rStyle w:val="InternetLink"/>
                  <w:rFonts w:ascii="Arial Narrow;sans-serif" w:hAnsi="Arial Narrow;sans-serif"/>
                  <w:b w:val="false"/>
                  <w:color w:val="0000FF"/>
                  <w:sz w:val="20"/>
                  <w:u w:val="single"/>
                </w:rPr>
                <w:t>Exhibits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39">
              <w:r>
                <w:rPr>
                  <w:rStyle w:val="InternetLink"/>
                  <w:rFonts w:ascii="Arial Narrow;sans-serif" w:hAnsi="Arial Narrow;sans-serif"/>
                  <w:b w:val="false"/>
                  <w:color w:val="0000FF"/>
                  <w:sz w:val="20"/>
                  <w:u w:val="single"/>
                </w:rPr>
                <w:t>37</w:t>
              </w:r>
            </w:hyperlink>
          </w:p>
        </w:tc>
      </w:tr>
      <w:tr>
        <w:trPr/>
        <w:tc>
          <w:tcPr>
            <w:tcW w:w="75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5672f38c373a4ff3b5e40cb2d38c4162_142">
              <w:r>
                <w:rPr>
                  <w:rStyle w:val="InternetLink"/>
                  <w:rFonts w:ascii="Arial Narrow;sans-serif" w:hAnsi="Arial Narrow;sans-serif"/>
                  <w:b/>
                  <w:color w:val="0000FF"/>
                  <w:sz w:val="20"/>
                  <w:u w:val="single"/>
                </w:rPr>
                <w:t>Signature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5672f38c373a4ff3b5e40cb2d38c4162_142">
              <w:r>
                <w:rPr>
                  <w:rStyle w:val="InternetLink"/>
                  <w:rFonts w:ascii="Arial Narrow;sans-serif" w:hAnsi="Arial Narrow;sans-serif"/>
                  <w:b w:val="false"/>
                  <w:color w:val="0000FF"/>
                  <w:sz w:val="20"/>
                  <w:u w:val="single"/>
                </w:rPr>
                <w:t>38</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ITEM 1.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2744"/>
        <w:gridCol w:w="2336"/>
        <w:gridCol w:w="2379"/>
        <w:gridCol w:w="196"/>
        <w:gridCol w:w="871"/>
        <w:gridCol w:w="109"/>
        <w:gridCol w:w="109"/>
        <w:gridCol w:w="109"/>
        <w:gridCol w:w="109"/>
        <w:gridCol w:w="199"/>
        <w:gridCol w:w="885"/>
        <w:gridCol w:w="159"/>
      </w:tblGrid>
      <w:tr>
        <w:trPr/>
        <w:tc>
          <w:tcPr>
            <w:tcW w:w="274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2023</w:t>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12,149 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Receivables from clients, net of allowances of $18,233 and $17,284,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162,566 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Unbilled services, net of allowances of $4,675 and $5,984,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190,869 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receivable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28,491 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450,958 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400,460 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investments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75,414 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24,131 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92,336 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1,346,954 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1,262,142 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 and stockholders’ equity</w:t>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10,074 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33,087 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related benefits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225,921 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302,575 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Non-current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income taxes,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28,160 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non-current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426,675 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Commitments and contingencies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Stockholders’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Common stock; $0.01 par value; 500,000,000 shares authorized; 21,237,828 and 21,316,441 shares issued,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Treasury stock, at cost, 3,061,291 and 2,852,296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(159,605)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(142,136)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Additional paid-in capital</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236,962 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Retained earnings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433,033 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415,027 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other comprehensive income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stockholders’ equity</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495,606 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532,892 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1,346,954 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1,262,142 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 (LOSS)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center"/>
        <w:rPr/>
      </w:pPr>
      <w:r>
        <w:rPr>
          <w:rFonts w:ascii="Arial Narrow;sans-serif" w:hAnsi="Arial Narrow;sans-serif"/>
          <w:b/>
          <w:color w:val="000000"/>
          <w:sz w:val="20"/>
        </w:rPr>
        <w:t>(Unaudited)</w:t>
      </w:r>
      <w:r>
        <w:rPr>
          <w:color w:val="000000"/>
        </w:rPr>
        <w:t> </w:t>
      </w:r>
    </w:p>
    <w:tbl>
      <w:tblPr>
        <w:tblW w:w="8591" w:type="dxa"/>
        <w:jc w:val="center"/>
        <w:tblInd w:w="0" w:type="dxa"/>
        <w:tblLayout w:type="fixed"/>
        <w:tblCellMar>
          <w:top w:w="28" w:type="dxa"/>
          <w:left w:w="28" w:type="dxa"/>
          <w:bottom w:w="28" w:type="dxa"/>
          <w:right w:w="28" w:type="dxa"/>
        </w:tblCellMar>
      </w:tblPr>
      <w:tblGrid>
        <w:gridCol w:w="1883"/>
        <w:gridCol w:w="1657"/>
        <w:gridCol w:w="1665"/>
        <w:gridCol w:w="109"/>
        <w:gridCol w:w="109"/>
        <w:gridCol w:w="152"/>
        <w:gridCol w:w="152"/>
        <w:gridCol w:w="273"/>
        <w:gridCol w:w="1026"/>
        <w:gridCol w:w="152"/>
        <w:gridCol w:w="109"/>
        <w:gridCol w:w="109"/>
        <w:gridCol w:w="109"/>
        <w:gridCol w:w="196"/>
        <w:gridCol w:w="736"/>
        <w:gridCol w:w="154"/>
      </w:tblGrid>
      <w:tr>
        <w:trPr/>
        <w:tc>
          <w:tcPr>
            <w:tcW w:w="188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9"/>
              </w:rPr>
            </w:pPr>
            <w:r>
              <w:rPr>
                <w:rFonts w:ascii="Arial Narrow;sans-serif" w:hAnsi="Arial Narrow;sans-serif"/>
                <w:b/>
                <w:color w:val="000000"/>
                <w:sz w:val="19"/>
              </w:rPr>
              <w:t>2023</w:t>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Revenues and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355,961 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317,895 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7,424 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revenues and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363,385 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326,385 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Direct costs (exclusive of depreciation and amortization included below)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253,303 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7,584 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8,624 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Selling, 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74,268 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62,289 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2,337 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5,972 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6,374 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343,464 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307,954 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Operating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19,921 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18,431 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Interest expense, net of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(5,140)</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(4,303)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2,779 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Total 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(2,361)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(2,584)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17,560 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15,847 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(446)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2,428 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18,006 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basic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Net income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0.95 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Weighted average shares used in calculating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18,196 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19,119 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18,943 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19,699 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9"/>
              </w:rPr>
            </w:pPr>
            <w:r>
              <w:rPr>
                <w:rFonts w:ascii="Arial Narrow;sans-serif" w:hAnsi="Arial Narrow;sans-serif"/>
                <w:b/>
                <w:color w:val="000000"/>
                <w:sz w:val="19"/>
              </w:rPr>
              <w:t>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18,006 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13,419 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Foreign currency translation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(722)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investment,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(1,447)</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3,873 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Unrealized gain (loss) on cash flow hedging instruments,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1,073 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(2,329)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(1,096)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 xml:space="preserve">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16,910 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9"/>
              </w:rPr>
            </w:pPr>
            <w:r>
              <w:rPr>
                <w:rFonts w:ascii="Arial Narrow;sans-serif" w:hAnsi="Arial Narrow;sans-serif"/>
                <w:b w:val="false"/>
                <w:color w:val="000000"/>
                <w:sz w:val="19"/>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9"/>
              </w:rPr>
            </w:pPr>
            <w:r>
              <w:rPr>
                <w:rFonts w:ascii="Arial Narrow;sans-serif" w:hAnsi="Arial Narrow;sans-serif"/>
                <w:b w:val="false"/>
                <w:color w:val="000000"/>
                <w:sz w:val="19"/>
              </w:rPr>
              <w:t>15,015 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23" w:type="dxa"/>
            <w:gridSpan w:val="4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1355" w:type="dxa"/>
        <w:jc w:val="left"/>
        <w:tblInd w:w="0" w:type="dxa"/>
        <w:tblLayout w:type="fixed"/>
        <w:tblCellMar>
          <w:top w:w="28" w:type="dxa"/>
          <w:left w:w="28" w:type="dxa"/>
          <w:bottom w:w="28" w:type="dxa"/>
          <w:right w:w="28" w:type="dxa"/>
        </w:tblCellMar>
      </w:tblPr>
      <w:tblGrid>
        <w:gridCol w:w="588"/>
        <w:gridCol w:w="253"/>
        <w:gridCol w:w="255"/>
        <w:gridCol w:w="420"/>
        <w:gridCol w:w="421"/>
        <w:gridCol w:w="191"/>
        <w:gridCol w:w="109"/>
        <w:gridCol w:w="109"/>
        <w:gridCol w:w="109"/>
        <w:gridCol w:w="181"/>
        <w:gridCol w:w="376"/>
        <w:gridCol w:w="109"/>
        <w:gridCol w:w="109"/>
        <w:gridCol w:w="109"/>
        <w:gridCol w:w="109"/>
        <w:gridCol w:w="383"/>
        <w:gridCol w:w="383"/>
        <w:gridCol w:w="191"/>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96"/>
        <w:gridCol w:w="935"/>
        <w:gridCol w:w="180"/>
        <w:gridCol w:w="109"/>
        <w:gridCol w:w="109"/>
        <w:gridCol w:w="109"/>
        <w:gridCol w:w="202"/>
        <w:gridCol w:w="721"/>
        <w:gridCol w:w="173"/>
      </w:tblGrid>
      <w:tr>
        <w:trPr/>
        <w:tc>
          <w:tcPr>
            <w:tcW w:w="5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9"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 March 31,</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 xml:space="preserve">Additional </w:t>
              <w:br/>
              <w:t xml:space="preserve">Paid-In </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Stockholders’</w:t>
              <w:br/>
              <w:t>Equity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2023</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21,175,554 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(2,975,321)</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(142,136)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236,962 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415,027 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22,827 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532,892 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(1,096)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16,910 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544,922 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71,525 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21,419 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1,167 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86,913 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8,640 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19,237 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(212,745)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(20,927)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(624,698)</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(62,313)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21,204,110 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(3,116,541)</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(159,605)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200,235 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433,033 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21,731 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495,606 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December 31, 2022</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22,231,593 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(2,953,147)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(137,556)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318,706 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352,548 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18,119 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552,040 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Comprehensive income</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Issuance of common stock in connection with:</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297,581 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118,449 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14,145 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627 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Share-based compensation</w:t>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15,089 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Shares redeemed for employee tax withholdings</w:t>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(135,420)</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(9,529)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(632,894)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(44,273)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Balance at March 31, 2023</w:t>
            </w:r>
          </w:p>
        </w:tc>
        <w:tc>
          <w:tcPr>
            <w:tcW w:w="84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21,910,425 </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(2,970,118)</w:t>
            </w:r>
          </w:p>
        </w:tc>
        <w:tc>
          <w:tcPr>
            <w:tcW w:w="1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(141,353)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284,420 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365,967 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19,715 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6"/>
              </w:rPr>
            </w:pPr>
            <w:r>
              <w:rPr>
                <w:rFonts w:ascii="Arial Narrow;sans-serif" w:hAnsi="Arial Narrow;sans-serif"/>
                <w:b w:val="false"/>
                <w:color w:val="000000"/>
                <w:sz w:val="16"/>
              </w:rPr>
              <w:t>528,969 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tbl>
      <w:tblPr>
        <w:tblW w:w="7868" w:type="dxa"/>
        <w:jc w:val="center"/>
        <w:tblInd w:w="0" w:type="dxa"/>
        <w:tblLayout w:type="fixed"/>
        <w:tblCellMar>
          <w:top w:w="28" w:type="dxa"/>
          <w:left w:w="28" w:type="dxa"/>
          <w:bottom w:w="28" w:type="dxa"/>
          <w:right w:w="28" w:type="dxa"/>
        </w:tblCellMar>
      </w:tblPr>
      <w:tblGrid>
        <w:gridCol w:w="2093"/>
        <w:gridCol w:w="1833"/>
        <w:gridCol w:w="1848"/>
        <w:gridCol w:w="181"/>
        <w:gridCol w:w="571"/>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March 31,</w:t>
            </w:r>
          </w:p>
        </w:tc>
      </w:tr>
      <w:tr>
        <w:trPr/>
        <w:tc>
          <w:tcPr>
            <w:tcW w:w="5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cash flows from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loss on sale of property and equipment, excluding transaction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(31,669)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(89,843)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operating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life insurance policies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(30,599)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(10,172)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167,859 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 obtained in exchange for operating lease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 of business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and non-current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which align our business by industry.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14 “Segment Information”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Basis of Presentation and Significant Accounting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accompanying unaudited consolidated financial statements reflect the financial position, results of operations, and cash flows as of and for the three months ended March 31, 2024 and 2023. These financial statements have been prepared in accordance with the rules and regulations of the U.S. Securities and Exchange Commission (“SEC”) for Quarterly Reports on Form 10-Q. Accordingly, these financial statements do not include all of the information and note disclosures required by accounting principles generally accepted in the United States of America (“GAAP”) for annual financial statements. In the opinion of management, these financial statements reflect all adjustments of a normal, recurring nature necessary for the fair statement of our financial position, results of operations, and cash flows for the interim periods presented in conformity with GAAP. These financial statements should be read in conjunction with our consolidated financial statements and notes thereto included in our Annual Report on Form 10-K for the year ended December 31, 2023. Our results for any interim period are not necessarily indicative of results for a full year or any other interim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3. New Accounting Pronouncements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 xml:space="preserve">On November 27, 2023, the Financial Accounting Standards Board (“FASB”) issued Accounting Standards Update (“ASU”) 2023-07, </w:t>
      </w:r>
      <w:r>
        <w:rPr>
          <w:rFonts w:ascii="Arial Narrow;sans-serif" w:hAnsi="Arial Narrow;sans-serif"/>
          <w:b w:val="false"/>
          <w:i/>
          <w:color w:val="000000"/>
          <w:sz w:val="20"/>
        </w:rPr>
        <w:t>Segment Reporting (Topic 280): Improvements to Reportable Segment Disclosures</w:t>
      </w:r>
      <w:r>
        <w:rPr>
          <w:rFonts w:ascii="Arial Narrow;sans-serif" w:hAnsi="Arial Narrow;sans-serif"/>
          <w:b w:val="false"/>
          <w:color w:val="000000"/>
          <w:sz w:val="20"/>
        </w:rPr>
        <w:t>, which updates the segment disclosure requirements, primarily through enhanced disclosures about significant segment expenses on an interim and annual basis. ASU 2023-07 will be effective for our annual reporting periods beginning with the current fiscal year ending December 31, 2024 and for interim reporting periods beginning in fiscal year 2025, with early adoption permitted, and is required to be applied retrospectively. We are currently evaluating the impact this guidance will have on our disclosures within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December 14, 2023, the FASB issued ASU 2023-09, </w:t>
      </w:r>
      <w:r>
        <w:rPr>
          <w:rFonts w:ascii="Arial Narrow;sans-serif" w:hAnsi="Arial Narrow;sans-serif"/>
          <w:b w:val="false"/>
          <w:i/>
          <w:color w:val="000000"/>
          <w:sz w:val="20"/>
        </w:rPr>
        <w:t>Improvements to Income Tax Disclosures</w:t>
      </w:r>
      <w:r>
        <w:rPr>
          <w:rFonts w:ascii="Arial Narrow;sans-serif" w:hAnsi="Arial Narrow;sans-serif"/>
          <w:b w:val="false"/>
          <w:color w:val="000000"/>
          <w:sz w:val="20"/>
        </w:rPr>
        <w:t>, which updates annual income tax disclosures by requiring disclosure of specific categories in the rate reconciliation, as well as disclosure of income taxes paid disaggregated by jurisdiction. ASU 2023-09 will be effective for our annual reporting periods beginning with the fiscal year ending December 31, 2024, with early adoption permitted, and is required to be applied prospectively with the option of retrospective application. We are currently evaluating the impact this guidance will have on our disclosures within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March 6, 2024, the SEC adopted the final rule under SEC Release No. 33-11275, </w:t>
      </w:r>
      <w:r>
        <w:rPr>
          <w:rFonts w:ascii="Arial Narrow;sans-serif" w:hAnsi="Arial Narrow;sans-serif"/>
          <w:b w:val="false"/>
          <w:i/>
          <w:color w:val="000000"/>
          <w:sz w:val="20"/>
        </w:rPr>
        <w:t>The Enhancement and Standardization of Climate-Related Disclosures for Investors</w:t>
      </w:r>
      <w:r>
        <w:rPr>
          <w:rFonts w:ascii="Arial Narrow;sans-serif" w:hAnsi="Arial Narrow;sans-serif"/>
          <w:b w:val="false"/>
          <w:color w:val="000000"/>
          <w:sz w:val="20"/>
        </w:rPr>
        <w:t>, which will require registrants to disclose certain climate-related information in registration statements and annual reports. The disclosure requirements will be effective for our annual reporting periods beginning with the fiscal year ending December 31, 2025, subject to any delay which may result from the current administrative stay issued by the SEC. We are currently evaluating the impact this guidance will have on our disclosures within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Goodwill and Intangible Assets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goodwill by reportable segment for the three months ended March 31, 2024.</w:t>
      </w:r>
    </w:p>
    <w:tbl>
      <w:tblPr>
        <w:tblW w:w="9554" w:type="dxa"/>
        <w:jc w:val="left"/>
        <w:tblInd w:w="0" w:type="dxa"/>
        <w:tblLayout w:type="fixed"/>
        <w:tblCellMar>
          <w:top w:w="28" w:type="dxa"/>
          <w:left w:w="28" w:type="dxa"/>
          <w:bottom w:w="28" w:type="dxa"/>
          <w:right w:w="28" w:type="dxa"/>
        </w:tblCellMar>
      </w:tblPr>
      <w:tblGrid>
        <w:gridCol w:w="1529"/>
        <w:gridCol w:w="1345"/>
        <w:gridCol w:w="1355"/>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4"/>
      </w:tblGrid>
      <w:tr>
        <w:trPr/>
        <w:tc>
          <w:tcPr>
            <w:tcW w:w="152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 Narrow;sans-serif" w:hAnsi="Arial Narrow;sans-serif"/>
                <w:b/>
                <w:sz w:val="20"/>
              </w:rPr>
              <w:br/>
            </w: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1,081,603 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Goodwill recorded in connection with business acquisitions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March 31,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143,548 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First Quarter 2024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January 1, 2024, we completed the acquisition of the data analytics services team of Vlamis Software Solutions, Inc. (“Vlamis”). The results of operations of Vlamis are included within our consolidated financial statements as of the acquisition date and allocated among our Education and Commercial segments based on the engagements delivered by the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2024, we completed the acquisition of Grenzebach Glier and Associates, Inc. (“GG+A”), a philanthropic management consulting firm that helps education institutions and other nonprofit organizations build and accelerate the philanthropic programs that support their mission. The results of operations of GG+A are included within our consolidated financial statements and results of operations of our Education segment as of the acquisition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acquisitions of Vlamis and GG+A are not significant to our consolidated financial statements individually or in the aggregate as of and for the three months ended March 31, 2024. These acquisitions were accounted for using the acquisition method of accounting. Contract assets and contract liabilities are recorded at their carrying value under Topic 606: Revenue from Contracts with Customers.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current acquisition date values of assets acquired and liabilities assumed of the GG+A acquisition are considered preliminary and are based on the information that was available as of the date of the acquisition. We believe that the information provides a reasonable basis for estimating the preliminary values of assets acquired and liabilities assumed but certain items, such as the valuations of the intangible assets and the working capital adjustments, among other things, may be subject to change as additional information is received. Thus, the provisional measurements of assets acquired, including goodwill, and liabilities assumed related to the GG+A acquisition are subject to change. We expect to finalize the valuation as soon as practicable, but not later than one year from the acquisition date.</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March 31, 2024 and December 31, 2023 consisted of the following:</w:t>
      </w:r>
    </w:p>
    <w:tbl>
      <w:tblPr>
        <w:tblW w:w="8731" w:type="dxa"/>
        <w:jc w:val="left"/>
        <w:tblInd w:w="0" w:type="dxa"/>
        <w:tblLayout w:type="fixed"/>
        <w:tblCellMar>
          <w:top w:w="28" w:type="dxa"/>
          <w:left w:w="28" w:type="dxa"/>
          <w:bottom w:w="28" w:type="dxa"/>
          <w:right w:w="28" w:type="dxa"/>
        </w:tblCellMar>
      </w:tblPr>
      <w:tblGrid>
        <w:gridCol w:w="793"/>
        <w:gridCol w:w="696"/>
        <w:gridCol w:w="701"/>
        <w:gridCol w:w="334"/>
        <w:gridCol w:w="334"/>
        <w:gridCol w:w="336"/>
        <w:gridCol w:w="109"/>
        <w:gridCol w:w="109"/>
        <w:gridCol w:w="109"/>
        <w:gridCol w:w="196"/>
        <w:gridCol w:w="64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 2023</w:t>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 </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5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7,477 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48,928 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10,195 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3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 to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50,451 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24,802 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83,586 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65,512 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with finite lives are amortized over their estimated useful lives using either an accelerated or straight-line basis to correspond to the cash flows expected to be derived from the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 amortization expense was $1.7 million and $2.2 million for the three months ended March 31, 2024 and 2023, respectively. The table below sets forth the estimated annual amortization expense for the intangible assets recorded as of March 31, 2024.</w:t>
      </w:r>
    </w:p>
    <w:tbl>
      <w:tblPr>
        <w:tblW w:w="5202"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584"/>
        <w:gridCol w:w="1656"/>
        <w:gridCol w:w="460"/>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Estimated 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6,509 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6,686 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4,965 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3,550 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2,604 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Actual future amortization expense could differ from these estimated amounts as a result of future acquisitions, dispositions,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2024 and 2023, we recognized revenues of $356.0 million and $317.9 million, respectively. Of the $356.0 million recognized in the first quarter of 2024, we recognized revenues of $8.3 million from obligations satisfied, or partially satisfied, in prior periods, of which $7.5 million was due to changes in the estimates of our variable consideration under performance-based billing arrangements and $0.8 million was due to the release of allowances on receivables from clients and unbilled services. Of the $317.9 million recognized in the first quarter of 2023, we recognized revenues of $1.2 million from obligations satisfied, or partially satisfied, in prior periods due to the release of allowances on receivables from clients and unbilled services. During the first quarter of 2023, we also recognized a $2.5 million decrease to revenues due to changes in the estimates of our variable consideration under performance-based billing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March 31, 2024, we had $221.3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$221.3 million of performance obligations, we expect to recognize $65.7 million as revenue in 2024, $58.6 million in 2025, and the remaining $97.0 million thereafter. Actual revenue recognition could differ from these amounts as a result of changes in the estimated timing of work to be performed, adjustments to estimated variable consideration in performance-based arrangements, or other factors.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net balance as of March 31, 2024 and December 31, 2023 was $56.6 million and $70.1 million, respectively. The $13.5 million decrease primarily reflects timing differences between the completion of our performance obligations and the amounts billed or billable to clients in accordance with their contractual billing terms.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Client prepayments and retainers are classified as deferred revenues and recognized over future periods in accordance with the applicable engagement agreement and our revenue recognition accounting policy. Our deferred revenues balance as of March 31, 2024 and December 31, 2023 was $24.7 million and $22.5 million, respectively. The $2.2 million increase reflects the deferred revenue assumed in the acquisition of GG+A, partially offset by timing differences between client payments in accordance with their contract terms and the completion of our performance obligations. For the three months ended March 31, 2024, $15.4 million of revenues recognized were included in the deferred revenue balance as of December 31,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7419" w:type="dxa"/>
        <w:jc w:val="center"/>
        <w:tblInd w:w="0" w:type="dxa"/>
        <w:tblLayout w:type="fixed"/>
        <w:tblCellMar>
          <w:top w:w="28" w:type="dxa"/>
          <w:left w:w="28" w:type="dxa"/>
          <w:bottom w:w="28" w:type="dxa"/>
          <w:right w:w="28" w:type="dxa"/>
        </w:tblCellMar>
      </w:tblPr>
      <w:tblGrid>
        <w:gridCol w:w="1487"/>
        <w:gridCol w:w="1312"/>
        <w:gridCol w:w="1326"/>
        <w:gridCol w:w="109"/>
        <w:gridCol w:w="109"/>
        <w:gridCol w:w="163"/>
        <w:gridCol w:w="163"/>
        <w:gridCol w:w="294"/>
        <w:gridCol w:w="970"/>
        <w:gridCol w:w="163"/>
        <w:gridCol w:w="109"/>
        <w:gridCol w:w="109"/>
        <w:gridCol w:w="109"/>
        <w:gridCol w:w="196"/>
        <w:gridCol w:w="646"/>
        <w:gridCol w:w="154"/>
      </w:tblGrid>
      <w:tr>
        <w:trPr/>
        <w:tc>
          <w:tcPr>
            <w:tcW w:w="1487"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18,196 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18,943 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Less than 0.1 million shares related to unvested restricted stock and outstanding common stock options were excluded from the computation of the weighted average common stock equivalents presented above for the three months ended March 31, 2023 as they were anti-dilutive. There were no anti-dilutive securities for the three months ended March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2021.The share repurchase program has been subsequently extended and increased, most recently in the fourth quarter of 2023. The current authorization extends the share repurchase program through December 31, 2024 with a repurchase amount of $400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three months ended March 31, 2024, we repurchased and retired 624,698 shares for $62.3 million, which includes 23,000 shares for $2.2 million which settled in the second quarter of 2024 and a $0.1 million accrual for excise taxes on the net share repurchases. Additionally, in the three months ended March 31, 2024 we settled the repurchase of 10,000 shares for $1.0 million which were accrued as of December 31,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three months ended March 31, 2023, we repurchased and retired 632,894 shares for $44.3 million, which includes a $0.2 million accrual for excise taxes on the net share repurchases. Additionally, in the three months ended March 31, 2023 we settled the repurchase of 15,200 shares for $1.1 million which were accrued as of December 31, 2022.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2024, $24.0 million remained available for share repurchases under our share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beginning June 30, 2024 through the maturity date of November 15, 2027,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2024, we had total borrowings outstanding under our Amended Credit Agreement of $574.0 million, consisting of $299.0 million outstanding under the Revolver and $275.0 million outstanding under the Term Loan. A summary of the scheduled maturities of those borrowings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10,312 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536,188 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initial borrowings under the Revolver were used to refinance borrowings outstanding under a prior credit agreement, and future borrowings under the Revolver may be used for working capital, capital expenditures, share repurchases, permitted acquisitions, and other general corporate purposes. The proceeds of the Term Loan were used to reduce borrowings under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provides the option to increase the revolving credit facility or establish additional term loan facilities in an aggregate amount up to $250 million, subject to customary conditions and the approval of any lender whose commitment would be increased, resulting in a maximum available principal amount under the Amended Credit Agreement of $1.13 billion.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related to certain environmental, social and governance targets of the Company.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Third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2024, we were in compliance with these financial covenants with a Consolidated Leverage Ratio of 2.74 to 1.00 and a Consolidated Interest Coverage Ratio of 10.65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031" w:type="dxa"/>
        <w:jc w:val="left"/>
        <w:tblInd w:w="0" w:type="dxa"/>
        <w:tblLayout w:type="fixed"/>
        <w:tblCellMar>
          <w:top w:w="28" w:type="dxa"/>
          <w:left w:w="28" w:type="dxa"/>
          <w:bottom w:w="28" w:type="dxa"/>
          <w:right w:w="28" w:type="dxa"/>
        </w:tblCellMar>
      </w:tblPr>
      <w:tblGrid>
        <w:gridCol w:w="1254"/>
        <w:gridCol w:w="1100"/>
        <w:gridCol w:w="1110"/>
        <w:gridCol w:w="196"/>
        <w:gridCol w:w="736"/>
        <w:gridCol w:w="109"/>
        <w:gridCol w:w="109"/>
        <w:gridCol w:w="109"/>
        <w:gridCol w:w="109"/>
        <w:gridCol w:w="216"/>
        <w:gridCol w:w="813"/>
        <w:gridCol w:w="170"/>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2023</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572,647 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558,897 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324,000 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(1)In connection with establishing the Term Loan, we incurred $1.4 million of debt issuance costs which were recognized as a discount to the Term Loan. These debt issuance costs are amortized to interest expense using an effective interest rate of 7.34%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as of March 31, 2024 and December 31, 2023 carried a weighted average interest rate of 5.4% and 4.2%, respectively, including the effect of the interest rate swaps described in Note 9 “Derivative Instruments and Hedging Activity.”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March 31, 2024, we had outstanding letters of credit totaling $0.6 million, which are used as security deposits for our office facilities. As of March 31, 2024, the unused borrowing capacity under the Revolver was $300.4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were $2.3 million for the three months ended March 31, 2024, which included $1.0 million of severance-related expenses; $0.8 million related to non-cash lease impairment charges driven by updated sublease assumptions for our previously vacated office spaces; and $0.5 million of rent and related expenses, net of sublease income, for previously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were $2.3 million for the three months ended March 31, 2023. In the first quarter of 2023, we exited our office space in Hillsboro, Oregon which resulted in a $1.9 million non-cash impairment charge on the related fixed assets and right-of-use operating lease asset of that office space. Additionally, in the first quarter of 2023, we recognized $0.4 million of additional restructuring expense for rent and related expenses, net of sublease income, for previously vacated office spaces.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value of our restructuring charge liability by restructuring type for the three months ended March 31, 2024.</w:t>
      </w:r>
    </w:p>
    <w:tbl>
      <w:tblPr>
        <w:tblW w:w="6433" w:type="dxa"/>
        <w:jc w:val="left"/>
        <w:tblInd w:w="0" w:type="dxa"/>
        <w:tblLayout w:type="fixed"/>
        <w:tblCellMar>
          <w:top w:w="28" w:type="dxa"/>
          <w:left w:w="28" w:type="dxa"/>
          <w:bottom w:w="28" w:type="dxa"/>
          <w:right w:w="28" w:type="dxa"/>
        </w:tblCellMar>
      </w:tblPr>
      <w:tblGrid>
        <w:gridCol w:w="922"/>
        <w:gridCol w:w="811"/>
        <w:gridCol w:w="817"/>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Other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Additions</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(832)</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color w:val="000000"/>
              </w:rPr>
              <w:t xml:space="preserve"> </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2024</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$1.5 million restructuring charge liability related to employee costs at March 31, 2024 is expected to be paid in the next 12 months and is included as a component of accrued payroll and related benefits in our consolidated balance sheet. All of the $0.5 million other restructuring charge liability at March 31, 2024, which primarily relates to the early termination of a contract, is expected to be paid in the next 12 months and is included as a component of accrued expenses and other current liabilities in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non-deliverable foreign exchange forward contracts to manage the foreign currency exchange rate risk related to our Indian Rupee-denominated expenses of our operations in India. From time to time, we may enter into additional forward interest rate swaps or non-deliverable foreign exchange forward contracts to further hedge against our interest rate risk and foreign currency exchange rate risk. We do not use derivative instruments for trading or other speculative purposes.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designated all of our derivative instruments as cash flow hedges. Therefore, changes in the fair value of the interest rate swaps and foreign exchange forward contracts are recorded to other comprehensive income to the extent effective and reclassified to earnings upon settlement.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party to forward interest rate swap agreements with aggregate notional amounts of $300.0 million and $250.0 million as of March 31, 2024 and December 31, 2023, respectively. Under the terms of the interest rate swap agreements, we receive from the counterparty interest on the notional amount based on one month Term SOFR and we pay to the counterparty a stated, fixed rate. The forward interest rate swap agreements have staggered maturities through January 31, 2029.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March 31, 2024, it was anticipated that $5.7 million of the gains, net of tax, related to interest rate swaps currently recorded in accumulated other comprehensive income will be reclassified into interest expense, net of interest income in our consolidated statement of operations within the next 12 months.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Foreign Exchange Forward Contracts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party to non-deliverable foreign exchange forward contracts that are scheduled to mature monthly through December 31, 2024. As of March 31, 2024 and December 31, 2023, the aggregate notional amounts of these contracts were INR 878.0 million, or $10.5 million, and INR 1,375.7 million, or $16.6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March 31, 2024, it was anticipated that the less than $0.1 million of losses, net of tax, related to foreign exchange forward contracts currently recorded in accumulated other comprehensive income will be reclassified into earnings in our consolidated statement of operations within the next 12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as of March 31, 2024 and December 31, 2023.</w:t>
      </w:r>
    </w:p>
    <w:tbl>
      <w:tblPr>
        <w:tblW w:w="8775"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196"/>
        <w:gridCol w:w="556"/>
        <w:gridCol w:w="109"/>
        <w:gridCol w:w="109"/>
        <w:gridCol w:w="109"/>
        <w:gridCol w:w="109"/>
        <w:gridCol w:w="269"/>
        <w:gridCol w:w="764"/>
        <w:gridCol w:w="212"/>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December 31, </w:t>
              <w:br/>
              <w:t>2023</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6,655 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891 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2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All of our derivative instruments are transacted under the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in our consolidated balance sheet. Refer to Note 11 “Other Comprehensive Income (Loss)” for additional information on our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 </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our fair value hierarchy for our financial assets and liabilities measured at fair value on a recurring basis as of March 31, 2024 and December 31, 2023.</w:t>
      </w:r>
    </w:p>
    <w:tbl>
      <w:tblPr>
        <w:tblW w:w="8651" w:type="dxa"/>
        <w:jc w:val="left"/>
        <w:tblInd w:w="0" w:type="dxa"/>
        <w:tblLayout w:type="fixed"/>
        <w:tblCellMar>
          <w:top w:w="28" w:type="dxa"/>
          <w:left w:w="28" w:type="dxa"/>
          <w:bottom w:w="28" w:type="dxa"/>
          <w:right w:w="28" w:type="dxa"/>
        </w:tblCellMar>
      </w:tblPr>
      <w:tblGrid>
        <w:gridCol w:w="1316"/>
        <w:gridCol w:w="1158"/>
        <w:gridCol w:w="1170"/>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42,372 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377 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Refer to Note 9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rFonts w:ascii="Arial Narrow;sans-serif" w:hAnsi="Arial Narrow;sans-serif"/>
          <w:b w:val="false"/>
          <w:color w:val="000000"/>
          <w:sz w:val="20"/>
        </w:rPr>
        <w:t>: 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Refer to Note 9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w:t>
      </w:r>
    </w:p>
    <w:p>
      <w:pPr>
        <w:pStyle w:val="TextBody"/>
        <w:bidi w:val="0"/>
        <w:spacing w:lineRule="auto" w:line="288" w:before="180" w:after="283"/>
        <w:jc w:val="left"/>
        <w:rPr/>
      </w:pPr>
      <w:r>
        <w:rPr>
          <w:rFonts w:ascii="Arial Narrow;sans-serif" w:hAnsi="Arial Narrow;sans-serif"/>
          <w:b w:val="false"/>
          <w:i/>
          <w:color w:val="000000"/>
          <w:sz w:val="20"/>
        </w:rPr>
        <w:t>Convertible debt investment:</w:t>
      </w:r>
      <w:r>
        <w:rPr>
          <w:color w:val="000000"/>
        </w:rPr>
        <w:t xml:space="preserve">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investment is carried at fair value with unrealized holding gains and losses excluded from earnings and reported in other comprehensive income.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The hybrid analysis utilizes certain assumptions including the assumed holding period through the maturity date of January 17, 2027 for the valuations performed as of March 31, 2024 and December 31, 2023; the applicable waterfall distribution at the end of the expected holding period based on the rights and privileges of the various instruments; cash flow projections discounted at the risk-adjusted rate of 24.5% as of both March 31, 2024 and December 31, 2023; and the concluded equity volatility of 40.0% and 35.0% as of March 31, 2024 and December 31, 2023, respectively, all of which are Level 3 inputs. The use of alternative estimates and assumptions could increase or decrease the estimated fair value of the investment, which would result in different impacts to our consolidated balance sheet and comprehensive income.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three months ended March 31, 2024. </w:t>
      </w:r>
    </w:p>
    <w:tbl>
      <w:tblPr>
        <w:tblW w:w="5276" w:type="dxa"/>
        <w:jc w:val="left"/>
        <w:tblInd w:w="0" w:type="dxa"/>
        <w:tblLayout w:type="fixed"/>
        <w:tblCellMar>
          <w:top w:w="28" w:type="dxa"/>
          <w:left w:w="28" w:type="dxa"/>
          <w:bottom w:w="28" w:type="dxa"/>
          <w:right w:w="28" w:type="dxa"/>
        </w:tblCellMar>
      </w:tblPr>
      <w:tblGrid>
        <w:gridCol w:w="922"/>
        <w:gridCol w:w="811"/>
        <w:gridCol w:w="817"/>
        <w:gridCol w:w="109"/>
        <w:gridCol w:w="109"/>
        <w:gridCol w:w="109"/>
        <w:gridCol w:w="470"/>
        <w:gridCol w:w="1556"/>
        <w:gridCol w:w="373"/>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66,099 </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6.3% as of both March 31, 2024 and December 31, 2023. The fair value of the contingent consideration is reassessed quarterly based on assumptions used in our latest projections and input provided by practice leaders and management. Any change in the fair value estimate is recorded to selling, general and administrative expenses in our consolidated statement of operations for that period.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three months ended March 31, 2024. </w:t>
      </w:r>
    </w:p>
    <w:tbl>
      <w:tblPr>
        <w:tblW w:w="7196" w:type="dxa"/>
        <w:jc w:val="left"/>
        <w:tblInd w:w="0" w:type="dxa"/>
        <w:tblLayout w:type="fixed"/>
        <w:tblCellMar>
          <w:top w:w="28" w:type="dxa"/>
          <w:left w:w="28" w:type="dxa"/>
          <w:bottom w:w="28" w:type="dxa"/>
          <w:right w:w="28" w:type="dxa"/>
        </w:tblCellMar>
      </w:tblPr>
      <w:tblGrid>
        <w:gridCol w:w="923"/>
        <w:gridCol w:w="811"/>
        <w:gridCol w:w="816"/>
        <w:gridCol w:w="109"/>
        <w:gridCol w:w="109"/>
        <w:gridCol w:w="109"/>
        <w:gridCol w:w="934"/>
        <w:gridCol w:w="2651"/>
        <w:gridCol w:w="734"/>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7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516 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6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2,626 </w:t>
            </w:r>
          </w:p>
        </w:tc>
        <w:tc>
          <w:tcPr>
            <w:tcW w:w="7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1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Preferred Stock Investment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concluded the appropriate accounting treatment for our investment to be that of an equity security with no readily determinable fair value. We elected to apply the measurement alternative at the time of the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preferred stock using such identified information with changes in the fair value recorded in our consolidated statement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first three months of 2024 and 2023, there were no observable price changes or impairments of our preferred stock investment. Since our initial investment, we have recognized cumulative unrealized gains of $28.6 million and cumulative unrealized losses of $26.3 million. As of March 31, 2024 and December 31, 2023, the carrying value of our preferred stock investment was $7.4 million. </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other comprehensive income (loss), net of tax,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1178"/>
        <w:gridCol w:w="945"/>
        <w:gridCol w:w="948"/>
        <w:gridCol w:w="196"/>
        <w:gridCol w:w="602"/>
        <w:gridCol w:w="109"/>
        <w:gridCol w:w="109"/>
        <w:gridCol w:w="109"/>
        <w:gridCol w:w="109"/>
        <w:gridCol w:w="238"/>
        <w:gridCol w:w="530"/>
        <w:gridCol w:w="133"/>
        <w:gridCol w:w="109"/>
        <w:gridCol w:w="109"/>
        <w:gridCol w:w="109"/>
        <w:gridCol w:w="196"/>
        <w:gridCol w:w="602"/>
        <w:gridCol w:w="109"/>
        <w:gridCol w:w="109"/>
        <w:gridCol w:w="109"/>
        <w:gridCol w:w="109"/>
        <w:gridCol w:w="196"/>
        <w:gridCol w:w="602"/>
        <w:gridCol w:w="109"/>
        <w:gridCol w:w="109"/>
        <w:gridCol w:w="109"/>
        <w:gridCol w:w="109"/>
        <w:gridCol w:w="196"/>
        <w:gridCol w:w="614"/>
        <w:gridCol w:w="109"/>
        <w:gridCol w:w="109"/>
        <w:gridCol w:w="109"/>
        <w:gridCol w:w="109"/>
        <w:gridCol w:w="196"/>
        <w:gridCol w:w="602"/>
        <w:gridCol w:w="160"/>
      </w:tblGrid>
      <w:tr>
        <w:trPr/>
        <w:tc>
          <w:tcPr>
            <w:tcW w:w="1178"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 2023</w:t>
            </w:r>
          </w:p>
        </w:tc>
      </w:tr>
      <w:tr>
        <w:trPr/>
        <w:tc>
          <w:tcPr>
            <w:tcW w:w="3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Tax</w:t>
              <w:br/>
              <w:t>(Expense)</w:t>
              <w:br/>
              <w:t>Benefit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Net of</w:t>
              <w:br/>
              <w:t>Taxes</w:t>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interest rate swaps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adjustments into earnings</w:t>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unrealized gain (loss) on foreign exchange forward contracts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comprehensive income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61" w:type="dxa"/>
            <w:gridSpan w:val="24"/>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before tax amounts reclassified from accumulated other comprehensive income related to our interest rate swaps and foreign exchange forward contracts are recorded to interest expense, net of interest income and direct costs, respectively, on our consolidated statement of operations. The related tax amounts reclassified from accumulated other comprehensive income are recorded to income tax expense (benefit) on our consolidated statement of operations. Refer to Note 9 “Derivative Instruments and Hedging Activity” for additional information on our derivative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0" w:after="0"/>
        <w:jc w:val="left"/>
        <w:rPr/>
      </w:pPr>
      <w:r>
        <w:rPr>
          <w:rFonts w:ascii="Arial Narrow;sans-serif" w:hAnsi="Arial Narrow;sans-serif"/>
          <w:b w:val="false"/>
          <w:color w:val="000000"/>
          <w:sz w:val="20"/>
        </w:rPr>
        <w:t>Accumulated other comprehensive income, net of tax, includes the following components:</w:t>
      </w:r>
      <w:r>
        <w:rPr>
          <w:color w:val="000000"/>
        </w:rPr>
        <w:t> </w:t>
      </w:r>
    </w:p>
    <w:tbl>
      <w:tblPr>
        <w:tblW w:w="10205" w:type="dxa"/>
        <w:jc w:val="left"/>
        <w:tblInd w:w="0" w:type="dxa"/>
        <w:tblLayout w:type="fixed"/>
        <w:tblCellMar>
          <w:top w:w="28" w:type="dxa"/>
          <w:left w:w="28" w:type="dxa"/>
          <w:bottom w:w="28" w:type="dxa"/>
          <w:right w:w="28" w:type="dxa"/>
        </w:tblCellMar>
      </w:tblPr>
      <w:tblGrid>
        <w:gridCol w:w="555"/>
        <w:gridCol w:w="489"/>
        <w:gridCol w:w="492"/>
        <w:gridCol w:w="351"/>
        <w:gridCol w:w="1023"/>
        <w:gridCol w:w="196"/>
        <w:gridCol w:w="109"/>
        <w:gridCol w:w="109"/>
        <w:gridCol w:w="109"/>
        <w:gridCol w:w="383"/>
        <w:gridCol w:w="1265"/>
        <w:gridCol w:w="214"/>
        <w:gridCol w:w="109"/>
        <w:gridCol w:w="109"/>
        <w:gridCol w:w="109"/>
        <w:gridCol w:w="268"/>
        <w:gridCol w:w="762"/>
        <w:gridCol w:w="149"/>
        <w:gridCol w:w="109"/>
        <w:gridCol w:w="109"/>
        <w:gridCol w:w="109"/>
        <w:gridCol w:w="524"/>
        <w:gridCol w:w="927"/>
        <w:gridCol w:w="296"/>
        <w:gridCol w:w="109"/>
        <w:gridCol w:w="109"/>
        <w:gridCol w:w="109"/>
        <w:gridCol w:w="196"/>
        <w:gridCol w:w="646"/>
        <w:gridCol w:w="161"/>
      </w:tblGrid>
      <w:tr>
        <w:trPr/>
        <w:tc>
          <w:tcPr>
            <w:tcW w:w="55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Available-for-Sale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20,039 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period change</w:t>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March 31, 2024</w:t>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18,592 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6,390 </w:t>
            </w:r>
          </w:p>
        </w:tc>
        <w:tc>
          <w:tcPr>
            <w:tcW w:w="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2024, our effective tax rate was (2.5)% as we recognized an income tax benefit of $0.4 million on income of $17.6 million. The effective tax rate of (2.5)% was more favorable than the statutory rate, inclusive of state income taxes, of 26.1%, primarily due to a discrete tax benefit for share-based compensation awards that vested during the quarter.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2023, our effective tax rate was 15.3% as we recognized income tax expense of $2.4 million on income of $15.8 million. The effective tax rate of 15.3% was more favorable than the statutory rate, inclusive of state income taxes, of 26.6%, primarily due to a discrete tax benefit for share-based compensation awards that vested during the quarter and a tax benefit related to non-taxable gains on our investments used to fund our deferred compensation liability. These favorable items were partially offset by certain nondeductible expense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Commitments, Contingencies and Guarantees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$0.6 million and $0.5 million were outstanding at March 31, 2024 and December 31, 2023, respectively, to support certain office lease obligations.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March 31, 2024 and December 31, 2023, the total estimated fair value of our outstanding contingent consideration liability was $2.6 million and $2.1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Our chief operating decision maker, who is our chief executive officer, manages the business under three operating segments, which are our reportable segments: Healthcare, Education, and Commercial.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accounting, operations and philanthropy functions, organization and talent strategy, and student and academic strategy.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 Our chief operating decision maker does not evaluate segments using asset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information about our operating segments for the three months ended March 31, 2024 and 2023, along with the items necessary to reconcile the segment information to the totals reported in the accompanying consolidated financial statements.</w:t>
      </w:r>
    </w:p>
    <w:tbl>
      <w:tblPr>
        <w:tblW w:w="8301" w:type="dxa"/>
        <w:jc w:val="left"/>
        <w:tblInd w:w="0" w:type="dxa"/>
        <w:tblLayout w:type="fixed"/>
        <w:tblCellMar>
          <w:top w:w="28" w:type="dxa"/>
          <w:left w:w="28" w:type="dxa"/>
          <w:bottom w:w="28" w:type="dxa"/>
          <w:right w:w="28" w:type="dxa"/>
        </w:tblCellMar>
      </w:tblPr>
      <w:tblGrid>
        <w:gridCol w:w="1730"/>
        <w:gridCol w:w="1525"/>
        <w:gridCol w:w="1529"/>
        <w:gridCol w:w="109"/>
        <w:gridCol w:w="109"/>
        <w:gridCol w:w="137"/>
        <w:gridCol w:w="137"/>
        <w:gridCol w:w="247"/>
        <w:gridCol w:w="929"/>
        <w:gridCol w:w="304"/>
        <w:gridCol w:w="109"/>
        <w:gridCol w:w="109"/>
        <w:gridCol w:w="109"/>
        <w:gridCol w:w="196"/>
        <w:gridCol w:w="736"/>
        <w:gridCol w:w="286"/>
      </w:tblGrid>
      <w:tr>
        <w:trPr/>
        <w:tc>
          <w:tcPr>
            <w:tcW w:w="173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363,385 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326,385 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52,507 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19,921 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17,560 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15,847 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(Unaudited)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illustrates the disaggregation of revenues by our two principal capabilities: i) Consulting and Managed Services and ii) Digital, and includes a reconciliation of the disaggregated revenues to revenues from our three operating segments for the three months ended March 31, 2024 and 2023.</w:t>
      </w:r>
    </w:p>
    <w:tbl>
      <w:tblPr>
        <w:tblW w:w="6263" w:type="dxa"/>
        <w:jc w:val="left"/>
        <w:tblInd w:w="0" w:type="dxa"/>
        <w:tblLayout w:type="fixed"/>
        <w:tblCellMar>
          <w:top w:w="28" w:type="dxa"/>
          <w:left w:w="28" w:type="dxa"/>
          <w:bottom w:w="28" w:type="dxa"/>
          <w:right w:w="28" w:type="dxa"/>
        </w:tblCellMar>
      </w:tblPr>
      <w:tblGrid>
        <w:gridCol w:w="925"/>
        <w:gridCol w:w="810"/>
        <w:gridCol w:w="815"/>
        <w:gridCol w:w="109"/>
        <w:gridCol w:w="109"/>
        <w:gridCol w:w="109"/>
        <w:gridCol w:w="109"/>
        <w:gridCol w:w="109"/>
        <w:gridCol w:w="152"/>
        <w:gridCol w:w="152"/>
        <w:gridCol w:w="273"/>
        <w:gridCol w:w="1026"/>
        <w:gridCol w:w="152"/>
        <w:gridCol w:w="109"/>
        <w:gridCol w:w="109"/>
        <w:gridCol w:w="109"/>
        <w:gridCol w:w="196"/>
        <w:gridCol w:w="736"/>
        <w:gridCol w:w="154"/>
      </w:tblGrid>
      <w:tr>
        <w:trPr/>
        <w:tc>
          <w:tcPr>
            <w:tcW w:w="92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25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124,211 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56,531 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55,109 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56,474 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41,397 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4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201,559 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154,402 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2024 and 2023, substantially all of our revenues were recognized over time. During the three months ended March 31, 2024 and 2023, no single client generated greater than 10% of our consolidated revenues. At March 31, 2024, one client in our Healthcare segment accounted for 11.9% of our combined receivable from clients, net and unbilled services, net balance as a result of outstanding invoices due in the normal course of the contract payment terms. At December 31, 2023, no single client accounted for greater than 10% of our combined balance of receivables from clients, net and unbilled services,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rFonts w:ascii="Arial Narrow;sans-serif" w:hAnsi="Arial Narrow;sans-serif"/>
          <w:b w:val="false"/>
          <w:i/>
          <w:color w:val="000000"/>
          <w:sz w:val="20"/>
        </w:rPr>
      </w:pPr>
      <w:r>
        <w:rPr>
          <w:rFonts w:ascii="Arial Narrow;sans-serif" w:hAnsi="Arial Narrow;sans-serif"/>
          <w:b w:val="false"/>
          <w:i/>
          <w:color w:val="000000"/>
          <w:sz w:val="20"/>
        </w:rPr>
        <w:t>In this Quarterly Report on Form 10-Q,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Statements in this Quarterly Report on Form 10-Q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our current expectations about our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our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in market conditions. These forward-looking statements involve known and unknown risks, uncertainties, and other factors, including, among others, those described under Item 1A. “Risk Factors,” in our Annual Report on Form 10-K for the year ended December 31, 2023 that may cause actual results, levels of activity, performance or achievements to be materially different from any anticipated results, levels of activity, performance, or achievements expressed or implied by these forward-looking statements. We disclaim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develop growth strategies, optimize operations and accelerate digital transformation, including using an enterprise portfolio of technology, data and analytics solutions, to empower clients to own their future. By collaborating with clients,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Accelerating Growth in Healthcare and Education: </w:t>
      </w:r>
      <w:r>
        <w:rPr>
          <w:rFonts w:ascii="Arial Narrow;sans-serif" w:hAnsi="Arial Narrow;sans-serif"/>
          <w:b w:val="false"/>
          <w:color w:val="000000"/>
          <w:sz w:val="20"/>
        </w:rPr>
        <w:t>Huron has leading market positions in healthcare and education, providing comprehensive offerings to the largest health systems, academic medical centers, colleges and universities, and research institutes in the United States.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Presence in Commercial Industries: </w:t>
      </w:r>
      <w:r>
        <w:rPr>
          <w:rFonts w:ascii="Arial Narrow;sans-serif" w:hAnsi="Arial Narrow;sans-serif"/>
          <w:b w:val="false"/>
          <w:color w:val="000000"/>
          <w:sz w:val="20"/>
        </w:rPr>
        <w:t>Huron’s commercial industry focus has increased the diversification of the Company’s portfolio and end markets while expanding the range of capabilities it can deliver to clients, providing new avenues for growth and an important balance to its healthcare and education focus.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Rapidly Growing Global Digital Capability:</w:t>
      </w:r>
      <w:r>
        <w:rPr>
          <w:color w:val="000000"/>
        </w:rPr>
        <w:t xml:space="preserve"> </w:t>
      </w:r>
      <w:r>
        <w:rPr>
          <w:rFonts w:ascii="Arial Narrow;sans-serif" w:hAnsi="Arial Narrow;sans-serif"/>
          <w:b w:val="false"/>
          <w:color w:val="000000"/>
          <w:sz w:val="20"/>
        </w:rPr>
        <w:t>Huron’s ability to provide a broad portfolio of digital offerings that support the strategic and operational needs of its clients is at the foundation of the Company’s strategy. Huron will continue to advance its integrated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w:t>
      </w:r>
      <w:r>
        <w:rPr>
          <w:rFonts w:ascii="Arial Narrow;sans-serif" w:hAnsi="Arial Narrow;sans-serif"/>
          <w:b w:val="false"/>
          <w:color w:val="000000"/>
          <w:sz w:val="20"/>
        </w:rPr>
        <w:t>The Company is well-positioned to achieve consistent margin expansion as well as strong annual adjusted diluted earnings per share growth. We are committed to operating income margin expansion by growing the areas of the business that provide the most attractive returns, improving the operational efficiency of our delivery for clients, and scaling our selling, general, and administrative expenses as we grow.</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Strong free cash flows have and will continue to be a hallmark of Huron’s financial strength and business model. The Company is committed to deploying capital in a strategic and balanced way, including returning capital to shareholders and executing strategic, tuck-in acquisitions.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our services and products and manage our business under three operating segments: Healthcare, Education, and Commercial. The Commercial segment includes all industries outside of healthcare and education, including, but not limited to, financial services and energy and utilities. We also provide revenue reporting across two principal capabilities: i) Consulting and Managed Services and ii) Digital, which are methods by which we deliver our services and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services and products include financial and operational performance improvement consulting, which spans revenue cycle, cost and care delivery transformation; digital offerings, spanning technology and analytic-related services, including enterprise health record (“EHR”), enterprise resource planning (“ERP”) and enterprise performance management (“EPM”), customer relationship management (“CRM”), data management and technology managed services, and a portfolio of software products; organizational transformation; revenue cycle managed services and outsourcing; financial and capital advisory consulting; and strategy and innovation consulting.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best serve our clients, we continue to diversify our portfolio of offerings. For example, we have broadened our capabilities beyond our leading profit and loss-focused offerings (e.g., revenue cycle, cost transformation) into offerings dedicated to optimizing our clients' financial positions through financial advisory and transaction-related services; transforming care delivery models through virtual health, health equity and social determinants of health models; and evolving organizations by supporting change management and developing the next generation of leaders by applying our best practices (e.g., revenue cycle leadership).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and other education-related organizations. Our education and research-focused services and products include our digital offerings, spanning technology and analytic-related services, including student information systems, ERP and EPM, CRM, data management and technology managed services and our Huron Research Suite product suite (the leading software suite designed to facilitate and improve research administration service delivery and compliance); our research-focused consulting and managed services; and our strategy and operations consulting services, which span finance, accounting, operations and philanthropy functions, organization and talent strategy, and student and academic strategy. We continue to broaden our offerings into new areas. Most recently, we expanded our research managed services, advancement, campus health and well-being, and athletics offerings.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six primary buyers: the chief executive officer, the chief financial officer, the chief strategy officer, the chief human resources officer, the chief operating officer, and organizational advisors, including lenders and law firms. We have a deep focus on serving organizations in the financial services, energy and utilities, industrials and manufacturing industries and the public sector while opportunistically serving commercial industries more broadly, including professional and business services, life sciences, consumer products, and nonprofit. Our Commercial professionals use their deep industry, functional and technical expertise to deliver our digital services and software products, financial advisory (special situation advisory and corporate finance advisory) services, and strategy and innovation consulting services.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data-driven solutions powered by our Digital capability to support long-term relationships with our clients and drive lasting impact. Examples include the areas of revenue cycle management and research administration managed services and outsourcing at our healthcare and education and research-focused clients, where our projects are often coupled with our digital services and product offerings and management consulting services to sustain improved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Digital capabilities represent our technology and analytics services, including technology-related managed services and software products delivered across industries. Our Digital experts help clients address a variety of business challenges, including, but not limited to, designing and implementing technologies to accelerate transformation, facilitate data-driven decision making and improve customer and employee experiences. We have invested organically and inorganically to expand our Digital offerings, which now span beyond traditional ERP implementations into a broader set of administrative systems, industry-specific systems of record and systems of engagement that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the “digital front door” to an organization. We also have grown our data, analytics and automation offerings to deliver a unified and actionable technology ecosystem for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We are a Leading Modern Oracle Network Partner; a Summit-level consulting partner with Salesforce.com and a Premium Partner with Salesforce.org; a Workday Services, Preferred Channel, Extend, and Application Management Services Partner; an Amazon Web Services consulting partner; an Informatica Platinum Partner; an SAP Concur implementation partner; and a Boomi Elite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2023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from providing professional services and software products under the following four types of billing arrangements: fixed-fee (including software license revenue);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 (including software license revenue):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Fixed-fee arrangements also include software licenses for our revenue cycle management software and research administration and compliance software.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Performance-based: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 xml:space="preserve">Software support, maintenance and subscriptions: </w:t>
      </w:r>
      <w:r>
        <w:rPr>
          <w:rFonts w:ascii="Arial Narrow;sans-serif" w:hAnsi="Arial Narrow;sans-serif"/>
          <w:b w:val="false"/>
          <w:color w:val="000000"/>
          <w:sz w:val="20"/>
        </w:rPr>
        <w:t>Clients that have purchased one of our software licenses can pay an annual fee for software support and maintenance. We also generate subscription revenue from our cloud-based analytic tools and solutions. Software support, maintenance and subscription revenues are recognized ratably over the support or subscription period. These fees are generally billed in advance and included in deferred revenues until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Time-and-expense engagements do not provide us with a high degree of predictability as to performance in future periods. Unexpected changes in the demand for our services can result in significant variations in utilization and revenues and present a challenge to optimal 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Operating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consist primarily of compensation costs for our support personnel. Also included in selling, general and administrative expenses are third-party professional fees, software licenses and data hosting expenses, rent and other office related expenses, sales and marketing related expenses, recruiting and training expenses, and practice administration and meetings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operating expenses include restructuring charges, depreciation expense, amortization expense related to internally developed software costs and amortization of intangible assets acquired in business combinations.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Other operating expenses not allocated at the segment level include corporate costs related to administrative functions that are performed in a centralized manner that are not attributable to a particular segment. These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to permit comparability with periods that are not impacted by these items.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To permit comparability with prior periods, we exclude the impact of third-party advisory, legal, and accounting fees and other corporate costs incurred directly related to the evaluation and/or consummation of business acquisitions.</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ERP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and our Healthcare managed services employees who provide revenue cycle billing, collections, insurance verification and change integrity services to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first quarter of 2024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Total revenues increased 12.0% to $356.0 million for the first quarter of 2024 from $317.9 million for the first quarter of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 the first three months of 2024, Healthcare segment revenues increased 21.3% compared to the first three months of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Diluted EPS increased 39.7% to $0.95 for the first quarter of 2024, compared to $0.68 for the first quarter of 2023.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Adjusted diluted EPS increased 41.4% to $1.23 for the first quarter of 2024, compared to $0.87 for the first quarter of 2023.</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Returned $62.3 million to shareholders in the first three months of 2024 by repurchasing 624,698 shares of our common stock.</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On March 1, 2024, we completed the acquisition of GG+A, a philanthropic management consulting firm that helps education institutions and other nonprofit organizations build and accelerate the philanthropic programs that support their mission.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increased $38.1 million, or 12.0%, to $356.0 million for the first quarter of 2024 from $317.9 million for the first quarter of 2023. The increase in revenues was driven by continued strength in demand for Healthcare's Consulting and Managed Services and Digital capabilities, as well as an increase in demand for Education's Digital capability. These increases in revenues reflect our focus on accelerating growth in our healthcare and education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our Consulting and Managed Services capability, revenues for the first quarter of 2024 increased 13.8%, compared to the first quarter of 2023, and reflected strengthened demand in our Healthcare and Education segments. The utilization rate within our Consulting capability decreased to 70.2% in the first quarter of 2024, compared to 76.3% in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within our Digital capability increased 9.7% in the first quarter of 2024, compared to the first quarter of 2023, and reflected strengthened demand in our Healthcare and Education and segments. The utilization rate within our Digital capability increased to 74.3% in the first quarter of 2024, compared to 71.0% in the first quarter of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total number of revenue-generating professionals increased 15.8% to 5,803 as of March 31, 2024, compared to 5,013 as of March 31, 2023, as a result of hiring to support the overall increase in demand for our services, and includes approximately 70 hires as a result of our acquisition of GG+A.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$4.6 million, or 34.2%, to $18.0 million for the three months ended March 31, 2024 from $13.4 million for the same period last year. As a result of the increase in net income, diluted earnings per share for the first quarter of 2024 increased 39.7% to $0.95, compared to $0.68 for the first quarter of 2023. Adjusted diluted earnings per share increased 41.4% to $1.23 for the first quarter of 2024, compared to $0.87 for the first quarter of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three months of 2024, we deployed $62.3 million of capital to repurchase 624,698 shares of our common stock, representing 3.4% of our common stock outstanding as of December 31,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2024, we completed the acquisition of GG+A, a philanthropic management consulting firm that helps education institutions and other nonprofit organizations build and accelerate the philanthropic programs that support their 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sets forth, for the periods indicated, selected segment and consolidated operating results and other operating data, including non-GAAP measures.</w:t>
      </w:r>
    </w:p>
    <w:tbl>
      <w:tblPr>
        <w:tblW w:w="8629" w:type="dxa"/>
        <w:jc w:val="left"/>
        <w:tblInd w:w="0" w:type="dxa"/>
        <w:tblLayout w:type="fixed"/>
        <w:tblCellMar>
          <w:top w:w="28" w:type="dxa"/>
          <w:left w:w="28" w:type="dxa"/>
          <w:bottom w:w="28" w:type="dxa"/>
          <w:right w:w="28" w:type="dxa"/>
        </w:tblCellMar>
      </w:tblPr>
      <w:tblGrid>
        <w:gridCol w:w="1735"/>
        <w:gridCol w:w="1521"/>
        <w:gridCol w:w="1529"/>
        <w:gridCol w:w="109"/>
        <w:gridCol w:w="109"/>
        <w:gridCol w:w="109"/>
        <w:gridCol w:w="109"/>
        <w:gridCol w:w="109"/>
        <w:gridCol w:w="137"/>
        <w:gridCol w:w="137"/>
        <w:gridCol w:w="247"/>
        <w:gridCol w:w="929"/>
        <w:gridCol w:w="304"/>
        <w:gridCol w:w="109"/>
        <w:gridCol w:w="109"/>
        <w:gridCol w:w="109"/>
        <w:gridCol w:w="196"/>
        <w:gridCol w:w="736"/>
        <w:gridCol w:w="286"/>
      </w:tblGrid>
      <w:tr>
        <w:trPr/>
        <w:tc>
          <w:tcPr>
            <w:tcW w:w="1735"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785"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4785"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7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7,424 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8,490 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and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363,385 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326,385 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52,507 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19,921 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18,431 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(2,361)</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17,560 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858" w:type="dxa"/>
        <w:jc w:val="left"/>
        <w:tblInd w:w="0" w:type="dxa"/>
        <w:tblLayout w:type="fixed"/>
        <w:tblCellMar>
          <w:top w:w="28" w:type="dxa"/>
          <w:left w:w="28" w:type="dxa"/>
          <w:bottom w:w="28" w:type="dxa"/>
          <w:right w:w="28" w:type="dxa"/>
        </w:tblCellMar>
      </w:tblPr>
      <w:tblGrid>
        <w:gridCol w:w="2180"/>
        <w:gridCol w:w="1911"/>
        <w:gridCol w:w="1923"/>
        <w:gridCol w:w="109"/>
        <w:gridCol w:w="109"/>
        <w:gridCol w:w="109"/>
        <w:gridCol w:w="109"/>
        <w:gridCol w:w="109"/>
        <w:gridCol w:w="137"/>
        <w:gridCol w:w="137"/>
        <w:gridCol w:w="247"/>
        <w:gridCol w:w="929"/>
        <w:gridCol w:w="304"/>
        <w:gridCol w:w="109"/>
        <w:gridCol w:w="109"/>
        <w:gridCol w:w="109"/>
        <w:gridCol w:w="196"/>
        <w:gridCol w:w="736"/>
        <w:gridCol w:w="286"/>
      </w:tblGrid>
      <w:tr>
        <w:trPr/>
        <w:tc>
          <w:tcPr>
            <w:tcW w:w="2180"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601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601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Number of revenue-generating professionals by segment (at period end)</w:t>
            </w:r>
            <w:r>
              <w:rPr>
                <w:rFonts w:ascii="Arial Narrow;sans-serif" w:hAnsi="Arial Narrow;sans-serif"/>
                <w:b/>
                <w:color w:val="000000"/>
                <w:sz w:val="13"/>
              </w:rPr>
              <w:t>(1)</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Commercial </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2,293 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201,559 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177,194 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154,402 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140,701 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Consulting and Managed Services </w:t>
            </w:r>
            <w:r>
              <w:rPr>
                <w:rFonts w:ascii="Arial Narrow;sans-serif" w:hAnsi="Arial Narrow;sans-serif"/>
                <w:b w:val="false"/>
                <w:color w:val="000000"/>
                <w:sz w:val="13"/>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2,360 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2,653 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5,803 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 xml:space="preserve">Utilization rate by capability </w:t>
            </w:r>
            <w:r>
              <w:rPr>
                <w:rFonts w:ascii="Arial Narrow;sans-serif" w:hAnsi="Arial Narrow;sans-serif"/>
                <w:b/>
                <w:color w:val="000000"/>
                <w:sz w:val="13"/>
              </w:rPr>
              <w:t>(6)</w:t>
            </w:r>
            <w:r>
              <w:rPr>
                <w:rFonts w:ascii="Arial Narrow;sans-serif" w:hAnsi="Arial Narrow;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70.2 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tbl>
      <w:tblPr>
        <w:tblW w:w="213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5" w:type="dxa"/>
            <w:gridSpan w:val="10"/>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(1)During the first quarter of 2024, we reclassified certain revenue-generating professionals within our Digital capability from our Healthcare and Education segments to our Commercial segment as these professionals are able to provide services across all of our industries. This reclassification did not impact the total Digital capability headcount for any period. The prior period headcount has been revised for consistent presentation.</w:t>
      </w:r>
    </w:p>
    <w:p>
      <w:pPr>
        <w:pStyle w:val="TextBody"/>
        <w:bidi w:val="0"/>
        <w:spacing w:lineRule="auto" w:line="288" w:before="0" w:after="0"/>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(2)The majority of our revenue-generating professionals within our Commercial segment can provide services across all of our industries, including healthcare and education, and the related costs of these professionals are allocated to each of the segments.</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(3)During the first quarter of 2024, we reclassified one of the offerings within Education's Consulting capability to Education's Managed Services capability. Revenues generated by this offering during the quarters ended March 31, 2023, June 30, 2023, September 30, 2023, and December 31, 2023 were $2.8 million, $2.2 million, $2.4 million, and $2.7 million, respectively, and during the years ended December 31, 2022 and 2023 were $15.0 million and $10.1 million, respectively. The number of revenue-generating professionals within this offering as of December 31, 2022, March 31, 2023, June 30, 2023, September 30, 2023 and December 31, 2023 were 54, 24, 24, 24 and 23,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This reclassification did not impact the aggregate revenues or headcount reported for the Education Consulting and Managed Services capability for any period, and the prior period Education Managed Services capability revenues and headcount in the following footnotes have been revised for consistent presentation. </w:t>
      </w:r>
    </w:p>
    <w:p>
      <w:pPr>
        <w:pStyle w:val="TextBody"/>
        <w:bidi w:val="0"/>
        <w:spacing w:lineRule="auto" w:line="288" w:before="60" w:after="283"/>
        <w:ind w:left="0" w:right="0" w:hanging="630"/>
        <w:jc w:val="left"/>
        <w:rPr/>
      </w:pPr>
      <w:r>
        <w:rPr>
          <w:rFonts w:ascii="Arial Narrow;sans-serif" w:hAnsi="Arial Narrow;sans-serif"/>
          <w:b w:val="false"/>
          <w:color w:val="000000"/>
          <w:sz w:val="18"/>
        </w:rPr>
        <w:t>(4)</w:t>
      </w:r>
      <w:r>
        <w:rPr>
          <w:rFonts w:ascii="Arial Narrow;sans-serif" w:hAnsi="Arial Narrow;sans-serif"/>
          <w:b w:val="false"/>
          <w:color w:val="000000"/>
          <w:sz w:val="20"/>
        </w:rPr>
        <w:t xml:space="preserve">Managed Services capability revenues within our Healthcare segment was $17.5 million and $19.8 million for the three months ended March 31, 2024 and 2023, respectively.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Managed Services capability revenues within our Education segment was $7.4 million for both the three months ended March 31, 2024 and 2023.</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(5)The number of Managed Services revenue-generating professionals within our Healthcare segment was 1,087 and 726 as of March 31, 2024 and 2023,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revenue-generating professionals within our Education segment was 132 and 125 as of March 31, 2024 and 2023, respectively.</w:t>
      </w:r>
    </w:p>
    <w:p>
      <w:pPr>
        <w:pStyle w:val="TextBody"/>
        <w:bidi w:val="0"/>
        <w:spacing w:lineRule="auto" w:line="288" w:before="60" w:after="283"/>
        <w:ind w:left="0" w:right="0" w:hanging="630"/>
        <w:jc w:val="left"/>
        <w:rPr>
          <w:rFonts w:ascii="Arial Narrow;sans-serif" w:hAnsi="Arial Narrow;sans-serif"/>
          <w:b w:val="false"/>
          <w:color w:val="000000"/>
          <w:sz w:val="20"/>
        </w:rPr>
      </w:pPr>
      <w:r>
        <w:rPr>
          <w:rFonts w:ascii="Arial Narrow;sans-serif" w:hAnsi="Arial Narrow;sans-serif"/>
          <w:b w:val="false"/>
          <w:color w:val="000000"/>
          <w:sz w:val="20"/>
        </w:rPr>
        <w:t>(6)Utilization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7281" w:type="dxa"/>
        <w:jc w:val="left"/>
        <w:tblInd w:w="0" w:type="dxa"/>
        <w:tblLayout w:type="fixed"/>
        <w:tblCellMar>
          <w:top w:w="28" w:type="dxa"/>
          <w:left w:w="28" w:type="dxa"/>
          <w:bottom w:w="28" w:type="dxa"/>
          <w:right w:w="28" w:type="dxa"/>
        </w:tblCellMar>
      </w:tblPr>
      <w:tblGrid>
        <w:gridCol w:w="1362"/>
        <w:gridCol w:w="1199"/>
        <w:gridCol w:w="1203"/>
        <w:gridCol w:w="109"/>
        <w:gridCol w:w="109"/>
        <w:gridCol w:w="137"/>
        <w:gridCol w:w="137"/>
        <w:gridCol w:w="247"/>
        <w:gridCol w:w="929"/>
        <w:gridCol w:w="304"/>
        <w:gridCol w:w="109"/>
        <w:gridCol w:w="109"/>
        <w:gridCol w:w="109"/>
        <w:gridCol w:w="196"/>
        <w:gridCol w:w="736"/>
        <w:gridCol w:w="286"/>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545" w:type="dxa"/>
            <w:gridSpan w:val="6"/>
            <w:tcBorders/>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4,303 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28,881 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26,703 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33,818 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29,502 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 as a percentage of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9.5 </w:t>
            </w:r>
          </w:p>
        </w:tc>
        <w:tc>
          <w:tcPr>
            <w:tcW w:w="3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9.3 </w:t>
            </w:r>
          </w:p>
        </w:tc>
        <w:tc>
          <w:tcPr>
            <w:tcW w:w="28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6834" w:type="dxa"/>
        <w:jc w:val="center"/>
        <w:tblInd w:w="0" w:type="dxa"/>
        <w:tblLayout w:type="fixed"/>
        <w:tblCellMar>
          <w:top w:w="28" w:type="dxa"/>
          <w:left w:w="28" w:type="dxa"/>
          <w:bottom w:w="28" w:type="dxa"/>
          <w:right w:w="28" w:type="dxa"/>
        </w:tblCellMar>
      </w:tblPr>
      <w:tblGrid>
        <w:gridCol w:w="1280"/>
        <w:gridCol w:w="1128"/>
        <w:gridCol w:w="1132"/>
        <w:gridCol w:w="109"/>
        <w:gridCol w:w="109"/>
        <w:gridCol w:w="163"/>
        <w:gridCol w:w="163"/>
        <w:gridCol w:w="294"/>
        <w:gridCol w:w="970"/>
        <w:gridCol w:w="163"/>
        <w:gridCol w:w="109"/>
        <w:gridCol w:w="109"/>
        <w:gridCol w:w="109"/>
        <w:gridCol w:w="196"/>
        <w:gridCol w:w="64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1323" w:type="dxa"/>
            <w:gridSpan w:val="6"/>
            <w:tcBorders/>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18,006 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18,943 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(1,844)</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26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18,943 </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19,699 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9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7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16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Three Months Ended March 31, 2024 Compared to Three Months Ended March 31,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by segment and capability for the three months ended March 31, 2024 and 2023 were as follows:</w:t>
      </w:r>
    </w:p>
    <w:tbl>
      <w:tblPr>
        <w:tblW w:w="7643" w:type="dxa"/>
        <w:jc w:val="left"/>
        <w:tblInd w:w="0" w:type="dxa"/>
        <w:tblLayout w:type="fixed"/>
        <w:tblCellMar>
          <w:top w:w="28" w:type="dxa"/>
          <w:left w:w="28" w:type="dxa"/>
          <w:bottom w:w="28" w:type="dxa"/>
          <w:right w:w="28" w:type="dxa"/>
        </w:tblCellMar>
      </w:tblPr>
      <w:tblGrid>
        <w:gridCol w:w="922"/>
        <w:gridCol w:w="812"/>
        <w:gridCol w:w="815"/>
        <w:gridCol w:w="109"/>
        <w:gridCol w:w="109"/>
        <w:gridCol w:w="109"/>
        <w:gridCol w:w="196"/>
        <w:gridCol w:w="736"/>
        <w:gridCol w:w="109"/>
        <w:gridCol w:w="109"/>
        <w:gridCol w:w="109"/>
        <w:gridCol w:w="109"/>
        <w:gridCol w:w="196"/>
        <w:gridCol w:w="736"/>
        <w:gridCol w:w="109"/>
        <w:gridCol w:w="109"/>
        <w:gridCol w:w="109"/>
        <w:gridCol w:w="109"/>
        <w:gridCol w:w="196"/>
        <w:gridCol w:w="647"/>
        <w:gridCol w:w="109"/>
        <w:gridCol w:w="109"/>
        <w:gridCol w:w="109"/>
        <w:gridCol w:w="109"/>
        <w:gridCol w:w="233"/>
        <w:gridCol w:w="233"/>
        <w:gridCol w:w="286"/>
      </w:tblGrid>
      <w:tr>
        <w:trPr/>
        <w:tc>
          <w:tcPr>
            <w:tcW w:w="9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25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25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180,742 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355,961 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317,895 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38,066 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increased $38.1 million, or 12.0%, to $356.0 million for the first quarter of 2024 from $317.9 million for the first quarter of 2023. The increase in revenues was driven by continued strength in demand for Healthcare's Consulting and Managed Services and Digital capabilities, as well as an increase in demand for Education's Digital capability. These increases in revenues reflect our focus on accelerating growth in our healthcare and education industries. Additional information on our revenues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revenues increased $31.7 million, or 21.3%, driven by strengthened demand for our performance improvement, strategy and innovation, and financial advisory solutions within our Consulting and Managed Services capability, as well as strengthened demand for our technology and analytics services within our Digital capability. These increases in demand were partially offset by a decrease in demand for our revenue cycle managed services solution within our Consulting and Managed Services capability. Revenues in the first quarter of 2024 included $0.2 million of incremental revenues from our acquisition of Roundtable Analytics, Inc, which was completed in September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Healthcare segment grew 28.0% to 2,279 as of March 31, 2024, compared to 1,780 as of March 31, 2023.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 xml:space="preserve">revenues increased $7.4 million, or 7.1%, driven by an increase in demand for our technology and analytics services and software products within our Digital capability, as well as $1.3 million of incremental revenues from our acquisition of GG+A completed in March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number of revenue-generating professionals within our Education segment grew 15.2% to 1,231 as of March 31, 2024, compared to 1,069 as of March 31, 2023, which includes approximately 70 hires from our acquisition of GG+A. </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 xml:space="preserve">revenues decreased $1.1 million, or 1.6%, primarily due to decreases in demand for our strategy and innovation solution within our Consulting and Managed Services capability and our technology and analytics services within our Digital capability. These decreases were partially offset by an increase in demand for our financial advisory solutions within our Consulting and Managed Services capability.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grew 6.0% to 2,293 as of March 31, 2024, compared to 2,164 as of March 31,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first quarter of 2024 increased $35.5 million, or 11.5%, over the first quarter of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were as follows:</w:t>
      </w:r>
    </w:p>
    <w:tbl>
      <w:tblPr>
        <w:tblW w:w="10205" w:type="dxa"/>
        <w:jc w:val="left"/>
        <w:tblInd w:w="0" w:type="dxa"/>
        <w:tblLayout w:type="fixed"/>
        <w:tblCellMar>
          <w:top w:w="28" w:type="dxa"/>
          <w:left w:w="28" w:type="dxa"/>
          <w:bottom w:w="28" w:type="dxa"/>
          <w:right w:w="28" w:type="dxa"/>
        </w:tblCellMar>
      </w:tblPr>
      <w:tblGrid>
        <w:gridCol w:w="1499"/>
        <w:gridCol w:w="1280"/>
        <w:gridCol w:w="1284"/>
        <w:gridCol w:w="109"/>
        <w:gridCol w:w="109"/>
        <w:gridCol w:w="109"/>
        <w:gridCol w:w="196"/>
        <w:gridCol w:w="736"/>
        <w:gridCol w:w="109"/>
        <w:gridCol w:w="109"/>
        <w:gridCol w:w="109"/>
        <w:gridCol w:w="109"/>
        <w:gridCol w:w="163"/>
        <w:gridCol w:w="163"/>
        <w:gridCol w:w="165"/>
        <w:gridCol w:w="109"/>
        <w:gridCol w:w="109"/>
        <w:gridCol w:w="109"/>
        <w:gridCol w:w="196"/>
        <w:gridCol w:w="736"/>
        <w:gridCol w:w="109"/>
        <w:gridCol w:w="109"/>
        <w:gridCol w:w="109"/>
        <w:gridCol w:w="109"/>
        <w:gridCol w:w="163"/>
        <w:gridCol w:w="163"/>
        <w:gridCol w:w="165"/>
        <w:gridCol w:w="109"/>
        <w:gridCol w:w="109"/>
        <w:gridCol w:w="109"/>
        <w:gridCol w:w="281"/>
        <w:gridCol w:w="931"/>
        <w:gridCol w:w="231"/>
      </w:tblGrid>
      <w:tr>
        <w:trPr/>
        <w:tc>
          <w:tcPr>
            <w:tcW w:w="149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40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24,920 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11,979 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(402)</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343,464 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307,954 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35,510 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$24.9 million, or 10.9%, to $253.3 million for the first quarter of 2024 from $228.4 million for the first quarter of 2023. The $24.9 million increase primarily related to a $23.5 million increase in compensation costs for our revenue-generating professionals as we continue to invest in and grow our talented team to meet increased market demand and a $1.2 million increase in technology costs. The increase in compensation costs is primarily attributable to a $20.4 million increase in salaries and related expenses driven by increased headcount and annual salary increases that went into effect in the first quarter of 2024, a $2.3 million increase in performance bonus expense, and a $1.1 million increase in share-based compensation expense. As a percentage of revenues, direct costs decreased to 71.2% during the first quarter of 2024, compared to 71.9% during the first quarter of 2023. This decrease was primarily due to revenue growth that outpaced the increases in compensation costs for our revenue-generating professionals.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and reimbursable expenses.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$12.0 million, or 19.2%, to $74.3 million in the first quarter of 2024 from $62.3 million in the first quarter of 2023. The $12.0 million increase primarily related to a $8.8 million increase in non-payroll costs, driven by a $3.6 million increase in legal expenses and a $2.5 million increase in practice administration and meetings expenses. The increase in legal expenses is driven by professional fees for a legal matter for which Huron is the plaintiff as well as professional fees for acquisition activity. Additionally, compensation costs for our support personnel increased $3.3 million, driven by a $3.3 million increase in salaries and related expenses and a $1.0 million increase in share-based compensation expense; partially offset by a $1.2 million decrease in performance bonus expense. As a percentage of revenues, selling, general and administrative expenses increased to 20.9% during the first quarter of 2024, compared to 19.6% during the first quarter of 2023. This increase was primarily attributable to increases in legal expenses and practice administration and meetings expenses, as percentages of revenues; partially offset by revenue growth that outpaced the increases in compensation costs for our support personnel.</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Restructuring charges were $2.3 million for both the three months ended March 31, 2024 and 2023. The $2.3 million of restructuring charges recognized in the first quarter of 2024 included $1.0 million of severance-related expenses; $0.8 million related to non-cash lease impairment charges driven by updated sublease assumptions for our previously vacated office spaces; and $0.5 million of rent and related expenses, net of sublease income, for previously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quarter of 2023, we exited our office space in Hillsboro, Oregon which resulted in a $1.9 million non-cash impairment charge on the related fixed assets and right-of-use operating lease asset of that office space. Additionally, in the first quarter of 2023, we recognized $0.4 million of additional restructuring expense for rent and related expenses, net of sublease income, for previously vacated office spaces.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decreased $0.4 million, or 6.3%, to $6.0 million in the first quarter of 2024, compared to $6.4 million in the first quarter of 2023. The $0.4 million decrease in depreciation and amortization expense was primarily attributable to intangible assets acquired in business acquisitions that were fully amortized in prior periods and a decrease in amortization of intangible assets acquired in business acquisitions due to the accelerated basis of amortization in prior periods, partially offset by an an increase in amortization of intangible assets acquired in business acquisitions completed subsequent to the first quarter of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 and Operating Margin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increased $1.5 million, or 8.1%, to $19.9 million in the first quarter of 2024 from $18.4 million in the first quarter of 2023. Operating margin, which is defined as operating income expressed as a percentage of revenues was 5.6% for the three months ended March 31, 2024, compared to 5.8% for the three months ended March 31, 2023. </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is as follows. See the Segment and Consolidated Operating Results table above for a reconciliation of our total segment operating income to consolidated Huron operating income. </w:t>
      </w:r>
    </w:p>
    <w:tbl>
      <w:tblPr>
        <w:tblW w:w="10205" w:type="dxa"/>
        <w:jc w:val="left"/>
        <w:tblInd w:w="0" w:type="dxa"/>
        <w:tblLayout w:type="fixed"/>
        <w:tblCellMar>
          <w:top w:w="28" w:type="dxa"/>
          <w:left w:w="28" w:type="dxa"/>
          <w:bottom w:w="28" w:type="dxa"/>
          <w:right w:w="28" w:type="dxa"/>
        </w:tblCellMar>
      </w:tblPr>
      <w:tblGrid>
        <w:gridCol w:w="1525"/>
        <w:gridCol w:w="1340"/>
        <w:gridCol w:w="1344"/>
        <w:gridCol w:w="109"/>
        <w:gridCol w:w="109"/>
        <w:gridCol w:w="109"/>
        <w:gridCol w:w="196"/>
        <w:gridCol w:w="646"/>
        <w:gridCol w:w="109"/>
        <w:gridCol w:w="109"/>
        <w:gridCol w:w="109"/>
        <w:gridCol w:w="109"/>
        <w:gridCol w:w="165"/>
        <w:gridCol w:w="165"/>
        <w:gridCol w:w="166"/>
        <w:gridCol w:w="109"/>
        <w:gridCol w:w="109"/>
        <w:gridCol w:w="109"/>
        <w:gridCol w:w="196"/>
        <w:gridCol w:w="646"/>
        <w:gridCol w:w="109"/>
        <w:gridCol w:w="109"/>
        <w:gridCol w:w="109"/>
        <w:gridCol w:w="109"/>
        <w:gridCol w:w="165"/>
        <w:gridCol w:w="165"/>
        <w:gridCol w:w="166"/>
        <w:gridCol w:w="109"/>
        <w:gridCol w:w="109"/>
        <w:gridCol w:w="109"/>
        <w:gridCol w:w="285"/>
        <w:gridCol w:w="948"/>
        <w:gridCol w:w="234"/>
      </w:tblGrid>
      <w:tr>
        <w:trPr/>
        <w:tc>
          <w:tcPr>
            <w:tcW w:w="1525"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2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2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10,439 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(1,209)</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segment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69,487 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9,202 </w:t>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operating income increased $10.4 million, or 32.4%, primarily due to the increase in revenues; partially offset by increases in compensation costs for our revenue-generating professionals, practice administration and meetings expenses, and contractor expenses. The increases in compensation costs for our revenue-generating professionals were primarily driven by an increase in headcount, annual salary increases that went into effect in the first quarter of 2024, and increases in performance bonus expense and share-based compensation expense. Healthcare operating margin increased to 23.6% from 21.6% primarily due to the revenue growth that outpaced the increase in compensation costs for our revenue-generating professionals; partially offset by an increase in practice administration and meetings expenses, as a percentage of revenues.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decreased $1.2 million, or 5.2%, primarily due to increases in compensation costs for our revenue-generating professionals and support personnel; partially offset by the increase in revenues and a decrease in contractor expenses. The increase in compensation costs for our revenue-generating professionals and support personnel was primarily driven by an increase in headcount and annual salary increases that went into effect in the first quarter of 2024. Education operating margin decreased to 19.7% from 22.2% primarily driven by an increase in compensation costs for our revenue-generating professionals, as a percentage of revenue; partially offset by the decrease in contractor expenses.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was $14.0 million in the first quarter of 2024 compared to $14.1 million in the first quarter of 2023, as the decrease in revenues was offset by a decrease in compensation costs for our revenue-generating professionals. Commercial operating margin increased to 22.1% from 21.7% primarily due to the decrease in compensation costs for our revenue-generating professionals, as a percentage of revenues.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$0.8 million to $5.1 million in the first quarter of 2024 from $4.3 million in the first quarter of 2023, which was primarily attributable to higher levels of borrowing under our senior secured credit facility and higher interest rates during the first quarter of 2024 compared to the first quarter of 2023. See “Liquidity and Capital Resources” below and Note 7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net increased $1.1 million to $2.8 million in the first quarter of 2024 from $1.7 million in the first quarter of 2023. The increase in other expense, net includes a $0.5 million increase in the gain recognized for the market value of our investments that are used to fund our deferred compensation liability and a $0.5 million increase in foreign currency transaction gains. During the first quarter of 2024 we recognized a $2.3 million gain for the market value of our deferred compensation investments compared to a $1.8 million gain recognized in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2024, our effective tax rate was (2.5)% as we recognized an income tax benefit of $0.4 million on income of $17.6 million. The effective tax rate of (2.5)% was more favorable than the statutory rate, inclusive of state income taxes, of 26.1%, primarily due to a discrete tax benefit for share-based compensation awards that vested during the quarter.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three months ended March 31, 2023, our effective tax rate was 15.3% as we recognized income tax expense of $2.4 million on income of $15.8 million. The effective tax rate of 15.3% was more favorable than the statutory rate, inclusive of state income taxes, of 26.6%, primarily due to a discrete tax benefit for share-based compensation awards that vested during the quarter and a tax benefit related to non-taxable gains on our investments used to fund our deferred compensation liability. These favorable items were partially offset by certain nondeductible expense items.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increased $4.6 million, or 34.2%, to $18.0 million for the three months ended March 31, 2024 from $13.4 million for the same period last year. As a result of the increase in net income, diluted earnings per share for the first quarter of 2024 was $0.95 compared to $0.68 for the first quarter of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EBITDA increased $2.2 million to $28.9 million for the first quarter of 2024 from $26.7 million for the first quarter of 2023. The increase in EBITDA was primarily attributable to the increase in segment operating income, partially offset by the increase in corporate expenses, excluding the impact of the change in the market value of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Adjusted EBITDA increased $4.3 million to $33.8 million in the first quarter of 2024 from $29.5 million in the first quarter of 2023. The increase in adjusted EBITDA was primarily attributable to the increase in segment operating income, excluding the impact of segment restructuring charges; partially offset by the increase in corporate expenses, excluding the impacts of the corporate restructuring charges, transaction-related expenses and the change in the market value of our deferred compensation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net income increased $6.2 million, or 36.3%, to $23.3 million in the first quarter of 2024, compared to $17.1 million in the first quarter of 2023. As a result of the increase in adjusted net income, adjusted diluted earnings per share was $1.23 for the first quarter of 2024, compared to $0.87 for the first quarter of 2023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Cash and cash equivalents were $18.6 million and $12.1 million at March 31, 2024 and December 31, 2023, respectively. As of March 31, 2024, our primary sources of liquidity are cash on hand, cash flows from our U.S. operations, and borrowing capacity available under our credit facility.</w:t>
      </w:r>
    </w:p>
    <w:tbl>
      <w:tblPr>
        <w:tblW w:w="5931" w:type="dxa"/>
        <w:jc w:val="center"/>
        <w:tblInd w:w="0" w:type="dxa"/>
        <w:tblLayout w:type="fixed"/>
        <w:tblCellMar>
          <w:top w:w="28" w:type="dxa"/>
          <w:left w:w="28" w:type="dxa"/>
          <w:bottom w:w="28" w:type="dxa"/>
          <w:right w:w="28" w:type="dxa"/>
        </w:tblCellMar>
      </w:tblPr>
      <w:tblGrid>
        <w:gridCol w:w="1118"/>
        <w:gridCol w:w="985"/>
        <w:gridCol w:w="987"/>
        <w:gridCol w:w="109"/>
        <w:gridCol w:w="109"/>
        <w:gridCol w:w="109"/>
        <w:gridCol w:w="196"/>
        <w:gridCol w:w="811"/>
        <w:gridCol w:w="109"/>
        <w:gridCol w:w="109"/>
        <w:gridCol w:w="109"/>
        <w:gridCol w:w="109"/>
        <w:gridCol w:w="196"/>
        <w:gridCol w:w="721"/>
        <w:gridCol w:w="154"/>
      </w:tblGrid>
      <w:tr>
        <w:trPr/>
        <w:tc>
          <w:tcPr>
            <w:tcW w:w="111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Three Months Ended</w:t>
              <w:br/>
              <w:t>March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(130,724)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(92,101)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102,449 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operating activities increased by $38.6 million to $130.7 million for the three months ended March 31, 2024 from $92.1 million for the three months ended March 31, 2023. The increase in net cash used in operating activities was primarily related to an increase in the amount paid for annual performance bonuses in the first quarter of 2024 compared to the first quarter of 2023, as well as increases in payments for salaries and related expenses for our revenue-generating professionals and selling, general and administrative expenses; partially offset by an increase in cash collections in the first three months of 2024 compared to the same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 preferred stock investment in a hospital-at-home company, and investments in life insurance policies that are used to fund our deferred compensation liability.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$30.6 million for the three months ended March 31, 2024, which primarily consisted of $21.2 million for the purchase of businesses; $7.6 million for payments related to internally developed software to advance our Healthcare and Education software products; $1.2 million for purchases of property and equipment, primarily related to leasehold improvements for certain office spaces and purchases of computers and related equipment; and $0.8 million for contributions to our life insurance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$10.2 million for the three months ended March 31, 2023, which primarily consisted of $6.6 million for payments related to internally developed software to advance our Healthcare and Education software products; $2.0 million for purchases of property and equipment, primarily related to purchases of computers and related equipment; and $1.8 million for contributions to our life insurance polices.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2024 will total approximately $35 million to $40 million; primarily consisting of software development costs, leasehold improvements and furniture and fixtures for certain office locations, and information technology related equipment to support our corporate infrastructure.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$167.9 million for the three months ended March 31, 2024. During the three months ended March 31, 2024, we borrowed $566.0 million and made repayments on our borrowings of $316.0 million. The borrowings and repayments during the first three months of 2024 include the $275.0 million Term Loan proceeds which were used to repay borrowings under the Revolver. The net borrowings of $250.0 million were primarily used to fund our operations, including our annual performance bonus payments in the first quarter of 2024. Additionally, during the first three months of 2024, we paid $61.0 million for the settlement of share repurchases and we reacquired $20.9 million of common stock as a result of tax withholdings upon vesting of share-based compensation. We also made payments of $1.4 million for debt issuance costs related to the Term Loan. These uses of cash for financing activities were partially offset by $1.2 million of cash received from stock option exercises in the first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financing activities was $102.4 million for the three months ended March 31, 2023. During the three months ended March 31, 2023, we borrowed $201.0 million primarily to fund our operations, including our annual performance bonus payment in the first quarter of 2023, and made repayments on our borrowings of $44.0 million. Additionally, during the first three months of 2023, we paid $45.1 million for the settlement of share repurchases and we reacquired $9.5 million of common stock as a result of tax withholdings upon vesting of share-based compensation.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2021.The share repurchase program has been subsequently extended and increased, most recently in the fourth quarter of 2023. The current authorization extends the share repurchase program through December 31, 2024 with a repurchase amount of $400 million, of which $24.0 million remains available as of March 31, 2024.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At March 31, 2024, we had $574.0 million outstanding under our Amended Credit Agreement, as discussed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$600 million senior secured revolving credit facility (the “Revolver”) and a $275 million senior secured term loan facility (the “Term Loan”), subject to the terms of the Third Amended and Restated Credit Agreement dated as of November 15, 2022 (as amended, the “Amended Credit Agreement”), both of which fully mature on November 15, 2027. The Term Loan was established in February 2024 with the execution of Amendment No. 2 to the Third Amended and Restated Credit Agreement. The Term Loan is subject to scheduled quarterly amortization payments of $3.4 million beginning June 30, 2024 through the maturity date of November 15, 2027, at which time the outstanding principal balance and all accrued interest will be due.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vary based on our Consolidated Leverage Ratio (as defined in the Amended Credit Agreement). At our option, these borrowings will bear interest at one, three or six month Term SOFR or, in the case of the Revolver, an alternate base rate, in each case plus the applicable margin. The applicable margin for borrowings under the Revolver will fluctuate between 1.125% per annum and 1.875% per annum, in the case of Term SOFR borrowings, or between 0.125% per annum and 0.875% per annum, in the case of base rate loans, based upon our Consolidated Leverage Ratio at such time. The applicable margin for the outstanding principal under the Term Loan will range between 1.625% per annum and 2.375% per annum based upon our Consolidated Leverage Ratio at such time. The fees and interest are subject to further adjustment based upon the Company's performance against specified key performance indicators related to certain environmental, social and governance targets of the Company. Based upon the performance of the Company against those key performance indicators in each Reference Year (as defined in the Amended Credit Agreement), certain adjustments to the otherwise applicable rates for interest, commitment fees and letter of credit fees will be made. These annual adjustments will not exceed an increase or decrease of 0.01% in the aggregate for all key performance indicators in the case of the commitment fee rate or an increase or decrease of 0.05% in the aggregate for all key performance indicators in the case of the Term SOFR borrowings, base rate borrowings or letter of credit fee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March 31, 2024 and December 31, 2023, we were in compliance with these financial covenants. Our Consolidated Leverage Ratio as of March 31, 2024 was 2.74 to 1.00, compared to 1.59 to 1.00 as of December 31, 2023. Our Consolidated Interest Coverage Ratio as of March 31, 2024 was 10.65 to 1.00, compared to 10.85 to 1.00 as of December 31, 2023.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March 31, 2024 and December 31, 2023 totaled $574.0 million and $324.0 million, respectively. Of the $574.0 million outstanding as of March 31, 2024, $299.0 million was outstanding under the Revolver and $275.0 million was outstanding under the Term Loan. There were no borrowings outstanding under the Term Loan at December 31, 2023. These borrowings carried a weighted average interest rate of 5.4% at March 31, 2024 and 4.2% at December 31, 2023, including the impact of the interest rate swaps described in Note 9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March 31, 2024, we had outstanding letters of credit totaling $0.6 million, which are used as security deposits for our office facilities. As of March 31, 2024, the unused borrowing capacity under the Revolver was $300.4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7 “Financing Arrangements” for additional information on our senior secured credit facility within the notes to the consolidated financial statements.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 For a detailed discussion of these critical accounting policies, see Item 7. “Management’s Discussion and Analysis of Financial Condition and Results of Operations – Critical Accounting Policies” in our Annual Report on Form 10-K for the year ended December 31, 2023. There have been no material changes to our critical accounting policies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“New Accounting Pronouncements”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74" w:type="dxa"/>
        <w:jc w:val="left"/>
        <w:tblInd w:w="0" w:type="dxa"/>
        <w:tblLayout w:type="fixed"/>
        <w:tblCellMar>
          <w:top w:w="28" w:type="dxa"/>
          <w:left w:w="28" w:type="dxa"/>
          <w:bottom w:w="28" w:type="dxa"/>
          <w:right w:w="28" w:type="dxa"/>
        </w:tblCellMar>
      </w:tblPr>
      <w:tblGrid>
        <w:gridCol w:w="250"/>
        <w:gridCol w:w="219"/>
        <w:gridCol w:w="221"/>
        <w:gridCol w:w="1752"/>
        <w:gridCol w:w="1752"/>
        <w:gridCol w:w="248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bank credit facility. At our option, these borrowings bear interest at one, three or six month Term SOFR or, in the case of the Revolver, an alternate base rate. At March 31, 2024, we had borrowings outstanding under the credit facility totaling $574.0 million that carried a weighted average interest rate of 5.4%, including the impact of the interest rate swaps described below. A hypothetical 100 basis point change in the interest rate would have a $2.7 million effect on our pretax income on an annualized basis, including the effect of the interest rate swaps. At December 31, 2023, we had borrowings outstanding under the credit facility totaling $324.0 million that carried a weighted average interest rate of 4.2% including the impact of the interest rate swaps described below. A hypothetical 100 basis point change in the interest rate would have had a $0.7 million effect on our pretax income on an annualized basis, including the effect of the interest rate swaps.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March 31, 2024 and December 31, 2023, the aggregate notional amount of our forward interest rate swap agreements was $300.0 million and $250.0 million, respectively. The outstanding interest rate swap agreements as of March 31, 2024 are scheduled to mature on a staggered basis through January 31, 2029.</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foreign currency exchange rates between the U.S. Dollar (USD) and the Indian Rupee (INR) related to our operations in India. We hedge a portion of our cash flow exposure related to our INR-denominated intercompany expenses by entering into non-deliverable foreign exchange forward contracts. As of March 31, 2024 and December 31, 2023, the aggregate notional amounts of these contracts were INR 878.0 million, or $10.5 million, and INR 1,375.7 million, or $16.6 million, respectively, based on the exchange rates in effect as of each period end. The outstanding foreign exchange forward contracts as of March 31, 2024 are scheduled to mature monthly through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currency exchange rate hedge portfolio. The sensitivity of the hedge portfolio is computed based on the market value of future cash flows as affected by changes in exchange rates. This sensitivity analysis represents the hypothetical changes in value of the hedge position and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reflect the offsetting gain or loss on the underlying exposure. A hypothetical 100 basis point change in the foreign currency exchange rate between the USD and INR would have an immaterial impact on the fair value of our hedge instruments as of March 31, 2024 and December 31, 2023.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As of March 31, 2024, the fair value of the investment was $66.1 million, with a total cost basis of $40.9 million. At December 31, 2023, the fair value of the investment was $68.0 million, with a total cost basis of $40.9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preferred stock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March 31, 2024 and December 31, 2023, the carrying value of the investment was $7.4 million with a total cost basis of $5.0 million.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9 “Derivative Instruments and Hedging Activity” within the notes to our consolidated financial statements for additional information on our derivative instruments.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390" w:type="dxa"/>
        <w:jc w:val="left"/>
        <w:tblInd w:w="0" w:type="dxa"/>
        <w:tblLayout w:type="fixed"/>
        <w:tblCellMar>
          <w:top w:w="28" w:type="dxa"/>
          <w:left w:w="28" w:type="dxa"/>
          <w:bottom w:w="28" w:type="dxa"/>
          <w:right w:w="28" w:type="dxa"/>
        </w:tblCellMar>
      </w:tblPr>
      <w:tblGrid>
        <w:gridCol w:w="250"/>
        <w:gridCol w:w="219"/>
        <w:gridCol w:w="221"/>
        <w:gridCol w:w="790"/>
        <w:gridCol w:w="790"/>
        <w:gridCol w:w="1120"/>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March 31, 2024. Based on this evaluation, our Chief Executive Officer and Chief Financial Officer have concluded that, as of March 31, 2024,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March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pPr>
      <w:r>
        <w:rPr>
          <w:rFonts w:ascii="Arial Narrow;sans-serif" w:hAnsi="Arial Narrow;sans-serif"/>
          <w:b/>
          <w:color w:val="000000"/>
          <w:sz w:val="20"/>
        </w:rPr>
        <w:t>PART II—OTHER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Quarterly Report on Form 10-Q,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Part 1, Item 1A, “Risk Factors” in our Annual Report on Form 10-K for the fiscal year ended December 31, 2023, which was filed with the Securities and Exchange Commission on February 27, 2024, for a complete description of the material risks we face.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690" w:type="dxa"/>
        <w:jc w:val="left"/>
        <w:tblInd w:w="0" w:type="dxa"/>
        <w:tblLayout w:type="fixed"/>
        <w:tblCellMar>
          <w:top w:w="28" w:type="dxa"/>
          <w:left w:w="28" w:type="dxa"/>
          <w:bottom w:w="28" w:type="dxa"/>
          <w:right w:w="28" w:type="dxa"/>
        </w:tblCellMar>
      </w:tblPr>
      <w:tblGrid>
        <w:gridCol w:w="250"/>
        <w:gridCol w:w="219"/>
        <w:gridCol w:w="221"/>
        <w:gridCol w:w="1757"/>
        <w:gridCol w:w="1757"/>
        <w:gridCol w:w="248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6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UNREGISTERED SALES OF EQUITY SECURITIES AND USE OF PROCEEDS.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March 1, 2024, as partial consideration for our acquisition of GG+A, we issued 86,913 shares of our common stock, par value $0.01 per share, with an aggregate value of $8.6 million. The issuance was exempt from registration under Section 4(a)(2) of the Securities Act of 1933, as amended, as a transaction by an issuer not involving a public offering.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Stock Ownership Participation Program and 2012 Omnibus Incentive Plan permit the netting of common stock upon vesting of restricted stock awards to satisfy individual tax withholding requirements. During the quarter ended March 31, 2024, we reacquired 212,745 shares of common stock with a weighted average fair market value of $98.37 as a result of such tax withholdings.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through December 31, 2021. The share repurchase program has been subsequently extended and increased, most recently in the fourth quarter of 2023. The current authorization extends the share repurchase program through December 31, 2024 with a repurchase amount of $400 million, of which $24.0 million remains available as of March 31, 2024.The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information with respect to purchases we made of our common stock during the quarter ended March 31, 2024.</w:t>
      </w:r>
    </w:p>
    <w:tbl>
      <w:tblPr>
        <w:tblW w:w="10205" w:type="dxa"/>
        <w:jc w:val="center"/>
        <w:tblInd w:w="0" w:type="dxa"/>
        <w:tblLayout w:type="fixed"/>
        <w:tblCellMar>
          <w:top w:w="28" w:type="dxa"/>
          <w:left w:w="28" w:type="dxa"/>
          <w:bottom w:w="28" w:type="dxa"/>
          <w:right w:w="28" w:type="dxa"/>
        </w:tblCellMar>
      </w:tblPr>
      <w:tblGrid>
        <w:gridCol w:w="756"/>
        <w:gridCol w:w="633"/>
        <w:gridCol w:w="641"/>
        <w:gridCol w:w="109"/>
        <w:gridCol w:w="109"/>
        <w:gridCol w:w="109"/>
        <w:gridCol w:w="761"/>
        <w:gridCol w:w="716"/>
        <w:gridCol w:w="719"/>
        <w:gridCol w:w="109"/>
        <w:gridCol w:w="109"/>
        <w:gridCol w:w="109"/>
        <w:gridCol w:w="256"/>
        <w:gridCol w:w="846"/>
        <w:gridCol w:w="144"/>
        <w:gridCol w:w="109"/>
        <w:gridCol w:w="109"/>
        <w:gridCol w:w="109"/>
        <w:gridCol w:w="510"/>
        <w:gridCol w:w="510"/>
        <w:gridCol w:w="511"/>
        <w:gridCol w:w="109"/>
        <w:gridCol w:w="109"/>
        <w:gridCol w:w="109"/>
        <w:gridCol w:w="282"/>
        <w:gridCol w:w="1386"/>
        <w:gridCol w:w="226"/>
      </w:tblGrid>
      <w:tr>
        <w:trPr/>
        <w:tc>
          <w:tcPr>
            <w:tcW w:w="75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 xml:space="preserve">Total Number of Shares Purchased </w:t>
            </w:r>
            <w:r>
              <w:rPr>
                <w:rFonts w:ascii="Arial Narrow;sans-serif" w:hAnsi="Arial Narrow;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 Number of</w:t>
              <w:br/>
              <w:t>Shares Purchased</w:t>
              <w:br/>
              <w:t>as Part of Publicly</w:t>
              <w:br/>
              <w:t>Announced Plans</w:t>
              <w:br/>
              <w:t>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Dollar Value of Shares</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that may yet be</w:t>
            </w:r>
          </w:p>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Purchased under the</w:t>
            </w:r>
          </w:p>
          <w:p>
            <w:pPr>
              <w:pStyle w:val="TableContents"/>
              <w:bidi w:val="0"/>
              <w:spacing w:lineRule="auto" w:line="240" w:before="0" w:after="0"/>
              <w:jc w:val="center"/>
              <w:rPr/>
            </w:pPr>
            <w:r>
              <w:rPr>
                <w:rFonts w:ascii="Arial Narrow;sans-serif" w:hAnsi="Arial Narrow;sans-serif"/>
                <w:b/>
                <w:color w:val="000000"/>
                <w:sz w:val="20"/>
              </w:rPr>
              <w:t xml:space="preserve">Plans or Programs </w:t>
            </w:r>
            <w:r>
              <w:rPr>
                <w:rFonts w:ascii="Arial Narrow;sans-serif" w:hAnsi="Arial Narrow;sans-serif"/>
                <w:b/>
                <w:color w:val="000000"/>
                <w:sz w:val="13"/>
              </w:rPr>
              <w:t>(2)</w:t>
            </w:r>
          </w:p>
        </w:tc>
      </w:tr>
      <w:tr>
        <w:trPr/>
        <w:tc>
          <w:tcPr>
            <w:tcW w:w="2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January 1, 2024 -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208,723 </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197,918 </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65,932,781 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1, 2024 -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100,243 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101.39 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100,243 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55,766,594 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March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528,477 </w:t>
            </w:r>
          </w:p>
        </w:tc>
        <w:tc>
          <w:tcPr>
            <w:tcW w:w="7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326,537 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3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23,987,379 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837,443 </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99.24 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624,698 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included 10,805 shares in January 2024 and 201,940 shares in March 2024 to satisfy employee tax withholding requirements. These shares do not reduce the repurchase authority under the share repurchase program.</w:t>
      </w:r>
    </w:p>
    <w:p>
      <w:pPr>
        <w:pStyle w:val="TextBody"/>
        <w:bidi w:val="0"/>
        <w:spacing w:lineRule="auto" w:line="288" w:before="60" w:after="283"/>
        <w:ind w:left="0" w:right="0" w:hanging="108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960" w:type="dxa"/>
        <w:jc w:val="left"/>
        <w:tblInd w:w="0" w:type="dxa"/>
        <w:tblLayout w:type="fixed"/>
        <w:tblCellMar>
          <w:top w:w="28" w:type="dxa"/>
          <w:left w:w="28" w:type="dxa"/>
          <w:bottom w:w="28" w:type="dxa"/>
          <w:right w:w="28" w:type="dxa"/>
        </w:tblCellMar>
      </w:tblPr>
      <w:tblGrid>
        <w:gridCol w:w="250"/>
        <w:gridCol w:w="219"/>
        <w:gridCol w:w="221"/>
        <w:gridCol w:w="958"/>
        <w:gridCol w:w="958"/>
        <w:gridCol w:w="135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DEFAULTS UPON SENIOR SECURITIES.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654" w:type="dxa"/>
        <w:jc w:val="left"/>
        <w:tblInd w:w="0" w:type="dxa"/>
        <w:tblLayout w:type="fixed"/>
        <w:tblCellMar>
          <w:top w:w="28" w:type="dxa"/>
          <w:left w:w="28" w:type="dxa"/>
          <w:bottom w:w="28" w:type="dxa"/>
          <w:right w:w="28" w:type="dxa"/>
        </w:tblCellMar>
      </w:tblPr>
      <w:tblGrid>
        <w:gridCol w:w="250"/>
        <w:gridCol w:w="219"/>
        <w:gridCol w:w="221"/>
        <w:gridCol w:w="574"/>
        <w:gridCol w:w="574"/>
        <w:gridCol w:w="8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Trading Plans of Directors and Executive Officers</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During the first quarter of 2024, none of our executive officers or directors adopted or terminated contracts, instructions or written plans for the sale or purchase of our securities intended to satisfy the affirmative defense condition of Rule 10b5-1(c) or adopted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636" w:type="dxa"/>
        <w:jc w:val="left"/>
        <w:tblInd w:w="0" w:type="dxa"/>
        <w:tblLayout w:type="fixed"/>
        <w:tblCellMar>
          <w:top w:w="28" w:type="dxa"/>
          <w:left w:w="28" w:type="dxa"/>
          <w:bottom w:w="28" w:type="dxa"/>
          <w:right w:w="28" w:type="dxa"/>
        </w:tblCellMar>
      </w:tblPr>
      <w:tblGrid>
        <w:gridCol w:w="250"/>
        <w:gridCol w:w="219"/>
        <w:gridCol w:w="221"/>
        <w:gridCol w:w="277"/>
        <w:gridCol w:w="277"/>
        <w:gridCol w:w="392"/>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w:t>
            </w:r>
          </w:p>
        </w:tc>
      </w:tr>
    </w:tbl>
    <w:p>
      <w:pPr>
        <w:pStyle w:val="TextBody"/>
        <w:bidi w:val="0"/>
        <w:spacing w:lineRule="auto" w:line="288" w:before="80" w:after="283"/>
        <w:jc w:val="left"/>
        <w:rPr/>
      </w:pPr>
      <w:r>
        <w:rPr>
          <w:rFonts w:ascii="Arial Narrow;sans-serif" w:hAnsi="Arial Narrow;sans-serif"/>
          <w:b w:val="false"/>
          <w:color w:val="000000"/>
          <w:sz w:val="20"/>
        </w:rPr>
        <w:t>(a) The following exhibits are filed as part of this Quarterly Report on Form 10-Q.</w:t>
      </w:r>
      <w:r>
        <w:rPr>
          <w:color w:val="000000"/>
        </w:rPr>
        <w:t> </w:t>
      </w:r>
    </w:p>
    <w:tbl>
      <w:tblPr>
        <w:tblW w:w="10205" w:type="dxa"/>
        <w:jc w:val="left"/>
        <w:tblInd w:w="0" w:type="dxa"/>
        <w:tblLayout w:type="fixed"/>
        <w:tblCellMar>
          <w:top w:w="28" w:type="dxa"/>
          <w:left w:w="28" w:type="dxa"/>
          <w:bottom w:w="28" w:type="dxa"/>
          <w:right w:w="28" w:type="dxa"/>
        </w:tblCellMar>
      </w:tblPr>
      <w:tblGrid>
        <w:gridCol w:w="242"/>
        <w:gridCol w:w="213"/>
        <w:gridCol w:w="215"/>
        <w:gridCol w:w="109"/>
        <w:gridCol w:w="109"/>
        <w:gridCol w:w="109"/>
        <w:gridCol w:w="1289"/>
        <w:gridCol w:w="1119"/>
        <w:gridCol w:w="1124"/>
        <w:gridCol w:w="109"/>
        <w:gridCol w:w="109"/>
        <w:gridCol w:w="109"/>
        <w:gridCol w:w="230"/>
        <w:gridCol w:w="230"/>
        <w:gridCol w:w="231"/>
        <w:gridCol w:w="109"/>
        <w:gridCol w:w="109"/>
        <w:gridCol w:w="109"/>
        <w:gridCol w:w="270"/>
        <w:gridCol w:w="270"/>
        <w:gridCol w:w="271"/>
        <w:gridCol w:w="109"/>
        <w:gridCol w:w="109"/>
        <w:gridCol w:w="109"/>
        <w:gridCol w:w="155"/>
        <w:gridCol w:w="155"/>
        <w:gridCol w:w="156"/>
        <w:gridCol w:w="109"/>
        <w:gridCol w:w="109"/>
        <w:gridCol w:w="109"/>
        <w:gridCol w:w="200"/>
        <w:gridCol w:w="200"/>
        <w:gridCol w:w="201"/>
        <w:gridCol w:w="109"/>
        <w:gridCol w:w="109"/>
        <w:gridCol w:w="109"/>
        <w:gridCol w:w="195"/>
        <w:gridCol w:w="195"/>
        <w:gridCol w:w="196"/>
        <w:gridCol w:w="109"/>
        <w:gridCol w:w="109"/>
        <w:gridCol w:w="109"/>
        <w:gridCol w:w="162"/>
        <w:gridCol w:w="162"/>
        <w:gridCol w:w="235"/>
      </w:tblGrid>
      <w:tr>
        <w:trPr/>
        <w:tc>
          <w:tcPr>
            <w:tcW w:w="2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Incorporated by Reference</w:t>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6"/>
              </w:rPr>
            </w:pPr>
            <w:r>
              <w:rPr>
                <w:rFonts w:ascii="Arial Narrow;sans-serif" w:hAnsi="Arial Narrow;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Furnished</w:t>
              <w:b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Period</w:t>
              <w:br/>
              <w:t>Ending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Exhibit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Filing</w:t>
              <w:br/>
              <w:t>Date</w:t>
            </w:r>
          </w:p>
        </w:tc>
      </w:tr>
      <w:tr>
        <w:trPr/>
        <w:tc>
          <w:tcPr>
            <w:tcW w:w="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10.1</w:t>
            </w:r>
            <w:r>
              <w:rPr>
                <w:rFonts w:ascii="Arial Narrow;sans-serif" w:hAnsi="Arial Narrow;sans-serif"/>
                <w:b w:val="false"/>
                <w:color w:val="000000"/>
                <w:sz w:val="12"/>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101rothsmaamendment.htm">
              <w:r>
                <w:rPr>
                  <w:rStyle w:val="InternetLink"/>
                  <w:rFonts w:ascii="Arial Narrow;sans-serif" w:hAnsi="Arial Narrow;sans-serif"/>
                  <w:b w:val="false"/>
                  <w:color w:val="000080"/>
                  <w:sz w:val="18"/>
                  <w:u w:val="single"/>
                </w:rPr>
                <w:t xml:space="preserve">Amendment to Senior Management Agreement </w:t>
              </w:r>
            </w:hyperlink>
            <w:hyperlink w:anchor="exhibit101rothsmaamendment.htm">
              <w:r>
                <w:rPr>
                  <w:rStyle w:val="InternetLink"/>
                  <w:rFonts w:ascii="Arial Narrow;sans-serif" w:hAnsi="Arial Narrow;sans-serif"/>
                  <w:b w:val="false"/>
                  <w:color w:val="000080"/>
                  <w:sz w:val="18"/>
                  <w:u w:val="single"/>
                </w:rPr>
                <w:t xml:space="preserve">by and </w:t>
              </w:r>
            </w:hyperlink>
            <w:hyperlink w:anchor="exhibit101rothsmaamendment.htm">
              <w:r>
                <w:rPr>
                  <w:rStyle w:val="InternetLink"/>
                  <w:rFonts w:ascii="Arial Narrow;sans-serif" w:hAnsi="Arial Narrow;sans-serif"/>
                  <w:b w:val="false"/>
                  <w:color w:val="000080"/>
                  <w:sz w:val="18"/>
                  <w:u w:val="single"/>
                </w:rPr>
                <w:t>between Huron Consulting Group Inc. and James H. Roth</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331exhibit311.htm">
              <w:r>
                <w:rPr>
                  <w:rStyle w:val="InternetLink"/>
                  <w:rFonts w:ascii="Arial Narrow;sans-serif" w:hAnsi="Arial Narrow;sans-serif"/>
                  <w:b w:val="false"/>
                  <w:color w:val="0000FF"/>
                  <w:sz w:val="18"/>
                  <w:u w:val="single"/>
                </w:rPr>
                <w:t>Certification of the Chief Executive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331exhibit312.htm">
              <w:r>
                <w:rPr>
                  <w:rStyle w:val="InternetLink"/>
                  <w:rFonts w:ascii="Arial Narrow;sans-serif" w:hAnsi="Arial Narrow;sans-serif"/>
                  <w:b w:val="false"/>
                  <w:color w:val="0000FF"/>
                  <w:sz w:val="18"/>
                  <w:u w:val="single"/>
                </w:rPr>
                <w:t>Certification of the Chief Financial Officer, pursuant to Rule 13a-14(a)/15d-14(a),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331exhibit321.htm">
              <w:r>
                <w:rPr>
                  <w:rStyle w:val="InternetLink"/>
                  <w:rFonts w:ascii="Arial Narrow;sans-serif" w:hAnsi="Arial Narrow;sans-serif"/>
                  <w:b w:val="false"/>
                  <w:color w:val="0000FF"/>
                  <w:sz w:val="18"/>
                  <w:u w:val="single"/>
                </w:rPr>
                <w:t>Certification of the Chief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4331exhibit322.htm">
              <w:r>
                <w:rPr>
                  <w:rStyle w:val="InternetLink"/>
                  <w:rFonts w:ascii="Arial Narrow;sans-serif" w:hAnsi="Arial Narrow;sans-serif"/>
                  <w:b w:val="false"/>
                  <w:color w:val="0000FF"/>
                  <w:sz w:val="18"/>
                  <w:u w:val="single"/>
                </w:rPr>
                <w:t>Certification of the Chief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 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614"/>
        <w:gridCol w:w="1614"/>
        <w:gridCol w:w="22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Indicates the exhibit is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5672f38c373a4ff3b5e40cb2d38c4162_7">
        <w:r>
          <w:rPr>
            <w:rStyle w:val="InternetLink"/>
            <w:rFonts w:ascii="Arial Narrow;sans-serif" w:hAnsi="Arial Narrow;sans-serif"/>
            <w:b w:val="false"/>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80" w:after="283"/>
        <w:jc w:val="left"/>
        <w:rPr>
          <w:color w:val="000000"/>
        </w:rPr>
      </w:pPr>
      <w:r>
        <w:rPr>
          <w:color w:val="000000"/>
        </w:rPr>
        <w:t> </w:t>
      </w:r>
    </w:p>
    <w:tbl>
      <w:tblPr>
        <w:tblW w:w="5049" w:type="dxa"/>
        <w:jc w:val="left"/>
        <w:tblInd w:w="0" w:type="dxa"/>
        <w:tblLayout w:type="fixed"/>
        <w:tblCellMar>
          <w:top w:w="28" w:type="dxa"/>
          <w:left w:w="28" w:type="dxa"/>
          <w:bottom w:w="28" w:type="dxa"/>
          <w:right w:w="28" w:type="dxa"/>
        </w:tblCellMar>
      </w:tblPr>
      <w:tblGrid>
        <w:gridCol w:w="184"/>
        <w:gridCol w:w="162"/>
        <w:gridCol w:w="164"/>
        <w:gridCol w:w="364"/>
        <w:gridCol w:w="364"/>
        <w:gridCol w:w="367"/>
        <w:gridCol w:w="109"/>
        <w:gridCol w:w="109"/>
        <w:gridCol w:w="109"/>
        <w:gridCol w:w="109"/>
        <w:gridCol w:w="109"/>
        <w:gridCol w:w="109"/>
        <w:gridCol w:w="817"/>
        <w:gridCol w:w="817"/>
        <w:gridCol w:w="1156"/>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36.4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AMENDMENT TO SENIOR MANAGEMENT AGREEMENT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This is an amendment (“Amendment”) to the Senior Management Agreement effective January 1, 2023 (the “SMA”), between Huron Consulting Group Inc. (“Huron”) and James H. Roth (“Executive”).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WHEREAS, the parties wish to extend Executive’s employment beyond the Initial Period and address Executive’s 2024 target annual bonus opportunity.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premises, the mutual covenants of the parties hereinafter set forth and other good and valuable consideration, the receipt and sufficiency of which are hereby acknowledged, the parties hereto hereby agree as follows:</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1.</w:t>
      </w:r>
      <w:r>
        <w:rPr>
          <w:rFonts w:ascii="Times New Roman;sans-serif" w:hAnsi="Times New Roman;sans-serif"/>
          <w:b/>
          <w:color w:val="000000"/>
          <w:sz w:val="24"/>
          <w:u w:val="single"/>
        </w:rPr>
        <w:t>Employment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Executive’s employment shall be extended for an additional one-year period through December 31, 2024, subject to sections 1.3-1.5, and the parties may agree to extend for an additional year period or longer period subject to the approval of the Board.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22"/>
        </w:rPr>
        <w:t>1.</w:t>
      </w:r>
      <w:r>
        <w:rPr>
          <w:rFonts w:ascii="Times New Roman;sans-serif" w:hAnsi="Times New Roman;sans-serif"/>
          <w:b/>
          <w:color w:val="000000"/>
          <w:sz w:val="24"/>
          <w:u w:val="single"/>
        </w:rPr>
        <w:t>Bonus Programs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2024 calendar year, Executive’s target cash bonus will be $900,000 and target equity bonus will be 20% of Executive’s Base Salary ($180,000). All equity awards (i) are subject to the applicable granting agreement and the Amended and Restated Huron Consulting Group Inc. 2012 Omnibus Incentive Plan, as amended and (ii) shall vest in four equal installments, with one-fourth vesting on the first anniversary of the grant date and one-fourth vesting on each of the next three anniversaries of the grant date; provided, however, that no shares shall vest if Executive is not employed by the Company as of such vesting date.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All capitalized terms herein shall have the meaning set forth in the SMA. Except for those provisions specifically modified herein, all terms and conditions of the SMA remain in full force and effect and are not superseded in any way by this Amendment.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HURON CONSULTING GROUP INC.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 xml:space="preserve">/s/ Mark Hussey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Its: </w:t>
      </w:r>
      <w:r>
        <w:rPr>
          <w:rFonts w:ascii="Times New Roman;sans-serif" w:hAnsi="Times New Roman;sans-serif"/>
          <w:b w:val="false"/>
          <w:color w:val="000000"/>
          <w:sz w:val="24"/>
          <w:u w:val="single"/>
        </w:rPr>
        <w:t xml:space="preserve">CEO and President </w:t>
      </w:r>
    </w:p>
    <w:p>
      <w:pPr>
        <w:pStyle w:val="TextBody"/>
        <w:bidi w:val="0"/>
        <w:spacing w:lineRule="auto" w:line="288" w:before="0" w:after="0"/>
        <w:ind w:left="0" w:right="0" w:firstLine="4320"/>
        <w:jc w:val="left"/>
        <w:rPr/>
      </w:pPr>
      <w:r>
        <w:rPr>
          <w:rFonts w:ascii="Times New Roman;sans-serif" w:hAnsi="Times New Roman;sans-serif"/>
          <w:b w:val="false"/>
          <w:color w:val="000000"/>
          <w:sz w:val="24"/>
        </w:rPr>
        <w:t xml:space="preserve">Date: </w:t>
      </w:r>
      <w:r>
        <w:rPr>
          <w:rFonts w:ascii="Times New Roman;sans-serif" w:hAnsi="Times New Roman;sans-serif"/>
          <w:b w:val="false"/>
          <w:color w:val="000000"/>
          <w:sz w:val="24"/>
          <w:u w:val="single"/>
        </w:rPr>
        <w:t xml:space="preserve">2/23/2024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 xml:space="preserve">JAMES H. ROTH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/s/ Jim Roth </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Jim Roth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(print name) </w:t>
      </w:r>
    </w:p>
    <w:p>
      <w:pPr>
        <w:pStyle w:val="TextBody"/>
        <w:bidi w:val="0"/>
        <w:spacing w:before="0" w:after="0"/>
        <w:jc w:val="left"/>
        <w:rPr/>
      </w:pPr>
      <w:r>
        <w:rPr/>
      </w:r>
    </w:p>
    <w:p>
      <w:pPr>
        <w:pStyle w:val="TextBody"/>
        <w:bidi w:val="0"/>
        <w:spacing w:lineRule="auto" w:line="288" w:before="0" w:after="0"/>
        <w:ind w:left="0" w:right="0" w:firstLine="4320"/>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 xml:space="preserve">2/22/2024 </w:t>
      </w:r>
    </w:p>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Date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Quarterly Report on Form 10-Q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March 31, 2024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Quarterly Report of Huron Consulting Group Inc. (the "Company") on Form 10-Q for the quarter ended March 31, 2024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5794"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364"/>
        <w:gridCol w:w="364"/>
        <w:gridCol w:w="367"/>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April 30,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23580</Words>
  <Characters>134149</Characters>
  <CharactersWithSpaces>156276</CharactersWithSpaces>
  <Paragraphs>2454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