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184785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238125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6" w:lineRule="exact"/>
        <w:rPr>
          <w:sz w:val="24"/>
          <w:szCs w:val="24"/>
          <w:color w:val="auto"/>
        </w:rPr>
      </w:pPr>
    </w:p>
    <w:p>
      <w:pPr>
        <w:ind w:left="680" w:right="1060" w:hanging="645"/>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80" w:right="1040" w:hanging="645"/>
        <w:spacing w:after="0" w:line="256"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000-50976</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96"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7"/>
          <w:szCs w:val="17"/>
          <w:color w:val="auto"/>
        </w:rPr>
        <w:t>o</w:t>
      </w:r>
    </w:p>
    <w:p>
      <w:pPr>
        <w:spacing w:after="0" w:line="82"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4">
            <w:col w:w="8180" w:space="180"/>
            <w:col w:w="440" w:space="180"/>
            <w:col w:w="220" w:space="100"/>
            <w:col w:w="2080"/>
          </w:cols>
          <w:pgMar w:left="240" w:top="233"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As of July 21, 2015, 22,942,006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201295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114935</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2">
              <w:r>
                <w:rPr>
                  <w:rFonts w:ascii="Arial" w:cs="Arial" w:eastAsia="Arial" w:hAnsi="Arial"/>
                  <w:sz w:val="18"/>
                  <w:szCs w:val="18"/>
                  <w:b w:val="1"/>
                  <w:bCs w:val="1"/>
                  <w:color w:val="0000EE"/>
                  <w:w w:val="93"/>
                </w:rPr>
                <w:t>Part I – Financial Information</w:t>
              </w:r>
            </w:hyperlink>
          </w:p>
        </w:tc>
        <w:tc>
          <w:tcPr>
            <w:tcW w:w="7580" w:type="dxa"/>
            <w:vAlign w:val="bottom"/>
            <w:gridSpan w:val="14"/>
          </w:tcPr>
          <w:p>
            <w:pPr>
              <w:spacing w:after="0"/>
              <w:rPr>
                <w:sz w:val="16"/>
                <w:szCs w:val="16"/>
                <w:color w:val="auto"/>
              </w:rPr>
            </w:pPr>
          </w:p>
        </w:tc>
        <w:tc>
          <w:tcPr>
            <w:tcW w:w="860" w:type="dxa"/>
            <w:vAlign w:val="bottom"/>
          </w:tcPr>
          <w:p>
            <w:pPr>
              <w:spacing w:after="0"/>
              <w:rPr>
                <w:sz w:val="16"/>
                <w:szCs w:val="16"/>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Earnings and Other Comprehensive Income</w:t>
              </w:r>
            </w:hyperlink>
          </w:p>
        </w:tc>
        <w:tc>
          <w:tcPr>
            <w:tcW w:w="8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3"/>
          </w:tcPr>
          <w:p>
            <w:pPr>
              <w:spacing w:after="0"/>
              <w:rPr>
                <w:sz w:val="21"/>
                <w:szCs w:val="21"/>
                <w:color w:val="auto"/>
              </w:rPr>
            </w:pPr>
          </w:p>
        </w:tc>
        <w:tc>
          <w:tcPr>
            <w:tcW w:w="3540" w:type="dxa"/>
            <w:vAlign w:val="bottom"/>
            <w:gridSpan w:val="2"/>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4360" w:type="dxa"/>
            <w:vAlign w:val="bottom"/>
            <w:gridSpan w:val="3"/>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870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8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9920" w:type="dxa"/>
            <w:vAlign w:val="bottom"/>
            <w:gridSpan w:val="19"/>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860" w:type="dxa"/>
            <w:vAlign w:val="bottom"/>
          </w:tcPr>
          <w:p>
            <w:pPr>
              <w:spacing w:after="0"/>
              <w:rPr>
                <w:sz w:val="24"/>
                <w:szCs w:val="24"/>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Legal Proceedings</w:t>
              </w:r>
            </w:hyperlink>
          </w:p>
        </w:tc>
        <w:tc>
          <w:tcPr>
            <w:tcW w:w="7380" w:type="dxa"/>
            <w:vAlign w:val="bottom"/>
            <w:gridSpan w:val="12"/>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870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86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86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4380" w:type="dxa"/>
            <w:vAlign w:val="bottom"/>
            <w:gridSpan w:val="4"/>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6400" w:type="dxa"/>
            <w:vAlign w:val="bottom"/>
            <w:gridSpan w:val="9"/>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960" w:type="dxa"/>
            <w:vAlign w:val="bottom"/>
            <w:gridSpan w:val="11"/>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870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8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372"/>
        </w:trPr>
        <w:tc>
          <w:tcPr>
            <w:tcW w:w="1220" w:type="dxa"/>
            <w:vAlign w:val="bottom"/>
            <w:gridSpan w:val="2"/>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256,872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98,640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91,392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16,358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486,159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44,677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807,107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567,146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1,155,914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58,932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106,488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176,376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467,630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327,852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47,893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26,855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89"/>
              </w:rPr>
              <w:t>Common stock; $0.01 par value; 500,000,000 shares authorized; 25,135,647 and 24,976,395 shares issued at June 30,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2015 and December 31, 2014, respectively</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Treasury stock, at cost, 2,189,815 and 2,097,173 shares at June 30, 2015 and December 31, 2014,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449,091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442,308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600,634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1,284,507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1,155,914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223,644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209,405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411,497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420,136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40,244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245,033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230,546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460,380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Direct costs and reimbursable expenses </w:t>
            </w:r>
            <w:r>
              <w:rPr>
                <w:rFonts w:ascii="Arial" w:cs="Arial" w:eastAsia="Arial" w:hAnsi="Arial"/>
                <w:sz w:val="18"/>
                <w:szCs w:val="18"/>
                <w:color w:val="auto"/>
                <w:w w:val="90"/>
              </w:rPr>
              <w:t>(exclusive of depreciation and amortization shown in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124,289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250,491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247,899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38,723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40,330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151,929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146,478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290,620</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Operating expenses and other operating (gains) losses: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80,872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and other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operating (gains) losses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75,842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73,222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19,183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22,617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 gain, net of tax</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investment,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Unrealized gain (loss) on cash flow hedging instruments, net of tax</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20,255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280"/>
        <w:spacing w:after="0" w:line="405" w:lineRule="auto"/>
        <w:rPr>
          <w:sz w:val="20"/>
          <w:szCs w:val="20"/>
          <w:color w:val="auto"/>
        </w:rPr>
      </w:pPr>
      <w:r>
        <w:rPr>
          <w:rFonts w:ascii="Arial" w:cs="Arial" w:eastAsia="Arial" w:hAnsi="Arial"/>
          <w:sz w:val="14"/>
          <w:szCs w:val="14"/>
          <w:b w:val="1"/>
          <w:bCs w:val="1"/>
          <w:color w:val="auto"/>
        </w:rPr>
        <w:t xml:space="preserve">Balance at December 31, 2014 </w:t>
      </w:r>
      <w:r>
        <w:rPr>
          <w:rFonts w:ascii="Arial" w:cs="Arial" w:eastAsia="Arial" w:hAnsi="Arial"/>
          <w:sz w:val="14"/>
          <w:szCs w:val="14"/>
          <w:color w:val="auto"/>
        </w:rPr>
        <w:t>Comprehensive income</w:t>
      </w:r>
    </w:p>
    <w:p>
      <w:pPr>
        <w:spacing w:after="0" w:line="1"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Business acquisition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Income tax benefit on share-based compensation</w:t>
      </w:r>
    </w:p>
    <w:p>
      <w:pPr>
        <w:spacing w:after="0" w:line="12" w:lineRule="exact"/>
        <w:rPr>
          <w:sz w:val="20"/>
          <w:szCs w:val="20"/>
          <w:color w:val="auto"/>
        </w:rPr>
      </w:pPr>
    </w:p>
    <w:p>
      <w:pPr>
        <w:ind w:left="40" w:right="600"/>
        <w:spacing w:after="0" w:line="546" w:lineRule="auto"/>
        <w:rPr>
          <w:sz w:val="20"/>
          <w:szCs w:val="20"/>
          <w:color w:val="auto"/>
        </w:rPr>
      </w:pPr>
      <w:r>
        <w:rPr>
          <w:rFonts w:ascii="Arial" w:cs="Arial" w:eastAsia="Arial" w:hAnsi="Arial"/>
          <w:sz w:val="12"/>
          <w:szCs w:val="12"/>
          <w:color w:val="auto"/>
        </w:rPr>
        <w:t xml:space="preserve">Share repurchases </w:t>
      </w:r>
      <w:r>
        <w:rPr>
          <w:rFonts w:ascii="Arial" w:cs="Arial" w:eastAsia="Arial" w:hAnsi="Arial"/>
          <w:sz w:val="12"/>
          <w:szCs w:val="12"/>
          <w:b w:val="1"/>
          <w:bCs w:val="1"/>
          <w:color w:val="auto"/>
        </w:rPr>
        <w:t>Balance at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780" w:right="2300"/>
        <w:spacing w:after="0" w:line="263" w:lineRule="auto"/>
        <w:rPr>
          <w:sz w:val="20"/>
          <w:szCs w:val="20"/>
          <w:color w:val="auto"/>
        </w:rPr>
      </w:pPr>
      <w:r>
        <w:rPr>
          <w:rFonts w:ascii="Arial" w:cs="Arial" w:eastAsia="Arial" w:hAnsi="Arial"/>
          <w:sz w:val="18"/>
          <w:szCs w:val="18"/>
          <w:b w:val="1"/>
          <w:bCs w:val="1"/>
          <w:color w:val="auto"/>
        </w:rPr>
        <w:t>HURON CONSULTING GROUP INC. CONSOLIDATED STATEMENT OF STOCKHOLDERS’ EQUITY (In thousands, except share amounts)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24,115,593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(2,109,316)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(94,074)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442,308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254,814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600,634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24,723</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363,922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(24,568)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28,486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13,796</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(69,221)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(217,279)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(13,498)</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24,290,722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(2,203,105)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(100,205)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449,091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275,149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626,011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-1937385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-1594485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-359410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160" w:space="140"/>
            <w:col w:w="91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20,335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54,039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15,071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debt discount and issuance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doubtful accounts and unbilled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(Increase) decrease in receivables from clients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unbilled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(Increase) decrease in current income tax receivable / payable,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Increase (decrease) in accounts payable and accrued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10,517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accrued payroll and related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Increase (decrease) in deferred revenues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12,199</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in life insurance policies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Purchases of convertible debt investment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of internally developed software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note receivable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(63,293)</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Shares redeemed for employee tax withholdings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Share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 under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Repayments on credit facility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debt issue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Payments for capital lease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acquisition payment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9,218</w:t>
            </w:r>
          </w:p>
        </w:tc>
      </w:tr>
      <w:tr>
        <w:trPr>
          <w:trHeight w:val="67"/>
        </w:trPr>
        <w:tc>
          <w:tcPr>
            <w:tcW w:w="8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Contingent consideration related to business acquisitions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issued related to business acquisition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9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9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2015 and 2014.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2014 included in our Annual Report on Form 10-K and our Quarterly Report on Form 10-Q for the period ended March 31, 2015.</w:t>
      </w:r>
    </w:p>
    <w:p>
      <w:pPr>
        <w:spacing w:after="0" w:line="1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Certain amounts reported in the previous year have been reclassified to conform to the 2015 presentation. Our results for any interim period are not necessarily indicative of results for a full year or any other interim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("ASU") 2015-05, </w:t>
      </w:r>
      <w:r>
        <w:rPr>
          <w:rFonts w:ascii="Arial" w:cs="Arial" w:eastAsia="Arial" w:hAnsi="Arial"/>
          <w:sz w:val="16"/>
          <w:szCs w:val="16"/>
          <w:i w:val="1"/>
          <w:iCs w:val="1"/>
          <w:color w:val="auto"/>
        </w:rPr>
        <w:t>Intangibles-Goodwill and Other-Internal-Use Software (Subtopic 350-40): Customer's Accounting for Fees Paid in a Cloud Computing Arrangement</w:t>
      </w:r>
      <w:r>
        <w:rPr>
          <w:rFonts w:ascii="Arial" w:cs="Arial" w:eastAsia="Arial" w:hAnsi="Arial"/>
          <w:sz w:val="16"/>
          <w:szCs w:val="16"/>
          <w:color w:val="auto"/>
        </w:rPr>
        <w:t>. The amendments in ASU 2015-</w:t>
      </w:r>
    </w:p>
    <w:p>
      <w:pPr>
        <w:ind w:right="80"/>
        <w:spacing w:after="0" w:line="252" w:lineRule="auto"/>
        <w:rPr>
          <w:sz w:val="20"/>
          <w:szCs w:val="20"/>
          <w:color w:val="auto"/>
        </w:rPr>
      </w:pPr>
      <w:r>
        <w:rPr>
          <w:rFonts w:ascii="Arial" w:cs="Arial" w:eastAsia="Arial" w:hAnsi="Arial"/>
          <w:sz w:val="18"/>
          <w:szCs w:val="18"/>
          <w:color w:val="auto"/>
        </w:rPr>
        <w:t>05 provide guidance to customers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This guidance is effective for us beginning in the first quarter of 2016 with early adoption permitted. The guidance may be applied either prospectively to all arrangements entered into or materially modified after the effective date or retrospectively. We are currently evaluating the potential effect this guidance will have on our consolidated financial statements.</w:t>
      </w:r>
    </w:p>
    <w:p>
      <w:pPr>
        <w:spacing w:after="0" w:line="15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This standard amends existing guidance to require the presentation of debt issuance costs in the balance sheet as a deduction from the carrying amount of the related debt liability, consistent with debt discounts. This guidance is effective for us beginning in the first quarter of 2016 and will be applied on a retrospective basis. Early adoption is permitted. We do not expect the adoption of this guidance to have a material impact on our consolidated financial statements.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which amends the consolidation requirements in Accounting Standards Codification (“ASC”) 810, Consolidation. ASU 2015-02 makes targeted amendments to the current consolidation guidance, which could change consolidation conclusions. This guidance will be effective for us beginning in the first quarter of 2016 and early adoption is permitted. We are currently evaluating the potential effect of adopting this guidance on our consolidated financial statements.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or services. In July 2015, the FASB decided to delay the effective date of ASU 2014-09 by one year. As a result, this guidance is effective for us beginning in the first quarter of 2018 and is to be applied retrospectively to each period presented or as a cumulative-effect adjustment as of the date of adoption. Early adoption will be permitted as of the original effective date in ASU 2014-09 (i.e., annual reporting periods beginning after December 15, 2016). We are currently evaluating the potential effect of adopting this guidance on our consolidated financial statements, as well as the transition methods.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2015.</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Huron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Education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Huron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Huron</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and Life</w:t>
            </w: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Huron</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Healthcare</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Sciences</w:t>
            </w: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Legal</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377,588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102,906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52,555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710,129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Goodwill, net as of December 31, 2014</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377,588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52,555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567,146</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232,887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as of June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807,107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“Acquisitions” for additional information on our recent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2015 and December 31, 2014 consisted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2015</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 to 13</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21,228</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to 8</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3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149,809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39,381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25,930</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customer relationships, as well as the customer contracts and trade name acquired in the acquisition of Studer Group, are amortized on an accelerated basis to correspond to the cash flows expected to be derived from the assets. All other intangible assets are amortized on a straight-line basis. Refer to Note 5 “Acquisitions” for additional information on the intangible assets acquired in the Studer Group acquisition.</w:t>
      </w:r>
    </w:p>
    <w:p>
      <w:pPr>
        <w:spacing w:after="0" w:line="18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Intangible assets amortization expense was $8.6 million and $13.7 million for the three and six months ended June 30, 2015, respectively. Intangible asset amortization expense was $2.9 million and $5.4 million for the three and six months ended June 30, 2014, respectively. Estimated annual intangible assets amortization expense is $30.3 million for 2015, $29.2 million for 2016, $24.9 million for 2017, $14.6 million for 2018, $9.2 million for 2019, and $5.7 million for 2020. Actual future amortization expense could differ from these estimated amounts as a result of future acquisitions and other factors.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Arial" w:cs="Arial" w:eastAsia="Arial" w:hAnsi="Arial"/>
          <w:sz w:val="21"/>
          <w:szCs w:val="21"/>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date fair value of the consideration transferred for Studer Group was approximately $325.2 million, which consisted of the following:</w:t>
      </w:r>
    </w:p>
    <w:p>
      <w:pPr>
        <w:spacing w:after="0" w:line="200" w:lineRule="exact"/>
        <w:rPr>
          <w:sz w:val="20"/>
          <w:szCs w:val="20"/>
          <w:color w:val="auto"/>
        </w:rPr>
      </w:pPr>
    </w:p>
    <w:p>
      <w:pPr>
        <w:spacing w:after="0" w:line="222"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 transferred</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98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323,237</w:t>
            </w: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2,204</w:t>
            </w: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net working capital adjustment</w:t>
            </w:r>
          </w:p>
        </w:tc>
        <w:tc>
          <w:tcPr>
            <w:tcW w:w="8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20" w:type="dxa"/>
            <w:vAlign w:val="bottom"/>
          </w:tcPr>
          <w:p>
            <w:pPr>
              <w:spacing w:after="0"/>
              <w:rPr>
                <w:sz w:val="20"/>
                <w:szCs w:val="20"/>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Total consideration transferred</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325,186</w:t>
            </w: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was available as of the date of the acquisition. We believe that the information provides a reasonable basis for estimating the preliminary fair values of assets acquired and liabilities assumed, but certain items, such as taxes payable and deferred taxes, among other things, may be subject to change as additional information is received. Thus, the provisional measurements of fair value and goodwill are subject to change. We expect to finalize the valuation as soon as practicable, but not later than one year from the acquisition date.</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as of the acquisition date.</w:t>
      </w:r>
    </w:p>
    <w:p>
      <w:pPr>
        <w:spacing w:after="0" w:line="369"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4,579</w:t>
            </w: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2,868</w:t>
            </w: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related benefits</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2,449</w:t>
            </w:r>
          </w:p>
        </w:tc>
      </w:tr>
      <w:tr>
        <w:trPr>
          <w:trHeight w:val="27"/>
        </w:trPr>
        <w:tc>
          <w:tcPr>
            <w:tcW w:w="5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liability</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7"/>
        </w:trPr>
        <w:tc>
          <w:tcPr>
            <w:tcW w:w="56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identifiable net assets</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92,299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232,887</w:t>
            </w:r>
          </w:p>
        </w:tc>
      </w:tr>
      <w:tr>
        <w:trPr>
          <w:trHeight w:val="27"/>
        </w:trPr>
        <w:tc>
          <w:tcPr>
            <w:tcW w:w="56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325,186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125" w:right="2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4</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9"/>
              </w:rPr>
              <w:t>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Publishing content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37"/>
        </w:trPr>
        <w:tc>
          <w:tcPr>
            <w:tcW w:w="490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weighted-average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Studer Group’s results of operations have been included in our unaudited consolidated statements of earnings and other comprehensive income and results of operations of our Huron Healthcare segment from the date of acquisition. For the three months ended June 30, 2015, revenues from Studer Group were $22.2 million and operating income was $0.8 million, which included $6.3 million of amortization expense for intangible assets acquired. For the six months ended June 30, 2015, revenues from Studer Group were $33.6 million and operating income was $2.0 million, which included $9.1 million of amortization expense. In connection with the acquisition of Studer Group, we incurred $2.1 million in transaction and acquisition-related expenses, $0.9 million of which were incurred in the fourth quarter of 2014, $1.0 million of which were incurred in the first quarter of 2015, and the remaining $0.2 million were incurred in the second quarter of 2015. These costs are recorded in selling, general, and administrative expenses in the period in which they were incurred.</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supplemental pro forma information summarizes the combined results of operations for Huron and Studer Group as though the companies were combined on January 1, 2014.</w:t>
      </w:r>
    </w:p>
    <w:p>
      <w:pPr>
        <w:spacing w:after="0" w:line="112"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3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455,709</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19,332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18,745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50,816</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2.20</w:t>
            </w:r>
          </w:p>
        </w:tc>
      </w:tr>
    </w:tbl>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historical financial information has been adjusted to give effect to the pro forma adjustments, which consist of intangible assets amortization expense, transaction and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Sky Analytics, Inc.</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January 1, 2015, we completed the acquisition of Sky Analytics, Inc., a Massachusetts-based provider of legal spend management software for corporate law departments. The acquisition date fair value of the consideration transferred totaled $9.7 million, which includes cash of $8.8 million and the fair value of contingent consideration of $0.9 million. As part of the purchase price allocation, we recorded $2.0 million of intangible assets and $7.2 million of goodwill. The goodwill balance is not deductible for income tax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54,039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22,617</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23,092</w:t>
            </w: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2.39</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7"/>
        </w:trPr>
        <w:tc>
          <w:tcPr>
            <w:tcW w:w="5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is shown in the following table.</w:t>
      </w:r>
    </w:p>
    <w:p>
      <w:pPr>
        <w:spacing w:after="0" w:line="1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34290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640" w:type="dxa"/>
            <w:vAlign w:val="bottom"/>
            <w:gridSpan w:val="2"/>
          </w:tcPr>
          <w:p>
            <w:pPr>
              <w:ind w:left="616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5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w:t>
            </w:r>
          </w:p>
        </w:tc>
        <w:tc>
          <w:tcPr>
            <w:tcW w:w="62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Warrants related to the issuance of convertible senior notes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7 “Financing Arrangements” for further information on the convertible senior notes and warrants related to the issuance of convertible notes.</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$50 million of our common stock through October 31, 2015 (the “October 2014 Share Repurchase Program”). The amount and timing of the repurchases will be determined by management and will depend on a variety of factors, including the trading price of our common stock, general market and business conditions, and applicable legal requirements. In the three and six months ended June 30, 2015, 217,279 shares were repurchased and retired for $13.5 million under the October 2014 Share Repurchase Program.</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(Tabular amounts in thousands, except per share amounts)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ectPr>
          <w:pgSz w:w="11900" w:h="16838" w:orient="portrait"/>
          <w:cols w:equalWidth="0" w:num="1">
            <w:col w:w="11400"/>
          </w:cols>
          <w:pgMar w:left="240" w:top="125" w:right="25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carrying amounts of our debt is as follows: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1.25% convertible senior notes due 2019</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Senior secured credit facility</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debt</w:t>
      </w:r>
    </w:p>
    <w:p>
      <w:pPr>
        <w:spacing w:after="0" w:line="7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maturities of debt</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Long-term debt, net of current portion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34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216,380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212,852</w:t>
            </w:r>
          </w:p>
        </w:tc>
      </w:tr>
      <w:tr>
        <w:trPr>
          <w:trHeight w:val="270"/>
        </w:trPr>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251,250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143,750</w:t>
            </w:r>
          </w:p>
        </w:tc>
      </w:tr>
      <w:tr>
        <w:trPr>
          <w:trHeight w:val="27"/>
        </w:trPr>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467,630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356,602</w:t>
            </w:r>
          </w:p>
        </w:tc>
      </w:tr>
      <w:tr>
        <w:trPr>
          <w:trHeight w:val="270"/>
        </w:trPr>
        <w:tc>
          <w:tcPr>
            <w:tcW w:w="34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(28,750)</w:t>
            </w:r>
          </w:p>
        </w:tc>
      </w:tr>
      <w:tr>
        <w:trPr>
          <w:trHeight w:val="27"/>
        </w:trPr>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467,630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327,852</w:t>
            </w:r>
          </w:p>
        </w:tc>
      </w:tr>
      <w:tr>
        <w:trPr>
          <w:trHeight w:val="27"/>
        </w:trPr>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-908685</wp:posOffset>
            </wp:positionV>
            <wp:extent cx="583184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18034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-556895</wp:posOffset>
            </wp:positionV>
            <wp:extent cx="583184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1840" cy="18034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-205105</wp:posOffset>
            </wp:positionV>
            <wp:extent cx="583184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18859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5780" w:space="720"/>
            <w:col w:w="4900"/>
          </w:cols>
          <w:pgMar w:left="240" w:top="125" w:right="259" w:bottom="1440" w:gutter="0" w:footer="0" w:header="0"/>
          <w:type w:val="continuous"/>
        </w:sectPr>
      </w:pPr>
    </w:p>
    <w:p>
      <w:pPr>
        <w:ind w:right="18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warrants, which were entered into in connection with the Convertible Notes, effectively raise the price at which economic dilution would occur from the initial conversion price of approximately $79.89 to approximately $97.12 per share.</w:t>
      </w:r>
    </w:p>
    <w:p>
      <w:pPr>
        <w:spacing w:after="0" w:line="16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76" w:lineRule="exact"/>
        <w:rPr>
          <w:sz w:val="20"/>
          <w:szCs w:val="20"/>
          <w:color w:val="auto"/>
        </w:rPr>
      </w:pPr>
    </w:p>
    <w:p>
      <w:pPr>
        <w:ind w:left="740" w:right="60" w:hanging="732"/>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78" w:lineRule="exact"/>
        <w:rPr>
          <w:rFonts w:ascii="Arial" w:cs="Arial" w:eastAsia="Arial" w:hAnsi="Arial"/>
          <w:sz w:val="18"/>
          <w:szCs w:val="18"/>
          <w:color w:val="auto"/>
        </w:rPr>
      </w:pPr>
    </w:p>
    <w:p>
      <w:pPr>
        <w:ind w:left="740" w:right="160" w:hanging="732"/>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63" w:lineRule="exact"/>
        <w:rPr>
          <w:rFonts w:ascii="Arial" w:cs="Arial" w:eastAsia="Arial" w:hAnsi="Arial"/>
          <w:sz w:val="17"/>
          <w:szCs w:val="17"/>
          <w:color w:val="auto"/>
        </w:rPr>
      </w:pPr>
    </w:p>
    <w:p>
      <w:pPr>
        <w:ind w:left="740" w:hanging="7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4.837% over the term of the Convertible Notes. As of June 30, 2015, the remaining life of the Convertible Notes is 4.3 years. The equity component will not be remeasured as long as it continues to meet the conditions for equity classification.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and December 31, 2014, the Convertible Notes consisted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5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(37,148)</w:t>
            </w:r>
          </w:p>
        </w:tc>
      </w:tr>
      <w:tr>
        <w:trPr>
          <w:trHeight w:val="237"/>
        </w:trPr>
        <w:tc>
          <w:tcPr>
            <w:tcW w:w="5380" w:type="dxa"/>
            <w:vAlign w:val="bottom"/>
          </w:tcPr>
          <w:p>
            <w:pPr>
              <w:ind w:left="700"/>
              <w:spacing w:after="0"/>
              <w:rPr>
                <w:sz w:val="20"/>
                <w:szCs w:val="20"/>
                <w:color w:val="auto"/>
              </w:rPr>
            </w:pPr>
            <w:r>
              <w:rPr>
                <w:rFonts w:ascii="Arial" w:cs="Arial" w:eastAsia="Arial" w:hAnsi="Arial"/>
                <w:sz w:val="18"/>
                <w:szCs w:val="18"/>
                <w:color w:val="auto"/>
              </w:rPr>
              <w:t>Net carrying amount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216,380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212,852</w:t>
            </w:r>
          </w:p>
        </w:tc>
      </w:tr>
      <w:tr>
        <w:trPr>
          <w:trHeight w:val="67"/>
        </w:trPr>
        <w:tc>
          <w:tcPr>
            <w:tcW w:w="53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5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component</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2015</w:t>
            </w:r>
          </w:p>
        </w:tc>
        <w:tc>
          <w:tcPr>
            <w:tcW w:w="200" w:type="dxa"/>
            <w:vAlign w:val="bottom"/>
          </w:tcPr>
          <w:p>
            <w:pPr>
              <w:spacing w:after="0"/>
              <w:rPr>
                <w:sz w:val="20"/>
                <w:szCs w:val="20"/>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2015</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Contractual interest coupon</w:t>
            </w: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For purposes of the computation of diluted earnings per share in accordance with U.S.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70" w:lineRule="exact"/>
        <w:rPr>
          <w:sz w:val="20"/>
          <w:szCs w:val="20"/>
          <w:color w:val="auto"/>
        </w:rPr>
      </w:pPr>
    </w:p>
    <w:p>
      <w:pPr>
        <w:ind w:left="660" w:right="14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left="660" w:right="40"/>
        <w:spacing w:after="0" w:line="325" w:lineRule="auto"/>
        <w:rPr>
          <w:sz w:val="20"/>
          <w:szCs w:val="20"/>
          <w:color w:val="auto"/>
        </w:rPr>
      </w:pPr>
      <w:r>
        <w:rPr>
          <w:rFonts w:ascii="Arial" w:cs="Arial" w:eastAsia="Arial" w:hAnsi="Arial"/>
          <w:sz w:val="17"/>
          <w:szCs w:val="17"/>
          <w:color w:val="auto"/>
        </w:rPr>
        <w:t>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41" w:lineRule="exact"/>
        <w:rPr>
          <w:sz w:val="20"/>
          <w:szCs w:val="20"/>
          <w:color w:val="auto"/>
        </w:rPr>
      </w:pPr>
    </w:p>
    <w:p>
      <w:pPr>
        <w:ind w:left="66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2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March 31, 2015, the Company and certain of the Company’s subsidiaries entered into a Second Amended and Restated Credit Agreement dated as of March 31, 2015 (the “Amended Credit Agreement”) by and among the Company, as borrower, certain subsidiaries of the Company, as guarantors, the lenders identified therein, and Bank of America, N.A., as administrative agent and collateral agent, consisting of a $500 million five-year senior secured revolving credit facility. The Amended Credit Agreement becomes due and payable in full upon maturity on March 31, 2020. The Amended Credit Agreement amended and restated, in its entirety, the credit agreement entered into as of April 14, 2011 (as amended and modified, the “Existing Credit Agreement”). The Amended Credit Agreement provides for, among other things, an extension of the maturity date and a reduction in pricing, and replaced the existing revolving credit and term loan facility with an increased revolving credit facility.</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the our Consolidated Leverage Ratio at such time.</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permanently reduce or terminate the unused portion of the commitments provided under the Amended Credit Agreement at any time.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of either 3.25 to 1.00 or 3.50 to 1.00, depending on the measurement period, and (ii) a minimum Consolidated Interest Coverage Ratio (as defined in the Amended Credit Agreement) of 3.50 to 1.00. At June 30, 2015, we were in compliance with these financial covenants with a Consolidated Leverage Ratio of 2.95 to 1.00 and a Consolidated Interest Coverage Ratio of 19.94 to 1.00.</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outstanding under the Amended Credit Agreement at June 30, 2015 totaled $251.3 million. These borrowings carried a weighted average interest rate of 2.4%, including the effect of the interest rate swaps described below in Note 9 “Derivative Instruments and Hedging Activity."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June 30, 2015, we had outstanding letters of credit totaling $5.3 million, which are primarily used as security deposits for our office facilities. As of June 30, 2015, the unused borrowing capacity under the revolving credit facility was $243.5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borrowings under the Amended Credit Agreement will be due upon expiration of the Amended Credit Agreement on March 31,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During the second quarter of 2015, we incurred a $0.6 million pretax restructuring charge primarily related to workforce reductions in our All Other segment as we continue to wind down our public sector consulting practice and our foreign consulting operations based in the Middle East. During the first quarter of 2015, we incurred a $1.6 million pretax restructuring charge primarily related to workforce reductions. Of the $1.6 million charge, $1.0 million related to our Huron Legal segment, $0.5 million related to our All Other segment, and the remaining $0.1 million related to our corporate operations.</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 During the first quarter of 2014, we incurred a $0.1 million pretax restructuring charge related to workforce reductions in our London office to better align our resources with market demand in our Huron Legal segment.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2015, our restructuring charge liability was $1.6 million, $1.3 million of which represents the present value of remaining lease payments, net of estimated sublease income, for our vacated office spaces in Washington, D.C. and Chicago, and $0.3 million of which represents the severance payments to be paid to those employees impacted by the workforce reductions discussed above. As of December 31, 2014, our restructuring charge liability was $1.2 million, and primarily consisted of the present value of remaining lease payments, net of estimated sublease income, for our vacated office spaces in Washington, D.C., Chicago, and New York. The restructuring charge liabilities are included as a component of Accrued expenses and Deferred compensation and other liabilities.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2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7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June 30, 2015, it was anticipated that $0.3 million of the losses, net of tax, currently recorded in accumulated other comprehensive income will be reclassified into earnings within the next 12 months. Our interest rate swap agreements were effective during the three and six months ended June 30, 2015, inclusive of consideration of our credit facility amendment discussed in Note 7 “Financing Arrangements.”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June 30, 2015 and December 31, 2014.</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8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r>
      <w:tr>
        <w:trPr>
          <w:trHeight w:val="27"/>
        </w:trPr>
        <w:tc>
          <w:tcPr>
            <w:tcW w:w="4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All of the Company’s derivative instruments as of June 30, 2015 and December 31, 2014 were held with the same counterparty.</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Certain of our assets and liabilities are measured at fair value.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pacing w:after="0" w:line="357"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Level 1 Inputs</w:t>
      </w:r>
      <w:r>
        <w:rPr>
          <w:sz w:val="20"/>
          <w:szCs w:val="20"/>
          <w:color w:val="auto"/>
        </w:rPr>
        <w:tab/>
      </w:r>
      <w:r>
        <w:rPr>
          <w:rFonts w:ascii="Arial" w:cs="Arial" w:eastAsia="Arial" w:hAnsi="Arial"/>
          <w:sz w:val="16"/>
          <w:szCs w:val="16"/>
          <w:color w:val="auto"/>
        </w:rPr>
        <w:t>Quoted prices in active markets for identical assets or liabilities that the reporting entity has the ability to access at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measurement date.</w:t>
      </w:r>
    </w:p>
    <w:p>
      <w:pPr>
        <w:spacing w:after="0" w:line="170"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Level 2 Inputs</w:t>
      </w:r>
      <w:r>
        <w:rPr>
          <w:sz w:val="20"/>
          <w:szCs w:val="20"/>
          <w:color w:val="auto"/>
        </w:rPr>
        <w:tab/>
      </w:r>
      <w:r>
        <w:rPr>
          <w:rFonts w:ascii="Arial" w:cs="Arial" w:eastAsia="Arial" w:hAnsi="Arial"/>
          <w:sz w:val="16"/>
          <w:szCs w:val="16"/>
          <w:color w:val="auto"/>
        </w:rPr>
        <w:t>Quoted prices in active markets for similar assets or liabilities; quoted prices for identical or similar assets or liabilities in</w:t>
      </w:r>
    </w:p>
    <w:p>
      <w:pPr>
        <w:spacing w:after="0" w:line="23" w:lineRule="exact"/>
        <w:rPr>
          <w:sz w:val="20"/>
          <w:szCs w:val="20"/>
          <w:color w:val="auto"/>
        </w:rPr>
      </w:pPr>
    </w:p>
    <w:p>
      <w:pPr>
        <w:ind w:left="2540" w:right="240"/>
        <w:spacing w:after="0" w:line="290" w:lineRule="auto"/>
        <w:rPr>
          <w:sz w:val="20"/>
          <w:szCs w:val="20"/>
          <w:color w:val="auto"/>
        </w:rPr>
      </w:pPr>
      <w:r>
        <w:rPr>
          <w:rFonts w:ascii="Arial" w:cs="Arial" w:eastAsia="Arial" w:hAnsi="Arial"/>
          <w:sz w:val="17"/>
          <w:szCs w:val="17"/>
          <w:color w:val="auto"/>
        </w:rPr>
        <w:t>markets that are not active; inputs other than quoted prices that are observable for the asset or liability; or inputs that are derived principally from or corroborated by observable market data by correlation or other means.</w:t>
      </w:r>
    </w:p>
    <w:p>
      <w:pPr>
        <w:spacing w:after="0" w:line="121"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2015 and December 31, 2014.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Quoted Prices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Active</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Markets for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Unobservable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22,050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24,279</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2,137</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12,250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14,559</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0"/>
        </w:trPr>
        <w:tc>
          <w:tcPr>
            <w:tcW w:w="4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As part of the consideration received for the sale of our Accounting Advisory practice on December 30, 2011, the Company received a $3.5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promissory note payable over four years. During the second quarter of 2014, we agreed to amend and restate the note such that principal payments will be paid to the Company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increase in the fair value of the note during the first six months of 2015 reflects the accretion of interest income in excess of interest payments received. The</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portion of the note expected to be received in the next twelve months is recorded as a receivable in Prepaid expenses and other current assets. The remaining portion of the note is recorded in Other non-current assets.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the interest rate swaps was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12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Convertible debt investment: </w:t>
      </w:r>
      <w:r>
        <w:rPr>
          <w:rFonts w:ascii="Arial" w:cs="Arial" w:eastAsia="Arial" w:hAnsi="Arial"/>
          <w:sz w:val="17"/>
          <w:szCs w:val="17"/>
          <w:color w:val="auto"/>
        </w:rPr>
        <w:t>In the third quarter of 2014, we invested $12.5 million, in the form of zero coupon convertible debt, in Shorelight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LLC (“Shorelight”), the parent company of Shorelight Education, a U.S.-based company that partners with leading nonprofit universities to increase access and retention of international students, boost institutional growth, and enhance an institution’s global footprint. In March 2015, we purchased an additional $2.5 million convertible note of Shorelight, and in May 2015, we purchased an additional $0.6 million convertible note, increasing the cost basis of our investment to $15.6 million. The notes will mature on July 1, 2020, unless converted earlier.</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 in accordance with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estimated the fair value of our investment using cash flow projections discounted at a risk-adjusted rate and certain assumptions related to equity volatility, default probability, and recovery rate, all of which are Level 3 inputs. In arriving at the estimated fair value, we also considered the probability-weighted likelihood of conversion of the notes, in accordance with the various conversion features of the notes.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of 2015, Shorelight sought additional financing from new third-party investors in order to help fund their continued growth. During the financing process, interest from potential investors indicated that the fair value of the business had increased since we initially invested in the business in the third quarter of 2014. As a result, the estimated fair value of our convertible debt investment increased during the second quarter of 2015 and we recorded an unrealized gain of $6.7 million as a component of other comprehensive income during the period. The fair value of the convertible debt investment is recorded in Long-term investment.</w:t>
      </w:r>
    </w:p>
    <w:p>
      <w:pPr>
        <w:spacing w:after="0" w:line="18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Contingent consideration for business acquisitions: </w:t>
      </w:r>
      <w:r>
        <w:rPr>
          <w:rFonts w:ascii="Arial" w:cs="Arial" w:eastAsia="Arial" w:hAnsi="Arial"/>
          <w:sz w:val="16"/>
          <w:szCs w:val="16"/>
          <w:color w:val="auto"/>
        </w:rPr>
        <w:t>We estimate the fair value of acquisition-related contingent consideration using either a probability-weighted discounted cash flow model or a Monte Carlo simulation model, as appropriate. These fair value measurements are based on significant inputs not observable in the market and thus represent Level 3 measurements. The significant unobservable inputs used in the fair value measurements of our contingent consideration are our measures of the estimated payouts based on internally generated financial projections and discount rates. The fair value of the contingent consideration is reassessed quarterly based on assumptions used in our latest projections and input provided by practice leaders and management. Any change in the fair value estimate is recorded in the earnings of that period. During the first quarter of 2015, we recorded a $0.9 million contingent consideration liability for one acquisition completed during the quarter. In addition, we determined that the fair value of another contingent consideration liability had declined to zero and recorded a remeasurement gain of $0.3 million. There was no change to the fair value of the outstanding contingent consideration liabilities for the quarter ended June 30, 2015. Refer to Note 5 “Acquisitions” for information on the acquisitions completed in 2015. At</w:t>
      </w:r>
    </w:p>
    <w:p>
      <w:pPr>
        <w:spacing w:after="0" w:line="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June 30, 2015, the current portion of the contingent consideration liability is recorded in Accrued expenses and the long-term portion is recorded in Deferred compensation and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 of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7 “Financing Arrangements.”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800"/>
              <w:spacing w:after="0"/>
              <w:rPr>
                <w:sz w:val="20"/>
                <w:szCs w:val="20"/>
                <w:color w:val="auto"/>
              </w:rPr>
            </w:pPr>
            <w:r>
              <w:rPr>
                <w:rFonts w:ascii="Arial" w:cs="Arial" w:eastAsia="Arial" w:hAnsi="Arial"/>
                <w:sz w:val="18"/>
                <w:szCs w:val="18"/>
                <w:b w:val="1"/>
                <w:bCs w:val="1"/>
                <w:color w:val="auto"/>
              </w:rPr>
              <w:t>June 30, 2015</w:t>
            </w:r>
          </w:p>
        </w:tc>
        <w:tc>
          <w:tcPr>
            <w:tcW w:w="280" w:type="dxa"/>
            <w:vAlign w:val="bottom"/>
          </w:tcPr>
          <w:p>
            <w:pPr>
              <w:spacing w:after="0"/>
              <w:rPr>
                <w:sz w:val="20"/>
                <w:szCs w:val="20"/>
                <w:color w:val="auto"/>
              </w:rPr>
            </w:pPr>
          </w:p>
        </w:tc>
        <w:tc>
          <w:tcPr>
            <w:tcW w:w="294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00" w:type="dxa"/>
            <w:vAlign w:val="bottom"/>
          </w:tcPr>
          <w:p>
            <w:pPr>
              <w:ind w:left="1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216,380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268,103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212,852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261,903</w:t>
            </w:r>
          </w:p>
        </w:tc>
      </w:tr>
      <w:tr>
        <w:trPr>
          <w:trHeight w:val="27"/>
        </w:trPr>
        <w:tc>
          <w:tcPr>
            <w:tcW w:w="3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difference between the $250 million principal amount of the Convertible Notes and the carrying amount represents the unamortized debt discount. As of June 30, 2015 and December 31, 2014, the carrying value of the equity component of $39.3 million was unchanged from the date of issuance. Refer to Note 7 “Financing Arrangements” for additional details of our Convertible Notes. The estimated fair value of the Convertible Notes was determined based on the quoted bid price of the Convertible Notes in an over-the-counter market, which is a Level 2 input, on the last day of trading for the quarter ended June 30, 2015 and December 31, 2014.</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 closing price of our common stock of $70.09 on June 30, 2015, the if-converted value of the Convertible Notes was less than the principal amount.</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the components of other comprehensive income, net of tax, for the three and six months ended June 30, 2015 and 2014.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2014</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7,617</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2015</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Tax</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(Expense)</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Benefit</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32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net of tax, includes the following components: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Unrealized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Unrealized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Gain (Loss) on</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Loss on</w:t>
            </w:r>
          </w:p>
        </w:tc>
        <w:tc>
          <w:tcPr>
            <w:tcW w:w="20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Derivatives</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4,388</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effective tax rates for the three months ended June 30, 2015 and 2014 were 40.2% and 38.9%, respectively. The Company's effective tax rates for the six months ended June 30, 2015 and 2014 were 42.1% and 26.2%. The effective tax rate for the three months ended June 30, 2015 was higher than the statutory rate, inclusive of state income taxes, primarily due to certain non-deductible business expenses. The effective tax rate for the six months ended June 30, 2015 was higher than the statutory rate, inclusive of state income taxes, primarily due to certain non-deductible business expenses and foreign losses with no tax benefit.</w:t>
      </w:r>
    </w:p>
    <w:p>
      <w:pPr>
        <w:spacing w:after="0" w:line="13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effective tax rate for the second quarter of 2014 was lower than the statutory tax rate, inclusive of state income taxes, primarily due to tax benefits recognized on foreign losses, partially offset by certain non-deductible business expenses. The effective tax rate for the first six months of 2014 was lower than the statutory tax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in the first quarter of 2014 related to the establishment of a valuation allowance for certain foreign tax credits and increased deferred tax liabilities as a result of the aforementioned election.</w:t>
      </w:r>
    </w:p>
    <w:p>
      <w:pPr>
        <w:spacing w:after="0" w:line="217" w:lineRule="exact"/>
        <w:rPr>
          <w:sz w:val="20"/>
          <w:szCs w:val="20"/>
          <w:color w:val="auto"/>
        </w:rPr>
      </w:pPr>
    </w:p>
    <w:p>
      <w:pPr>
        <w:ind w:right="7620" w:firstLine="8"/>
        <w:spacing w:after="0" w:line="378"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22, 2013, we learned that Tamalluk Business Development LLC, who was Huron’s agent in Abu Dhabi, and its principal, Mubarak Ahmad Bin Hamouda Al Dhaheri, filed a claim against Huron Consulting Services LLC in the Abu Dhabi</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3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While we believe that we have meritorious defenses against the claim and intend to vigorously defend ourselves, in the second quarter of 2015, we recorded a $1.3 million accrued liability, in accordance with ASC Topic 450, related to this matter, and a $0.5 million insurance receivable.</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Guarantees in the form of letters of credit totaling $5.3 million and $5.1 million were outstanding at June 30, 2015 and December 31, 2014, respectively, primarily to support certain office lease obligations.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Segments are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Education and Life Sciences, Huron Legal, Huron Business Advisory, and All Other.</w:t>
      </w:r>
    </w:p>
    <w:p>
      <w:pPr>
        <w:spacing w:after="0" w:line="9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Huron Healthcare</w:t>
      </w:r>
    </w:p>
    <w:p>
      <w:pPr>
        <w:spacing w:after="0" w:line="121"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rapidly-evolving healthcare environment and to improve quality, increase revenue, reduce expenses, and enhance patient, physician,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04" w:lineRule="exact"/>
        <w:rPr>
          <w:rFonts w:ascii="Arial" w:cs="Arial" w:eastAsia="Arial" w:hAnsi="Arial"/>
          <w:sz w:val="18"/>
          <w:szCs w:val="18"/>
          <w:b w:val="1"/>
          <w:bCs w:val="1"/>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3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129"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Huron Legal</w:t>
      </w:r>
    </w:p>
    <w:p>
      <w:pPr>
        <w:spacing w:after="0" w:line="135"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Our Huron Legal segment provides consulting and technology-enabled services to assist law departments of major global corporations and their associated law firms with cost and risk reduction and operational efficiency. Our professionals and business solutions focus on four primary areas: electronic discovery and litigation management, law department management, information governance and compliance, and legal analytics. Our clients benefit from the experience of business, discovery, and technical consultants who are experts in the legal, compliance, technology, and management fields.</w:t>
      </w:r>
    </w:p>
    <w:p>
      <w:pPr>
        <w:spacing w:after="0" w:line="103"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3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 Also included in the Huron Business Advisory segment is our Enterprise Performance Management and Analytics practice, which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 helps global clients across industries drive results and gain a competitive advantage.</w:t>
      </w:r>
    </w:p>
    <w:p>
      <w:pPr>
        <w:spacing w:after="0" w:line="9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b w:val="1"/>
          <w:bCs w:val="1"/>
          <w:color w:val="auto"/>
        </w:rPr>
      </w:pPr>
    </w:p>
    <w:p>
      <w:pPr>
        <w:ind w:left="660" w:right="4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All Other segment consists of any line of business not managed by our other four operating segments. These businesses include our public sector consulting practice and our foreign consulting operations based in the Middle East, which we are in the process of winding down.</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and finance, human resources, legal, marketing, information technology, and Company-wide business development functions, as well as costs related to overall corporate management.</w:t>
      </w:r>
    </w:p>
    <w:p>
      <w:pPr>
        <w:spacing w:after="0" w:line="11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six months ended June 30, 2015 and 2014, along with the items necessary to reconcile the segment information to the totals reported in the accompanying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118,506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100,967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216,510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208,515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89,695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42,939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37,747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82,836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71,323</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18,080</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Legal: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39,626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53,296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73,053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108,271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28,278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22,186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16,574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29,956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7,684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2,071</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223,644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209,405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411,497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420,136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38,544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40,244</w:t>
            </w: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245,033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230,546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450,041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460,380</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75,144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70,507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120,103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142,759</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operating expenses and gains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30,052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30,217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58,466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54,594</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12,323</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4,597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2,620</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73,222</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2015 and December 31, 2014, no single client accounted for greater than 10% of our combined receivables and unbilled services balances. During the three and six months ended June 30, 2015 and 2014, no single client generated greater than 10% of our consolidated revenues.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2014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450 health systems, hospitals, and academic medical centers; more than 400 corporate general counsel; and more than 400 universities and research institutions. We are a Platinum level member of the Oracle PartnerNetwork (OPN), a Workday Services Partner, and a Silver Partner of the Salesforce.com partner network.</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provide our services through five operating segments: Huron Healthcare, Huron Education and Life Sciences, Huron Legal, Huron Business Advisory, and All Other.</w:t>
      </w:r>
    </w:p>
    <w:p>
      <w:pPr>
        <w:spacing w:after="0" w:line="139" w:lineRule="exact"/>
        <w:rPr>
          <w:sz w:val="20"/>
          <w:szCs w:val="20"/>
          <w:color w:val="auto"/>
        </w:rPr>
      </w:pPr>
    </w:p>
    <w:p>
      <w:pPr>
        <w:ind w:left="740" w:hanging="732"/>
        <w:spacing w:after="0"/>
        <w:tabs>
          <w:tab w:leader="none" w:pos="7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Huron Healthcare</w:t>
      </w:r>
    </w:p>
    <w:p>
      <w:pPr>
        <w:spacing w:after="0" w:line="121" w:lineRule="exact"/>
        <w:rPr>
          <w:rFonts w:ascii="Arial" w:cs="Arial" w:eastAsia="Arial" w:hAnsi="Arial"/>
          <w:sz w:val="18"/>
          <w:szCs w:val="18"/>
          <w:b w:val="1"/>
          <w:bCs w:val="1"/>
          <w:color w:val="auto"/>
        </w:rPr>
      </w:pPr>
    </w:p>
    <w:p>
      <w:pPr>
        <w:ind w:left="7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rapidly-evolving healthcare environment and to improve quality, increase revenue, reduce expenses, and enhance patient, physician,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rFonts w:ascii="Arial" w:cs="Arial" w:eastAsia="Arial" w:hAnsi="Arial"/>
          <w:sz w:val="18"/>
          <w:szCs w:val="18"/>
          <w:b w:val="1"/>
          <w:bCs w:val="1"/>
          <w:color w:val="auto"/>
        </w:rPr>
      </w:pPr>
    </w:p>
    <w:p>
      <w:pPr>
        <w:ind w:left="740" w:hanging="732"/>
        <w:spacing w:after="0"/>
        <w:tabs>
          <w:tab w:leader="none" w:pos="7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Huron Education and Life Sciences</w:t>
      </w:r>
    </w:p>
    <w:p>
      <w:pPr>
        <w:spacing w:after="0" w:line="121" w:lineRule="exact"/>
        <w:rPr>
          <w:rFonts w:ascii="Arial" w:cs="Arial" w:eastAsia="Arial" w:hAnsi="Arial"/>
          <w:sz w:val="18"/>
          <w:szCs w:val="18"/>
          <w:b w:val="1"/>
          <w:bCs w:val="1"/>
          <w:color w:val="auto"/>
        </w:rPr>
      </w:pPr>
    </w:p>
    <w:p>
      <w:pPr>
        <w:jc w:val="both"/>
        <w:ind w:left="740" w:right="6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right="100"/>
        <w:spacing w:after="0" w:line="277" w:lineRule="auto"/>
        <w:rPr>
          <w:sz w:val="20"/>
          <w:szCs w:val="20"/>
          <w:color w:val="auto"/>
        </w:rPr>
      </w:pPr>
      <w:r>
        <w:rPr>
          <w:rFonts w:ascii="Arial" w:cs="Arial" w:eastAsia="Arial" w:hAnsi="Arial"/>
          <w:sz w:val="18"/>
          <w:szCs w:val="18"/>
          <w:color w:val="auto"/>
        </w:rPr>
        <w:t>address challenges relating to financial management, strategy, operational and organizational effectiveness, research administration, and regulatory compliance.</w:t>
      </w:r>
    </w:p>
    <w:p>
      <w:pPr>
        <w:spacing w:after="0" w:line="112" w:lineRule="exact"/>
        <w:rPr>
          <w:sz w:val="20"/>
          <w:szCs w:val="20"/>
          <w:color w:val="auto"/>
        </w:rPr>
      </w:pPr>
    </w:p>
    <w:p>
      <w:pPr>
        <w:ind w:left="740" w:hanging="732"/>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Huron Legal</w:t>
      </w:r>
    </w:p>
    <w:p>
      <w:pPr>
        <w:spacing w:after="0" w:line="121" w:lineRule="exact"/>
        <w:rPr>
          <w:rFonts w:ascii="Arial" w:cs="Arial" w:eastAsia="Arial" w:hAnsi="Arial"/>
          <w:sz w:val="18"/>
          <w:szCs w:val="18"/>
          <w:b w:val="1"/>
          <w:bCs w:val="1"/>
          <w:color w:val="auto"/>
        </w:rPr>
      </w:pPr>
    </w:p>
    <w:p>
      <w:pPr>
        <w:ind w:left="74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Huron Legal segment provides consulting and technology-enabled services to assist law departments of major global corporations and their associated law firms with cost and risk reduction and operational efficiency. Our professionals and business solutions focus on four primary areas: electronic discovery and litigation management, law department management, information governance and compliance, and legal analytics. Our clients benefit from the experience of business, discovery, and technical consultants who are experts in the legal, compliance, technology, and management fields.</w:t>
      </w:r>
    </w:p>
    <w:p>
      <w:pPr>
        <w:spacing w:after="0" w:line="157" w:lineRule="exact"/>
        <w:rPr>
          <w:rFonts w:ascii="Arial" w:cs="Arial" w:eastAsia="Arial" w:hAnsi="Arial"/>
          <w:sz w:val="18"/>
          <w:szCs w:val="18"/>
          <w:b w:val="1"/>
          <w:bCs w:val="1"/>
          <w:color w:val="auto"/>
        </w:rPr>
      </w:pPr>
    </w:p>
    <w:p>
      <w:pPr>
        <w:ind w:left="740" w:hanging="732"/>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21" w:lineRule="exact"/>
        <w:rPr>
          <w:rFonts w:ascii="Arial" w:cs="Arial" w:eastAsia="Arial" w:hAnsi="Arial"/>
          <w:sz w:val="18"/>
          <w:szCs w:val="18"/>
          <w:b w:val="1"/>
          <w:bCs w:val="1"/>
          <w:color w:val="auto"/>
        </w:rPr>
      </w:pPr>
    </w:p>
    <w:p>
      <w:pPr>
        <w:ind w:left="7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 Also included in the Huron Business Advisory segment is our Enterprise Performance Management and Analytics practice, which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 helps global clients across industries drive results and gain a competitive advantage.</w:t>
      </w:r>
    </w:p>
    <w:p>
      <w:pPr>
        <w:spacing w:after="0" w:line="131" w:lineRule="exact"/>
        <w:rPr>
          <w:rFonts w:ascii="Arial" w:cs="Arial" w:eastAsia="Arial" w:hAnsi="Arial"/>
          <w:sz w:val="18"/>
          <w:szCs w:val="18"/>
          <w:b w:val="1"/>
          <w:bCs w:val="1"/>
          <w:color w:val="auto"/>
        </w:rPr>
      </w:pPr>
    </w:p>
    <w:p>
      <w:pPr>
        <w:ind w:left="740" w:hanging="732"/>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b w:val="1"/>
          <w:bCs w:val="1"/>
          <w:color w:val="auto"/>
        </w:rPr>
      </w:pPr>
    </w:p>
    <w:p>
      <w:pPr>
        <w:ind w:left="740" w:right="3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All Other segment consists of any line of business not managed by our other four operating segments. These businesses include our public sector consulting practice and our foreign consulting operations based in the Middle East, which we are in the process of winding down.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Studer Group</w:t>
      </w:r>
    </w:p>
    <w:p>
      <w:pPr>
        <w:spacing w:after="0" w:line="11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February 12, 2015, we completed our acquisition of Studer Group in exchange for consideration with a fair value of approximately $325.2 million, consisting of $323.2 million in cash, $2.2 million in Huron common stock, and a net working capital adjustment receivable of $0.2 million. The cash portion of the acquisition was funded with available cash on hand and $102.0 million of borrowings under our senior secured credit facility. Studer Group is a premier professional services firm that assists healthcare providers achieve cultural transformation to deliver and sustain improvement in clinical outcomes and financial results. The acquisition combines our Huron Healthcare segment’s performance improvement and clinical transformation capabilities with Studer Group’s Evidence-Based Leadership</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 Studer Group’s results of operations have been included in our consolidated financial statements and the segment operating results of Huron Healthcare from the date of acquisition.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 Analytics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January 1, 2015, we completed our acquisition of Sky Analytics, Inc. in exchange for consideration with a fair value of approximately $9.7 million. This included cash of $8.8 million and contingent consideration with a fair value of $0.9 million at the acquisition date. Sky Analytics is a Massachusetts-based provider of legal spend management software for corporate law departments. The addition strengthens our Huron Legal segment’s law department management offering and complements our deep consulting expertise. Sky Analytics’ results of operations have been included in our consolidated financial statements and the segment operating results of Huron Legal from the date of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large portion of our revenues is generated by our full-time billable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equivalents include specialized finance and operational consultants, our document review and electronic data discovery groups, our cultural transformation consultants from the Studer Group acquisition, which include coaches and their support staff, and our employees who provide software support and maintenance services to our clients. Our document review and electronic data discovery groups generate revenues primarily based on the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 Revenues generated by our coaches are largely dependent on the number of coaches we employ and the total value, scope, and terms of the consulting contracts under which they provide services, which are primarily fixed-fee contracts.</w:t>
      </w:r>
    </w:p>
    <w:p>
      <w:pPr>
        <w:spacing w:after="0" w:line="1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38.9% and 47.2% of our revenues for the three months ended June 30, 2015 and 2014, respectively, and 40.4% and 45.3% of our revenues for the six months ended June 30, 2015 and 2014, respectively.</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5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Fixed-fee arrangements also include our software license and subscription revenue, which is primarily derived from revenue cycle management software, research administration and compliance software, and subscriptions to our cloud-based analytic tools and solutions.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 Subscription revenue from our cloud-based solutions is recognized on a straight-line basis over the term of the customer contract.</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Fixed-fee engagements represented 48.4% and 40.5% of our revenues for the three months ended June 30, 2015 and 2014, respectively, and 47.5% and 39.3% of our revenues for the six months ended June 30, 2015 and 2014, respectively.</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9.1% and 9.3% of our revenues for the three months ended June 30, 2015 and 2014, respectively, and 8.2% and 12.4% of our revenues for the six months ended June 30, 2015 and 2014, respectively. Performance-based fee engagements may cause significant variations in quarterly revenues and operating results depending on the timing of achieving the performance-based criteria.</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Clients who have purchased one of our software licenses can pay an additional fee for software support and maintenance. The software support and maintenance fee revenue is recognized ratably over the support period, which is generally one year. These fees are billed in advance and included in deferred revenues until recognized. Support and maintenance revenues represented 3.6% and 3.0% of our revenues for the three months ended June 30, 2015 and 2014, respectively, and 3.9% and 3.0% of our revenues for the six months ended June 30, 2015 and 2014, respectively.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Huron Healthcare: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118,506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100,967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208,515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45,531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38,475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74,511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89,695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71,323</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11,633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24,954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Huron Legal:</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73,053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108,271</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15,790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13,877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29,956</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6,684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8,283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209,405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420,136</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21,389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21,141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38,544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40,244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 and reimbursable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245,033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230,546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450,041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460,380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142,759</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 and gains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58,466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54,594</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36,092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44,860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75,842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4"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204"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Operating Data (continued):</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(4)</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Huron Legal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Huron Business Advisory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23"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540" w:right="220" w:hanging="532"/>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540" w:hanging="532"/>
        <w:spacing w:after="0" w:line="281"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consultants who work variable schedules as needed by our clients, as well as other professionals who generate revenues primarily based on number of hours worked and units produced, such as pages reviewed and data processed. Also includes our cultural transformation consultants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1337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540" w:right="160"/>
        <w:spacing w:after="0" w:line="250" w:lineRule="auto"/>
        <w:rPr>
          <w:sz w:val="20"/>
          <w:szCs w:val="20"/>
          <w:color w:val="auto"/>
        </w:rPr>
      </w:pPr>
      <w:r>
        <w:rPr>
          <w:rFonts w:ascii="Arial" w:cs="Arial" w:eastAsia="Arial" w:hAnsi="Arial"/>
          <w:sz w:val="18"/>
          <w:szCs w:val="18"/>
          <w:color w:val="auto"/>
        </w:rPr>
        <w:t>the Studer Group acquisition, which include coaches and their support staff, and full-time employees who provide software support and maintenance services to our clients.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223,644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209,405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411,497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420,136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19,913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20,335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19,183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and 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14,714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4"/>
              </w:rPr>
              <w:t>Earnings before interest, taxes, depreciation and amortization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69,118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90,556</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Litigation and other (gains) losses</w:t>
            </w: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51,408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42,174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71,829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91,279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Litigation and other (gains) losses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effect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Net tax benefit related to “check-the-box” election</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22,017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125"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17" w:lineRule="exact"/>
        <w:rPr>
          <w:sz w:val="20"/>
          <w:szCs w:val="20"/>
          <w:color w:val="auto"/>
        </w:rPr>
      </w:pPr>
    </w:p>
    <w:p>
      <w:pPr>
        <w:ind w:firstLine="1053"/>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71" w:lineRule="exact"/>
        <w:rPr>
          <w:sz w:val="20"/>
          <w:szCs w:val="20"/>
          <w:color w:val="auto"/>
        </w:rPr>
      </w:pPr>
    </w:p>
    <w:p>
      <w:pPr>
        <w:ind w:right="340" w:firstLine="1053"/>
        <w:spacing w:after="0" w:line="277" w:lineRule="auto"/>
        <w:rPr>
          <w:sz w:val="20"/>
          <w:szCs w:val="20"/>
          <w:color w:val="auto"/>
        </w:rPr>
      </w:pPr>
      <w:r>
        <w:rPr>
          <w:rFonts w:ascii="Arial" w:cs="Arial" w:eastAsia="Arial" w:hAnsi="Arial"/>
          <w:sz w:val="18"/>
          <w:szCs w:val="18"/>
          <w:i w:val="1"/>
          <w:iCs w:val="1"/>
          <w:color w:val="auto"/>
        </w:rPr>
        <w:t xml:space="preserve">Litigation and other (gains) losses: </w:t>
      </w:r>
      <w:r>
        <w:rPr>
          <w:rFonts w:ascii="Arial" w:cs="Arial" w:eastAsia="Arial" w:hAnsi="Arial"/>
          <w:sz w:val="18"/>
          <w:szCs w:val="18"/>
          <w:color w:val="auto"/>
        </w:rPr>
        <w:t>We have excluded the effect of the litigation accrual and the remeasurement gains related to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liabilities for business acquisitions to permit comparability with periods that were not impacted by these items.</w:t>
      </w:r>
    </w:p>
    <w:p>
      <w:pPr>
        <w:spacing w:after="0" w:line="170" w:lineRule="exact"/>
        <w:rPr>
          <w:sz w:val="20"/>
          <w:szCs w:val="20"/>
          <w:color w:val="auto"/>
        </w:rPr>
      </w:pPr>
    </w:p>
    <w:p>
      <w:pPr>
        <w:ind w:right="40" w:firstLine="1053"/>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above. Amortization of intangibles is inconsistent in its amount and frequency and is significantly affected by the timing and size of our acquisitions.</w:t>
      </w:r>
    </w:p>
    <w:p>
      <w:pPr>
        <w:spacing w:after="0" w:line="181" w:lineRule="exact"/>
        <w:rPr>
          <w:sz w:val="20"/>
          <w:szCs w:val="20"/>
          <w:color w:val="auto"/>
        </w:rPr>
      </w:pPr>
    </w:p>
    <w:p>
      <w:pPr>
        <w:ind w:right="20" w:firstLine="1053"/>
        <w:spacing w:after="0" w:line="259"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225" w:lineRule="exact"/>
        <w:rPr>
          <w:sz w:val="20"/>
          <w:szCs w:val="20"/>
          <w:color w:val="auto"/>
        </w:rPr>
      </w:pPr>
    </w:p>
    <w:p>
      <w:pPr>
        <w:jc w:val="both"/>
        <w:ind w:right="300" w:firstLine="1053"/>
        <w:spacing w:after="0" w:line="264" w:lineRule="auto"/>
        <w:rPr>
          <w:sz w:val="20"/>
          <w:szCs w:val="20"/>
          <w:color w:val="auto"/>
        </w:rPr>
      </w:pPr>
      <w:r>
        <w:rPr>
          <w:rFonts w:ascii="Arial" w:cs="Arial" w:eastAsia="Arial" w:hAnsi="Arial"/>
          <w:sz w:val="18"/>
          <w:szCs w:val="18"/>
          <w:i w:val="1"/>
          <w:iCs w:val="1"/>
          <w:color w:val="auto"/>
        </w:rPr>
        <w:t xml:space="preserve">Net tax benefit related to “check-the-box” election: </w:t>
      </w:r>
      <w:r>
        <w:rPr>
          <w:rFonts w:ascii="Arial" w:cs="Arial" w:eastAsia="Arial" w:hAnsi="Arial"/>
          <w:sz w:val="18"/>
          <w:szCs w:val="18"/>
          <w:color w:val="auto"/>
        </w:rPr>
        <w:t>We have excluded the effect of the net tax benefit from our “check-the-box”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one of our wholly-owned foreign subsidiaries as a disregarded entity for U.S. federal income tax purposes during the first quarter of 2014 because its exclusion permits comparability with periods that were not impacted by this item.</w:t>
      </w:r>
    </w:p>
    <w:p>
      <w:pPr>
        <w:spacing w:after="0" w:line="181" w:lineRule="exact"/>
        <w:rPr>
          <w:sz w:val="20"/>
          <w:szCs w:val="20"/>
          <w:color w:val="auto"/>
        </w:rPr>
      </w:pPr>
    </w:p>
    <w:p>
      <w:pPr>
        <w:ind w:right="80" w:firstLine="1053"/>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860"/>
        <w:spacing w:after="0" w:line="378" w:lineRule="auto"/>
        <w:rPr>
          <w:sz w:val="20"/>
          <w:szCs w:val="20"/>
          <w:color w:val="auto"/>
        </w:rPr>
      </w:pPr>
      <w:r>
        <w:rPr>
          <w:rFonts w:ascii="Arial" w:cs="Arial" w:eastAsia="Arial" w:hAnsi="Arial"/>
          <w:sz w:val="18"/>
          <w:szCs w:val="18"/>
          <w:b w:val="1"/>
          <w:bCs w:val="1"/>
          <w:color w:val="auto"/>
        </w:rPr>
        <w:t>Three Months Ended June 30, 2015 Compared to Three Months Ended June 30, 2014 Revenues</w:t>
      </w:r>
    </w:p>
    <w:p>
      <w:pPr>
        <w:ind w:right="280"/>
        <w:spacing w:after="0" w:line="259" w:lineRule="auto"/>
        <w:rPr>
          <w:sz w:val="20"/>
          <w:szCs w:val="20"/>
          <w:color w:val="auto"/>
        </w:rPr>
      </w:pPr>
      <w:r>
        <w:rPr>
          <w:rFonts w:ascii="Arial" w:cs="Arial" w:eastAsia="Arial" w:hAnsi="Arial"/>
          <w:sz w:val="18"/>
          <w:szCs w:val="18"/>
          <w:color w:val="auto"/>
        </w:rPr>
        <w:t>Revenues increased $14.2 million, or 6.8%, to $223.6 million for the second quarter of 2015 from $209.4 million for the second quarter of 2014. Second quarter 2015 revenues included $25.7 million of incremental revenues from our acquisitions of Studer Group, Vonlay, LLC, Sky Analytics, and Threshold Consulting, Inc. Revenues in the second quarter of 2015 were negatively impacted by a $0.4 million charge related to the fair value adjustment of deferred revenue acquired in the Studer Group acquisition.</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Of the overall $14.2 million increase in revenues, $12.6 million was attributable to an increase in revenue from our full-time equivalents and $1.6 million was attributable to an increase in revenue from our full-time billable consultants. The increase in revenue attributable to full-time equivalents primarily reflected the revenue generated by our healthcare coaches in the Huron Healthcare segment, which was the result of our acquisition of Studer Group during the first quarter of 2015, partially offset by a decrease in demand for our discovery services in the Huron Legal segment. The increase in full-time billable consultant revenues was driven by increases in the average billing rate and average number of billable consultants, partially offset by a decrease in consultant utilization rate. As discussed below in Segment Results, the increase in revenue from full-time billable consultants primarily reflected strengthened demand for our services in the Huron Education and Life Sciences and Huron Business Advisory segments, partially offset by lower contingent fees and project timing in our Healthcare segment and decreased demand for our services in our Huron Legal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total direct costs increased $4.9 million, or 3.9%, to $130.5 million in the three months ended June 30, 2015, from $125.6 million in the three months ended June 30, 2014. The increase primarily related to a $7.5 million increase in salaries and related expenses for our revenue-generating professionals and a $3.7 million increase in intangible asset amortization expense, partially offset by a $3.6 million decrease in contractor expense and a $2.8 million decrease in bonus expense for our revenue-generating professionals. As a percentage of revenues, our total direct costs decreased to 58.3% during the second quarter of 2015 compared to 60.0% during the second quarter of 2014. This decrease primarily reflected the decreases in contractor expense and bonus expense for our revenue-generating professionals, partially offset by increases in intangible asset amortization expense and salaries and related expenses for our revenue-generating professionals as percentages of revenue.</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direct costs for the three months ended June 30, 2015 included $4.7 million of share-based compensation expense for our revenue-generating professionals compared to $3.8 million for the same prior year period. Share-based compensation expense increased as the value of awards granted during the first half of 2015 was greater than the value of prior year awards that became fully vested during 2014 and the first half of 2015. Total direct costs for the three months ended June 30, 2015 included $5.0 million of amortization expense for intangible assets and software development costs, primarily representing customer-related assets and software acquired in business combinations, compared to $1.3 million of amortization expense for the same prior year period. The $3.7 million increase in amortization expense was primarily attributable to $4.2 million of amortization of intangible assets acquired in the Studer Group acquisition, which we completed during the first quarter of 2015, partially offset by certain intangible assets that became fully amortized during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 and Losses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Selling, general and administrative expenses increased $3.5 million, or 8.1%, to $46.7 million in the second quarter of 2015 from $43.2 million in the second quarter of 2014. Selling, general and administrative expenses for the second quarter of 2015 included $7.2 million from Studer Group. The $3.5 million increase was primarily related to a $3.7 million increase in salaries and related expenses for our support personnel, a $1.0 million increase in facilities and other office related expenses, a $0.5 million increase in practice administration and meetings expense, and a $0.4 million increase in accounting, tax, and audit fees, partially offset by a $2.8 million decrease in bonus expense for our support personnel. As a percentage of revenues, selling, general and administrative expenses increased slightly to 20.9% during the second quarter of 2015 compared to 20.6% during the second quarter of 2014 due to the items described above.</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Restructuring charges for the second quarter of 2015 totaled $0.6 million and were primarily related to workforce reductions within our All Other segment as we continue to wind down our public sector consulting practice and our foreign consulting operations based in the Middle East. Restructuring charges for the second quarter of 2014 totaled $1.0 million and were primarily related to the consolidation of office spaces in Chicago, New York, and London. Of the total $1.0 million charge in the second quarter of 2014,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Litigation and other losses totaled $0.8 million for the second quarter of 2015 compared to a gain of $0.4 million for the second quarter of 2014. During the second quarter of 2015, we recorded a net litigation accrual of $0.8 million related to a pending legal matter, which is discussed in more detail in Item 1. "Legal Proceedings" under Part II - Other Information. During the second quarter of 2014, we determined that the fair value of our contingent consideration liability incurred in connection with a business acquisition had decreased and, as a result, recorded a $0.4 million remeasurement gain.</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Depreciation and amortization expense increased by $2.7 million to $9.0 million in the three months ended June 30, 2015, from $6.3 million in the three months ended June 30, 2014. The increase was primarily attributable to $2.1 million of amortization expense for intangible assets acquired in the Studer Group acquisition. Intangible asset amortization included within operating expenses relates to certain customer relationships, non-competition agreements, trade names, and licenses acquired in connection with our business acquisitions.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income increased $2.1 million, or 6.1%, to $36.1 million in the second quarter of 2015 from $34.0 million in the second quarter of 2014. Operating margin, which is defined as operating income expressed as a percentage of revenues, decreased to 16.1% in the three months ended June 30, 2015, compared to 16.2% in the three months ended June 30, 2014. The slight decrease in operating margin was primarily attributable to the increases in salaries and related expenses for both our revenue-generating professionals and support personnel as a percentage of revenues, as well as the increase in intangible asset amortization expense as a percentage of revenues and the litigation settlement loss during the second quarter of 2015. The unfavorable impact of these items was largely offset by the decrease in bonus expense for both our revenue-generating professionals and support personnel and the decrease in contractor expense during the second quarter of 2015 compared to the same period last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Total other expense, net increased by $3.2 million to $4.6 million in the second quarter of 2015 from $1.4 million in the second quarter of 2014. The increase was primarily attributable to a $3.2 million increase in interest expense due to our Convertible Notes issued in September 2014 and interest expense resulting from higher levels of borrowings under our credit facility. For the three months ended June 30, 2015, cash interest expense related to the coupon of the Convertible Notes was $0.8 million and the non-cash interest expense related to the amortization of the debt discount and amortization of debt issuance costs totaled $2.1 million. For the year ending December 31, 2015, we expect interest expense related to the coupon of the Convertible Notes to be $3.1 million and interest expense for the amortization of the debt discount and debt issuance costs related to the Convertible Notes to be $8.3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second quarter of 2015, we recognized income tax expense of $12.7 million on income of $31.5 million. For the second quarter of 2014, we recognized income tax expense of $12.7 million on income of $32.6 million. Our effective tax rate for the second quarter of 2015 was 40.2% compared with 38.9% for the same period last year. The effective tax rate for the three months ended June 30, 2015 was higher than the statutory rate, inclusive of state income taxes, primarily due to certain non-deductible business expenses. The effective tax rate for the three months ended June 30, 2014 was lower than the statutory rate, inclusive of state income taxes, primarily due to tax benefits recognized on foreign losses, partially offset by certain non-deductible business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Net income was $18.8 million for the three months ended June 30, 2015, compared to net income of $19.9 million for the same period last year. As a result of the decrease in net income, diluted earnings per share for the second quarter of 2015 was $0.83 compared to $0.86 for the second quarter of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EBITDA increased $8.5 million to $50.1 million for the three months ended June 30, 2015, from $41.6 million for the three months ended June 30, 2014. Adjusted EBITDA increased $9.2 million to $51.4 million in the second quarter of 2015 from $42.2 million in the second quarter of 2014. The increase in both EBITDA and Adjusted EBITDA was primarily due to the increase in segment operating income, exclusive of the increase in intangible asset amortization expense, as discussed below in Segment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Adjusted net income increased $3.9 million to $25.9 million in the second quarter of 2015 compared to $22.0 million in the second quarter of 2014. The increase was primarily attributable to the increase in segment operating income, partially offset by the increase in cash interest expense.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Huron Healthcare segment revenues increased $17.5 million, or 17.4%, to $118.5 million for the second quarter of 2015 from $101.0 million for the second quarter of 2014. Revenues for the second quarter of 2015 included $25.3 million of incremental revenues from our acquisitions of Studer Group and Vonlay, LLC. During the three months ended June 30, 2015, revenues from time-and-expense engagements, fixed-fee engagements, performance-based arrangements, and software support and maintenance arrangements represented 7.5%, 73.6%, 13.8%, and 5.1% of this segment’s revenues, respectively, compared to 6.0%, 70.2%, 19.2%, and 4.6%, respectively, for the comparable period in 2014.</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overall $17.5 million increase in revenues, $22.7 million was attributable to an increase in revenue from our full-time equivalents, partially offset by a $5.2 million decrease in revenue attributable to our full-time billable consultants.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increase in revenue attributable to our full-time equivalents reflected an increase in both the average number of full-time equivalents and revenue per full-time equivalent in the second quarter of 2015 compared to the same prior year period, and is primarily the result of our Studer Group acquisition.</w:t>
      </w:r>
    </w:p>
    <w:p>
      <w:pPr>
        <w:spacing w:after="0" w:line="12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a lower consultant utilization rate, partially offset by an increase in the average number of full-time billable consultants. The decrease in revenue was largely driven by the timing of the start-up of certain projects and lower performance-based fees. Performance-based fee revenue was $16.3 million during the second quarter of 2015 compared to $19.4 million during the second quarter of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Huron Healthcare segment operating income increased $7.1 million, or 18.3%, to $45.5 million for the three months ended June 30, 2015, from $38.5 million for the three months ended June 30, 2014. The Huron Healthcare segment operating margin, defined as segment operating income expressed as a percentage of segment revenues, increased slightly to 38.4% for the second quarter of 2015 from 38.1% in the same period last year. The increase in this segment’s operating margin was primarily attributable to a decrease in bonus expense for our revenue-generating professionals, and was largely offset by increases, as percentages of revenues, in salaries, bonuses and related expenses for our support personnel and intangible asset amortization expense related to our Studer Group acquisition.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Huron Education and Life Sciences segment revenues increased $5.2 million, or 13.8%, to $42.9 million for the second quarter of 2015 from $37.7 million for the second quarter of 2014. For the three months ended June 30, 2015, revenues from time-and-expense engagements, fixed-fee engagements, software support and maintenance arrangements, and performance-based arrangements represented 57.6%, 36.9%, 4.3%, and 1.2% of this segment’s revenues, respectively. For the three months ended June 30, 2014, revenues from time-and-expense engagements, fixed-fee engagements, and software support and maintenance arrangements represented 70.6%, 25.1%, and 4.3% of this segment's revenues, respectively.</w:t>
      </w:r>
    </w:p>
    <w:p>
      <w:pPr>
        <w:spacing w:after="0" w:line="15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Of the overall $5.2 million increase in revenues, $5.6 million was attributable to our full-time billable consultants, partially offset by a $0.4 million decrease in revenue attributable to our full-time equivalents. The increase in revenue from our full-time billable consultants primarily reflected increases in the consultant utilization rate, average billing rate, and the average number of full-time billable consultants. The decrease in revenue from our full-time equivalents reflected a decrease in the average number of full-time equivalents, partially offset by an increase in revenue per full-time equivalent.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Huron Education and Life Sciences segment operating income increased by $1.5 million, or 13.2%, to $13.2 million for the three months ended June 30, 2015, from $11.6 million for the three months ended June 30, 2014. Segment operating margin decreased to 30.7% for the second quarter of 2015 from 30.8% in the same period last year. The slight decrease in this segment’s operating margin was primarily attributable to an increase in bonus expense for our revenue-generating professionals as a percentage of revenues,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mostly offset by revenue growth that outpaced the increase in salaries and related expenses for both our revenue-generating professionals and support personnel, as well as decreases in contractor expense and promotion and sponsorship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Huron Legal segment revenues decreased $13.7 million, or 25.6%, to $39.6 million for the second quarter of 2015 from $53.3 million for the second quarter of 2014. Revenues from time-and-expense engagements, fixed-fee engagements, and software support and maintenance arrangements represented 96.5%,</w:t>
      </w:r>
    </w:p>
    <w:p>
      <w:pPr>
        <w:ind w:right="80"/>
        <w:spacing w:after="0" w:line="290" w:lineRule="auto"/>
        <w:rPr>
          <w:sz w:val="20"/>
          <w:szCs w:val="20"/>
          <w:color w:val="auto"/>
        </w:rPr>
      </w:pPr>
      <w:r>
        <w:rPr>
          <w:rFonts w:ascii="Arial" w:cs="Arial" w:eastAsia="Arial" w:hAnsi="Arial"/>
          <w:sz w:val="17"/>
          <w:szCs w:val="17"/>
          <w:color w:val="auto"/>
        </w:rPr>
        <w:t>3.1%, and 0.4% of this segment’s revenues, respectively, during the three months ended June 30, 2015. During the comparable period in 2014, revenues from time-and-expense engagements and fixed-fee engagements represented 97.2% and 2.8% of this segment’s revenues, respectively.</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overall $13.7 million decrease in revenues, $9.5 million was attributable to a decrease in revenue generated by our full-time equivalents and $4.2 million was attributable to a decrease in revenue generated by our full-time billable consultants. The decrease in revenue attributable to our full-time equivalents, which was the result of decreased demand for our discovery services as discussed below, reflected decreases in the average number of full-time equivalents and revenue per full-time equivalent. The decrease in full-time billable consultant revenue reflected decreases in the consultant utilization rate, the average number of full-time billable consultants, and the average billing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Huron Legal segment operating income decreased $5.5 million, or 34.9%, to $10.3 million for the three months ended June 30, 2015, from $15.8 million for the three months ended June 30, 2014. The Huron Legal segment operating margin decreased to 26.0% for the second quarter of 2015 from 29.6% in the same period last year. The decrease in this segment’s operating margin was primarily attributable to an increase in contractor expense as a percentage of revenue, an increase in salaries and related expenses for our support personnel, an increase in rent and utilities expenses for our discovery centers, and an increase in technology expense as a percentage of revenues, partially offset by a decrease in salaries, bonuses, and related expenses for our revenue-generating professionals as a percentage of revenues.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previously disclosed, Huron Legal revenue and operating income for the fourth quarter of 2014 and first quarter of 2015 were significantly lower than each of the first three quarters of 2014, stemming largely from a more sudden than anticipated downturn in business resulting from client settlements of government investigations related to the credit crisis. To improve the segment's financial performance, the Huron Legal segment leadership team has undertaken several initiatives to increase sales of their service offerings and reduce expenses. Compared to the first quarter of 2015, Huron Legal segment revenues increased $6.2 million, or 18.5%, to $39.6 million for the second quarter of 2015 from $33.4 million for the first quarter 2015, and segment operating income increased $6.7 million, or 186.3%, to $10.3 million for the second quarter 2015 from $3.6 million for the first quarter 2015. We believe that the services provided by the Huron Legal segment remain relevant in the marketplace and expect performance to continue to improve during the remainder of 2015. In the event that the segment’s performance does not improve in line with our expectations during the remainder of 2015, we may be required to perform an interim impairment analysis with respect to the carrying value of goodwill for this reporting unit prior to our annual test, and based on the outcome of that analysis, could be required to take an impairment charge as a result of any such test. For a discussion of our first quarter 2015 interim goodwill impairment test, see “Critical Accounting Policies—Carrying Values of Goodwill and Other Intangible Assets”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Huron Business Advisory segment revenues increased $5.6 million, or 33.9%, to $22.2 million for the second quarter of 2015 from $16.6 million for the second quarter of 2014. Revenues from time-and-expense engagements, fixed-fee engagements, performance-based arrangements, and software support and maintenance arrangements represented 68.6%, 15.7%, 15.4%, and 0.3% of this segment’s revenues, respectively, during the second quarter of 2015. Revenues from time-and-expense engagements, fixed-fee engagements, and performance-based arrangements represented 84.7%, 14.3%, and 1.0% of this segment’s revenues, respectively, during the second quarter of 2014. Performance-based fee revenue was $3.4 million for the second quarter of 2015, of which $1.8 million was generated by Huron Transaction Advisory LLC, our registered broker-dealer established in the first quarter of 2014. Performance-based fee revenue was $0.2 million for the second quarter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$5.6 million increase in revenues for Huron Business Advisory was attributable to an increase in revenue generated by our full-time billable consultants. The increase in revenue from our full-time billable consultants reflected increases in the average number of full-time billable consultants and the average billing rate, partially offset by a slight decrease in the consultant utilization rate. Excluding performance-based fees, the average billing rate for the second quarter of 2015 was $246 compared to $255 in the same quarter of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Huron Business Advisory segment operating income increased by $1.6 million, or 30.3%, to $6.7 million for the three months ended June 30, 2015, from $5.1 million for the three months ended June 30, 2014. Segment operating margin decreased to 30.1% for the second quarter of 2015 from 30.9% in the same period last year. The decrease in this segment’s operating margin was primarily attributable to increases in practice administration and meetings expenses and salaries, bonuses, and related expenses for our support personnel all as percentages of revenues, partially offset by decreases in contractor expense, promotion and sponsorship expenses, and intangible asset amortization expense, as well as revenue growth that outpaced the increase in salaries and related expenses for our revenue-generating professionals.</w:t>
      </w:r>
    </w:p>
    <w:p>
      <w:pPr>
        <w:spacing w:after="0" w:line="297" w:lineRule="exact"/>
        <w:rPr>
          <w:sz w:val="20"/>
          <w:szCs w:val="20"/>
          <w:color w:val="auto"/>
        </w:rPr>
      </w:pPr>
    </w:p>
    <w:p>
      <w:pPr>
        <w:ind w:right="5280"/>
        <w:spacing w:after="0" w:line="378" w:lineRule="auto"/>
        <w:rPr>
          <w:sz w:val="20"/>
          <w:szCs w:val="20"/>
          <w:color w:val="auto"/>
        </w:rPr>
      </w:pPr>
      <w:r>
        <w:rPr>
          <w:rFonts w:ascii="Arial" w:cs="Arial" w:eastAsia="Arial" w:hAnsi="Arial"/>
          <w:sz w:val="18"/>
          <w:szCs w:val="18"/>
          <w:b w:val="1"/>
          <w:bCs w:val="1"/>
          <w:color w:val="auto"/>
        </w:rPr>
        <w:t>Six Months Ended June 30, 2015 Compared to Six Months Ended June 30, 2014 Revenues</w:t>
      </w:r>
    </w:p>
    <w:p>
      <w:pPr>
        <w:ind w:right="40"/>
        <w:spacing w:after="0" w:line="257" w:lineRule="auto"/>
        <w:rPr>
          <w:sz w:val="20"/>
          <w:szCs w:val="20"/>
          <w:color w:val="auto"/>
        </w:rPr>
      </w:pPr>
      <w:r>
        <w:rPr>
          <w:rFonts w:ascii="Arial" w:cs="Arial" w:eastAsia="Arial" w:hAnsi="Arial"/>
          <w:sz w:val="18"/>
          <w:szCs w:val="18"/>
          <w:color w:val="auto"/>
        </w:rPr>
        <w:t>Revenues decreased $8.6 million, or 2.1%, to $411.5 million for the first six months of 2015 from $420.1 million for the first six months of 2014. Revenues for the first half of 2015 included $45.3 million of incremental revenues from our acquisitions of Studer Group, Vonlay, LLC, Sky Analytics, and Threshold Consulting, Inc. Revenues for the first half of 2015 were negatively impacted by a $0.8 million charge related to the fair value adjustment of deferred revenue acquired in the Studer Group acquisition. We do not expect to incur any additional charges related to this adjustment as the $0.8 million charge reflects the total fair value adjustment.</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overall $8.6 million decrease in revenues, $13.5 million was attributable to a decrease in revenue from our full-time billable consultants, partially offset by a $4.9 million increase in revenue attributable to our full-time equivalents. The decrease in full-time billable consultant revenues was driven by decreases in the average billing rate and consultant utilization rate, partially offset by an increase in the average number of billable consultants. As discussed below in Segment Results, the decrease in revenue from full-time billable consultants primarily reflected lower contingent fees and project timing in our Huron Healthcare segment and decreased demand for our services in our Huron Legal segment, partially offset by strengthened demand for our services in the Huron Education and Life Sciences and Huron Business Advisory segments. The increase in revenue attributable to full-time equivalents primarily reflected the revenue generated by our healthcare coaches in the Huron Healthcare segment, which was the result of our acquisition of Studer Group during the first quarter of 2015, largely offset by a decrease in demand for our discovery services in the Huron Legal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total direct costs increased $7.7 million, or 3.1%, to $258.0 million in the six months ended June 30, 2015, from $250.3 million in the six months ended June 30, 2014. The increase primarily related to a $15.9 million increase in salaries and related expenses for our revenue-generating professionals and a $5.1 million increase in intangible asset amortization expense, partially offset by an $11.0 million decrease in contractor expense and a $2.0 million decrease in bonus expense for our revenue-generating professionals. As a percentage of revenues, our total direct costs increased to 62.7% during the first six months of 2015 compared to 59.6% during the first six months of 2014 due to the items described above, as well as a decrease in revenues.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direct costs for the six months ended June 30, 2015 included $8.9 million of share-based compensation expense for our revenue-generating professionals compared to $7.8 million for the same prior year period. Share-based compensation expense increased as the value of awards granted during the first half of 2015 was greater than the value of prior year awards that became fully vested during 2014 and the first half of 2015. Total direct costs for the six months ended June 30, 2015 included $7.5 million of amortization expense for intangible assets and software development costs, primarily representing customer-related assets and software acquired in business combinations, compared to $2.4 million of amortization expense for the same prior year period. The $5.1 million increase in amortization expense was primarily attributable to $6.0 million of amortization of intangible assets acquired in the Studer Group acquisition during the first quarter of 2015, partially offset by certain intangible assets that became fully amortized during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 and Losses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general and administrative expenses increased $8.1 million, or 10.0%, to $89.0 million in the six months ended June 30, 2015, from $80.9 million in the six months ended June 30, 2014. Selling, general and administrative expenses for the first half of 2015 included $10.2 million from Studer Group. The $8.1 million increase was primarily related to a $6.8 million increase in salaries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related expenses for our support personnel, a $1.6 million increase in facilities and other office related expenses, a $0.6 million increase in outside professional services expenses, a $0.5 million increase in computer equipment and supplies, and a $0.3 million increase in legal expenses, partially offset by a $2.4 million decrease in bonus expense for our support personnel. As a percentage of revenues, selling, general and administrative expenses increased to</w:t>
      </w:r>
    </w:p>
    <w:p>
      <w:pPr>
        <w:ind w:right="220"/>
        <w:spacing w:after="0" w:line="255" w:lineRule="auto"/>
        <w:rPr>
          <w:sz w:val="20"/>
          <w:szCs w:val="20"/>
          <w:color w:val="auto"/>
        </w:rPr>
      </w:pPr>
      <w:r>
        <w:rPr>
          <w:rFonts w:ascii="Arial" w:cs="Arial" w:eastAsia="Arial" w:hAnsi="Arial"/>
          <w:sz w:val="18"/>
          <w:szCs w:val="18"/>
          <w:color w:val="auto"/>
        </w:rPr>
        <w:t>21.6% during the first six months of 2015 compared to 19.2% during the first six months of 2014 due to the items described above, as well as a decrease in revenues. We incurred $1.9 million of transaction and acquisition related costs during the first half of 2015, of which $1.2 million was associated with the Studer Group acquisition.</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Restructuring charges for the first six months of 2015 totaled $2.2 million related to workforce reductions to better align our resources with market demand. Of the $2.2 million pretax charge, $1.0 million related to our Huron Legal segment, $1.0 million related to our All Other segment as we continue to wind down our public sector consulting practice and our foreign consulting operations based in the Middle East, and $0.2 million related to our corporate operations. During the first six months of 2014, we incurred a $1.2 million pretax restructuring charge, which primarily consisted of a $1.0 million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Litigation and other losses totaled $0.5 million for the first six months of 2015 compared to a gain of $0.4 million during the same prior year period. During the second quarter of 2015, we recorded a net litigation accrual of $0.8 million related to a pending legal matter, which is discussed in more detail in Item 1. "Legal Proceedings" under Part II - Other Information. During the first quarter of 2015, we recorded a remeasurement gain of $0.2 million related to a decrease in the fair value of a contingent consideration liability incurred in connection with a business acquisition. During the second quarter of 2014, we recorded a $0.4 million remeasurement gain related to a decrease in the fair value of a contingent consideration liability incurred in connection with another business acquisition.</w:t>
      </w:r>
    </w:p>
    <w:p>
      <w:pPr>
        <w:spacing w:after="0" w:line="19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Depreciation and amortization expense increased by $4.5 million to $16.8 million in the six months ended June 30, 2015, from $12.3 million in the six months ended June 30, 2014. The increase was primarily attributable to $3.1 million of amortization expense for intangible assets acquired in the Studer Group acquisition completed during the first quarter of 2015. Intangible asset amortization included within operating expenses relates to certain customer relationships, non-competition agreements, trade names, and licenses acquired in connection with our business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income decreased $31.0 million, or 40.9%, to $44.9 million in the first six months of 2015 from $75.8 million in the first six months of 2014. Operating margin, which is defined as operating income expressed as a percentage of revenues, decreased to 10.9% in the six months ended June 30, 2015, compared to 18.1% in the six months ended June 30, 2014. The decrease in operating margin was primarily attributable to the increases in salaries and related expenses for both our revenue-generating professionals and support personnel during the first six months of 2015, as well as the increases in intangible asset amortization expense and facilities and other office related expenses during the first six months of 2015 compared to the same period last year. The unfavorable impact of these items was partially offset by decreases in contractor expense and bonus expense for both our revenue-generating professionals and support personnel as percentages of revenues during the first six months of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Total other expense, net increased by $7.1 million to $9.7 million in the first six months of 2015 from $2.6 million in the first six months of 2014. The increase was primarily attributable to a $6.2 million increase in interest expense and a $0.8 million increase in foreign currency transaction losses. The increase in interest expense was due to our Convertible Notes issued in September 2014 and interest expense resulting from higher levels of borrowings under our credit facility. For the six months ended June 30, 2015, cash interest expense related to the coupon of the Convertible Notes was $1.6 million and the non-cash interest expense related to the amortization of the debt discount and amortization of debt issuance costs totaled $4.1 million. For the year ending December 31, 2015, we expect interest expense related to the coupon of the Convertible Notes to be $3.1 million and interest expense for the amortization of the debt discount and debt issuance costs related to the Convertible Notes to be $8.3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months ended June 30, 2015, we recognized income tax expense of $14.8 million on income of $35.1 million. For the six months ended June 30, 2014, we recognized income tax expense of $19.2 million on income of $73.2 million. Our effective tax rate for the first six months of 2015 was 42.1% compared with 26.2% for the same period last year. The effective tax rate for the six months ended June 30, 2015 was higher than the statutory rate, inclusive of state income taxes, primarily due to certain non-deductible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business expenses and foreign losses with no tax benefit. The effective tax rate for the six months ended June 30, 2014 was lower than the statutory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during the quarter. This recognized benefit was partially offset by $1.2 million in expenses related to the establishment of a valuation allowance for certain foreign tax credits and increased deferred tax liabilities as a result of the aforementioned election.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Net income was $20.3 million for the six months ended June 30, 2015, compared to net income of $54.0 million for the same period last year. The $33.7 million decrease in net income was primarily due to the decrease in operating income and the increase in interest expense, as discussed above. As a result of the decrease in net income, diluted earnings per share for the first six months of 2015 was $0.90 compared to $2.34 for the first six months of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EBITDA decreased $21.4 million to $69.1 million for the six months ended June 30, 2015, from $90.6 million for the six months ended June 30, 2014. Adjusted EBITDA decreased $19.5 million to $71.8 million in the first six months of 2015 from $91.3 million in the first six months of 2014. The decrease in both EBITDA and Adjusted EBITDA was primarily due to the decrease in segment operating income, exclusive of the increase in intangible asset amortization expense, as discussed below in Segment Results, and an increase in corporate expenses, including transaction costs associated with the Studer Group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Adjusted net income decreased $15.1 million to $32.4 million in the first six months of 2015 compared to $47.5 million in the first six months of 2014. The decrease was primarily attributable to the decrease in operating income, partially offset by the lower tax expense when excluding the tax benefit related to our “check-the-box” election.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Huron Healthcare segment revenues increased $8.0 million, or 3.8%, to $216.5 million for the first six months of 2015 from $208.5 million for the first six months of 2014. Revenues for the first six months of 2015 included $44.3 million of incremental revenues from our acquisitions of Studer Group and Vonlay, LLC. During the six months ended June 30, 2015, revenues from time-and-expense engagements, fixed-fee engagements, performance-based arrangements, and software support and maintenance arrangements represented 7.6%, 73.1%, 13.8%, and 5.5% of this segment’s revenues, respectively, compared to 3.8%, 67.3%, 24.4%, and 4.5%, respectively, for the comparable period in 2014.</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the overall $8.0 million increase in revenues, $34.6 million was attributable to an increase in revenue from our full-time equivalents, partially offset by a $26.6 million decrease in revenue attributable to our full-time billable consultants.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increase in revenue attributable to our full-time equivalents reflected an increase in both the average number of full-time equivalents and revenue per full-time equivalent in the first six months of 2015 compared to the same prior year period, and is primarily the result of our Studer Group acquisition.</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billing rate and consultant utilization rate, partially offset by an increase in the average number of full-time billable consultants. This decrease in revenue was primarily driven by lower performance-based fees and the timing of the start-up of certain projects. Performance-based fee revenue was $29.8 million during the first six months of 2015 compared to $50.8 million during the first six months of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Huron Healthcare segment operating income decreased $15.2 million, or 16.9%, to $74.5 million for the six months ended June 30, 2015, from $89.7 million for the six months ended June 30, 2014. The Huron Healthcare segment operating margin, defined as segment operating income expressed as a percentage of segment revenues, decreased to 34.4% for the first six months of 2015 from 43.0% in the same period last year. The decrease in this segment’s operating margin was primarily attributable to an increase in salaries and related expenses for our revenue-generating professionals as a percentage of revenues. The decrease in this segment’s operating margin was also attributable to increases, as a percentage of revenues, in salaries and related expenses and bonus expense for our support personnel and intangible asset amortization expense related to our acquisition of Studer Group, partially offset by a decrease in bonus expense for our revenue-generating professionals during the first half of 2015 compared to the prior year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Huron Education and Life Sciences segment revenues increased $11.5 million, or 16.1%, to $82.8 million for the first six months of 2015 from $71.3 million for the first six months of 2014. For the six months ended June 30, 2015, revenues from time-and-expense engagements, fixed-fee engagements, software support and maintenance arrangements, and performance-based arrangements represented 61.2%, 33.7%, 4.5%, and 0.6% of this segment’s revenues, respectively. For the six months ended June 30, 2014, revenues from time-and-expense engagements, fixed-fee engagements, and software support and maintenance arrangements represented 71.2%, 24.4%, and 4.4% of this segment's revenues, respectively.</w:t>
      </w:r>
    </w:p>
    <w:p>
      <w:pPr>
        <w:spacing w:after="0" w:line="1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Of the overall $11.5 million increase in revenues, $11.8 million was attributable to our full-time billable consultants, partially offset by a $0.3 million decrease in revenue attributable to our full-time equivalents. The increase in revenue from our full-time billable consultants primarily reflected increases in the consultant utilization rate, average billing rate, and average number of full-time billable consultants. The decrease in revenue from our full-time equivalents reflected a decrease in the average number of full-time equivalents, partially offset by an increase in revenue per full-time equivalent.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Huron Education and Life Sciences segment operating income increased by $6.9 million, or 38.0%, to $25.0 million for the six months ended June 30, 2015, from $18.1 million for the six months ended June 30, 2014. The Huron Education and Life Sciences segment operating margin increased to 30.1% for the first six months of 2015 from 25.3% in the same period last year. The increase in this segment’s operating margin was primarily attributable to revenue growth that outpaced the increase in salaries and related expenses for both our revenue-generating professionals and support personnel, as well as decreases in contractor expense and promotion and sponsorship expenses, partially offset by an increase in bonus expense for our revenue-generating professionals as a percentage of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Huron Legal segment revenues decreased $35.2 million, or 32.5%, to $73.1 million for the first six months of 2015 from $108.3 million for the first six months of 2014. Revenues from time-and-expense engagements, fixed-fee engagements, and software support and maintenance arrangements represented 96.2%, 3.4%, and 0.4% of this segment’s revenues, respectively, during the six months ended June 30, 2015, compared to 97.5%, 2.4%, and 0.1% of this segment’s revenues, respectively, during the six months ended June 30, 2014.</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 the overall $35.2 million decrease in revenues, $28.6 million was attributable to a decrease in revenue generated by our full-time equivalents and $6.6 million was attributable to a decrease in revenue generated by our full-time billable consultants. The decrease in revenue attributable to our full-time equivalents, which was the result of decreased demand for our discovery services as discussed below, primarily reflected a decrease in the average number of full-time equivalents, as well as a decrease in revenue per full-time equivalent. The decrease in full-time billable consultant revenue reflected decreases in the consultant utilization rate and average number of full-time billable consultants, partially offset by an increase in the average billing rate.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Huron Legal segment operating income decreased $14.4 million, or 50.9%, to $13.9 million for the six months ended June 30, 2015, from $28.3 million for the six months ended June 30, 2014. The Huron Legal segment operating margin decreased to 19.0% for the first six months of 2015 from 26.1% in the same period last year. The decrease in this segment’s operating margin was primarily attributable to an increase, as a percentage of revenue, in salaries and related expenses for both our revenue-generating professionals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color w:val="auto"/>
        </w:rPr>
        <w:t>and support personnel, as well as increases in rent and utilities expenses for our discovery centers and restructuring expense, and, as a percentage of revenues, an increase in technology expenses, partially offset by a decrease in bonus expense for our revenue-generating professionals as a percentage of revenues.</w:t>
      </w:r>
    </w:p>
    <w:p>
      <w:pPr>
        <w:spacing w:after="0" w:line="10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previously disclosed, Huron Legal revenue and operating income for the fourth quarter of 2014 and first quarter of 2015 were significantly lower than each of the first three quarters of 2014, stemming largely from a more sudden than anticipated downturn in business resulting from client settlements of government investigations related to the credit crisis. To improve the segment's financial performance, the Huron Legal segment leadership team has undertaken several initiatives to increase sales of their service offerings and reduce expenses. Compared to the first quarter of 2015, Huron Legal segment revenues increased $6.2 million, or 18.5%, to $39.6 million for the second quarter of 2015 from $33.4 million for the first quarter 2015, and segment operating income increased $6.7 million, or 186.3%, to $10.3 million for the second quarter 2015 from $3.6 million for the first quarter 2015. We believe that the services provided by the Huron Legal segment remain relevant in the marketplace and expect performance to continue to improve during the remainder of 2015. In the event that the segment’s performance does not improve in line with our expectations during the remainder of 2015, we may be required to perform an interim impairment analysis with respect to the carrying value of goodwill for this reporting unit prior to our annual test, and based on the outcome of that analysis, could be required to take an impairment charge as a result of any such test. For a discussion of our first quarter 2015 interim goodwill impairment test, see “Critical Accounting Policies—Carrying Values of Goodwill and Other Intangible Assets”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Huron Business Advisory segment revenues increased $8.0 million, or 26.6%, to $37.9 million for the first six months of 2015 from $30.0 million for the first six months of 2014. Revenues from time-and-expense engagements, fixed-fee engagements, performance-based arrangements, and software support and maintenance arrangements represented 75.6%, 14.9%, 9.0%, and 0.5% of this segment’s revenues, respectively, during the first six months of 2015. Revenues from time-and-expense engagements, fixed-fee engagements, and performance-based arrangements represented 84.6%, 13.2%, and 2.2% of this segment’s revenues, respectively, during the first six months of 2014. Performance-based fee revenue was $3.4 million for the first six months of 2015, of which $1.8 million was generated by Huron Transaction Advisory LLC, our registered broker-dealer established in the first quarter of 2014. Performance-based fee revenue was $0.7 million for the first six months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8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Of the overall $8.0 million increase in revenues, $8.2 million was attributable to an increase in revenue generated by our full-time billable consultants, partially offset by a $0.2 million decrease in revenue generated by our full-time equivalents. The increase in revenue from our full-time billable consultants reflected increases in the average number of full-time billable consultants, the average billing rate, and consultant utilization rate. Excluding performance-based fees, the average billing rate for the first six months of 2015 was $237 compared to $243 in the same period during 2014.</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decrease in revenue from our full-time equivalents reflected a decrease in the average number of full-time equivalents and revenue per full-time equivalent.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Huron Business Advisory segment operating income increased by $0.6 million, or 7.8%, to $8.3 million for the six months ended June 30, 2015, from $7.7 million for the six months ended June 30, 2014. The Huron Business Advisory segment operating margin decreased to 21.8% for the first six months of 2015 from 25.7% in the same period last year. The decrease in this segment’s operating margin was primarily attributable to increases in salaries and related expenses and bonus expense for both our revenue-generating professionals and support personnel and practice administration and meetings expenses, each as a percentage of revenues, partially offset by decreases in contractor expense, intangible asset amortization expense, and promotion and sponsorship expenses.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Cash and cash equivalents decreased $240.0 million, from $256.9 million at December 31, 2014 to $16.8 million at June 30, 2015. As of June 30, 2015, our primary sources of liquidity are cash on hand, cash flows from our U.S. operations, and borrowing capacity available under our credit facility.</w:t>
      </w:r>
    </w:p>
    <w:p>
      <w:pPr>
        <w:spacing w:after="0" w:line="66"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12,199</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(63,293)</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2,148</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(48,913)</w:t>
            </w:r>
          </w:p>
        </w:tc>
      </w:tr>
      <w:tr>
        <w:trPr>
          <w:trHeight w:val="27"/>
        </w:trPr>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cash provided by operating activities totaled $18.3 million for the six months ended June 30, 2015, and $12.2 million for the same period last year.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 The increase in cash provided by operations was primarily attributable to increased collections of receivables from clients and lower tax payments during the first six months of 2015 compared to the first six months of 2014, partially offset by lower EBITDA during the first half of 2015 and an increase in the amount paid for annual performance bonuses during the first quarter of 2015 compared to the first quarter of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$350.5 million for the six months ended June 30, 2015, and $63.3 million for the same period last year. The use of cash in the first six months of 2015 primarily consisted of $332.0 million for purchases of businesses and $9.9 million for purchases of property and equipment. Additionally, during the first six months of 2015, we made a $3.1 million investment in Shorelight, in the form of a zero coupon convertible debt instrument, increasing the total cost basis of our investment to $15.6 million, as described in Note 10 “Fair Value of Financial Instruments” within the notes to the consolidated financial statements. The use of cash in the first six months of 2014 primarily consisted of $51.4 million for purchases of businesses and $11.4 million for purchases of property and equipment.</w:t>
      </w:r>
    </w:p>
    <w:p>
      <w:pPr>
        <w:spacing w:after="0" w:line="19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estimate that the cash utilized for purchases of property and equipment for full year 2015 will be approximately $30.0 million, primarily consisting of information technology related equipment and leasehold improvements to support our corporate infrastructure and our document review and processing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financing activities was $92.1 million for the six months ended June 30, 2015, and $2.1 million for the same period last year. During the first six months of 2015, we borrowed $256.5 million under our credit facility, including $102.0 million for the Studer Group acquisition, and made repayments on our credit facility of $149.0 million, and repurchased and retired $13.5 million of our common stock under our October 2014 Share Repurchase Program, as defined below. During the first six months of 2014, borrowings made under our credit facility to fund operations totaled $74.0 million, with repayments during the period totaling $64.0 million. During the first half of 2014, the Company repurchased and retired $9.5 million of common stock under our February 2014 Share Repurchase Program, as defined below.</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up to $50 million of our common stock through October 31, 2015 (the “October 2014 Share Repurchase Program”). The amount and timing of the repurchases will be determined by management and will depend on a variety of factors, including the trading price of our common stock, general market and business conditions, and applicable legal requirements. As of June 30, 2015, $36.5 million remains available for share repurchases under the October 2014 Share Repurchase Program.</w:t>
      </w:r>
    </w:p>
    <w:p>
      <w:pPr>
        <w:spacing w:after="0" w:line="15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February 2014, our board of directors authorized a share repurchase program permitting us to repurchase up to $50 million of our common stock through February 28, 2015 (the “February 2014 Share Repurchase Program”). We completed the February 2014 Share Repurchase Program in October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2015, we had $250.0 million principal amount of our 1.25% convertible senior notes outstanding and $251.3 million outstanding under our senior secured credit facility,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31, 2015, the Company and certain of the Company’s subsidiaries entered into a Second Amended and Restated Credit Agreement dated as of March 31, 2015 (the “Amended Credit Agreement”). The Amended Credit Agreement amended and restated, in its entirety, the credit agreement entered into as of April 14, 2011 (as amended and modified, the “Existing Credit Agreement”).</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Amended Credit Agreement consists of a $500 million senior secured revolving credit facility that becomes due and payable in full upon maturity on March 31, 2020. 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of either 3.25 to 1.00 or 3.50 to 1.00, depending on the</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measurement period, and (ii) a minimum Consolidated Interest Coverage Ratio (as defined in the Amended Credit Agreement) of 3.50 to 1.00. At June 30, 2015, we were in compliance with these financial covenants with a Consolidated Leverage Ratio of 2.95 to 1.00 and a Consolidated Interest Coverage Ratio of 19.94 to 1.00.</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Borrowings outstanding under the Amended Credit Agreement at June 30, 2015 totaled $251.3 million. These borrowings carried a weighted average interest rate of 2.4%, including the effect of the interest rate swaps described in Note 9 “Derivative Instruments and Hedging Activity” within the notes to the consolidated financial statements.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June 30, 2015, we had outstanding letters of credit totaling $5.3 million, which are primarily used as security deposits for our office facilities. As of June 30, 2015, the unused borrowing capacity under the revolving credit facility was $243.5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2014.</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above in “Liquidity and Capital Resources,” on March 31, 2015 we entered into the Amended Credit Agreement consisting of a $500 million five-year senior secured revolving credit facility. The Amended Credit Agreement becomes due and payable in full upon maturity on March 31, 2020. The Amended Credit Agreement provides for, among other things, an extension of the maturity date and a reduction in pricing, and replaced the existing revolving credit and term loan facility with an increased revolving credit facility. Borrowings outstanding under the Amended Credit Agreement at June 30, 2015 totaled $251.3 million. Refer to “Liquidity and Capital Resources” and Note 7 “Financing Arrangements” within the notes to the consolidated financial statements for more information on our outstanding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our contractual obligations since December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2014.</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Below is an update to our critical accounting policy relating to the carrying values of goodwill and other intangible assets. There have been no material changes to our other critical accounting policies during the first six months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fourth quarter of 2014, as part of our annual goodwill impairment test, we performed the first step of the quantitative two-step impairment test for our Huron Legal segment. Based on the results of that test, in which we compared the fair value of the reporting unit to its carrying value, including goodwill, we determined that the fair value of the Huron Legal reporting unit exceeded its carrying value by 28%, or $28.7 million; however, this represented a significant decrease compared to the prior quantitative impairment analysis performed as of November 30, 2012. The decrease was primarily a result of a decrease in expected after-tax cash flows that will be generated by the reporting unit, which was driven by the decline in revenue and operating income during the second half of 2014, and especially the fourth quarter of 2014. The fourth quarter 2014 results for the Huron Legal reporting unit were significantly lower than each of the first three quarters of 2014 and did not meet management’s expectations, stemming largely from a more sudden than anticipated downturn in business resulting from client settlements of government investigations related to the credit crisis.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three months of 2015, the operating results for Huron Legal were generally in line with management’s expectations for the quarter but still significantly below the results achieved during the first three quarters of 2014. Given the increase in the reporting unit’s carrying value as a result of the Sky Analytics acquisition and continued weakened results compared to the first nine months of 2014, we performed an interim impairment test for the goodwill balances within our Huron Legal reporting unit as of March 31, 2015. Our goodwill impairment test was performed using the quantitative two-step process. Based on the results of the first step of the goodwill impairment test, we determined that the fair value of our Huron Legal reporting unit exceeded its carrying value by 25%, or $28.8 million. Since the fair value of the reporting unit exceeded its carrying value, the second step of the goodwill impairment test was not necessary.</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estimating the fair value of our Huron Legal reporting unit,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income approach, we utilized a discounted cash flow analysis, which involved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Our forecast is based on historical experience, current backlog, expected market demand, and other industry information. Our discounted cash flow analysis assumed a weighted average cost of capital (“WACC”) discount rate of 13.0%.</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evaluated and adjusted based on our specific characteristics relative to the selected guideline companies and applied to the operating data for the Huron Legal reporting unit to arrive at an indication of value.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table below presents, based on the goodwill impairment test performed as of March 31, 2015, the decrease in the fair value of our Huron Legal reporting unit given a 100 basis point increase in the assumed discount rate or a 100 basis point decrease in the assumed long-term annual revenue growth rate.</w:t>
      </w:r>
    </w:p>
    <w:p>
      <w:pPr>
        <w:spacing w:after="0" w:line="174"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Decrease in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by</w:t>
            </w:r>
          </w:p>
        </w:tc>
      </w:t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which Fair</w:t>
            </w:r>
          </w:p>
        </w:tc>
      </w:t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the Reporting Unit</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Value Exceeds</w:t>
            </w:r>
          </w:p>
        </w:tc>
      </w:tr>
      <w:tr>
        <w:trPr>
          <w:trHeight w:val="234"/>
        </w:trPr>
        <w:tc>
          <w:tcPr>
            <w:tcW w:w="412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Carrying Amount</w:t>
            </w:r>
          </w:p>
        </w:tc>
      </w:tr>
      <w:tr>
        <w:trPr>
          <w:trHeight w:val="27"/>
        </w:trPr>
        <w:tc>
          <w:tcPr>
            <w:tcW w:w="4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 increase by 100 bps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Long-term growth rate – decrease by 100 bps</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$3,600</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22%</w:t>
            </w:r>
          </w:p>
        </w:tc>
      </w:tr>
    </w:tbl>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improve the segment's financial performance, the Huron Legal segment leadership team has undertaken several initiatives to increase sales of their service offerings and reduce expenses. Compared to the first quarter of 2015, Huron Legal segment revenues increased $6.2 million, or 18.5%, to $39.6 million for the second quarter of 2015 from $33.4 million for the first quarter of 2015, and segment operating income increased $6.7 million, or 186.3%, to $10.3 million for the second quarter of 2015 from $3.6 million for the first quarter of 2015. We believe that the services provided by the Huron Legal segment remain relevant in the marketplace and expect performance to continue to improve during the remainder of 2015. In the event that the segment’s performance does not improve in line with our expectations during the remainder of 2015, we may be required to perform an interim impairment analysis with respect to the carrying value of goodwill for this reporting unit prior to our annual test, and could be required to take an impairment charge as a result of any such test.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the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$216.4 million as of June 30, 2015, which represents the liability component of the $250 million principal balance. The total estimated fair value of our Convertible Notes at June 30, 2015 was $268.1 million, and was determined based on the quoted bid price of the Convertible Notes in an over-the-counter market as of the last day of trading for the quarter ended June 30, 2015, which was $107.241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June 30, 2015, we had borrowings outstanding under the credit facility totaling $251.3 million that carried a weighted average interest rate of 2.4% including the effect of the interest rate swaps described below. A hypothetical 100 basis point change in this interest rate would have a $1.5 million effect on our pretax income including the effect of the interest rate swaps described below.</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rate swap agreement, we receive from the counterparty interest on the notional amount based on one-month LIBOR and we pay to the counterparty a fixed rate of 0.9875%.</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Including the impact of the above swap agreements, the weighted average interest rate on $104.0 million of our variable-rate debt, which equals the notional amount of the swap agreements in effect at June 30, 2015, was 2.7%.</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June 30, 2015, the fair value of the investment was $22.1 million, with a total cost basis of $15.6 million.</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2015. Based on this evaluation, our Chief Executive Officer and Chief Financial Officer have concluded that, as of June 30, 2015,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June 30, 2015 that has materially affected, or is reasonably likely to materially affect, our internal control over financial reporting.</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first quarter of 2015, we completed the acquisition of Studer Group, as discussed in Note 5 “Acquisitions” within the notes to the consolidated financial statements. We intend to evaluate Studer Group’s internal controls and, if necessary, make any changes that we believe to be appropriate to those internal controls as we integrate the acquired business with ours. Management intends to exclude the internal controls of Studer Group in its annual assessment of the effectiveness of the Company’s internal control over financial reporting pursuant to Section 404 of the Sarbanes-Oxley Act of 2002 for the year ended December 31, 2015. This exclusion is in accordance with the general guidance issued by the Securities and Exchange Commission that an assessment of a recent business combination may be omitted from management’s report on internal control over financial reporting in the first year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98"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We continue to believe that the remaining claims are without merit and intend to vigorously defend ourselves in this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Physiotherapy Associates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Plan suggests that Huron, among others, was involved in “actively marketing PA” for sale and provided opinions to unnamed parties “defending the quality of PA’s earnings.” The Plan further states that the damages to be sought by the Litigation Trust will exceed $300 million. The Litigation Trust has not specified against which potential defendants it will bring claims, if any. While we believe that we have meritorious defenses against the claim and intend to vigorously defend ourselves, in the second quarter of 2015, we recorded a $1.3 million accrued liability, in accordance with ASC Topic 450, related to this matter, and a $0.5 million insurance receivable.</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in our Annual Report on Form 10-K for the fiscal year ended December 31, 2014 for a complete description of the material risks we face.</w:t>
      </w:r>
    </w:p>
    <w:p>
      <w:pPr>
        <w:spacing w:after="0" w:line="19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February 12, 2015, as partial consideration for our acquisition of Studer Group, we issued 28,486 shares of the Company’s common stock, par value $0.01 per share, with an aggregate value of approximately $2.2 million, to certain Studer Group shareholders. The issuance was exempt from registration under Section 4(a)(2) of the Securities Act of 1933, as amended, as a transaction by an issuer not involving a public offering.</w:t>
      </w:r>
    </w:p>
    <w:p>
      <w:pPr>
        <w:spacing w:after="0" w:line="166"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June 30, 2015, we reacquired 2,592 shares of common stock with a weighted average fair market value of $63.51 as a result of such tax withholdings.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$50 million of our common stock through October 31, 2015 (the “October 2014 Share Repurchase Program”). The amount and timing of the repurchases will be determined by management and will depend on a variety of factors, including the trading price of our common stock, general market and business conditions, and applicable legal requirements.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we made of our common stock during the quarter ended June 30, 2015.</w:t>
      </w:r>
    </w:p>
    <w:p>
      <w:pPr>
        <w:spacing w:after="0" w:line="179"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Dollar Value of Shares</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2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1"/>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jc w:val="center"/>
              <w:spacing w:after="0" w:line="221" w:lineRule="exact"/>
              <w:rPr>
                <w:sz w:val="20"/>
                <w:szCs w:val="20"/>
                <w:color w:val="auto"/>
              </w:rPr>
            </w:pPr>
            <w:r>
              <w:rPr>
                <w:rFonts w:ascii="Arial" w:cs="Arial" w:eastAsia="Arial" w:hAnsi="Arial"/>
                <w:sz w:val="18"/>
                <w:szCs w:val="18"/>
                <w:b w:val="1"/>
                <w:bCs w:val="1"/>
                <w:color w:val="auto"/>
                <w:w w:val="86"/>
              </w:rPr>
              <w:t>Purchased</w:t>
            </w:r>
            <w:r>
              <w:rPr>
                <w:rFonts w:ascii="Arial" w:cs="Arial" w:eastAsia="Arial" w:hAnsi="Arial"/>
                <w:sz w:val="21"/>
                <w:szCs w:val="21"/>
                <w:b w:val="1"/>
                <w:bCs w:val="1"/>
                <w:color w:val="auto"/>
                <w:w w:val="86"/>
                <w:vertAlign w:val="superscript"/>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Paid per Share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Pr>
          <w:p>
            <w:pPr>
              <w:spacing w:after="0"/>
              <w:rPr>
                <w:sz w:val="19"/>
                <w:szCs w:val="19"/>
                <w:color w:val="auto"/>
              </w:rPr>
            </w:pPr>
          </w:p>
        </w:tc>
        <w:tc>
          <w:tcPr>
            <w:tcW w:w="1780" w:type="dxa"/>
            <w:vAlign w:val="bottom"/>
            <w:gridSpan w:val="2"/>
          </w:tcPr>
          <w:p>
            <w:pPr>
              <w:jc w:val="center"/>
              <w:spacing w:after="0" w:line="221"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25"/>
                <w:szCs w:val="25"/>
                <w:b w:val="1"/>
                <w:bCs w:val="1"/>
                <w:color w:val="auto"/>
                <w:w w:val="87"/>
                <w:vertAlign w:val="superscript"/>
              </w:rPr>
              <w:t>(2)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1, 2015 - April 30, 2015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50,000,000</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May 1, 2015 - May 31, 2015</w:t>
            </w:r>
          </w:p>
        </w:tc>
        <w:tc>
          <w:tcPr>
            <w:tcW w:w="1460" w:type="dxa"/>
            <w:vAlign w:val="bottom"/>
          </w:tcPr>
          <w:p>
            <w:pPr>
              <w:jc w:val="right"/>
              <w:spacing w:after="0"/>
              <w:rPr>
                <w:sz w:val="20"/>
                <w:szCs w:val="20"/>
                <w:color w:val="auto"/>
              </w:rPr>
            </w:pPr>
            <w:r>
              <w:rPr>
                <w:rFonts w:ascii="Arial" w:cs="Arial" w:eastAsia="Arial" w:hAnsi="Arial"/>
                <w:sz w:val="18"/>
                <w:szCs w:val="18"/>
                <w:color w:val="auto"/>
              </w:rPr>
              <w:t>84,020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60.53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83,791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44,925,269</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1, 2015 - June 30, 2015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135,462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133,488</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36,501,715</w:t>
            </w:r>
          </w:p>
        </w:tc>
      </w:tr>
      <w:tr>
        <w:trPr>
          <w:trHeight w:val="257"/>
        </w:trPr>
        <w:tc>
          <w:tcPr>
            <w:tcW w:w="2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980" w:hanging="972"/>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repurchased includes 389 shares in April 2015, 229 shares in May 2015, and 1,974 shares in June 2015 to satisfy employee tax withholding requirements. These shares do not reduce the repurchase authority under the October 2014 Share Repurchase Program.</w:t>
      </w:r>
    </w:p>
    <w:p>
      <w:pPr>
        <w:ind w:left="980" w:hanging="97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13379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60"/>
          </w:cols>
          <w:pgMar w:left="240" w:top="125" w:right="8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Exhibit</w:t>
            </w:r>
          </w:p>
        </w:tc>
        <w:tc>
          <w:tcPr>
            <w:tcW w:w="498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58"/>
        </w:trPr>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gridSpan w:val="2"/>
            <w:vMerge w:val="continue"/>
          </w:tcPr>
          <w:p>
            <w:pPr>
              <w:spacing w:after="0"/>
              <w:rPr>
                <w:sz w:val="13"/>
                <w:szCs w:val="13"/>
                <w:color w:val="auto"/>
              </w:rPr>
            </w:pP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herewith</w:t>
            </w: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herewith</w:t>
            </w:r>
          </w:p>
        </w:tc>
        <w:tc>
          <w:tcPr>
            <w:tcW w:w="1020" w:type="dxa"/>
            <w:vAlign w:val="bottom"/>
            <w:gridSpan w:val="2"/>
            <w:vMerge w:val="continue"/>
          </w:tcPr>
          <w:p>
            <w:pPr>
              <w:spacing w:after="0"/>
              <w:rPr>
                <w:sz w:val="13"/>
                <w:szCs w:val="13"/>
                <w:color w:val="auto"/>
              </w:rPr>
            </w:pPr>
          </w:p>
        </w:tc>
        <w:tc>
          <w:tcPr>
            <w:tcW w:w="7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Ending</w:t>
            </w:r>
          </w:p>
        </w:tc>
        <w:tc>
          <w:tcPr>
            <w:tcW w:w="1120" w:type="dxa"/>
            <w:vAlign w:val="bottom"/>
            <w:gridSpan w:val="2"/>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Huron Consulting Group Inc. Stock Ownership Participation Program.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DEF 14A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Appendix A</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3/20/15</w:t>
            </w:r>
          </w:p>
        </w:tc>
        <w:tc>
          <w:tcPr>
            <w:tcW w:w="0" w:type="dxa"/>
            <w:vAlign w:val="bottom"/>
          </w:tcPr>
          <w:p>
            <w:pPr>
              <w:spacing w:after="0"/>
              <w:rPr>
                <w:sz w:val="1"/>
                <w:szCs w:val="1"/>
                <w:color w:val="auto"/>
              </w:rPr>
            </w:pPr>
          </w:p>
        </w:tc>
      </w:tr>
      <w:tr>
        <w:trPr>
          <w:trHeight w:val="266"/>
        </w:trPr>
        <w:tc>
          <w:tcPr>
            <w:tcW w:w="500" w:type="dxa"/>
            <w:vAlign w:val="bottom"/>
          </w:tcPr>
          <w:p>
            <w:pPr>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23"/>
                <w:szCs w:val="23"/>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Financial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Arial" w:cs="Arial" w:eastAsia="Arial" w:hAnsi="Arial"/>
                <w:sz w:val="16"/>
                <w:szCs w:val="16"/>
                <w:color w:val="auto"/>
              </w:rPr>
              <w:t>32.1</w:t>
            </w:r>
          </w:p>
        </w:tc>
        <w:tc>
          <w:tcPr>
            <w:tcW w:w="24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18 U.S.C.</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5"/>
              </w:rPr>
              <w:t>Section 1350, as adopted pursuant to Section 906 of the Sarbanes-Oxley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0" w:type="dxa"/>
            <w:vAlign w:val="bottom"/>
          </w:tcPr>
          <w:p>
            <w:pPr>
              <w:spacing w:after="0"/>
              <w:rPr>
                <w:sz w:val="20"/>
                <w:szCs w:val="20"/>
                <w:color w:val="auto"/>
              </w:rPr>
            </w:pPr>
            <w:r>
              <w:rPr>
                <w:rFonts w:ascii="Arial" w:cs="Arial" w:eastAsia="Arial" w:hAnsi="Arial"/>
                <w:sz w:val="16"/>
                <w:szCs w:val="16"/>
                <w:color w:val="auto"/>
              </w:rPr>
              <w:t>32.2</w:t>
            </w:r>
          </w:p>
        </w:tc>
        <w:tc>
          <w:tcPr>
            <w:tcW w:w="24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6"/>
              </w:rPr>
              <w:t>Certification of the Chief Financial Officer, pursuant to 18 U.S.C. Section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7"/>
              </w:rPr>
              <w:t>1350, as adopted pursuant to Section 906 of the Sarbanes-Oxley Act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20" w:right="5080" w:hanging="5612"/>
        <w:spacing w:after="0" w:line="870" w:lineRule="auto"/>
        <w:tabs>
          <w:tab w:leader="none" w:pos="13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Indicates the exhibit is a management contract or compensatory plan or arrangement. 47</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8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2015</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 Chief Operating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125"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17"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64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800" w:hanging="64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480" w:hanging="646"/>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1620" w:val="left"/>
          <w:tab w:leader="none" w:pos="58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6809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11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17"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64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800" w:hanging="64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480" w:hanging="646"/>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1740" w:val="left"/>
          <w:tab w:leader="none" w:pos="5640" w:val="left"/>
          <w:tab w:leader="none" w:pos="8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31750</wp:posOffset>
            </wp:positionV>
            <wp:extent cx="6697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7980" cy="8890"/>
                    </a:xfrm>
                    <a:prstGeom prst="rect">
                      <a:avLst/>
                    </a:prstGeom>
                    <a:noFill/>
                  </pic:spPr>
                </pic:pic>
              </a:graphicData>
            </a:graphic>
          </wp:anchor>
        </w:drawing>
      </w:r>
    </w:p>
    <w:p>
      <w:pPr>
        <w:spacing w:after="0" w:line="5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Executive Vice President, Chief Operating Officer, Chief Financial</w:t>
      </w:r>
    </w:p>
    <w:p>
      <w:pPr>
        <w:spacing w:after="0" w:line="3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72"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2015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3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49" w:lineRule="exact"/>
        <w:rPr>
          <w:sz w:val="20"/>
          <w:szCs w:val="20"/>
          <w:color w:val="auto"/>
        </w:rPr>
      </w:pPr>
    </w:p>
    <w:p>
      <w:pPr>
        <w:ind w:left="380"/>
        <w:spacing w:after="0"/>
        <w:tabs>
          <w:tab w:leader="none" w:pos="1940" w:val="left"/>
          <w:tab w:leader="none" w:pos="6380" w:val="left"/>
          <w:tab w:leader="none" w:pos="8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31750</wp:posOffset>
            </wp:positionV>
            <wp:extent cx="6268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57" w:lineRule="exact"/>
        <w:rPr>
          <w:sz w:val="20"/>
          <w:szCs w:val="20"/>
          <w:color w:val="auto"/>
        </w:rPr>
      </w:pPr>
    </w:p>
    <w:p>
      <w:pPr>
        <w:jc w:val="center"/>
        <w:ind w:left="666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6660"/>
        <w:spacing w:after="0"/>
        <w:rPr>
          <w:sz w:val="20"/>
          <w:szCs w:val="20"/>
          <w:color w:val="auto"/>
        </w:rPr>
      </w:pPr>
      <w:r>
        <w:rPr>
          <w:rFonts w:ascii="Arial" w:cs="Arial" w:eastAsia="Arial" w:hAnsi="Arial"/>
          <w:sz w:val="18"/>
          <w:szCs w:val="18"/>
          <w:color w:val="auto"/>
        </w:rPr>
        <w:t>President and Chief Executive Officer</w:t>
      </w:r>
    </w:p>
    <w:p>
      <w:pPr>
        <w:spacing w:after="0" w:line="14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7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June 30, 2015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 to the best of my knowledge:</w:t>
      </w:r>
    </w:p>
    <w:p>
      <w:pPr>
        <w:spacing w:after="0" w:line="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 w:leader="none" w:pos="574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6791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Executive Vice President, Chief Operating Officer, Chief Financial</w:t>
      </w:r>
    </w:p>
    <w:p>
      <w:pPr>
        <w:spacing w:after="0" w:line="3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Officer and Treasurer</w:t>
      </w:r>
    </w:p>
    <w:p>
      <w:pPr>
        <w:spacing w:after="0" w:line="13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3"/>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2019-12-29T16:47:39Z</dcterms:created>
  <dcterms:modified xsi:type="dcterms:W3CDTF">2019-12-29T16:47:39Z</dcterms:modified>
</cp:coreProperties>
</file>