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June 30, 2026</w:t>
      </w:r>
    </w:p>
    <w:p>
      <w:pPr>
        <w:pStyle w:val="TextBody"/>
        <w:bidi w:val="0"/>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128" w:type="dxa"/>
        <w:jc w:val="center"/>
        <w:tblInd w:w="0" w:type="dxa"/>
        <w:tblLayout w:type="fixed"/>
        <w:tblCellMar>
          <w:top w:w="28" w:type="dxa"/>
          <w:left w:w="28" w:type="dxa"/>
          <w:bottom w:w="28" w:type="dxa"/>
          <w:right w:w="28" w:type="dxa"/>
        </w:tblCellMar>
      </w:tblPr>
      <w:tblGrid>
        <w:gridCol w:w="1138"/>
        <w:gridCol w:w="999"/>
        <w:gridCol w:w="1012"/>
        <w:gridCol w:w="449"/>
        <w:gridCol w:w="449"/>
        <w:gridCol w:w="45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3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9"/>
              </w:rPr>
            </w:pPr>
            <w:r>
              <w:rPr>
                <w:rFonts w:ascii="Arial Narrow;sans-serif" w:hAnsi="Arial Narrow;sans-serif"/>
                <w:b/>
                <w:color w:val="000000"/>
                <w:sz w:val="19"/>
              </w:rPr>
              <w:t>Trading Symbol</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3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bidi w:val="0"/>
        <w:spacing w:lineRule="auto" w:line="288" w:before="0" w:after="0"/>
        <w:ind w:left="0" w:right="0" w:hanging="360"/>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As of July 21, 2026, 15,910,072 shares of the registrant’s common stock, par value $0.01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60" w:type="dxa"/>
        <w:jc w:val="center"/>
        <w:tblInd w:w="0" w:type="dxa"/>
        <w:tblLayout w:type="fixed"/>
        <w:tblCellMar>
          <w:top w:w="28" w:type="dxa"/>
          <w:left w:w="28" w:type="dxa"/>
          <w:bottom w:w="28" w:type="dxa"/>
          <w:right w:w="28" w:type="dxa"/>
        </w:tblCellMar>
      </w:tblPr>
      <w:tblGrid>
        <w:gridCol w:w="786"/>
        <w:gridCol w:w="693"/>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bidi w:val="0"/>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Layout w:type="fixed"/>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6">
              <w:r>
                <w:rPr>
                  <w:rStyle w:val="InternetLink"/>
                  <w:rFonts w:ascii="Arial Narrow;sans-serif" w:hAnsi="Arial Narrow;sans-serif"/>
                  <w:b w:val="false"/>
                  <w:color w:val="0000FF"/>
                  <w:sz w:val="20"/>
                  <w:u w:val="single"/>
                </w:rPr>
                <w:t>Consolidated Balance Sheets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6">
              <w:r>
                <w:rPr>
                  <w:rStyle w:val="InternetLink"/>
                  <w:rFonts w:ascii="Arial Narrow;sans-serif" w:hAnsi="Arial Narrow;sans-serif"/>
                  <w:b w:val="false"/>
                  <w:color w:val="0000FF"/>
                  <w:sz w:val="20"/>
                  <w:u w:val="single"/>
                </w:rPr>
                <w:t>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9">
              <w:r>
                <w:rPr>
                  <w:rStyle w:val="InternetLink"/>
                  <w:rFonts w:ascii="Arial Narrow;sans-serif" w:hAnsi="Arial Narrow;sans-serif"/>
                  <w:b w:val="false"/>
                  <w:color w:val="0000FF"/>
                  <w:sz w:val="20"/>
                  <w:u w:val="single"/>
                </w:rPr>
                <w:t>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22">
              <w:r>
                <w:rPr>
                  <w:rStyle w:val="InternetLink"/>
                  <w:rFonts w:ascii="Arial Narrow;sans-serif" w:hAnsi="Arial Narrow;sans-serif"/>
                  <w:b w:val="false"/>
                  <w:color w:val="0000FF"/>
                  <w:sz w:val="20"/>
                  <w:u w:val="single"/>
                </w:rPr>
                <w:t>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25">
              <w:r>
                <w:rPr>
                  <w:rStyle w:val="InternetLink"/>
                  <w:rFonts w:ascii="Arial Narrow;sans-serif" w:hAnsi="Arial Narrow;sans-serif"/>
                  <w:b w:val="false"/>
                  <w:color w:val="0000FF"/>
                  <w:sz w:val="20"/>
                  <w:u w:val="single"/>
                </w:rPr>
                <w:t>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28">
              <w:r>
                <w:rPr>
                  <w:rStyle w:val="InternetLink"/>
                  <w:rFonts w:ascii="Arial Narrow;sans-serif" w:hAnsi="Arial Narrow;sans-serif"/>
                  <w:b w:val="false"/>
                  <w:color w:val="0000FF"/>
                  <w:sz w:val="20"/>
                  <w:u w:val="single"/>
                </w:rPr>
                <w:t>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82">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82">
              <w:r>
                <w:rPr>
                  <w:rStyle w:val="InternetLink"/>
                  <w:rFonts w:ascii="Arial Narrow;sans-serif" w:hAnsi="Arial Narrow;sans-serif"/>
                  <w:b w:val="false"/>
                  <w:color w:val="0000FF"/>
                  <w:sz w:val="20"/>
                  <w:u w:val="single"/>
                </w:rPr>
                <w:t>24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18">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18">
              <w:r>
                <w:rPr>
                  <w:rStyle w:val="InternetLink"/>
                  <w:rFonts w:ascii="Arial Narrow;sans-serif" w:hAnsi="Arial Narrow;sans-serif"/>
                  <w:b w:val="false"/>
                  <w:color w:val="0000FF"/>
                  <w:sz w:val="20"/>
                  <w:u w:val="single"/>
                </w:rPr>
                <w:t>45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21">
              <w:r>
                <w:rPr>
                  <w:rStyle w:val="InternetLink"/>
                  <w:rFonts w:ascii="Arial Narrow;sans-serif" w:hAnsi="Arial Narrow;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21">
              <w:r>
                <w:rPr>
                  <w:rStyle w:val="InternetLink"/>
                  <w:rFonts w:ascii="Arial Narrow;sans-serif" w:hAnsi="Arial Narrow;sans-serif"/>
                  <w:b w:val="false"/>
                  <w:color w:val="0000FF"/>
                  <w:sz w:val="20"/>
                  <w:u w:val="single"/>
                </w:rPr>
                <w:t>46</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24">
              <w:r>
                <w:rPr>
                  <w:rStyle w:val="InternetLink"/>
                  <w:rFonts w:ascii="Arial Narrow;sans-serif" w:hAnsi="Arial Narrow;sans-serif"/>
                  <w:b/>
                  <w:color w:val="0000FF"/>
                  <w:sz w:val="20"/>
                  <w:u w:val="single"/>
                </w:rPr>
                <w:t>Part II – 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27">
              <w:r>
                <w:rPr>
                  <w:rStyle w:val="InternetLink"/>
                  <w:rFonts w:ascii="Arial Narrow;sans-serif" w:hAnsi="Arial Narrow;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27">
              <w:r>
                <w:rPr>
                  <w:rStyle w:val="InternetLink"/>
                  <w:rFonts w:ascii="Arial Narrow;sans-serif" w:hAnsi="Arial Narrow;sans-serif"/>
                  <w:b w:val="false"/>
                  <w:color w:val="0000FF"/>
                  <w:sz w:val="20"/>
                  <w:u w:val="single"/>
                </w:rPr>
                <w:t>46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30">
              <w:r>
                <w:rPr>
                  <w:rStyle w:val="InternetLink"/>
                  <w:rFonts w:ascii="Arial Narrow;sans-serif" w:hAnsi="Arial Narrow;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30">
              <w:r>
                <w:rPr>
                  <w:rStyle w:val="InternetLink"/>
                  <w:rFonts w:ascii="Arial Narrow;sans-serif" w:hAnsi="Arial Narrow;sans-serif"/>
                  <w:b w:val="false"/>
                  <w:color w:val="0000FF"/>
                  <w:sz w:val="20"/>
                  <w:u w:val="single"/>
                </w:rPr>
                <w:t>46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33">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33">
              <w:r>
                <w:rPr>
                  <w:rStyle w:val="InternetLink"/>
                  <w:rFonts w:ascii="Arial Narrow;sans-serif" w:hAnsi="Arial Narrow;sans-serif"/>
                  <w:b w:val="false"/>
                  <w:color w:val="0000FF"/>
                  <w:sz w:val="20"/>
                  <w:u w:val="single"/>
                </w:rPr>
                <w:t>46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36">
              <w:r>
                <w:rPr>
                  <w:rStyle w:val="InternetLink"/>
                  <w:rFonts w:ascii="Arial Narrow;sans-serif" w:hAnsi="Arial Narrow;sans-serif"/>
                  <w:b w:val="false"/>
                  <w:color w:val="0000FF"/>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36">
              <w:r>
                <w:rPr>
                  <w:rStyle w:val="InternetLink"/>
                  <w:rFonts w:ascii="Arial Narrow;sans-serif" w:hAnsi="Arial Narrow;sans-serif"/>
                  <w:b w:val="false"/>
                  <w:color w:val="0000FF"/>
                  <w:sz w:val="20"/>
                  <w:u w:val="single"/>
                </w:rPr>
                <w:t>47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39">
              <w:r>
                <w:rPr>
                  <w:rStyle w:val="InternetLink"/>
                  <w:rFonts w:ascii="Arial Narrow;sans-serif" w:hAnsi="Arial Narrow;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39">
              <w:r>
                <w:rPr>
                  <w:rStyle w:val="InternetLink"/>
                  <w:rFonts w:ascii="Arial Narrow;sans-serif" w:hAnsi="Arial Narrow;sans-serif"/>
                  <w:b w:val="false"/>
                  <w:color w:val="0000FF"/>
                  <w:sz w:val="20"/>
                  <w:u w:val="single"/>
                </w:rPr>
                <w:t>47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42">
              <w:r>
                <w:rPr>
                  <w:rStyle w:val="InternetLink"/>
                  <w:rFonts w:ascii="Arial Narrow;sans-serif" w:hAnsi="Arial Narrow;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42">
              <w:r>
                <w:rPr>
                  <w:rStyle w:val="InternetLink"/>
                  <w:rFonts w:ascii="Arial Narrow;sans-serif" w:hAnsi="Arial Narrow;sans-serif"/>
                  <w:b w:val="false"/>
                  <w:color w:val="0000FF"/>
                  <w:sz w:val="20"/>
                  <w:u w:val="single"/>
                </w:rPr>
                <w:t>47</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45">
              <w:r>
                <w:rPr>
                  <w:rStyle w:val="InternetLink"/>
                  <w:rFonts w:ascii="Arial Narrow;sans-serif" w:hAnsi="Arial Narrow;sans-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45">
              <w:r>
                <w:rPr>
                  <w:rStyle w:val="InternetLink"/>
                  <w:rFonts w:ascii="Arial Narrow;sans-serif" w:hAnsi="Arial Narrow;sans-serif"/>
                  <w:b w:val="false"/>
                  <w:color w:val="0000FF"/>
                  <w:sz w:val="20"/>
                  <w:u w:val="single"/>
                </w:rPr>
                <w:t>48</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7d7f9f4852149bf87ad6ea10b39aa6e_148">
              <w:r>
                <w:rPr>
                  <w:rStyle w:val="InternetLink"/>
                  <w:rFonts w:ascii="Arial Narrow;sans-serif" w:hAnsi="Arial Narrow;sans-serif"/>
                  <w:b/>
                  <w:color w:val="0000FF"/>
                  <w:sz w:val="20"/>
                  <w:u w:val="single"/>
                </w:rPr>
                <w:t>Signature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7d7f9f4852149bf87ad6ea10b39aa6e_148">
              <w:r>
                <w:rPr>
                  <w:rStyle w:val="InternetLink"/>
                  <w:rFonts w:ascii="Arial Narrow;sans-serif" w:hAnsi="Arial Narrow;sans-serif"/>
                  <w:b w:val="false"/>
                  <w:color w:val="0000FF"/>
                  <w:sz w:val="20"/>
                  <w:u w:val="single"/>
                </w:rPr>
                <w:t>49</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44"/>
        <w:gridCol w:w="2336"/>
        <w:gridCol w:w="2379"/>
        <w:gridCol w:w="196"/>
        <w:gridCol w:w="871"/>
        <w:gridCol w:w="109"/>
        <w:gridCol w:w="109"/>
        <w:gridCol w:w="109"/>
        <w:gridCol w:w="109"/>
        <w:gridCol w:w="199"/>
        <w:gridCol w:w="885"/>
        <w:gridCol w:w="159"/>
      </w:tblGrid>
      <w:tr>
        <w:trPr/>
        <w:tc>
          <w:tcPr>
            <w:tcW w:w="274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2025</w:t>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$10,457 and $10,519,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186,506 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$3,090 and $3,384,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195,464 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529,778 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448,584 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Long-term investments, net of allowances of $9,315 and $10,382,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134,781 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72,927 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1,644,760 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1,526,683 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266,950 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383,433 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489,665 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37,269 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614,621 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19,373,897 and 20,465,234 shares issued,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3,407,005 and 3,269,301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(189,989)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87,885 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599,378 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636,693 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384,760 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528,629 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1,644,760 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1,526,683 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823"/>
        <w:gridCol w:w="1588"/>
        <w:gridCol w:w="1603"/>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18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465,636 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402,505 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909,348 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798,195 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Total revenues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475,042 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411,755 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926,809 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815,896 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269,028 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619,381 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547,071 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80,217 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156,851 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losses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14,066 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366,101 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839,978 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737,510 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45,654 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78,386 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(9,281)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(20,830)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(14,928)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(14,298)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expense,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(29,226)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42,908 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49,160 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5,194 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43,966 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17,569 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loss on investment, net of tax</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(15,766)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cash flow hedging instruments, net of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comprehensive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(16,829)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29,994 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52,340 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27,137 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1355" w:type="dxa"/>
        <w:jc w:val="center"/>
        <w:tblInd w:w="0" w:type="dxa"/>
        <w:tblLayout w:type="fixed"/>
        <w:tblCellMar>
          <w:top w:w="28" w:type="dxa"/>
          <w:left w:w="28" w:type="dxa"/>
          <w:bottom w:w="28" w:type="dxa"/>
          <w:right w:w="28" w:type="dxa"/>
        </w:tblCellMar>
      </w:tblPr>
      <w:tblGrid>
        <w:gridCol w:w="674"/>
        <w:gridCol w:w="210"/>
        <w:gridCol w:w="212"/>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324"/>
        <w:gridCol w:w="890"/>
        <w:gridCol w:w="197"/>
        <w:gridCol w:w="109"/>
        <w:gridCol w:w="109"/>
        <w:gridCol w:w="109"/>
        <w:gridCol w:w="202"/>
        <w:gridCol w:w="721"/>
        <w:gridCol w:w="173"/>
      </w:tblGrid>
      <w:tr>
        <w:trPr/>
        <w:tc>
          <w:tcPr>
            <w:tcW w:w="67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June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19,769,672 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(3,409,635)</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(210,294)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608,280 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(7,066)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397,440 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(1,240)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29,994 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13,258 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10,629 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(438,456)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(53,074)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19,345,120 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(3,408,227)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(210,434)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(8,306)</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384,760 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2025</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20,844,871 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(3,274,184)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127,495 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556,189 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494,284 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14,816 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5,835 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4,604 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985 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147,221 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18,553 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(429,669)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(60,997)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2025</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20,569,243 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(3,271,957)</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(189,388)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575,619 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(4,943)</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474,995 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355" w:type="dxa"/>
        <w:jc w:val="left"/>
        <w:tblInd w:w="0" w:type="dxa"/>
        <w:tblLayout w:type="fixed"/>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20,460,526 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(3,271,442)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87,885 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636,693 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(6,165)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528,629 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52,340 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428,225 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8,479 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32,444 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(145,264)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(20,812)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(1,553,262)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(208,602)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2026</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19,345,120 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(3,408,227)</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(210,434)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599,378 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(8,306)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384,760 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2024</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20,762,327 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(3,117,675)</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(160,093)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531,653 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11,886 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561,327 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 (loss)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(16,829)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27,137 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538,410 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60,835 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44,187 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Purchases of businesses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162,599 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29,415 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(215,117)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(32,507)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(938,280)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(133,865)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June 30, 2025</w:t>
            </w:r>
          </w:p>
        </w:tc>
        <w:tc>
          <w:tcPr>
            <w:tcW w:w="8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20,569,243 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(3,271,957)</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(189,388)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93,502 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575,619 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(4,943)</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474,995 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HURON CONSULTING GROUP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CONSOLIDATED STATEMENTS OF CASH FLOWS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(In thousands)</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(Unaudited)</w:t>
      </w:r>
    </w:p>
    <w:tbl>
      <w:tblPr>
        <w:tblW w:w="7853" w:type="dxa"/>
        <w:jc w:val="center"/>
        <w:tblInd w:w="0" w:type="dxa"/>
        <w:tblLayout w:type="fixed"/>
        <w:tblCellMar>
          <w:top w:w="28" w:type="dxa"/>
          <w:left w:w="28" w:type="dxa"/>
          <w:bottom w:w="28" w:type="dxa"/>
          <w:right w:w="28" w:type="dxa"/>
        </w:tblCellMar>
      </w:tblPr>
      <w:tblGrid>
        <w:gridCol w:w="2088"/>
        <w:gridCol w:w="1828"/>
        <w:gridCol w:w="1843"/>
        <w:gridCol w:w="181"/>
        <w:gridCol w:w="571"/>
        <w:gridCol w:w="109"/>
        <w:gridCol w:w="109"/>
        <w:gridCol w:w="109"/>
        <w:gridCol w:w="109"/>
        <w:gridCol w:w="181"/>
        <w:gridCol w:w="571"/>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Six Months Ended June 30,</w:t>
            </w:r>
          </w:p>
        </w:tc>
      </w:tr>
      <w:tr>
        <w:trPr/>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Adjustments to reconcile net income to 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Lease-related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Gain on lease modification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Amortization of debt discount and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Allowances for doubtful accounts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Gain on sale of property and equipment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Gain on sale of business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Change in fair value of contingent consideration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Change in fair value of equity investment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Change in credit allowance on convertible debt investment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Changes in operating assets and liabilities, net of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receivables from clients,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unbilled services,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(26,945)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current income tax receivable /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(17,161)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(9,934)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accrued payroll and related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(88,680)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(91,280)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Increase (decrease) in deferred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cash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(26,780)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Investments in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Purchases of businesses,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(27,790)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Capitalization of internally developed software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Origination of note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Proceeds from note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Proceeds from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Proceeds from divestiture of business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(47,730)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(70,080)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Proceeds from exercises of stock options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(206,652)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(134,369)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Proceeds from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Repayments of bank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(251,875)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Deferred payments for business acquisitions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cash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96,297 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135,804 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Effect of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Net increase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 and cash equivalents at beginning of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24,508 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21,911 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61,011 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Supplemental disclosure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Operating lease right-of-use assets obtained in exchange for operating lease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Common stock issued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Deferred payment accrued related to purchase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Contingent consideration accrued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 included in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Excise tax on net share repurchases included in non-current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 Narrow;sans-serif" w:hAnsi="Arial Narrow;sans-serif"/>
          <w:b w:val="false"/>
          <w:i/>
          <w:color w:val="000000"/>
          <w:sz w:val="18"/>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collaborates with organizations to help solve their most complex challenges and achieve their most ambitious goals. Working across the private and public sectors, we partner closely with clients to improve performance, accelerate transformation, and unlock new opportunities for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clients choose us because of our deep industry and technical expertise and proven track record of turning sound strategies into action. By combining practical experience, innovative thinking, and advanced analytics and technology, Huron helps organizations translate today’s ideas into tangible results and long-term value.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industrials and manufacturing, energy and utilities,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15 “Segment Information” for a discussion of our three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and six months ended June 30, 2026 and 2025.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2025 and our Quarterly Report on Form 10-Q for the period ended March 31, 2026. Our results for any interim period are not necessarily indicative of results for a full year or any other interim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3. New Accounting Pronouncements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Recently Adopted</w:t>
      </w:r>
    </w:p>
    <w:p>
      <w:pPr>
        <w:pStyle w:val="TextBody"/>
        <w:bidi w:val="0"/>
        <w:spacing w:lineRule="auto" w:line="288" w:before="180" w:after="283"/>
        <w:jc w:val="left"/>
        <w:rPr/>
      </w:pPr>
      <w:r>
        <w:rPr>
          <w:rFonts w:ascii="Arial Narrow;sans-serif" w:hAnsi="Arial Narrow;sans-serif"/>
          <w:b w:val="false"/>
          <w:color w:val="000000"/>
          <w:sz w:val="20"/>
        </w:rPr>
        <w:t xml:space="preserve">On July 30, 2025, the Financial Accounting Standards Board (“FASB”) issued Accounting Standards Update (“ASU”) 2025-05, </w:t>
      </w:r>
      <w:r>
        <w:rPr>
          <w:rFonts w:ascii="Arial Narrow;sans-serif" w:hAnsi="Arial Narrow;sans-serif"/>
          <w:b w:val="false"/>
          <w:i/>
          <w:color w:val="000000"/>
          <w:sz w:val="20"/>
        </w:rPr>
        <w:t xml:space="preserve">Financial Instruments - Credit Losses (Topic 326): Measurement of Credit Losses for Accounts Receivable and Contract Assets For Private Companies and Certain Not-For-Profit Entities (PCC), </w:t>
      </w:r>
      <w:r>
        <w:rPr>
          <w:rFonts w:ascii="Arial Narrow;sans-serif" w:hAnsi="Arial Narrow;sans-serif"/>
          <w:b w:val="false"/>
          <w:color w:val="000000"/>
          <w:sz w:val="20"/>
        </w:rPr>
        <w:t xml:space="preserve">which provides a practical expedient for public business entities to simplify the measurement of credit losses for certain receivables and contract assets in which entities may elect to assume that the economic conditions at the time of a sale are reflective of future economic conditions, such that an entity does not need to consider future economic changes in its determination of its allowance for credit losses. We adopted ASU 2025-05 as of January 1, 2026 on a prospective basis. Upon adoption, we elected the practical expedient for current accounts receivable and current contract assets, and no other changes were made to our credit loss estimation methodologies. The adoption did not have an impact on our consolidated financial statements.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 xml:space="preserve">On November 4, 2024, the FASB issued ASU 2024-03, </w:t>
      </w:r>
      <w:r>
        <w:rPr>
          <w:rFonts w:ascii="Arial Narrow;sans-serif" w:hAnsi="Arial Narrow;sans-serif"/>
          <w:b w:val="false"/>
          <w:i/>
          <w:color w:val="000000"/>
          <w:sz w:val="20"/>
        </w:rPr>
        <w:t>Income Statement-Reporting Comprehensive Income-Expense Disaggregation Disclosures (Subtopic 220-40): Disaggregation of Income Statement Expenses</w:t>
      </w:r>
      <w:r>
        <w:rPr>
          <w:rFonts w:ascii="Arial Narrow;sans-serif" w:hAnsi="Arial Narrow;sans-serif"/>
          <w:b w:val="false"/>
          <w:color w:val="000000"/>
          <w:sz w:val="20"/>
        </w:rPr>
        <w:t>, which is intended to enhance transparency of the nature and 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pStyle w:val="TextBody"/>
        <w:bidi w:val="0"/>
        <w:spacing w:lineRule="auto" w:line="288" w:before="180" w:after="283"/>
        <w:jc w:val="left"/>
        <w:rPr/>
      </w:pPr>
      <w:r>
        <w:rPr>
          <w:rFonts w:ascii="Arial Narrow;sans-serif" w:hAnsi="Arial Narrow;sans-serif"/>
          <w:b w:val="false"/>
          <w:color w:val="000000"/>
          <w:sz w:val="20"/>
        </w:rPr>
        <w:t xml:space="preserve">On September 18, 2025, the FASB issued ASU 2025-06, </w:t>
      </w:r>
      <w:r>
        <w:rPr>
          <w:rFonts w:ascii="Arial Narrow;sans-serif" w:hAnsi="Arial Narrow;sans-serif"/>
          <w:b w:val="false"/>
          <w:i/>
          <w:color w:val="000000"/>
          <w:sz w:val="20"/>
        </w:rPr>
        <w:t>Intangibles - Goodwill and Other - Internal-Use Software (Subtopic 350-40): Targeted Improvements to the Accounting for Internal-Use Software,</w:t>
      </w:r>
      <w:r>
        <w:rPr>
          <w:color w:val="000000"/>
        </w:rPr>
        <w:t xml:space="preserve"> </w:t>
      </w:r>
      <w:r>
        <w:rPr>
          <w:rFonts w:ascii="Arial Narrow;sans-serif" w:hAnsi="Arial Narrow;sans-serif"/>
          <w:b w:val="false"/>
          <w:color w:val="000000"/>
          <w:sz w:val="20"/>
        </w:rPr>
        <w:t xml:space="preserve">which amends the guidance in ASC 350-40, Intangibles-Goodwill and Other-Internal-Use Software. The amendments modernize the recognition and disclosure framework for internal-use software costs, removing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previous “development stage” model and introducing a more judgment-based approach. ASU 2025-06 will be effective for our annual reporting periods beginning with the fiscal year ending December 31, 2028, with early adoption permitted, and may be applied prospectively, retrospectively, or via a modified prospective transition method. We are currently evaluating the impact this guidance will have on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November 25, 2025, the FASB issued ASU 2025-09, </w:t>
      </w:r>
      <w:r>
        <w:rPr>
          <w:rFonts w:ascii="Arial Narrow;sans-serif" w:hAnsi="Arial Narrow;sans-serif"/>
          <w:b w:val="false"/>
          <w:i/>
          <w:color w:val="000000"/>
          <w:sz w:val="20"/>
        </w:rPr>
        <w:t>Derivatives and Hedging (Topic 815): Hedge Accounting Improvements</w:t>
      </w:r>
      <w:r>
        <w:rPr>
          <w:rFonts w:ascii="Arial Narrow;sans-serif" w:hAnsi="Arial Narrow;sans-serif"/>
          <w:b w:val="false"/>
          <w:color w:val="000000"/>
          <w:sz w:val="20"/>
        </w:rPr>
        <w:t>, which includes amendments to more closely align hedge accounting with the economics of an entity’s risk management activities. ASU 2025-09 will be effective for our annual reporting periods beginning with the fiscal year ending December 31, 2028, with early adoption permitted. We are currently evaluating the impact this guidance will have on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December 8, 2025, the FASB issued ASU 2025-11, </w:t>
      </w:r>
      <w:r>
        <w:rPr>
          <w:rFonts w:ascii="Arial Narrow;sans-serif" w:hAnsi="Arial Narrow;sans-serif"/>
          <w:b w:val="false"/>
          <w:i/>
          <w:color w:val="000000"/>
          <w:sz w:val="20"/>
        </w:rPr>
        <w:t>Interim Reporting (Topic 270): Narrow-Scope Improvements</w:t>
      </w:r>
      <w:r>
        <w:rPr>
          <w:rFonts w:ascii="Arial Narrow;sans-serif" w:hAnsi="Arial Narrow;sans-serif"/>
          <w:b w:val="false"/>
          <w:color w:val="000000"/>
          <w:sz w:val="20"/>
        </w:rPr>
        <w:t>,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will be effective for our annual reporting periods beginning with the fiscal year ending December 31, 2028, including interim periods within those fiscal years, with early adoption permitted. We are currently evaluating the impact this guidance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Acquisitions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2026 Acquisition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June 3, 2026, we acquired 100% of the ownership interests of Akusus Holdings Limited, the parent company of RelateCare (“RelateCare”). RelateCare is a provider of AI-enabled clinical and patient access solutions. The results of operations of the acquired business are included within our consolidated financial statements and results of operations of our Healthcare segment as of the acquisition date.</w:t>
      </w:r>
    </w:p>
    <w:p>
      <w:pPr>
        <w:pStyle w:val="TextBody"/>
        <w:bidi w:val="0"/>
        <w:spacing w:lineRule="auto" w:line="288" w:before="180" w:after="283"/>
        <w:jc w:val="left"/>
        <w:rPr/>
      </w:pPr>
      <w:r>
        <w:rPr>
          <w:rFonts w:ascii="Arial Narrow;sans-serif" w:hAnsi="Arial Narrow;sans-serif"/>
          <w:b w:val="false"/>
          <w:color w:val="000000"/>
          <w:sz w:val="20"/>
        </w:rPr>
        <w:t xml:space="preserve">The acquisition was accounted for using the acquisition method of accounting. Contract assets and contract liabilities acquired are recorded at the value calculated under </w:t>
      </w:r>
      <w:r>
        <w:rPr>
          <w:rFonts w:ascii="Arial Narrow;sans-serif" w:hAnsi="Arial Narrow;sans-serif"/>
          <w:b w:val="false"/>
          <w:i/>
          <w:color w:val="000000"/>
          <w:sz w:val="20"/>
        </w:rPr>
        <w:t>Topic 606: Revenue from Contracts with Customers</w:t>
      </w:r>
      <w:r>
        <w:rPr>
          <w:color w:val="000000"/>
        </w:rPr>
        <w:t xml:space="preserve"> </w:t>
      </w:r>
      <w:r>
        <w:rPr>
          <w:rFonts w:ascii="Arial Narrow;sans-serif" w:hAnsi="Arial Narrow;sans-serif"/>
          <w:b w:val="false"/>
          <w:color w:val="000000"/>
          <w:sz w:val="20"/>
        </w:rPr>
        <w:t>as if we had entered into the original contract at the same date and on the same terms as the acquired company. The acquisition date values of assets acquired and liabilities assumed in the acquisition are considered preliminary and are based on the information that was available as of the date of the acquisition. We believe that the information provides a reasonable basis for estimating the preliminary values of assets acquired and liabilities assumed but certain items, such as the valuations of the intangible assets and deferred taxes and purchase price adjustments, among other items, may be subject to change as additional information is received. Thus, the provisional measurements of assets acquired, including goodwill, and liabilities assumed related to the acquisition are subject to change. We expect to finalize the valuations as soon as practicable, but not later than one year from the acquisition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revenues generated by this acquisition are not significant to our consolidated financial statements for the three and six months ended June 30, 2026. We determined that it is impractical to determine the amount of earnings generated by the acquisition due to the integration of operations after the acquisition date. Refer to Note 5 “Goodwill and Intangible Assets” for additional information on the goodwill and intangibles acquired and Note 11 “Fair Value of Financial Instruments” and Note 14 “Commitments, Contingencies and Guarantees” for additional information on our contingent consideration liabilities.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i/>
          <w:color w:val="000000"/>
          <w:sz w:val="20"/>
        </w:rPr>
      </w:pPr>
      <w:r>
        <w:rPr>
          <w:rFonts w:ascii="Arial Narrow;sans-serif" w:hAnsi="Arial Narrow;sans-serif"/>
          <w:b w:val="false"/>
          <w:i/>
          <w:color w:val="000000"/>
          <w:sz w:val="20"/>
        </w:rPr>
        <w:t>2025 Acquisitions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2025, we completed the following six acquisitions: Advancement Resources in March 2025, Halpin Partnership Limited (“Halpin”) in March 2025, Eclipse Insights LLC (“Eclipse Insights”) in June 2025, TVG-Treliant Holdings, LLC (“Treliant”) in July 2025, Wilson Perumal and Company, Inc. (“WP&amp;C”) in September 2025, and AXIOM Systems Consulting Services, Inc. (“AXIOM”) in November 2025.</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finalized the measurements of assets acquired and liabilities assumed related to the Advancement Resources, Halpin, Eclipse Insights, WP&amp;C and AXIOM acquisitions during 2025. In the first quarter of 2026, we finalized the measurements of assets acquired and liabilities assumed related to the Treliant acquisition.</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aggregate fair value of consideration transferred for all acquisitions completed in 2025 was $159.7 million, which consisted of $110.2 million in cash (inclusive of net working capital and other proceeds adjustments), $29.2 million in Huron common stock, and $20.3 million in the acquisition date fair value of contingent consideration liabilities.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recorded goodwill related to our 2025 acquisitions of $108.1 million, of which $53.8 million related to the acquisition of Eclipse Insights within our Healthcare segment; $27.4 million related to the acquisition of Treliant within our Commercial segment; $16.5 million related to the acquisition of WP&amp;C within our Commercial segment; and $10.4 million related to the remaining acquisitions completed in 2025. Goodwill is recognized for the excess of purchase price over the net fair value of assets acquired and liabilities assumed, and largely reflects the expanded market opportunities expected from combining the service offerings of Huron and the businesses acquired, as well as the assembled workforces of businesses acquired. Of the $108.1 million of goodwill recorded related to our 2025 acquisitions, $98.7 million is expected to be tax deductible.</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we acquired intangible assets related to our 2025 acquisitions of $58.1 million. Of the $58.1 million of intangible assets acquired, $27.6 million relates to our acquisition of Eclipse Insights and includes $25.5 million for customer relationships and $2.1 million for technology and software. The acquired customer relationships and technology and software intangible assets have an estimated useful life of 10 years and 5 years, respectively. Also included in the $58.1 million of intangible assets acquired in 2025 is $19.1 million for the Treliant customer relationships intangible asset, which has an estimated useful life of 10 years.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and six months ended June 30, 2025, we recognized total revenues of $2.1 million and $2.4 million, respectively, in the aggregate, from our acquisitions completed in 2025. We determined that it is impractical to determine the amount of earnings generated by the acquisitions, individually or in the aggregate, due to the integration of operations after the acquisition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Goodwill and Intangible Assets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goodwill by reportable segment for the six months ended June 30, 2026.</w:t>
      </w:r>
    </w:p>
    <w:tbl>
      <w:tblPr>
        <w:tblW w:w="9675" w:type="dxa"/>
        <w:jc w:val="left"/>
        <w:tblInd w:w="0" w:type="dxa"/>
        <w:tblLayout w:type="fixed"/>
        <w:tblCellMar>
          <w:top w:w="28" w:type="dxa"/>
          <w:left w:w="28" w:type="dxa"/>
          <w:bottom w:w="28" w:type="dxa"/>
          <w:right w:w="28" w:type="dxa"/>
        </w:tblCellMar>
      </w:tblPr>
      <w:tblGrid>
        <w:gridCol w:w="1572"/>
        <w:gridCol w:w="1384"/>
        <w:gridCol w:w="1394"/>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business acquisitions</w:t>
            </w:r>
            <w:r>
              <w:rPr>
                <w:rFonts w:ascii="Arial Narrow;sans-serif" w:hAnsi="Arial Narrow;sans-serif"/>
                <w:b w:val="false"/>
                <w:color w:val="000000"/>
                <w:sz w:val="13"/>
              </w:rPr>
              <w:t>(1)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June 30, 2026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529,629 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804,939 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The $18.3 million of goodwill recorded in connection with a business acquisition in the Healthcare segment is related to the acquisition of RelateCare. Goodwill is recognized for the excess of purchase price over the net fair value of assets acquired and liabilities assumed, and largely reflects the expanded market opportunities expected from combining the service offerings of Huron and RelateCare, as well as the assembled workforce of RelateCare. All of the $18.3 million of goodwill is expected to be nondeductible for tax purposes. The $0.2 million of goodwill recorded in connection with a business acquisition in the Commercial segment relates to the finalized measurements of assets acquired and liabilities assumed in the acquisition of Treliant. See Note 4 "Acquisitions" for additional information on our business combinations completed in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June 30, 2026 and December 31, 2025 consisted of the following:</w:t>
      </w:r>
    </w:p>
    <w:tbl>
      <w:tblPr>
        <w:tblW w:w="8911" w:type="dxa"/>
        <w:jc w:val="left"/>
        <w:tblInd w:w="0" w:type="dxa"/>
        <w:tblLayout w:type="fixed"/>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736"/>
        <w:gridCol w:w="109"/>
        <w:gridCol w:w="109"/>
        <w:gridCol w:w="109"/>
        <w:gridCol w:w="109"/>
        <w:gridCol w:w="235"/>
        <w:gridCol w:w="775"/>
        <w:gridCol w:w="131"/>
        <w:gridCol w:w="109"/>
        <w:gridCol w:w="109"/>
        <w:gridCol w:w="109"/>
        <w:gridCol w:w="196"/>
        <w:gridCol w:w="73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2025</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23,970 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123,091 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41,909 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40,069 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our acquisition of RelateCare, we acquired a $16.4 million customer relationship intangible asset, which has an initial estimated useful life of 10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six months ended June 30, 2026, we wrote-off $6.0 million of fully amortized intangible assets related to technology and software, customer relationships, and non-competition agreements no longer in use. We did not write-off any intangible assets during the six months ended June 30,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Identifiable intangible assets with finite lives are amortized over their estimated useful lives using either an accelerated or straight-line basis to correspond to the cash flows expected to be derived from the assets. Intangible asset amortization expense was $3.9 million and $2.3 million for the three months ended June 30, 2026 and 2025, respectively; and $7.8 million and $4.3 million for the six months ended June 30, 2026 and 2025, respectively.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estimated annual amortization expense for the intangible assets recorded as of June 30, 2026.</w:t>
      </w:r>
    </w:p>
    <w:tbl>
      <w:tblPr>
        <w:tblW w:w="520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530"/>
        <w:gridCol w:w="1750"/>
        <w:gridCol w:w="42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15,847 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14,853 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14,545 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11,742 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9,368 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June 30, 2026 and 2025, we recognized total revenues of $475.0 million and $411.8 million, respectively. Of the $475.0 million total revenues recognized in the second quarter of 2026, we recognized $4.5 million from obligations satisfied, or partially satisfied, in prior periods, of which $3.0 million was due to changes in the estimates of our variable consideration under performance-based billing arrangements and $1.5 million was due to the release of allowances on receivables from clients and unbilled services. Of the $411.8 million total revenues recognized in the second quarter of 2025, we recognized $12.8 million from obligations satisfied, or partially satisfied, in prior periods, of which $11.6 million was due to changes in the estimates of our variable consideration under performance-based billing arrangements and $1.2 million was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six months ended June 30, 2026 and 2025, we recognized total revenues of $926.8 million and $815.9 million, respectively. Of the $926.8 million total revenues recognized in the first six months of 2026, we recognized $16.6 million from obligations satisfied, or partially satisfied in prior periods, of which $14.7 million was due to changes in the estimates of our variable consideration under performance-based billing arrangements and $1.9 million was due to the release of allowances on receivables from clients and unbilled services. Of the $815.9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million total revenues recognized in the first six months of 2025, we recognized $20.5 million from obligations satisfied, or partially satisfied in prior periods, of which $18.7 million was due to changes in the estimates of our variable consideration under performance-based billing arrangements and $1.8 million was due to the release of allowances on receivables from clients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June 30, 2026, we had $271.4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$271.4 million of performance obligations, we expect to recognize $62.1 million as revenue in 2026, $79.2 million in 2027, and the remaining $130.1 million thereafter. Actual revenue recognition could differ from these amounts as a result of changes in the estimated timing of work to be performed, adjustments to estimated variable consideration in performance-based arrangements, or other factors.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June 30, 2026 and December 31, 2025 was $110.2 million and $91.7 million, respectively. The $18.5 million increase primarily reflects timing differences between the completion of our performance obligations and the amounts billed or billable to clients in accordance with their contractual billing terms.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June 30, 2026 and December 31, 2025 was $30.9 million and $31.7 million, respectively. The $0.8 million decrease reflects timing differences between client payments in accordance with their contract terms and the completion of our performance obligations. For the three and six months ended June 30, 2026, $5.9 million and $28.7 million of revenues recognized, respectively, were included in the deferred revenue balance as of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8955" w:type="dxa"/>
        <w:jc w:val="center"/>
        <w:tblInd w:w="0" w:type="dxa"/>
        <w:tblLayout w:type="fixed"/>
        <w:tblCellMar>
          <w:top w:w="28" w:type="dxa"/>
          <w:left w:w="28" w:type="dxa"/>
          <w:bottom w:w="28" w:type="dxa"/>
          <w:right w:w="28" w:type="dxa"/>
        </w:tblCellMar>
      </w:tblPr>
      <w:tblGrid>
        <w:gridCol w:w="1487"/>
        <w:gridCol w:w="1312"/>
        <w:gridCol w:w="1326"/>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anti-dilutive securities excluded from the computation of the weighted average common stock equivalents presented above was 0.1 million shares for both the three and six months ended June 30, 2026 and was less than 0.1 million shares for both the three and six months ended June 30, 2025. These shares related to unvested restricted stock and outstanding common stock options.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2026. The current authorization extends the share repurchase program through December 31, 2026 with a repurchase amount of $900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three and six months ended June 30, 2026, we repurchased and retired 438,456 and 1,553,262 shares for $53.1 million and $208.6 million, respectively, which includes a $0.5 million and $1.6 million accrual for excise taxes on the net share repurchases, respectively; and includes 10,000 shares for $0.9 million which were settled in the third quarter of 2026. Additionally, in the second quarter of 2026, we paid $0.6 million for the excise taxes accrued on the net share repurchases in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three and six months ended June 30, 2025, we repurchased and retired 429,669 and 938,280 shares for $61.0 million and $133.9 million, respectively, which includes a $0.6 million and $0.7 million accrual for excise taxes on the net share repurchases, respectively. Additionally, in the first quarter of 2025, we settled the repurchase of 5,103 shares for $0.6 million which were accrued as of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June 30, 2026, $92.0 million remained available for share repurchases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a $700 million senior secured revolving credit facility (the “Revolver”) and a $400 million senior secured term loan facility (the “Term Loan”), subject to the terms of the Fourth Amended and Restated Credit Agreement dated as of July 30, 2025 (the “Amended Credit Agreement”). Both the Revolver and the Term Loan mature on July 30, 2030. The Term Loan is subject to scheduled quarterly amortization payments of $5.0 million which began September 30, 2025 and continue through the maturity date of July 30, 2030,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June 30, 2026, we had total borrowings outstanding under the Amended Credit Agreement of $834.0 million, consisting of $454.0 million outstanding under the Revolver and $380.0 million outstanding under the Term Loan. A summary of the scheduled maturities of those borrowings as of June 30, 2026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under the Amended Credit Agreement may be used for working capital, capital expenditures, share repurchases, permitted acquisitions, and other general corporate purposes. The initial borrowings under the Amended Credit Agreement were used to reduce borrowings outstanding under a prior credit agreement.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provides the option to increase the revolving credit facility or establish additional term loan facilities in an aggregate amount up to $500 million with further increases permitted to the extent the Pro Forma Consolidated Leverage Ratio (as defined in the Amended Credit Agreement) remains at or below 3.00 to 1.00 following such incremental borrowings, subject to customary conditions and the approval of any lender whose commitment would be increased. These increases result in an available principal amount of $1.6 billion under the Amended Credit Agreement, with further increases permitted.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will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Fourth Amended and Restated Security Agreement and a Fourth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2026, we were in compliance with these financial covenants with a Consolidated Leverage Ratio of 2.82 to 1.00 and a Consolidated Interest Coverage Ratio of 7.48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091" w:type="dxa"/>
        <w:jc w:val="left"/>
        <w:tblInd w:w="0" w:type="dxa"/>
        <w:tblLayout w:type="fixed"/>
        <w:tblCellMar>
          <w:top w:w="28" w:type="dxa"/>
          <w:left w:w="28" w:type="dxa"/>
          <w:bottom w:w="28" w:type="dxa"/>
          <w:right w:w="28" w:type="dxa"/>
        </w:tblCellMar>
      </w:tblPr>
      <w:tblGrid>
        <w:gridCol w:w="1276"/>
        <w:gridCol w:w="1119"/>
        <w:gridCol w:w="1129"/>
        <w:gridCol w:w="196"/>
        <w:gridCol w:w="736"/>
        <w:gridCol w:w="109"/>
        <w:gridCol w:w="109"/>
        <w:gridCol w:w="109"/>
        <w:gridCol w:w="109"/>
        <w:gridCol w:w="216"/>
        <w:gridCol w:w="813"/>
        <w:gridCol w:w="170"/>
      </w:tblGrid>
      <w:tr>
        <w:trPr/>
        <w:tc>
          <w:tcPr>
            <w:tcW w:w="127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2025</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390,000 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832,812 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509,665 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489,665 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(1)We initially recognized a $1.5 million discount to the Term Loan for debt issuance costs related to the Amended Credit Facility. These debt issuance costs are amortized to interest expense using an effective interest rate of 5.95%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Amended Credit Agreement as of both June 30, 2026 and December 31, 2025 carried a weighted average interest rate of 5.3%. Both weighted average interest rates include the effect of the interest rate swaps described in Note 10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June 30, 2026, we had outstanding letters of credit totaling $0.4 million, which are used as security deposits for our office facilities. As of June 30, 2026, the unused borrowing capacity under the Revolver was $245.6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and six months ended June 30, 2026 were $0.4 million and $1.1 million, respectively. The $0.4 million of restructuring charges recognized in the second quarter of 2026 included $0.7 million of rent and related expenses, net of sublease income, for our previously vacated office spaces, partially offset by a $0.2 million non-cash gain on lease modification on our office space in Hillsboro, Oregon. The $1.1 million of restructuring charges recognized in the first six months of 2026 included $3.2 million of severance-related expenses and $1.7 million of rent and related expenses, net of sublease income, for our previously vacated office spaces, largely offset by $4.0 million of non-cash gains on lease modifications. In the first quarter of 2026, we entered into the Seventh Amendment to the office lease agreement for our principal executive offices in Chicago, Illinois, which, among other items, provides for the early termination of the lease with respect to certain leased spaces previously vacated. As a result of this modification, we recognized a $3.8 million non-cash gain on lease modification. See Note 14 “Commitments, Contingencies and Guarantees” within the notes to our consolidated financial statements for additional information on the Seventh Amendment to the Chicago, Illinois office lease.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three and six months ended June 30, 2025 were $0.6 million and $1.9 million, respectively. The $0.6 million of restructuring charges recognized in the second quarter of 2025 primarily consisted of rent and related expenses, net of sublease income, for our previously vacated office spaces. The $1.9 million of restructuring charges recognized in the first six months of 2025 primarily consisted of $1.0 million of rent and related expenses, net of sublease income, for our previously vacated office spaces and a $0.7 million non-cash lease impairment charge driven by updated sublease assumptions for a previously vacated office space.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our restructuring charge liability by restructuring type for the six months ended June 30, 2026.</w:t>
      </w:r>
    </w:p>
    <w:tbl>
      <w:tblPr>
        <w:tblW w:w="6433" w:type="dxa"/>
        <w:jc w:val="left"/>
        <w:tblInd w:w="0" w:type="dxa"/>
        <w:tblLayout w:type="fixed"/>
        <w:tblCellMar>
          <w:top w:w="28" w:type="dxa"/>
          <w:left w:w="28" w:type="dxa"/>
          <w:bottom w:w="28" w:type="dxa"/>
          <w:right w:w="28" w:type="dxa"/>
        </w:tblCellMar>
      </w:tblPr>
      <w:tblGrid>
        <w:gridCol w:w="922"/>
        <w:gridCol w:w="811"/>
        <w:gridCol w:w="817"/>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Additions </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color w:val="000000"/>
              </w:rPr>
              <w:t xml:space="preserve"> </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June 30, 2026</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Additions and adjustments exclude non-cash items related to employee costs, such as share-based compensation expense recognized upon the modification of equity awards to accelerate vesting upon termination, and non-cash items related to vacated office spaces, such as lease impairment charges, accelerated depreciation on abandoned operating lease ROU assets and fixed assets and non-cash gains on lease modifications, all of which are recorded as restructuring charges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restructuring charge liability related to employee costs as of June 30, 2026 is expected to be paid in the next 12 months. All of the other restructuring charge liability at June 30, 2026, which primarily relates to the early termination of a contract in a prior period, is expected to be paid in the next 12 months. The employee costs and other restructuring charge liabilities are included as components of accrued payroll and related benefits and accrued expenses and other current liabilities in our consolidated balance sheet,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foreign exchange forward contracts to manage the foreign currency exchange rate risk associated with our operations in India and Canada. We do not use derivative instruments for trading or other speculative purposes.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Cash Flow Hedges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designated our interest rate swaps and Indian Rupee forward contracts as cash flow hedges. Therefore, changes in the fair value of these derivative instruments are recorded to other comprehensive income to the extent effective and reclassified to earnings upon settlement. Below is additional information on the derivative instruments designated as cash flow hedges in effect during the periods presented. From time to time, we may enter into additional forward interest rate swaps or Indian Rupee forward contracts to further hedge against our interest rate and foreign currency exchange rate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 xml:space="preserve">We are party to forward interest rate swap agreements with aggregate notional amounts of $250.0 million as of both June 30, 2026 and December 31, 2025.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28, 2030.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June 30, 2026, it was anticipated that $0.5 million of the gains, net of tax, related to interest rate swaps currently recorded in accumulated other comprehensive income (loss) will be reclassified into interest expense, net of interest income in our consolidated statement of operations within the next 12 months.</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We are party to Indian Rupee forward contracts that are scheduled to mature monthly through April 30, 2027. As of June 30, 2026 and December 31, 2025, the aggregate notional amounts of these contracts were Indian Rupee (INR) 0.69 billion, or $7.3 million, and Indian Rupee (INR) 1.47 billion, or $16.3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June 30, 2026, it was anticipated that all of the $0.2 million of losses, net of tax, related to these foreign currency forward contracts currently recorded in accumulated other comprehensive income (loss) will be reclassified into earnings in our consolidated statement of operations within the next 12 months.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12 “Other Comprehensive Income (Loss)” for additional information on our cash flow hedges.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Derivatives not Designated as Hedging Instruments</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 xml:space="preserve">Beginning in the first quarter of 2025, on a quarterly basis, we have entered into Canadian Dollar forward contracts that settle at the end of each quarter. As of June 30, 2026, we have one Canadian Dollar forward contract outstanding, with a notional amount of $20.0 million and a fair value of $0, that will settle on September 30, 2026. We did not designate any of these derivatives as accounting hedging instruments. Therefore, changes in the fair value of the derivatives are recorded to other income (expense), net in our consolidated statements of operations. During the three and six months ended June 30, 2026, we recognized $0.5 million and $1.1 million, respectively, of realized losses related to the settled forward contracts. During the three and six months ended June 30, 2025, we recognized $1.1 million and $0.9 million, respectively, of realized gains related to the settled forward contracts. From time to time, we may enter into additional Canadian Dollar forward contracts to continue to establish economic hedges against our foreign exchange rate risk.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recognized on our consolidated balance sheets as of June 30, 2026 and December 31, 2025.</w:t>
      </w:r>
    </w:p>
    <w:tbl>
      <w:tblPr>
        <w:tblW w:w="8775"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196"/>
        <w:gridCol w:w="556"/>
        <w:gridCol w:w="109"/>
        <w:gridCol w:w="109"/>
        <w:gridCol w:w="109"/>
        <w:gridCol w:w="109"/>
        <w:gridCol w:w="269"/>
        <w:gridCol w:w="764"/>
        <w:gridCol w:w="21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2025</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4,181 </w:t>
            </w:r>
          </w:p>
        </w:tc>
        <w:tc>
          <w:tcPr>
            <w:tcW w:w="2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our derivative instruments are transacted under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Fair Value of Financial Instruments</w:t>
      </w:r>
    </w:p>
    <w:p>
      <w:pPr>
        <w:pStyle w:val="TextBody"/>
        <w:bidi w:val="0"/>
        <w:spacing w:lineRule="auto" w:line="288" w:before="180" w:after="240"/>
        <w:jc w:val="left"/>
        <w:rPr>
          <w:rFonts w:ascii="Arial Narrow;sans-serif" w:hAnsi="Arial Narrow;sans-serif"/>
          <w:b w:val="false"/>
          <w:color w:val="000000"/>
          <w:sz w:val="20"/>
        </w:rPr>
      </w:pPr>
      <w:r>
        <w:rPr>
          <w:rFonts w:ascii="Arial Narrow;sans-serif" w:hAnsi="Arial Narrow;sans-serif"/>
          <w:b w:val="false"/>
          <w:color w:val="000000"/>
          <w:sz w:val="20"/>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June 30, 2026 and December 31, 2025.</w:t>
      </w:r>
    </w:p>
    <w:tbl>
      <w:tblPr>
        <w:tblW w:w="8562" w:type="dxa"/>
        <w:jc w:val="left"/>
        <w:tblInd w:w="0" w:type="dxa"/>
        <w:tblLayout w:type="fixed"/>
        <w:tblCellMar>
          <w:top w:w="28" w:type="dxa"/>
          <w:left w:w="28" w:type="dxa"/>
          <w:bottom w:w="28" w:type="dxa"/>
          <w:right w:w="28" w:type="dxa"/>
        </w:tblCellMar>
      </w:tblPr>
      <w:tblGrid>
        <w:gridCol w:w="1322"/>
        <w:gridCol w:w="1154"/>
        <w:gridCol w:w="116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32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35,014 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27,455 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See Note 10 “Derivative Instruments and Hedging Activity” for additional information on our interest rate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See Note 10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investment is carried at fair value with unrealized holding gains and losses excluded from earnings and reported in other comprehensive income (loss). To the extent any change in fair value is the result of a change in credit-related factors, such change is recorded to other income (expense), net in our consolidated statement of operations as a change to the allowance for credit losses.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We estimate the allowance for credit losses as the difference between the present value of expected cash flows to be generated from the investment and the cost basis, limited to the difference between the fair value and cost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hybrid analysis and calculation of allowance for credit losses utilizes certain assumptions, all of which are Level 3 inputs. Specifically, the assumptions utilized in the hybrid analysis include the assumed holding period through the maturity date of January 17, 2027; the applicable waterfall distribution at the end of the expected holding period based on the rights and privileges of the various instruments; cash flow projections discounted at the risk-adjusted rate of 25.5% and 23.5% as of June 30, 2026 and December 31, 2025, respectively; and the concluded equity volatility of 47.5% and 40.0% as of June 30, 2026 and December 31, 2025, respectively. Additionally, the assumptions utilized in the calculation for the allowance for credit losses include the assumed holding period through the maturity date of January 17, 2027; the applicable waterfall distribution at the end of the expected holding period based on the rights and privileges of the various instruments; the concluded equity volatility of 47.5% and 40.0% as of June 30, 2026 and December 31, 2025, respectively; and cash flow projections discounted at the risk-adjusted rate in a range of 2.0% to 12.1%, with a weighted average of 8.8% and 8.7% as of June 30, 2026 and December 31, 2025, respectively. The weighted average risk-adjusted rate is calculated using the relative present value of expected cash flows. The use of alternative estimates and assumptions could increase or decrease the estimated fair value of the investment or the allowance for credit losses, which would result in different impacts to our consolidated balance sheet and statements of operations and other comprehensive income.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estimated fair value and allowance for credit losses of the convertible debt investment was $33.8 million and $9.3 million, respectively, as of June 30, 2026. The estimated fair value and allowance for credit losses of the convertible debt investment was $34.1 million and $10.4 million, respectively, as of December 31, 2025. Since our initial investment in 2014, we recognized a total pre-tax unrealized gain of $2.2 million within other comprehensive income (loss) and the $9.3 million allowance for credit losses within earnings. As of June 30, 2026 and December 31, 2025, our cost basis was $40.9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balance of the convertible debt investment for the six months ended June 30, 2026.</w:t>
      </w:r>
    </w:p>
    <w:tbl>
      <w:tblPr>
        <w:tblW w:w="7256" w:type="dxa"/>
        <w:jc w:val="left"/>
        <w:tblInd w:w="0" w:type="dxa"/>
        <w:tblLayout w:type="fixed"/>
        <w:tblCellMar>
          <w:top w:w="28" w:type="dxa"/>
          <w:left w:w="28" w:type="dxa"/>
          <w:bottom w:w="28" w:type="dxa"/>
          <w:right w:w="28" w:type="dxa"/>
        </w:tblCellMar>
      </w:tblPr>
      <w:tblGrid>
        <w:gridCol w:w="1638"/>
        <w:gridCol w:w="1441"/>
        <w:gridCol w:w="1451"/>
        <w:gridCol w:w="109"/>
        <w:gridCol w:w="109"/>
        <w:gridCol w:w="109"/>
        <w:gridCol w:w="470"/>
        <w:gridCol w:w="1556"/>
        <w:gridCol w:w="373"/>
      </w:tblGrid>
      <w:tr>
        <w:trPr/>
        <w:tc>
          <w:tcPr>
            <w:tcW w:w="1638"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 included in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1,067 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33,816 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In connection with certain business acquisitions, we may be required to pay post-closing consideration to the sellers if specific financial performance targets are met over a number of years as specified in the related purchase agreements. 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in a range of 4.8% to 5.5%, with a weighted average of 5.0%, as of June 30, 2026. As of December 31, 2025, the discount rate was in a range of 4.3% to 5.1% with a weighted average of 4.9%. The weighted average discount rate was calculated using the relative fair values of the contingent consideration liabilities as of each period end. The fair value of the contingent consideration is reassessed quarterly based on assumptions used in our latest projections and input provided by practice leaders and management. Any change in the fair value estimate is recorded to other losses (gains), net in our consolidated statement of operations for that period. The carrying value is recorded in accrued expenses and other current liabilities or deferred compensation and other liabilities, based on the expected timing of payment, in our consolidated balance sheets.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six months ended June 30, 2026. </w:t>
      </w:r>
    </w:p>
    <w:tbl>
      <w:tblPr>
        <w:tblW w:w="7196" w:type="dxa"/>
        <w:jc w:val="left"/>
        <w:tblInd w:w="0" w:type="dxa"/>
        <w:tblLayout w:type="fixed"/>
        <w:tblCellMar>
          <w:top w:w="28" w:type="dxa"/>
          <w:left w:w="28" w:type="dxa"/>
          <w:bottom w:w="28" w:type="dxa"/>
          <w:right w:w="28" w:type="dxa"/>
        </w:tblCellMar>
      </w:tblPr>
      <w:tblGrid>
        <w:gridCol w:w="923"/>
        <w:gridCol w:w="811"/>
        <w:gridCol w:w="816"/>
        <w:gridCol w:w="109"/>
        <w:gridCol w:w="109"/>
        <w:gridCol w:w="109"/>
        <w:gridCol w:w="849"/>
        <w:gridCol w:w="2800"/>
        <w:gridCol w:w="670"/>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3,423 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Balance as of June 30, 2026</w:t>
            </w:r>
            <w:r>
              <w:rPr>
                <w:rFonts w:ascii="Arial Narrow;sans-serif" w:hAnsi="Arial Narrow;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34,134 </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Of the $34.1 million contingent consideration liability, $17.3 million was recorded to accrued expenses and other current liabilities and $16.8 million was recorded to deferred compensation and other liabilities in our consolidated balance sheet.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4 "Acquisitions" and Note 14 "Commitments, Contingencies and Guarantees" for additional information on our acquisitions and contingent consideration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Equity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fourth quarter of 2019, we invested $5.0 million in the preferred stock of a hospital-at-home company. In the second quarter of 2025, the hospital-at-home company merged with a third-party healthcare services provider; and in the second quarter of 2026, our equity investment was fully converted to shares of common stock of the same company in accordance with the terms of their most recent financing round.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equity investment since inception, we performed VIE analyses and concluded that the company does not meet the definition of a VIE. We also reviewed the characteristics of our investments to confirm that the equity securities do not warrant equity method accounting. After we reviewed all of the terms of the equity securities, we concluded the appropriate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accounting treatment for our investments to be that of equity securities with no readily determinable fair value. We have elected to continue to apply the measurement alternative and will continue to do so until the investment does not qualify to be so measured.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same or similar equity instruments occurred or if factors indicate that a significant decrease in value has occurred. We remeasure to the fair value of the equity securities using such identified information with changes in the fair value recorded to other income (expense), net in our consolidated statement of operations. The carrying value of the equity investment is recorded in long-term investments in our consolidated balance sheets.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2026, we recognized a non-cash impairment loss of $2.2 million on our equity investment based on the valuation established in the most recent financing round. In the first quarter of 2025, we recognized a non-cash impairment charge of $4.2 million on our equity investment based on the valuation anticipated from the hospital-at-home company's merger.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 Since our initial investment in 2019, we have recognized cumulative unrealized losses of $33.5 million and cumulative unrealized gains of $28.6 million. As of June 30, 2026 and December 31, 2025, the carrying value of our equity investment was $0.1 million and $2.4 million, respectively, with a cost basis of $5.0 million.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tables below set forth the components of other comprehensive income (loss), net of tax,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178"/>
        <w:gridCol w:w="945"/>
        <w:gridCol w:w="948"/>
        <w:gridCol w:w="196"/>
        <w:gridCol w:w="602"/>
        <w:gridCol w:w="109"/>
        <w:gridCol w:w="109"/>
        <w:gridCol w:w="109"/>
        <w:gridCol w:w="109"/>
        <w:gridCol w:w="238"/>
        <w:gridCol w:w="530"/>
        <w:gridCol w:w="133"/>
        <w:gridCol w:w="109"/>
        <w:gridCol w:w="109"/>
        <w:gridCol w:w="109"/>
        <w:gridCol w:w="196"/>
        <w:gridCol w:w="602"/>
        <w:gridCol w:w="109"/>
        <w:gridCol w:w="109"/>
        <w:gridCol w:w="109"/>
        <w:gridCol w:w="109"/>
        <w:gridCol w:w="196"/>
        <w:gridCol w:w="602"/>
        <w:gridCol w:w="109"/>
        <w:gridCol w:w="109"/>
        <w:gridCol w:w="109"/>
        <w:gridCol w:w="109"/>
        <w:gridCol w:w="196"/>
        <w:gridCol w:w="614"/>
        <w:gridCol w:w="109"/>
        <w:gridCol w:w="109"/>
        <w:gridCol w:w="109"/>
        <w:gridCol w:w="109"/>
        <w:gridCol w:w="196"/>
        <w:gridCol w:w="602"/>
        <w:gridCol w:w="160"/>
      </w:tblGrid>
      <w:tr>
        <w:trPr/>
        <w:tc>
          <w:tcPr>
            <w:tcW w:w="117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 2025</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(557)</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(4,614)</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24"/>
        <w:gridCol w:w="889"/>
        <w:gridCol w:w="891"/>
        <w:gridCol w:w="196"/>
        <w:gridCol w:w="600"/>
        <w:gridCol w:w="109"/>
        <w:gridCol w:w="109"/>
        <w:gridCol w:w="109"/>
        <w:gridCol w:w="109"/>
        <w:gridCol w:w="196"/>
        <w:gridCol w:w="612"/>
        <w:gridCol w:w="109"/>
        <w:gridCol w:w="109"/>
        <w:gridCol w:w="109"/>
        <w:gridCol w:w="109"/>
        <w:gridCol w:w="196"/>
        <w:gridCol w:w="600"/>
        <w:gridCol w:w="109"/>
        <w:gridCol w:w="109"/>
        <w:gridCol w:w="109"/>
        <w:gridCol w:w="109"/>
        <w:gridCol w:w="196"/>
        <w:gridCol w:w="690"/>
        <w:gridCol w:w="109"/>
        <w:gridCol w:w="109"/>
        <w:gridCol w:w="109"/>
        <w:gridCol w:w="109"/>
        <w:gridCol w:w="205"/>
        <w:gridCol w:w="581"/>
        <w:gridCol w:w="115"/>
        <w:gridCol w:w="109"/>
        <w:gridCol w:w="109"/>
        <w:gridCol w:w="109"/>
        <w:gridCol w:w="196"/>
        <w:gridCol w:w="690"/>
        <w:gridCol w:w="157"/>
      </w:tblGrid>
      <w:tr>
        <w:trPr/>
        <w:tc>
          <w:tcPr>
            <w:tcW w:w="112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 2025</w:t>
            </w:r>
          </w:p>
        </w:tc>
      </w:tr>
      <w:tr>
        <w:trPr/>
        <w:tc>
          <w:tcPr>
            <w:tcW w:w="2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(4,588)</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(16,829)</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(loss) related to our interest rate swaps and foreign exchange forward contracts designated as cash flow hedges are recorded to interest expense, net of interest income and direct costs, respectively, on our consolidated statement of operations. The related tax amounts reclassified from accumulated other comprehensive income (loss) are recorded to income tax expense (benefit) on our consolidated statement of operations. Refer to Note 10 “Derivative Instruments and Hedging Activity” for additional information on our derivative instruments.</w:t>
      </w:r>
    </w:p>
    <w:p>
      <w:pPr>
        <w:pStyle w:val="TextBody"/>
        <w:bidi w:val="0"/>
        <w:spacing w:before="0" w:after="0"/>
        <w:jc w:val="left"/>
        <w:rPr/>
      </w:pPr>
      <w:r>
        <w:rPr/>
      </w:r>
    </w:p>
    <w:p>
      <w:pPr>
        <w:pStyle w:val="TextBody"/>
        <w:bidi w:val="0"/>
        <w:spacing w:lineRule="auto" w:line="288" w:before="0" w:after="0"/>
        <w:jc w:val="left"/>
        <w:rPr/>
      </w:pPr>
      <w:r>
        <w:rPr>
          <w:rFonts w:ascii="Arial Narrow;sans-serif" w:hAnsi="Arial Narrow;sans-serif"/>
          <w:b w:val="false"/>
          <w:color w:val="000000"/>
          <w:sz w:val="20"/>
        </w:rPr>
        <w:t>Accumulated other comprehensive income (loss), net of tax, includes the following components:</w:t>
      </w:r>
      <w:r>
        <w:rPr>
          <w:color w:val="000000"/>
        </w:rPr>
        <w:t> </w:t>
      </w:r>
    </w:p>
    <w:tbl>
      <w:tblPr>
        <w:tblW w:w="10205" w:type="dxa"/>
        <w:jc w:val="left"/>
        <w:tblInd w:w="0" w:type="dxa"/>
        <w:tblLayout w:type="fixed"/>
        <w:tblCellMar>
          <w:top w:w="28" w:type="dxa"/>
          <w:left w:w="28" w:type="dxa"/>
          <w:bottom w:w="28" w:type="dxa"/>
          <w:right w:w="28" w:type="dxa"/>
        </w:tblCellMar>
      </w:tblPr>
      <w:tblGrid>
        <w:gridCol w:w="559"/>
        <w:gridCol w:w="492"/>
        <w:gridCol w:w="495"/>
        <w:gridCol w:w="353"/>
        <w:gridCol w:w="1028"/>
        <w:gridCol w:w="197"/>
        <w:gridCol w:w="109"/>
        <w:gridCol w:w="109"/>
        <w:gridCol w:w="109"/>
        <w:gridCol w:w="494"/>
        <w:gridCol w:w="1099"/>
        <w:gridCol w:w="274"/>
        <w:gridCol w:w="109"/>
        <w:gridCol w:w="109"/>
        <w:gridCol w:w="109"/>
        <w:gridCol w:w="257"/>
        <w:gridCol w:w="793"/>
        <w:gridCol w:w="143"/>
        <w:gridCol w:w="109"/>
        <w:gridCol w:w="109"/>
        <w:gridCol w:w="109"/>
        <w:gridCol w:w="465"/>
        <w:gridCol w:w="1035"/>
        <w:gridCol w:w="260"/>
        <w:gridCol w:w="109"/>
        <w:gridCol w:w="109"/>
        <w:gridCol w:w="109"/>
        <w:gridCol w:w="196"/>
        <w:gridCol w:w="595"/>
        <w:gridCol w:w="162"/>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June 30, 2026</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(7,960)</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(8,306)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Income Taxes</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For the three months ended June 30, 2026, our effective tax rate was 27.2% as we recognized income tax expense of $11.7 million on income of $42.9 million. The effective tax rate of 27.2% was less favorable than the statutory rate, inclusive of state income taxes, of 26.0%, primarily due to certain nondeductible expense items and the inability to recognize tax benefits related to certain foreign and capital losses, partially offset by a tax benefit related to non-taxable gains on our investments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June 30, 2025, our effective tax rate was 29.9% as we recognized income tax expense of $8.3 million on income of $27.7 million. The effective tax rate of 29.9% was less favorable than the statutory rate, inclusive of state income taxes, of 26.0%, primarily due to the establishment of a valuation allowance for a deferred tax asset recorded as the result of the capital loss on our investment in a hospital-at-home company as well as certain nondeductible expense items, partially offset by a tax benefit related to non-taxable gains on our investments used to fund our deferred compensation liability.</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For the six months ended June 30, 2026, our effective tax rate was 22.1% as we recognized income tax expense of $15.5 million on income of $70.0 million. The effective tax rate of 22.1% was more favorable than the statutory rate, inclusive of state income taxes, of </w:t>
      </w:r>
      <w:r>
        <w:rPr>
          <w:rFonts w:ascii="Arial Narrow;sans-serif" w:hAnsi="Arial Narrow;sans-serif"/>
          <w:b w:val="false"/>
          <w:color w:val="000000"/>
          <w:sz w:val="20"/>
        </w:rPr>
        <w:t>26.0%, primarily due to a discrete tax benefit for share-based compensation awards that vested during the first quarter of 2026 and a tax benefit related to non-taxable gains on our investments used to fund our deferred compensation liability. These favorable items were partially offset by certain nondeductible expense items and the inability to recognize tax benefits related to certain foreign and capital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For the six months ended June 30, 2025, our effective tax rate was 10.6% as we recognized income tax expense of $5.2 million on income of $49.2 million. The effective tax rate of 10.6% was more favorable than the statutory rate, inclusive of state income taxes, of </w:t>
      </w:r>
      <w:r>
        <w:rPr>
          <w:rFonts w:ascii="Arial Narrow;sans-serif" w:hAnsi="Arial Narrow;sans-serif"/>
          <w:b w:val="false"/>
          <w:color w:val="000000"/>
          <w:sz w:val="20"/>
        </w:rPr>
        <w:t>26.0%,</w:t>
      </w:r>
      <w:r>
        <w:rPr>
          <w:color w:val="000000"/>
          <w:shd w:fill="FFFFFF" w:val="clear"/>
        </w:rPr>
        <w:t xml:space="preserve"> </w:t>
      </w:r>
      <w:r>
        <w:rPr>
          <w:rFonts w:ascii="Arial Narrow;sans-serif" w:hAnsi="Arial Narrow;sans-serif"/>
          <w:b w:val="false"/>
          <w:color w:val="000000"/>
          <w:sz w:val="20"/>
          <w:shd w:fill="FFFFFF" w:val="clear"/>
        </w:rPr>
        <w:t>primarily due to a discrete tax benefit for share-based compensation awards that vested during the first quarter of 2025. This favorable item was partially offset by the establishment of a valuation allowance for a deferred tax asset recorded as the result of the capital loss on our investment in a hospital-at-home company and certain nondeductible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Commitments, Contingencies and Guarantees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Lease Commitments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quarter of 2026, we entered into the Seventh Amendment to the office lease agreement for our principal executive offices in Chicago, Illinois, which resulted in a non-cash gain on lease modification of $3.8 million. Among other items, this amendment i) extends the term of the lease from September 30, 2029 to September 30, 2037; ii) provides a renewal option to extend the lease for an additional five year period to September 30, 2042; iii) terminates the lease, effective September 30, 2026, with respect to certain leased spaces previously vacated; iv) provides abatement of certain future base rent payments and our pro rata share of operating expenses and taxes; and v) provides a tenant improvement allowance, a portion of which may be converted, at our option, to additional abatement of future base rent payments and our pro rata share of operating expenses and taxes.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$0.4 million were outstanding at both June 30, 2026 and December 31, 2025, which are used as security deposits for our office facilities.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connection with certain business acquisitions, we may be required to pay post-closing consideration to the sellers if specific financial performance targets are met over a number of years as specified in the related purchase agreements. In connection with our second quarter 2026 business combination, we may be required to pay post-closing consideration to the sellers up to $11.6 million over a two-year term if specific revenues before reimbursable expenses targets are met. As of June 30, 2026 and December 31, 2025, the total estimated fair value of our outstanding contingent consideration liabilities was $34.1 million and $23.3 million, respectively. The remaining aggregate maximum amount of contingent consideration that may be paid is $55.4 million, which is payable, if earned, on a staggered basis through December 31, 2028. See Note 11 “Fair Value of Financial Instruments” for additional information on our contingent consideration liabilities.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15.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reportable segments: Healthcare, Education, and Commercial, which align our business by industry.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consulting and managed services offerings include financial and operational performance improvement consulting, which spans revenue cycle, business operations and care delivery transformation; organizational transformation; revenue cycle, clinical and patient access managed services and outsourcing; financial and capital advisory consulting; and strategy consulting. Our healthcare-focused digital services span technology and analytic-related services, including core systems of record, such as enterprise health record (“EHR”), enterprise resource planning (“ERP”), enterprise performance management (“EPM”),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 management (“CRM”) systems; data management, artificial intelligence (“AI”) and automation; technology managed services; and payor core administration systems. We also have a portfolio of software products we deliver to the healthcare industry. In June 2025, we enhanced our consulting offerings through the acquisition of Eclipse Insights, a leading provider of revenue cycle solutions. In November 2025, we acquired the consulting services division of AXIOM to strengthen our digital-focused payor offerings. In June 2026, we strengthened our managed services offerings through the acquisition of RelateCare, a leading provider of AI-enabled clinical and patient access solutions.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not-for-profit organizations and other education-related organizations. Our education and research-focused consulting and managed services offerings include our research-focused consulting and managed services; our strategy and operations consulting services, which span finance, accounting, operations and athletics to organization and talent strategy and student and academic strategy; and our advancement and fundraising consulting services, which were bolstered by the acquisitions of Advancement Resources and Halpin in March 2025. Our education and research-focused digital offerings span technology and analytic-related services, including core systems of record, such as student information, ERP, EPM, and CRM systems; data management, AI and automation; and technology managed services. Our education and research-focused product offerings include our Huron Research Suite, the leading software suite designed to facilitate and improve research administration service delivery and compliance.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seven primary buyers: the chief executive officer, the chief financial officer, the chief strategy officer, the chief human resources officer, the chief operating officer, the chief risk officer, and organizational advisors, including lenders and law firms. We have a deep focus on serving organizations in the financial services, industrials and manufacturing, and energy and utilities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financial and capital advisory (special situation advisory and corporate finance advisory) consulting services, regulatory compliance and risk management consulting and managed services, strategy and operations consulting services, and financial and operational performance improvement consulting services. In the third quarter of 2025, we bolstered our Commercial consulting offerings through the acquisitions of Treliant, a global financial services consulting and managed services firm, and WP&amp;C, a leading strategy and operations consulting firm specializing in driving operational efficiency and improved growth and profitability.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chief operating decision maker (“CODM”), who is our chief executive officer, manages the business under these three reportable segments. Our CODM uses segment operating income in the annual budgeting and quarterly forecasting process as well as on a monthly basis for evaluating the performance of each segment and making decisions about allocating capital and other resources to each segment. Our CODM does not evaluate segments using asset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other gains and losses,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information about our reportable segments for the three and six months ended June 30, 2026 and 2025,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 </w:t>
      </w:r>
    </w:p>
    <w:tbl>
      <w:tblPr>
        <w:tblW w:w="8234" w:type="dxa"/>
        <w:jc w:val="left"/>
        <w:tblInd w:w="0" w:type="dxa"/>
        <w:tblLayout w:type="fixed"/>
        <w:tblCellMar>
          <w:top w:w="28" w:type="dxa"/>
          <w:left w:w="28" w:type="dxa"/>
          <w:bottom w:w="28" w:type="dxa"/>
          <w:right w:w="28" w:type="dxa"/>
        </w:tblCellMar>
      </w:tblPr>
      <w:tblGrid>
        <w:gridCol w:w="1101"/>
        <w:gridCol w:w="967"/>
        <w:gridCol w:w="976"/>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8460" w:type="dxa"/>
        <w:jc w:val="left"/>
        <w:tblInd w:w="0" w:type="dxa"/>
        <w:tblLayout w:type="fixed"/>
        <w:tblCellMar>
          <w:top w:w="28" w:type="dxa"/>
          <w:left w:w="28" w:type="dxa"/>
          <w:bottom w:w="28" w:type="dxa"/>
          <w:right w:w="28" w:type="dxa"/>
        </w:tblCellMar>
      </w:tblPr>
      <w:tblGrid>
        <w:gridCol w:w="1183"/>
        <w:gridCol w:w="1042"/>
        <w:gridCol w:w="104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290,625 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Total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815,896 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Unallocated corporate expenses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080" w:type="dxa"/>
        <w:jc w:val="left"/>
        <w:tblInd w:w="0" w:type="dxa"/>
        <w:tblLayout w:type="fixed"/>
        <w:tblCellMar>
          <w:top w:w="28" w:type="dxa"/>
          <w:left w:w="28" w:type="dxa"/>
          <w:bottom w:w="28" w:type="dxa"/>
          <w:right w:w="28" w:type="dxa"/>
        </w:tblCellMar>
      </w:tblPr>
      <w:tblGrid>
        <w:gridCol w:w="813"/>
        <w:gridCol w:w="717"/>
        <w:gridCol w:w="720"/>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(1)Other segment items in each segment consists of restructuring charges for all periods presented.</w:t>
      </w:r>
    </w:p>
    <w:p>
      <w:pPr>
        <w:pStyle w:val="TextBody"/>
        <w:bidi w:val="0"/>
        <w:spacing w:lineRule="auto" w:line="288" w:before="300" w:after="300"/>
        <w:jc w:val="left"/>
        <w:rPr>
          <w:rFonts w:ascii="Arial Narrow;sans-serif" w:hAnsi="Arial Narrow;sans-serif"/>
          <w:b w:val="false"/>
          <w:color w:val="000000"/>
          <w:sz w:val="20"/>
        </w:rPr>
      </w:pPr>
      <w:r>
        <w:rPr>
          <w:rFonts w:ascii="Arial Narrow;sans-serif" w:hAnsi="Arial Narrow;sans-serif"/>
          <w:b w:val="false"/>
          <w:color w:val="000000"/>
          <w:sz w:val="20"/>
        </w:rPr>
        <w:t>The following tables illustrate the disaggregation of segment total revenues and segment revenues before reimbursable expenses (RBR) by our two principal capabilities: i) Consulting and Managed Services and ii) Digital, and includes a reconciliation to consolidated total revenues and consolidated RBR. We manage our business on the basis of RBR, which we believe is the most accurate reflection of our services because it eliminates the effect of reimbursable expenses that we bill to our clients at cost.</w:t>
      </w:r>
    </w:p>
    <w:tbl>
      <w:tblPr>
        <w:tblW w:w="8066"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297,181 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406,592 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463,507 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352,389 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815,896 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9987" w:type="dxa"/>
        <w:jc w:val="left"/>
        <w:tblInd w:w="0" w:type="dxa"/>
        <w:tblLayout w:type="fixed"/>
        <w:tblCellMar>
          <w:top w:w="28" w:type="dxa"/>
          <w:left w:w="28" w:type="dxa"/>
          <w:bottom w:w="28" w:type="dxa"/>
          <w:right w:w="28" w:type="dxa"/>
        </w:tblCellMar>
      </w:tblPr>
      <w:tblGrid>
        <w:gridCol w:w="1619"/>
        <w:gridCol w:w="1422"/>
        <w:gridCol w:w="142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and six months ended June 30, 2026 and 2025, substantially all of our revenues were recognized over time. During the three and six months ended June 30, 2026 and 2025, no single client generated greater than 10% of our consolidated total revenues. At June 30, 2026 and December 31, 2025, no single client accounted for greater than 10% of our combined balance of receivables from clients, net and unbilled services,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“positions,”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our ability to realize the expected benefits and potential opportunities of artificial intelligence (AI);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including as a result of current global trade tensions and/or tariffs. These forward-looking statements involve known and unknown risks, uncertainties, and other factors, including, among others, those described under Item 1A. “Risk Factors,” in our Annual Report on Form 10-K for the year ended December 31, 2025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collaborates with organizations to help solve their most complex challenges and achieve their most ambitious goals. Working across the private and public sectors, we partner closely with clients to improve performance, accelerate transformation, and unlock new opportunities for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clients choose us because of our deep industry and technical expertise and proven track record of turning sound strategies into action. By combining practical experience, innovative thinking, and advanced analytics and technology, Huron helps organizations translate today’s ideas into tangible results and long-term value.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Accelerating Growth in Healthcare and Education: </w:t>
      </w:r>
      <w:r>
        <w:rPr>
          <w:rFonts w:ascii="Arial Narrow;sans-serif" w:hAnsi="Arial Narrow;sans-serif"/>
          <w:b w:val="false"/>
          <w:color w:val="000000"/>
          <w:sz w:val="20"/>
        </w:rPr>
        <w:t>Huron holds leading market positions in healthcare and education, providing comprehensive offerings to the largest health systems, academic medical centers, colleges and universities, and research institutes in the United States and abroad. The Company will continue to broaden its portfolio of offerings in healthcare and education to drive even greater impact on current and new clients as the needs in those industries further evolve due to competitive, technological, regulatory, financial, and broader market changes.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Presence in Commercial Industries: </w:t>
      </w:r>
      <w:r>
        <w:rPr>
          <w:rFonts w:ascii="Arial Narrow;sans-serif" w:hAnsi="Arial Narrow;sans-serif"/>
          <w:b w:val="false"/>
          <w:color w:val="000000"/>
          <w:sz w:val="20"/>
        </w:rPr>
        <w:t>Through its deep industry and capability expertise and nimble approach, Huron has grown its client base and expanded its credentials in the commercial industries. Huron’s commercial industry strategy has increased the diversification of the Company’s portfolio and end markets while expanding the range of capabilities it can deliver to clients, providing new avenues for growth and an important balance to its healthcare and education focus.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Rapidly Growing Global Digital Capability:</w:t>
      </w:r>
      <w:r>
        <w:rPr>
          <w:color w:val="000000"/>
        </w:rPr>
        <w:t xml:space="preserve"> </w:t>
      </w:r>
      <w:r>
        <w:rPr>
          <w:rFonts w:ascii="Arial Narrow;sans-serif" w:hAnsi="Arial Narrow;sans-serif"/>
          <w:b w:val="false"/>
          <w:color w:val="000000"/>
          <w:sz w:val="20"/>
        </w:rPr>
        <w:t>As data, technology and artificial intelligence (“AI”) evolve across industries, Huron’s ability to provide a broad portfolio of digital offerings that support the strategic and operational needs of its clients globally is at the foundation of the Company’s strategy. Huron will continue to advance its integrated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w:t>
      </w:r>
      <w:r>
        <w:rPr>
          <w:rFonts w:ascii="Arial Narrow;sans-serif" w:hAnsi="Arial Narrow;sans-serif"/>
          <w:b w:val="false"/>
          <w:color w:val="000000"/>
          <w:sz w:val="20"/>
        </w:rPr>
        <w:t>The Company continues to be well-positioned to further achieve margin expansion as well as strong annual adjusted diluted earnings per share growth. We are committed to operating income margin expansion by seeking to grow the areas of the business that provide the most attractive returns, improving our pricing realization and the operational efficiency of our delivery for clients, utilizing our global delivery platform across regions, and scaling our selling, general, and administrative expenses as we grow.</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 xml:space="preserve">A resilient, flexible balance sheet is the foundation of our financial strength, and strong free cash flows have and will continue to be the hallmark of Huron’s business model. The Company is committed to deploying capital in a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balanced way, including returning capital to shareholders and executing strategic, tuck-in acquisitions while prudently managing our leverage ratio.</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industrials and manufacturing, energy and utilities, and the public sector. We also provide revenue reporting across two principal capabilities: i) Consulting and Managed Services and ii) Digital, which are methods by which we deliver our services and products.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consulting and managed services offerings include financial and operational performance improvement consulting, which spans revenue cycle, business operations and care delivery transformation; organizational transformation; revenue cycle, clinical and patient access managed services and outsourcing; financial and capital advisory consulting; and strategy consulting. Our healthcare-focused digital services span technology and analytic-related services, including core systems of record, such as enterprise health record (“EHR”), enterprise resource planning (“ERP”), enterprise performance management (“EPM”), and customer relationship management (“CRM”) systems; data management, artificial intelligence (“AI”) and automation; technology managed services; and payor core administration systems. We also have a portfolio of software products we deliver to the healthcare industry. In June 2025, we enhanced our consulting offerings through the acquisition of Eclipse Insights, a leading provider of revenue cycle solutions. In November 2025, we acquired the consulting services division of AXIOM to strengthen our digital-focused payor offerings. In June 2026, we strengthened our managed services offerings through the acquisition of RelateCare, a leading provider of AI-enabled clinical and patient access solutions.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not-for-profit organizations and other education-related organizations. Our education and research-focused consulting and managed services offerings include our research-focused consulting and managed services; our strategy and operations consulting services, which span finance, accounting, operations and athletics to organization and talent strategy and student and academic strategy; and our advancement and fundraising consulting services, which were bolstered by the acquisitions of Advancement Resources and Halpin in March 2025. Our education and research-focused digital offerings span technology and analytic-related services, including core systems of record, such as student information, ERP, EPM, and CRM systems; data management, AI and automation; and technology managed services. Our education and research-focused product offerings include our Huron Research Suite, the leading software suite designed to facilitate and improve research administration service delivery and compliance.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seven primary buyers: the chief executive officer, the chief financial officer, the chief strategy officer, the chief human resources officer, the chief operating officer, the chief risk officer, and organizational advisors, including lenders and law firms. We have a deep focus on serving organizations in the financial services, industrials and manufacturing, and energy and utilities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financial and capital advisory (special situation advisory and corporate finance advisory) consulting services, regulatory compliance and risk management consulting and managed services, strategy and operations consulting services, and financial and operational performance improvement consulting services. In the third quarter of 2025, we bolstered our Commercial consulting offerings through the acquisitions of Treliant, a global financial services consulting and managed services firm, and WP&amp;C, a leading strategy and operations consulting firm specializing in driving operational efficiency and improved growth and profitability.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 and AI-driven solutions powered by our Digital capability to support long-term relationships with our clients and drive lasting impact. Examples include the areas of revenue cycle, clinical and patient access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the design and implementation of technologies to accelerate transformation, facilitate data-driven decision making, operate more efficiently by leveraging AI- and automation-enabled workflows, and improve customer and employee experiences. We have invested organically and inorganically to expand our Digital offerings, which now span beyond core systems of record, such as ERP systems, into a broader set of administrative systems, including supply chain management, industry-specific systems of record and systems of engagement that act as the “digital front door” to an organization. We have grown our data, analytics, AI and automation offerings to deliver a unified and actionable technology ecosystem for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For example, we are a Leading Modern Oracle Network Partner; a Summit-level consulting partner with Salesforce.com and a Premium Partner with Salesforce.org; a Workday Services, Preferred Channel, Extend, and Application Management Services Partner; a Microsoft Solutions Partner; an Amazon Web Services consulting partner; an Informatica Platinum Partner; and an SAP Concur implementation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2025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Revenues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Revenues before Reimbursable Expenses (RBR)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(RBR)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RBR is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RBR from providing professional services and software products under the following four types of billing arrangements: fixed-fee;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We generate subscription revenue from our cloud-based analytic tools and solutions including our cloud-based revenue cycle management software and research administration and compliance software. Additionally, clients that have purchased one of our software licenses can pay an annual fee for software support and maintenance. Software support, maintenance and subscription revenues are recognized ratably over the support or subscription period. These fees are generally billed in advance and included in deferred revenues until recognized as revenue.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We manage our business on the basis of revenues before reimbursable expenses (RBR),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primarily consists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the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office-related expenses, sales and marketing expenses, recruiting and training expenses, and practice administration and meeting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other gains and losses, depreciation expense, and amortization expense related to internally developed software costs and intangible assets acquired in business combinations.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also assess our results of operations using the following non-GAAP financial measures: earnings before interest, taxes, depreciation and amortization (“EBITDA”), adjusted EBITDA, adjusted EBITDA as a percentage of RBR,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if they so choose,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financial measures to permit comparability with periods that were not impacted by these items. We do not include normal, recurring, cash operating expenses in our restructuring charges.</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to permit comparability with periods that are not impacted by these items. These items are recorded as a component of other losses (gains), net on our consolidated statement of operations.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xml:space="preserve">: We exclude the impact of third-party advisory, legal, and accounting fees and other corporate costs incurred directly related to the evaluation and/or consummation of business acquisitions to permit comparability with prior periods as these costs are inconsistent in their amount and frequency and are significantly affected by the timing and size of our acquisitions. </w:t>
      </w:r>
    </w:p>
    <w:p>
      <w:pPr>
        <w:pStyle w:val="TextBody"/>
        <w:bidi w:val="0"/>
        <w:spacing w:lineRule="auto" w:line="288" w:before="180" w:after="283"/>
        <w:jc w:val="left"/>
        <w:rPr/>
      </w:pPr>
      <w:r>
        <w:rPr>
          <w:rFonts w:ascii="Arial Narrow;sans-serif" w:hAnsi="Arial Narrow;sans-serif"/>
          <w:b w:val="false"/>
          <w:i/>
          <w:color w:val="000000"/>
          <w:sz w:val="20"/>
        </w:rPr>
        <w:t>Unrealized losses (gains) on long-term investments, net</w:t>
      </w:r>
      <w:r>
        <w:rPr>
          <w:rFonts w:ascii="Arial Narrow;sans-serif" w:hAnsi="Arial Narrow;sans-serif"/>
          <w:b w:val="false"/>
          <w:color w:val="000000"/>
          <w:sz w:val="20"/>
        </w:rPr>
        <w:t>: We exclude the effect of unrealized losses and gains related to our long-term investments, which include changes to the credit allowance recognized on our convertible debt investment in a third-party as well as changes in the fair value of our equity investment in a hospital-at-home company arising from observable price changes or impairment charges. These unrealized losses and gains are included as a component of other income (expense), net on our consolidated statement of operations. We believe these unrealized losses and gains are not indicative of the ongoing performance of our business and their exclusion permits comparability with prior periods.</w:t>
      </w:r>
    </w:p>
    <w:p>
      <w:pPr>
        <w:pStyle w:val="TextBody"/>
        <w:bidi w:val="0"/>
        <w:spacing w:lineRule="auto" w:line="288" w:before="180" w:after="283"/>
        <w:jc w:val="left"/>
        <w:rPr/>
      </w:pPr>
      <w:r>
        <w:rPr>
          <w:rFonts w:ascii="Arial Narrow;sans-serif" w:hAnsi="Arial Narrow;sans-serif"/>
          <w:b w:val="false"/>
          <w:i/>
          <w:color w:val="000000"/>
          <w:sz w:val="20"/>
        </w:rPr>
        <w:t xml:space="preserve">Losses (gains) on sales of businesses: </w:t>
      </w:r>
      <w:r>
        <w:rPr>
          <w:rFonts w:ascii="Arial Narrow;sans-serif" w:hAnsi="Arial Narrow;sans-serif"/>
          <w:b w:val="false"/>
          <w:color w:val="000000"/>
          <w:sz w:val="20"/>
        </w:rPr>
        <w:t>We exclude the effect of non-operating losses and gains recognized as a result of sales of businesses as they are infrequent, management believes that these items are not indicative of the ongoing performance of our business, and their exclusion permits comparability with periods that were not impacted by such items. The 2026 gain relates to the divestiture of a business within our Commercial segment completed in the first quarter of 2026. The divested business was not significant to our consolidated financial statements for any period presented.</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professionals who provide revenue cycle, clinical and patient access managed services, research administration managed services and outsourcing at our healthcare, education and research-focused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second quarter of 2026 include the following: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Revenues before reimbursable expenses (RBR) increased $63.1 million, or 15.7%, to $465.6 million for the second quarter of 2026 from $402.5 million for the second quarter of 2025.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Net income as a percentage of total revenues increased to 6.6% for the second quarter of 2026, compared to 4.7% for the second quarter of 2025. Results for the second quarter of 2025 include an $8.2 million non-cash credit-related impairment charge, net of tax, related to our convertible debt investment in a third-party.</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EBITDA as a percentage of RBR increased to 15.6% for the second quarter of 2026, compared to 15.1% for the second quarter of 2025.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Diluted EPS increased 75.2% to $1.91 for the second quarter of 2026 from $1.09 for the second quarter of 2025. Results for the second quarter of 2025 include the non-cash credit-related impairment charge on our convertible debt investment, which had an unfavorable $0.46 impact on diluted EPS in the prior year period.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diluted EPS increased 30.2% to $2.46 for the second quarter of 2026, compared to $1.89 for the second quarter of 2025.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Returned $53.1 million to shareholders in the second quarter of 2026 by repurchasing 438,456 shares of our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RBR increased $63.1 million, or 15.7%, to $465.6 million for the second quarter of 2026 from $402.5 million for the second quarter of 2025. This growth reflects strength in demand across all three of our operating segments and across both the Consulting and Managed Services and Digital capabilities. The increase includes $19.5 million of incremental RBR from our acquisitions completed since March 31, 2025. Excluding the $19.5 million of incremental RBR from our acquisitions, RBR grew 10.8% organically.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RBR within our Consulting and Managed Services capability increased $46.8 million, or 20.4%, in the second quarter of 2026 to $275.9 million, compared to $229.1 million in the second quarter of 2025; and reflected strengthened demand in our Healthcare and Commercial segments. The increase includes $17.5 million of incremental RBR from our acquisitions of WP&amp;C, RelateCare, Treliant, and Eclipse Insights. The utilization rate within our Consulting capability increased to 81.3% in the second quarter of 2026, compared to 77.0% in the second quarter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RBR within our Digital capability increased $16.3 million, or 9.4%, in the second quarter of 2026 to $189.7 million, compared to $173.4 million in the second quarter of 2025; and reflected an increase in RBR in our Education and Healthcare segments. The increase includes $1.9 million of incremental RBR from our acquisition of AXIOM. The utilization rate within our Digital capability increased to 81.8% in the second quarter of 2026, compared to 77.8% in the second quarter of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total number of revenue-generating professionals, excluding Managed Services professionals, increased 7.0% to 5,335 as of June 30, 2026, compared to 4,986 as of June 30, 2025, as a result of the acquisitions completed since the second quarter of 2025 and hiring to support the overall increase in demand for our services. The number of Managed Services professionals increased to 3,913 as of June 30, 2026 from 1,895 as of June 30, 2025. This increase includes our acquisition of RelateCare in June 2026, which added approximately 1,100 Managed Services professionals.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$11.8 million, or 60.8%, to $31.2 million for the three months ended June 30, 2026 from $19.4 million for the same period last year. The second quarter of 2025 includes the $8.2 million non-cash credit-related impairment charge, net of tax, related to our convertible debt investment in a third-party. Diluted earnings per share for the second quarter of 2026 increased 75.2% to $1.91 from $1.09 for the second quarter of 2025 driven by the increase in net income as well as a reduction in diluted shares outstanding resulting from share repurchases made under our share repurchase plan. The non-cash credit-related impairment charge on our convertible debt investment recognized in the second quarter of 2025 had an unfavorable $0.46 impact on diluted EPS in the prior year period. Adjusted diluted earnings per share, which excludes the impact of the non-cash impairment charge in 2025, increased 30.2% to $2.46 for the second quarter of 2026, compared to $1.89 for the second quarter of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$12.1 million, or 19.9%, to $72.6 million, or 15.6% of RBR, for the second quarter of 2026, compared to $60.6 million, or 15.1% of RBR, for the same period last year.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2026, we deployed $53.1 million of capital to repurchase 438,456 shares of our common stock, representing 2.5% of our common stock outstanding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tables set forth, for the periods indicated, selected segment and consolidated operating results and other operating data, including non-GAAP financial measures.</w:t>
      </w:r>
    </w:p>
    <w:tbl>
      <w:tblPr>
        <w:tblW w:w="10205" w:type="dxa"/>
        <w:jc w:val="left"/>
        <w:tblInd w:w="0" w:type="dxa"/>
        <w:tblLayout w:type="fixed"/>
        <w:tblCellMar>
          <w:top w:w="28" w:type="dxa"/>
          <w:left w:w="28" w:type="dxa"/>
          <w:bottom w:w="28" w:type="dxa"/>
          <w:right w:w="28" w:type="dxa"/>
        </w:tblCellMar>
      </w:tblPr>
      <w:tblGrid>
        <w:gridCol w:w="1507"/>
        <w:gridCol w:w="1321"/>
        <w:gridCol w:w="1330"/>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8"/>
      </w:tblGrid>
      <w:tr>
        <w:trPr/>
        <w:tc>
          <w:tcPr>
            <w:tcW w:w="1507"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15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41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4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232,303 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457,504 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396,312 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133,855 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115,967 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RBR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129,301 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252,049 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55,389 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RBR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93,958 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185,001 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149,834 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RBR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17,701 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475,042 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926,809 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815,896 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106,652 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8,345 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50,248 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45,654 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86,831 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78,386 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(29,226)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27,708 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49,160 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43,966 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7"/>
        <w:gridCol w:w="1257"/>
        <w:gridCol w:w="1264"/>
        <w:gridCol w:w="109"/>
        <w:gridCol w:w="109"/>
        <w:gridCol w:w="109"/>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8"/>
      </w:tblGrid>
      <w:tr>
        <w:trPr/>
        <w:tc>
          <w:tcPr>
            <w:tcW w:w="163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415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41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Healthcare</w:t>
            </w: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Education</w:t>
            </w:r>
            <w:r>
              <w:rPr>
                <w:rFonts w:ascii="Arial Narrow;sans-serif" w:hAnsi="Arial Narrow;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(excluding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4,986 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 and Managed Services</w:t>
            </w:r>
            <w:r>
              <w:rPr>
                <w:rFonts w:ascii="Arial Narrow;sans-serif" w:hAnsi="Arial Narrow;sans-serif"/>
                <w:b w:val="false"/>
                <w:color w:val="000000"/>
                <w:sz w:val="13"/>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547,538 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453,043 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189,715 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173,383 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361,810 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345,152 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w:t>
            </w:r>
            <w:r>
              <w:rPr>
                <w:rFonts w:ascii="Arial Narrow;sans-serif" w:hAnsi="Arial Narrow;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6,881 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Utilization rate by capability</w:t>
            </w:r>
            <w:r>
              <w:rPr>
                <w:rFonts w:ascii="Arial Narrow;sans-serif" w:hAnsi="Arial Narrow;sans-serif"/>
                <w:b/>
                <w:color w:val="000000"/>
                <w:sz w:val="13"/>
              </w:rPr>
              <w:t>(7)</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78.0 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before="0" w:after="0"/>
        <w:jc w:val="left"/>
        <w:rPr/>
      </w:pPr>
      <w:r>
        <w:rPr/>
      </w:r>
    </w:p>
    <w:p>
      <w:pPr>
        <w:pStyle w:val="TextBody"/>
        <w:bidi w:val="0"/>
        <w:spacing w:lineRule="auto" w:line="288" w:before="0" w:after="60"/>
        <w:ind w:left="0" w:right="0" w:hanging="360"/>
        <w:jc w:val="left"/>
        <w:rPr/>
      </w:pPr>
      <w:r>
        <w:rPr>
          <w:rFonts w:ascii="Arial;sans-serif" w:hAnsi="Arial;sans-serif"/>
          <w:b w:val="false"/>
          <w:color w:val="000000"/>
          <w:sz w:val="18"/>
        </w:rPr>
        <w:t>(1)    </w:t>
      </w:r>
      <w:r>
        <w:rPr>
          <w:rFonts w:ascii="Arial Narrow;sans-serif" w:hAnsi="Arial Narrow;sans-serif"/>
          <w:b w:val="false"/>
          <w:color w:val="000000"/>
          <w:sz w:val="20"/>
        </w:rPr>
        <w:t>The majority of our revenue-generating professionals within our Commercial segment can provide services across all of our industries, including healthcare and education, and the related costs of these professionals are allocated to each of the segments.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The increase in the number of revenue-generating professionals within our Commercial segment includes our acquisition of Treliant in the third quarter of 2025. This acquisition added approximately 180 revenue-generating professionals, of which approximately 65 are consultants who work variable schedules as needed by clients.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    During the first quarter of 2026, we reclassified the revenue-generating professionals within one of Commercial's Digital offerings to the same Digital offering within Healthcare as these revenue-generating professionals primarily provide services to clients in the healthcare industry. This reclassification had no impact on the total Huron headcount or RBR reported for any period.</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this offering as of December 31, 2024, March 31, 2025, June 30, 2025, September 30, 2025 and December 31, 2025 was 190, 158, 154, 154, and 145, respectively. The prior period headcount reported by segment in the table above has been revised for consistent presentation.</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    During the first quarter of 2026, we reclassified one of the offerings within Education's Managed Services capability to Education's Consulting capability. This reclassification had no impact on the total Huron headcount or RBR reported for any period.</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this offering as of December 31, 2024, March 31, 2025, June 30, 2025, September 30, 2025 and December 31, 2025 was 23, 22, 23, 21 and 21, respectively. The prior period headcount reported by segment and by capability in the table above has been revised for consistent presentation. The prior period Education Managed Services capability headcount in footnote (5) below has been revised for consistent presentation.</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RBR generated by this offering during the quarters ended March 31, 2025, June 30, 2025, September 30, 2025, and December 31, 2025 was $1.8 million, $1.4 million, $1.8 million, and $1.6 million, respectively, and during the years ended December 31, 2024 and 2025 was $7.3 million and $6.6 million, respectively. This reclassification did not impact the total Education Consulting and Managed Services RBR reported for any period, and the prior period Education Managed Services capability RBR in footnote (6) below has been revised for consistent presentation.</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(5)    We have separately presented the total number of revenue-generating professionals within our Managed Services capabilities of our Healthcare and Education segments. Our Healthcare Managed Services professionals provide revenue cycle, clinical and patient access services from patient scheduling and clinical triage through billing and collections. Our Education Managed Services professionals provide research administration managed services and outsourcing at our education and research-focused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professionals within our Healthcare segment was 3,794 and 1,807 as of June 30, 2026 and 2025, respectively. This increase includes our acquisition of RelateCare in the second quarter of 2026, which added approximately 1,100 Managed Services professionals.</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professionals within our Education segment was 119 and 88 as of June 30, 2026 and 2025,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(6)    Managed Services capability RBR within our Healthcare segment was $34.4 million and $21.0 million for the three months ended June 30, 2026 and 2025, respectively; and $60.5 million and $39.3 million for the six months ended June 30, 2026 and 2025,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capability RBR within our Education segment was $6.9 million and $6.0 million for the three months ended June 30, 2026 and 2025, respectively; and $12.8 million and $11.5 million for the six months ended June 30, 2026 and 2025, respectively.</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(7)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Financial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10205" w:type="dxa"/>
        <w:jc w:val="left"/>
        <w:tblInd w:w="0" w:type="dxa"/>
        <w:tblLayout w:type="fixed"/>
        <w:tblCellMar>
          <w:top w:w="28" w:type="dxa"/>
          <w:left w:w="28" w:type="dxa"/>
          <w:bottom w:w="28" w:type="dxa"/>
          <w:right w:w="28" w:type="dxa"/>
        </w:tblCellMar>
      </w:tblPr>
      <w:tblGrid>
        <w:gridCol w:w="1711"/>
        <w:gridCol w:w="1384"/>
        <w:gridCol w:w="1391"/>
        <w:gridCol w:w="196"/>
        <w:gridCol w:w="736"/>
        <w:gridCol w:w="241"/>
        <w:gridCol w:w="109"/>
        <w:gridCol w:w="109"/>
        <w:gridCol w:w="109"/>
        <w:gridCol w:w="196"/>
        <w:gridCol w:w="736"/>
        <w:gridCol w:w="241"/>
        <w:gridCol w:w="109"/>
        <w:gridCol w:w="109"/>
        <w:gridCol w:w="109"/>
        <w:gridCol w:w="196"/>
        <w:gridCol w:w="736"/>
        <w:gridCol w:w="241"/>
        <w:gridCol w:w="109"/>
        <w:gridCol w:w="109"/>
        <w:gridCol w:w="109"/>
        <w:gridCol w:w="196"/>
        <w:gridCol w:w="736"/>
        <w:gridCol w:w="287"/>
      </w:tblGrid>
      <w:tr>
        <w:trPr/>
        <w:tc>
          <w:tcPr>
            <w:tcW w:w="171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4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Reimbursable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17,461 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17,701 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475,042 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411,755 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926,809 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815,896 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31,234 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19,430 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54,481 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43,966 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 as a percentage of total revenues</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5,194 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14,928 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14,467 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EBITDA</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65,255 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44,307 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111,170 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78,555 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on long-term investments,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72,639 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60,579 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123,230 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102,070 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 before reimbursable expenses</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13.6 </w:t>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12.8 </w:t>
            </w:r>
          </w:p>
        </w:tc>
        <w:tc>
          <w:tcPr>
            <w:tcW w:w="2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8370" w:type="dxa"/>
        <w:jc w:val="center"/>
        <w:tblInd w:w="0" w:type="dxa"/>
        <w:tblLayout w:type="fixed"/>
        <w:tblCellMar>
          <w:top w:w="28" w:type="dxa"/>
          <w:left w:w="28" w:type="dxa"/>
          <w:bottom w:w="28" w:type="dxa"/>
          <w:right w:w="28" w:type="dxa"/>
        </w:tblCellMar>
      </w:tblPr>
      <w:tblGrid>
        <w:gridCol w:w="1280"/>
        <w:gridCol w:w="1128"/>
        <w:gridCol w:w="1132"/>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18,137 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on long-term investments,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18,137 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Three Months Ended June 30, 2026 Compared to Three Months Ended June 30, 2025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(RBR)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(RBR) by segment and capability for the three months ended June 30, 2026 and 2025 were as follows:</w:t>
      </w:r>
    </w:p>
    <w:tbl>
      <w:tblPr>
        <w:tblW w:w="9699"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Total revenues before reimbursable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465,636 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402,505 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RBR increased $63.1 million, or 15.7%, to $465.6 million for the second quarter of 2026 from $402.5 million for the second quarter of 2025. This growth reflects strength in demand across all three of our operating segments and across both the Consulting and Managed Services and Digital capabilities. The increase includes $19.5 million of incremental RBR from our acquisitions completed since March 31, 2025. Excluding the $19.5 million of incremental RBR from our acquisitions, RBR grew 10.8% organically. Additional information on our RBR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RBR increased $34.5 million, or 17.4%, driven by strengthened demand for our Healthcare managed services, performance improvement, strategy, and financial advisory solutions within our Consulting and Managed Services capability, as well as strengthened demand for our technology and analytics services within our Digital capability; partially offset by a decrease in RBR from our software products within our Digital capability. RBR in the second quarter of 2026 included $10.1 million of incremental RBR from our acquisitions of RelateCare, Eclipse Insights, and AXIOM.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excluding Managed Services professionals, within our Healthcare segment grew 17.2% to 1,738 as of June 30, 2026, compared to 1,483 as of June 30, 2025. Our acquisition of AXIOM added approximately 40 revenue-generating professionals in 2025. The number of Managed Services revenue-generating professionals within our Healthcare segment grew to 3,794 as of June 30, 2026 from 1,807 as of June 30, 2025. This increase includes our acquisition of RelateCare in the second quarter of 2026, which added approximately 1,100 Managed Services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RBR increased $10.1 million, or 7.8%, driven by strengthened demand for our technology and analytics services and software products within our Digital capability; partially offset by a decrease in RBR from our education and research consulting solution within our Consulting and Managed Services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Education segment, excluding Managed Services professionals, decreased 10.2% to 1,070 as of June 30, 2026, compared to 1,192 as of June 30, 2025.</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RBR increased $18.6 million, or 24.6%, which reflects $9.2 million of incremental RBR from our acquisitions of Treliant and WP&amp;C and strengthened demand for our financial advisory solution within our Consulting and Managed Services capability; partially offset by a decrease in RBR from our technology and analytics services within our Digital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the majority of which provide services across all of our industries, grew 9.3% to 2,527 as of June 30, 2026, compared to 2,311 as of June 30, 2025. Our acquisitions of Treliant and WP&amp;C in 2025 added approximately 210 revenue-generating professionals.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second quarter of 2026 increased $58.7 million, or 16.0%, over the second quarter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(RBR) were as follows:</w:t>
      </w:r>
    </w:p>
    <w:tbl>
      <w:tblPr>
        <w:tblW w:w="10205" w:type="dxa"/>
        <w:jc w:val="left"/>
        <w:tblInd w:w="0" w:type="dxa"/>
        <w:tblLayout w:type="fixed"/>
        <w:tblCellMar>
          <w:top w:w="28" w:type="dxa"/>
          <w:left w:w="28" w:type="dxa"/>
          <w:bottom w:w="28" w:type="dxa"/>
          <w:right w:w="28" w:type="dxa"/>
        </w:tblCellMar>
      </w:tblPr>
      <w:tblGrid>
        <w:gridCol w:w="1527"/>
        <w:gridCol w:w="1342"/>
        <w:gridCol w:w="1349"/>
        <w:gridCol w:w="109"/>
        <w:gridCol w:w="109"/>
        <w:gridCol w:w="109"/>
        <w:gridCol w:w="196"/>
        <w:gridCol w:w="736"/>
        <w:gridCol w:w="109"/>
        <w:gridCol w:w="109"/>
        <w:gridCol w:w="109"/>
        <w:gridCol w:w="109"/>
        <w:gridCol w:w="157"/>
        <w:gridCol w:w="157"/>
        <w:gridCol w:w="158"/>
        <w:gridCol w:w="109"/>
        <w:gridCol w:w="109"/>
        <w:gridCol w:w="109"/>
        <w:gridCol w:w="196"/>
        <w:gridCol w:w="736"/>
        <w:gridCol w:w="109"/>
        <w:gridCol w:w="109"/>
        <w:gridCol w:w="109"/>
        <w:gridCol w:w="109"/>
        <w:gridCol w:w="157"/>
        <w:gridCol w:w="157"/>
        <w:gridCol w:w="158"/>
        <w:gridCol w:w="109"/>
        <w:gridCol w:w="109"/>
        <w:gridCol w:w="109"/>
        <w:gridCol w:w="258"/>
        <w:gridCol w:w="857"/>
        <w:gridCol w:w="211"/>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269,028 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42,159 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58,693 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Direct costs increased $42.2 million, or 15.7%, to $311.2 million for the second quarter of 2026 from $269.0 million for the second quarter of 2025. The $42.2 million increase primarily related to a $41.5 million increase in compensation costs for our revenue-generating professionals. The increase in compensation costs reflects our investment to grow our talented team to meet increased market demand and is primarily attributable to a $30.9 million increase in salaries and related expenses, driven by recent acquisitions, hiring to support the overall increase in demand for our services and annual salary increases that went into effect in the first quarter of 2026; a $9.0 million increase in performance bonus expense; and a $1.1 million increase in share-based compensation expense. Directs costs as a percentage of RBR was 66.8% for both the second quarter of 2026 and 2025.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(RBR),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$9.6 million, or 11.9%, to $89.8 million in the second quarter of 2026 from $80.2 million in the second quarter of 2025. The $9.6 million increase related to a $7.1 million increase in compensation costs for our support personnel and a $2.4 million increase in non-payroll costs. The $7.1 million increase in compensation costs for our support personnel was primarily driven by a $2.4 million increase in deferred compensation expense attributable to the change in market value of our deferred compensation liability, a $2.4 million increase in salaries and related expenses, a $1.4 million increase in performance bonus expense, and a $0.9 million increase in share-based compensation. The increase in deferred compensation expense is offset by an increase in the gain recognized for the change in the market value of investments that are used to fund our deferred compensation liability and recognized in other income (expense), net. The $2.4 million increase in non-payroll costs was primarily driven by a $2.1 million increase in software and data hosting expenses. As a percentage of RBR, selling, general and administrative expenses decreased to 19.3% during the second quarter of 2026, compared to 19.9% during the second quarter of 2025, which was primarily due to revenue growth that outpaced the increase in salaries and related expenses for our support personnel.</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Other Losses (Gains)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losses (gains) totaled a loss of $3.9 million in the second quarter of 2026 compared to a gain of $0.1 million in the second quarter of 2025. The $3.9 million of other losses in the second quarter of 2026 consisted of remeasurement losses to increase the fair value of our contingent consideration liabilities related to business combinations. The $0.1 million of other gains in the second quarter of 2025 consisted of a remeasurement gain to decrease the fair value of a contingent consideration liability related to a business combination.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11 “Fair Value of Financial Instruments” within the notes to our consolidated financial statements for additional information on the fair value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second quarter of 2026 were $0.4 million, compared to $0.6 million for the second quarter of 2025. The $0.4 million of restructuring charges recognized in the second quarter of 2026 included $0.7 million of rent and related expenses, net of sublease income, for our previously vacated office spaces, partially offset by a $0.2 million non-cash gain on lease modification on our office space in Hillsboro, Oregon. The $0.6 million of restructuring charges recognized in the second quarter of 2025 primarily consisted of rent and related expenses, net of sublease income, for our previously vacated office spaces.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$3.0 million, or 42.6%, to $10.1 million in the second quarter of 2026, compared to $7.1 million in the second quarter of 2025. The $3.0 million increase in depreciation and amortization expense was primarily attributable to increases in amortization of intangible assets acquired in business acquisitions and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 increased $4.6 million, or 10.1%, to $50.2 million in the second quarter of 2026 from $45.7 million in the second quarter of 2025. Operating margin, which is defined as operating income expressed as a percentage of revenues before reimbursable expenses (RBR) was 10.8% for the three months ended June 30, 2026, compared to 11.3% for the three months ended June 30, 2025.</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285"/>
        <w:gridCol w:w="948"/>
        <w:gridCol w:w="23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10,251 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operating income increased $10.3 million, or 17.2%, primarily due to the increase in RBR, as well as a decrease in salaries and related expenses for our support personnel; partially offset by increases in compensation costs for our revenue-generating professionals and contractor expenses. The increase in compensation costs for our revenue-generating professionals was primarily due to an increase in headcount, partially driven by our acquisition of RelateCare, and annual salary increases that went into effect in the first quarter of 2026, as well as an increase in performance bonus expense. Healthcare operating margin remained relatively flat at 30.1% in the second quarter of 2026, compared to 30.2% in the second quarter of 2025.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operating income increased $5.1 million, or 15.7%, primarily due to the increase in RBR; partially offset by an increase in compensation costs for our revenue-generating professionals. The increase in compensation costs for our revenue-generating professionals was primarily driven by an increase in performance bonus expense as well as annual salary increases that went into effect in the first quarter of 2026. Education operating margin increased to 26.8% from 25.0% primarily driven by revenue growth that outpaced the increase in salaries and related expenses for our revenue-generating professionals and a decrease in project costs; partially offset by the increases in performance bonus expense, amortization of internally developed software, and share-based compensation expense for our revenue-generating professionals, as percentages of RBR.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operating income increased $7.2 million, or 57.9%, primarily due to the increase in RBR, as well a decrease in contractor expenses; partially offset by an increase in compensation costs for our revenue-generating professionals. The increase in compensation costs for our revenue-generating professionals was primarily due to an increase in headcount, driven by our acquisitions of Treliant and WP&amp;C, annual salary increases that went into effect in the first quarter of 2026, and increases in performance bonus expense and share-based compensation expense. Commercial operating margin increased to 21.0% from 16.6% primarily driven by decreases in contractor expenses and salaries and related expenses for our support personnel, as well as revenue growth that outpaced the increase in salaries and related expenses for our revenue-generating professionals; partially offset by increases in performance bonus expense and share-based compensation expense for our revenue-generating professionals, as percentages of RBR.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Unallocated corporate expenses</w:t>
      </w:r>
      <w:r>
        <w:rPr>
          <w:color w:val="000000"/>
        </w:rPr>
        <w:t xml:space="preserve"> </w:t>
      </w:r>
      <w:r>
        <w:rPr>
          <w:rFonts w:ascii="Arial Narrow;sans-serif" w:hAnsi="Arial Narrow;sans-serif"/>
          <w:b w:val="false"/>
          <w:color w:val="000000"/>
          <w:sz w:val="20"/>
        </w:rPr>
        <w:t xml:space="preserve">increased $11.1 million, or 20.4%, primarily due to increases in compensation costs for our support personnel and software and data hosting expenses. The increase in compensation costs for our support personnel was primarily driven by an increase in headcount, annual salary increases that went into effect in the first quarter of 2026 and an increase in deferred compensation expense attributable to the change in the market value of our deferred compensation liability, and an increase in performance bonus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$2.7 million to $11.9 million in the second quarter of 2026 from $9.3 million in the second quarter of 2025, which was primarily attributable to higher levels of borrowing under our senior secured credit facility during the second quarter of 2026 compared to the second quarter of 2025. See “Liquidity and Capital Resources” below and Note 8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 totaled income of $4.6 million in the second quarter of 2026, compared to expense of $8.7 million in the second quarter of 2025. In the second quarter of 2026, we recognized a $5.8 million gain on the market value of our investments that are used to fund our deferred compensation liability and a $1.1 million gain resulting from a reduction to the credit allowance recognized on our convertible debt investment in a third-party. These gains were partially offset by a non-cash impairment charge of $2.2 million on our equity investment in a hospital-at-home company and $0.1 million of foreign currency transaction losses. In the second quarter of 2025, we recognized a pre-tax $11.1 million non-cash credit-related impairment charge related to our convertible debt investment in a third-party, a non-cash impairment charge of $0.8 million on our equity investment in a hospital-at-home company, and $0.2 million of foreign currency transaction losses. These losses were offset by a $3.5 million gain on the market value of our investments that are used to fund our deferred compensation liability.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10 “Derivative Instruments and Hedging Activity” within the notes to our consolidated financial statements for additional information on our foreign exchange forward contracts and Note 11 “Fair Value of Financial Instruments” within the notes to our consolidated financial statements for additional information on our convertible debt and equity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68" w:before="180" w:after="283"/>
        <w:jc w:val="left"/>
        <w:rPr/>
      </w:pPr>
      <w:r>
        <w:rPr>
          <w:rFonts w:ascii="Arial Narrow;sans-serif" w:hAnsi="Arial Narrow;sans-serif"/>
          <w:b w:val="false"/>
          <w:color w:val="000000"/>
          <w:sz w:val="20"/>
        </w:rPr>
        <w:t>For the three months ended June 30, 2026, our effective tax rate was 27.2% as we recognized income tax expense of $11.7 million on income of $42.9 million. The effective tax rate of 27.2% was less favorable than the statutory rate, inclusive of state income taxes, of 26.0%, primarily due to certain nondeductible expense items and the</w:t>
      </w:r>
      <w:r>
        <w:rPr>
          <w:color w:val="000000"/>
          <w:shd w:fill="FFFFFF" w:val="clear"/>
        </w:rPr>
        <w:t xml:space="preserve"> </w:t>
      </w:r>
      <w:r>
        <w:rPr>
          <w:rFonts w:ascii="Arial Narrow;sans-serif" w:hAnsi="Arial Narrow;sans-serif"/>
          <w:b w:val="false"/>
          <w:color w:val="000000"/>
          <w:sz w:val="20"/>
          <w:shd w:fill="FFFFFF" w:val="clear"/>
        </w:rPr>
        <w:t>inability to recognize tax benefits related to certain foreign and capital losses</w:t>
      </w:r>
      <w:r>
        <w:rPr>
          <w:rFonts w:ascii="Arial Narrow;sans-serif" w:hAnsi="Arial Narrow;sans-serif"/>
          <w:b w:val="false"/>
          <w:color w:val="000000"/>
          <w:sz w:val="20"/>
        </w:rPr>
        <w:t>, partially offset by a tax benefit related to non-taxable gains on our investments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June 30, 2025, our effective tax rate was 29.9% as we recognized income tax expense of $8.3 million on income of $27.7 million. The effective tax rate of 29.9% was less favorable than the statutory rate, inclusive of state income taxes, of 26.0%, primarily due to the establishment of a valuation allowance for a deferred tax asset recorded as the result of the capital loss on our investment in a hospital-at-home company as well as certain nondeductible expense items, partially offset by a tax benefit related to non-taxable gains on our investments used to fund our deferred compensation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$11.8 million, or 60.8%, to $31.2 million for the three months ended June 30, 2026 from $19.4 million for the same period last year. The second quarter of 2025 includes the $8.2 million non-cash credit-related impairment charge, net of tax, related to our convertible debt investment in a third-party. Diluted earnings per share for the second quarter of 2026 increased to $1.91 from $1.09 for the second quarter of 2025 driven by the increase in net income as well as a reduction in diluted shares outstanding resulting from share repurchases made under our share repurchase plan. The non-cash credit-related impairment charge on our convertible debt investment recognized in the second quarter of 2025 had an unfavorable $0.46 impact on diluted EPS in the prior year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$20.9 million, or 47.3%, to $65.3 million for the second quarter of 2026 from $44.3 million for the second quarter of 2025. The increase in EBITDA was primarily attributable to the increase in segment operating income for all three of our segments, excluding segment depreciation and amortization, and the absence of the prior year $11.1 million non-cash credit-related impairment charge recognized in the second quarter of 2025 related to our convertible debt investment in a third-party; partially offset by the increase in unallocated corporate expenses, excluding the impact of the change in the market value of our deferred compensation liability, and the $3.9 million of remeasurement losses to increase the fair value of our contingent consideration liabilities related to business combinations recognized in the first quarter of 2026.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 increased $12.1 million, or 19.9%, to $72.6 million in the second quarter of 2026 from $60.6 million in the second quarter of 2025. The increase in adjusted EBITDA was primarily attributable to the increase in segment operating income for all three of our segments, excluding segment depreciation and amortization and segment restructuring charges; partially offset by the increase in unallocated corporate expenses, excluding the impact of the change in the market value of our deferred compensation liability and transaction-related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net income increased $6.6 million, or 19.5%, to $40.2 million in the second quarter of 2026, compared to $33.7 million in the second quarter of 2025. As a result of the increase in adjusted net income as well as a reduction in diluted shares outstanding resulting from share repurchases made under our share repurchase plan, the adjusted diluted earnings per share increased to $2.46 for the second quarter of 2026 compared to $1.89 for the second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Six Months Ended June 30, 2026 Compared to Six Months Ended June 30, 2025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(RBR)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(RBR) by segment and capability for the six months ended June 30, 2026 and 2025 were as follows:</w:t>
      </w:r>
    </w:p>
    <w:tbl>
      <w:tblPr>
        <w:tblW w:w="9788"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457,504 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547,538 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909,348 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798,195 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RBR increased $111.2 million, or 13.9%, to $909.3 million for the first six months of 2026 from $798.2 million for the first six months of 2025. This growth reflects strength in demand across all three of our operating segments and across both the Consulting and Managed Services and Digital capabilities. The increase includes $38.7 million of incremental RBR from our acquisitions completed since December 31, 2024. Excluding the $38.7 million of incremental RBR from our acquisitions, RBR grew 9.1% organically. Additional information on our RBR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RBR increased $61.2 million, or 15.4%, driven by strengthened demand for our performance improvement, Healthcare managed services, financial advisory, and strategy solutions within our Consulting and Managed Services capability and technology and analytics services within our Digital capability; partially offset by a decrease in RBR from our software products within our Digital capability. RBR in the first six months of 2026 included $17.4 million of incremental RBR from our acquisitions of Eclipse Insights, RelateCare, and AXIOM.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excluding Managed Services professionals, within our Healthcare segment grew 17.2% to 1,738 as of June 30, 2026, compared to 1,483 as of June 30, 2025. Our acquisition of AXIOM added approximately 40 revenue-generating professionals in 2025. The number of Managed Services revenue-generating professionals within our Healthcare segment grew to 3,794 as of June 30, 2026 from 1,807 as of June 30, 2025. This increase includes our acquisition of RelateCare in the second quarter of 2026, which added approximately 1,100 Managed Services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RBR increased $14.8 million, or 5.9%, driven by strengthened demand for our technology and analytics services and software products within our Digital capability; partially offset by a decrease in RBR from our education and research consulting solution within our Consulting and Managed Services capability. RBR in the first six months of 2026 included $1.0 million of incremental RBR from our acquisitions of Advancement Resources and Halpin.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Education segment, excluding Managed Services professionals, decreased 10.2% to 1,070 as of June 30, 2026, compared to 1,192 as of June 30, 2025.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RBR increased $35.2 million, or 23.5%, which reflects $20.2 million of incremental RBR from our acquisitions of WP&amp;C and Treliant and strengthened demand for our financial advisory and strategy solutions within our Consulting and Managed Services capability; partially offset by a decrease in RBR from our technology and analytics services within our Digital capability.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Commercial segment, the majority of which provide services across all of our industries, grew 9.3% to 2,527 as of June 30, 2026, compared to 2,311 as of June 30, 2025. Our acquisitions of Treliant and WP&amp;C in 2025 added approximately 210 revenue-generating professionals.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first six months of 2026 increased $102.5 million, or 13.9%, over the first six months of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514"/>
        <w:gridCol w:w="1331"/>
        <w:gridCol w:w="1338"/>
        <w:gridCol w:w="109"/>
        <w:gridCol w:w="109"/>
        <w:gridCol w:w="109"/>
        <w:gridCol w:w="196"/>
        <w:gridCol w:w="736"/>
        <w:gridCol w:w="109"/>
        <w:gridCol w:w="109"/>
        <w:gridCol w:w="109"/>
        <w:gridCol w:w="109"/>
        <w:gridCol w:w="157"/>
        <w:gridCol w:w="157"/>
        <w:gridCol w:w="158"/>
        <w:gridCol w:w="109"/>
        <w:gridCol w:w="109"/>
        <w:gridCol w:w="109"/>
        <w:gridCol w:w="196"/>
        <w:gridCol w:w="736"/>
        <w:gridCol w:w="109"/>
        <w:gridCol w:w="109"/>
        <w:gridCol w:w="109"/>
        <w:gridCol w:w="109"/>
        <w:gridCol w:w="157"/>
        <w:gridCol w:w="157"/>
        <w:gridCol w:w="158"/>
        <w:gridCol w:w="109"/>
        <w:gridCol w:w="109"/>
        <w:gridCol w:w="109"/>
        <w:gridCol w:w="245"/>
        <w:gridCol w:w="920"/>
        <w:gridCol w:w="196"/>
      </w:tblGrid>
      <w:tr>
        <w:trPr/>
        <w:tc>
          <w:tcPr>
            <w:tcW w:w="151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1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619,381 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547,071 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72,310 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17,653 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839,978 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737,510 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102,468 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Direct costs increased $72.3 million, or 13.2%, to $619.4 million for the first six months of 2026 from $547.1 million for the first six months of 2025. The $72.3 million increase primarily related to a $71.5 million increase in compensation costs for our revenue-generating professionals and a $2.2 million increase in technology costs; partially offset by a $1.9 million decrease in contractor expenses. The increase in compensation costs reflects our investment to grow our talented team to meet increased market demand and is primarily attributable to a $60.5 million increase in salaries and related expenses, driven by recent acquisitions, hiring to support the overall increase in demand for our services and annual salary increases that went into effect in the first quarter of 2026, and a $10.7 million increase in performance bonus expense. As a percentage of revenues before reimbursable expenses, direct costs decreased to 68.1% during the first six months of 2026, compared to 68.5% during the first six months of 2025, primarily driven by the decrease in contractor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(RBR),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$17.7 million, or 11.3%, to $174.5 million in the first six months of 2026 from $156.9 million in the first six months of 2025. The $17.7 million increase related to an $8.8 million increase in compensation costs for our support personnel and an $8.7 million increase in non-payroll costs. The $8.8 million increase in compensation costs for our support personnel was primarily driven by a $3.8 million increase in salaries and related expenses, a $2.2 million increase in deferred compensation expense attributable to the change in market value of our deferred compensation liability, a $1.9 million increase in share-based compensation expense, and a $1.1 million increase in performance bonus expense. The increase in deferred compensation expense is offset by an increase in the gain recognized for the change in the market value of investments that are used to fund our deferred compensation liability and recognized in other income (expense), net. The $8.7 million increase in non-payroll costs was primarily driven by a $4.5 million increase in software and data hosting expenses, a $1.5 million increase in practice administration and meetings expenses, a $1.1 million increase in third-party professional fees, and a $1.0 million increase in facilities expenses. As a percentage of revenues before reimbursable expenses, selling, general and administrative expenses decreased to 19.2% during the first six months of 2026, compared to 19.7% during the first six months of 2025, which was primarily due to revenue growth that outpaced the increase in compensation costs for our support personnel.</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Other Losses (Gains)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losses (gains) totaled a loss of $7.7 million in the first six months of 2026 compared to a gain of $0.1 million in the first six months of 2025. The $7.7 million of other losses in the first six months of 2026 consisted of remeasurement losses to increase the fair value of our contingent consideration liabilities related to business combinations. The $0.1 million of other gains in the first six months of 2025 consisted of a remeasurement gain to decrease the fair value of a contingent consideration liability related to a business combination.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11 “Fair Value of Financial Instruments” within the notes to our consolidated financial statements for additional information on the fair value of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first six months of 2026 were $1.1 million, compared to $1.9 million for the first six months of 2025. The $1.1 million of restructuring charges recognized in the first six months of 2026 included $3.2 million of severance-related expenses and $1.7 million of rent and related expenses, net of sublease income, for our previously vacated office spaces, largely offset by $4.0 million of non-cash gains on lease modifications. In the first quarter of 2026, we entered into the Seventh Amendment to the office lease agreement for our principal executive offices in Chicago, Illinois, which, among other items, provides for the early termination of the lease with respect to certain leased spaces previously vacated. As a result of this modification, we recognized a $3.8 million non-cash gain on lease modification. In the second quarter of 2026, we recorded a $0.2 million non-cash gain on lease modification on our office space in Hillsboro, Oregon. See Note 14 “Commitments, Contingencies and Guarantees” within the notes to our consolidated financial statements for additional information on the Seventh Amendment to the Chicago, Illinois office lease.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$1.9 million of restructuring charges recognized in the first six months of 2025 primarily consisted of $1.0 million of rent and related expenses, net of sublease income, for our previously vacated office spaces and a $0.7 million non-cash lease impairment charge driven by updated sublease assumptions for a previously vacated office space.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$5.8 million, or 41.3%, to $19.9 million for the first six months of 2026, compared to $14.1 million for the first six months of 2025. The $5.8 million increase in depreciation and amortization expense was primarily attributable to increases in amortization of intangible assets acquired in business acquisitions and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$8.4 million, or 10.8%, to $86.8 million in the first six months of 2026 from $78.4 million in the first six months of 2025. Operating margin, which is defined as operating income expressed as a percentage of revenues before reimbursable expenses (RBR) was 9.5% for the first six months of 2026, compared to 9.8% for the first six months of 2025.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Operating income and operating margin for each of our segments as well as unallocated corporate expenses were as follows:</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10,845 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18,748 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$17.9 million, or 15.4%, primarily due to the increase in RBR, as well as a decrease in salaries and related expenses for our support personnel; partially offset by increases in compensation costs for our revenue-generating professionals and practice administration and meetings expenses. The increase in compensation costs for our revenue-generating professionals was primarily due to an increase in headcount, partially driven by our acquisition of RelateCare, and annual salary increases that went into effect in the first quarter of 2026, as well as an increase in performance bonus expense. Healthcare operating margin was 29.3% for both the first six months of 2026 and 2025.</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$9.6 million, or 17.3%, primarily due to the increase in RBR, as well as decreases in practice administration and meeting expenses and salaries and related expenses for our support personnel; partially offset by increases in compensation costs for our revenue-generating professionals, technology costs, and amortization of internally developed software. The increase in compensation costs for our revenue-generating professionals was primarily driven by annual salary increases that went into effect in the first quarter of 2026, as well as an increase in performance bonus expense. Education operating margin increased to 24.4% from 22.0% primarily due to revenue growth that outpaced the increase in compensation costs for our revenue-generating professionals and the decrease in practice administration and meeting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increased $10.8 million, or 45.6%, primarily due to the increase in RBR, as well as a decrease in contractor expenses; partially offset by an increase in compensation costs for our revenue-generating professionals. The increase in compensation costs for our revenue-generating professionals was primarily due to an increase in headcount, driven by our acquisitions of Treliant and WP&amp;C, and annual salary increases that went into effect in the first quarter of 2026, as well as increases in performance bonus expense and share-based compensation expense. Commercial operating margin increased to 18.7% from 15.9% primarily due to the decrease in contractor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Unallocated corporate expenses </w:t>
      </w:r>
      <w:r>
        <w:rPr>
          <w:rFonts w:ascii="Arial Narrow;sans-serif" w:hAnsi="Arial Narrow;sans-serif"/>
          <w:b w:val="false"/>
          <w:color w:val="000000"/>
          <w:sz w:val="20"/>
        </w:rPr>
        <w:t xml:space="preserve">increased $18.7 million, or 17.6%, primarily due to increases in compensation costs for our support personnel and software and data hosting expenses. The increases in compensation costs for our support personnel was primarily driven by an increase in headcount, annual salary increases that went into effect in the first quarter of 2026 and an increase in deferred compensation expense attributable to the change in the market value of our deferred compensation liability, as well as increases in share-based compensation expense and performance bonus expense.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$5.9 million to $20.8 million in the first six months of 2026 from $14.9 million in the first six months of 2025, which was primarily attributable to higher levels of borrowing under our senior secured credit facility during the first six months of 2026 compared to the first six months of 2025. See “Liquidity and Capital Resources” below and Note 8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income (expense), net totaled income of $4.0 million in the first six months of 2026, compared to expense of $14.3 million in the first six months of 2025. In the first six months of 2026, we recognized a $4.5 million gain on the market value of our investments that are used to fund our deferred compensation liability, a $1.1 million gain resulting from a reduction to the credit allowance recognized on our convertible debt investment in a third-party, and $0.3 million of foreign currency transaction gains. These gains were partially offset by a non-cash impairment charge of $2.2 million on our equity investment in a hospital-at-home company. In the first six months of 2025, we recognized a pre-tax $11.1 million non-cash credit-related impairment charge related to our convertible debt investment in a third-party, non-cash impairment charges of $5.0 million on our equity investment in a hospital-at-home company and $0.6 million of foreign currency transaction losses; partially offset by a $2.5 million gain recognized on the market value of our investments that are used to fund our deferred compensation liability.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10 “Derivative Instruments and Hedging Activity” within the notes to our consolidated financial statements for additional information on our foreign exchange forward contracts and Note 11 “Fair Value of Financial Instruments” within the notes to our consolidated financial statements for additional information on our convertible debt and equity investments.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6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six months ended June 30, 2026, our effective tax rate was 22.1% as we recognized income tax expense of $15.5 million on income of $70.0 million. The effective tax rate of 22.1% was more favorable than the statutory rate, inclusive of state income taxes, of 26.0%, primarily due to a discrete tax benefit for share-based compensation awards that vested during the first quarter of 2026 and a tax benefit related to non-taxable gains on our investments used to fund our deferred compensation liability. These favorable items were partially offset by certain nondeductible expense items and the inability to recognize tax benefits related to certain foreign and capital losses.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six months ended June 30, 2025, our effective tax rate was 10.6% as we recognized income tax expense of $5.2 million on income of $49.2 million. The effective tax rate of 10.6% was more favorable than the statutory rate, inclusive of state income taxes, of 26.0%, primarily due to a discrete tax benefit for share-based compensation awards that vested during the first quarter of 2025. This favorable item was partially offset by the establishment of a valuation allowance for a deferred tax asset recorded as the result of the capital loss on our investment in a hospital-at-home company and certain nondeductible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increased $10.5 million, or 23.9%, to $54.5 million for the six months ended June 30, 2026 from $44.0 million for the same period last year. The second quarter of 2025 includes the $8.2 million non-cash credit-related impairment charge, net of tax, related to our convertible debt investment in a third-party. Diluted earnings per share for the six months ended June 30, 2026 increased to $3.22 compared to $2.42 for the six months ended June 30, 2025; driven by the increase in net income as well as a reduction in diluted shares outstanding resulting from share repurchases made under our share repurchase plan. The non-cash credit-related impairment charge on our convertible debt investment had an unfavorable $0.45 impact on diluted EPS during the first six months of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$32.6 million, or 41.5%, to $111.2 million for the six months ended June 30, 2026 from $78.6 million for the six months ended June 30, 2025. The increase in EBITDA was primarily attributable to the increase in segment operating income for all three of our segments, excluding segment depreciation and amortization, and the absences of the prior year $11.1 million non-cash credit-related impairment charge related to our convertible debt investment in a third-party and the prior year $5.0 million of non-cash impairment charges recognized on our equity investment in a hospital-at-home company; partially offset by the increase in unallocated corporate expenses, excluding the impact of the change in the market value of our deferred compensation liability, and the $7.7 million of remeasurement losses to increase the fair value of our contingent consideration liabilities related to business combinations recognized in the first quarter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$21.2 million, or 20.7%, to $123.2 million in the first six months of 2026 from $102.1 million in the first six months of 2025. The increase in adjusted EBITDA was primarily attributable to the increases in segment operating income for all three of our segments, excluding segment depreciation and amortization and segment restructuring charges; partially offset by the increase in unallocated corporate expenses, excluding the impacts of the change in the market value of our deferred compensation liability and transaction-related expenses.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$5.5 million, or 8.5%, to $70.3 million in the first six months of 2026 compared to $64.8 million in the first six months of 2025. As a result of the increase in adjusted net income as well as a reduction in diluted shares outstanding resulting from share repurchases made under our share repurchase plan, adjusted diluted earnings per share increased to $4.16 for the six months ended June 30, 2026, compared to $3.57 for the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were $31.2 million and $24.5 million at June 30, 2026 and December 31, 2025, respectively. As of June 30, 2026, our primary sources of liquidity are cash on hand, cash flows from our U.S. operations, and borrowing capacity available under our credit facility.</w:t>
      </w:r>
    </w:p>
    <w:tbl>
      <w:tblPr>
        <w:tblW w:w="5841" w:type="dxa"/>
        <w:jc w:val="center"/>
        <w:tblInd w:w="0" w:type="dxa"/>
        <w:tblLayout w:type="fixed"/>
        <w:tblCellMar>
          <w:top w:w="28" w:type="dxa"/>
          <w:left w:w="28" w:type="dxa"/>
          <w:bottom w:w="28" w:type="dxa"/>
          <w:right w:w="28" w:type="dxa"/>
        </w:tblCellMar>
      </w:tblPr>
      <w:tblGrid>
        <w:gridCol w:w="1118"/>
        <w:gridCol w:w="985"/>
        <w:gridCol w:w="987"/>
        <w:gridCol w:w="109"/>
        <w:gridCol w:w="109"/>
        <w:gridCol w:w="109"/>
        <w:gridCol w:w="196"/>
        <w:gridCol w:w="721"/>
        <w:gridCol w:w="109"/>
        <w:gridCol w:w="109"/>
        <w:gridCol w:w="109"/>
        <w:gridCol w:w="109"/>
        <w:gridCol w:w="196"/>
        <w:gridCol w:w="72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Six Months Ended</w:t>
              <w:br/>
              <w:t>June 30,</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 increased by $14.9 million to $41.7 million for the six months ended June 30, 2026 from $26.8 million for the six months ended June 30, 2025. The increase in net cash used in operating activities was primarily related to increases in payments for salaries and related expenses for our revenue-generating professionals, selling, general and administrative expenses, and the amount paid for annual performance bonuses in the first quarter of 2026 compared to the first quarter of 2025; partially offset by an increase in cash collections in the first six months of 2026 compared to the first six months of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an equity investment in a hospital-at-home company, and investments in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for the six months ended June 30, 2026 was $47.7 million, which primarily consisted of $27.8 million for the purchases of businesses; $10.9 million for purchases of property and equipment, primarily related to purchases of computers and related equipment and leasehold improvements for certain office spaces; $10.1 million for payments related to internally developed software to advance our Education and Healthcare software products; and $2.0 million for a payment related to the origination of a note receivable. These uses of cash for investing activities were partially offset by $2.3 million of cash received to settle an outstanding promissory note from the 2024 divestiture of our Studer Education practice.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for the six months ended June 30, 2025 was $70.1 million, which primarily consisted of $53.1 million for the purchases of businesses; $10.9 million for payments related to internally developed software to advance our Education and Healthcare software products; $3.9 million for purchases of property and equipment, primarily related to purchases of computers and related equipment and leasehold improvements for certain office spaces; and $2.3 million for contributions to our life insurance policies.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estimate that cash utilized for purchases of property and equipment and software development in 2026 will total approximately $35 million to $40 million; primarily consisting of software development costs, information technology-related equipment to support our corporate infrastructure, and leasehold improvements and furniture and fixtures for certain office spaces.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for the six months ended June 30, 2026 was $96.3 million. The net borrowings of $323.0 million during the first six months of 2026 were primarily used to fund our operations, including our annual performance bonus payments in the first quarter of 2026, share repurchases, and the business acquisition in the second quarter of 2026. Additionally, during the first six months of 2026, we paid $206.7 million for the settlement of share repurchases and we reacquired $20.8 million of common stock as a result of tax withholdings upon vesting of share-based compensation. These uses of cash for financing activities were partially offset by $0.8 million of cash received from stock option exercises in the first six months of 2026.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for the six months ended June 30, 2025 was $135.8 million. The net borrowings of $300.1 million during the first six months of 2025 were primarily used to fund our operations, including our annual performance bonus payments in the first quarter of 2025, and our programmatic business acquisitions. Additionally, during the first six months of 2025, we paid $134.4 million for the settlement of share repurchases and we reacquired $32.5 million of common stock as a result of tax withholdings upon vesting of share-based compensation. These uses of cash for financing activities were partially offset by $2.6 million of cash received from stock option exercises in the first six months of 2025.</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2026. The current authorization extends the share repurchase program through December 31, 2026 with a repurchase amount of $900 million, of which $92.0 million remains available as of June 30, 2026.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June 30, 2026, we had $834.0 million outstanding under our senior secured credit agreement, as discussed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$700 million Revolver and a $400 million Term Loan, subject to the terms of the Fourth Amended and Restated Credit Agreement dated as of July 30, 2025 (the “Amended Credit Agreement”), both of which mature on July 30, 2030. The Term Loan is subject to scheduled quarterly amortization payments of $5.0 million which began September 30, 2025 and continue through the maturity date of July 30, 2030, at which time the outstanding principal balance and all accrued interest will be due.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Fees and interest on borrowings under the Amended Credit Agreement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June 30, 2026 and December 31, 2025, we were in compliance with these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covenants. Our Consolidated Leverage Ratio as of June 30, 2026 was 2.82 to 1.00, compared to 1.93 to 1.00 as of December 31, 2025. Our Consolidated Interest Coverage Ratio as of June 30, 2026 was 7.48 to 1.00, compared to 8.12 to 1.00 as of December 31,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June 30, 2026 totaled $834.0 million, consisting of $454.0 million outstanding under the Revolver and $380.0 million outstanding under the Term Loan. Borrowings outstanding under the Amended Credit Agreement at December 31, 2025 totaled $511.0 million, consisting of $121.0 million outstanding under the Revolver and $390.0 million outstanding under the Term Loan. These borrowings carried a weighted average interest rate of 5.3% at both June 30, 2026 and December 31, 2025, including the impact of the interest rate swaps described in Note 10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June 30, 2026, we had outstanding letters of credit totaling $0.4 million, which are used as security deposits for our office facilities. As of June 30, 2026, the unused borrowing capacity under the Revolver was $245.6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8 “Financing Arrangements” within the notes to the consolidated financial statements for additional information on the Amended Credit Agreement.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2025. There have been no material changes to our critical accounting policies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“New Accounting Pronouncements”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674" w:type="dxa"/>
        <w:jc w:val="left"/>
        <w:tblInd w:w="0" w:type="dxa"/>
        <w:tblLayout w:type="fixed"/>
        <w:tblCellMar>
          <w:top w:w="28" w:type="dxa"/>
          <w:left w:w="28" w:type="dxa"/>
          <w:bottom w:w="28" w:type="dxa"/>
          <w:right w:w="28" w:type="dxa"/>
        </w:tblCellMar>
      </w:tblPr>
      <w:tblGrid>
        <w:gridCol w:w="250"/>
        <w:gridCol w:w="219"/>
        <w:gridCol w:w="221"/>
        <w:gridCol w:w="1752"/>
        <w:gridCol w:w="1752"/>
        <w:gridCol w:w="248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senior secured credit facility. At our option, these borrowings bear interest at one, three or six month Term SOFR or an alternate base rate, in each case plus the applicable margin. At June 30, 2026, we had borrowings outstanding under our senior secured credit facility totaling $834.0 million that carried a weighted average interest rate of 5.3%, including the impact of the interest rate swaps described below. A hypothetical 100 basis point change in the interest rate would have a $5.8 million effect on our pretax income on an annualized basis, including the effect of the interest rate swaps. At December 31, 2025, we had borrowings outstanding under our senior secured credit facility totaling $511.0 million that carried a weighted average interest rate of 5.3% including the impact of the interest rate swaps described below. A hypothetical 100 basis point change in the interest rate would have had a $2.6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June 30, 2026 and December 31, 2025, the aggregate notional amount of our forward interest rate swap agreements was $250.0 million. The outstanding interest rate swap agreements as of June 30, 2026 are scheduled to mature on a staggered basis through February 28, 2030.</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Foreign Currency Risk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exposure to changes in foreign currency exchange rates associated with our operations in India and Canada. We hedge a portion of our cash flow exposure related to our INR-denominated intercompany expenses and our translation risk related to our USD-denominated intercompany receivables in Canada by entering into foreign exchange forward contracts. </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As of June 30, 2026 and December 31, 2025, the aggregate notional amounts of these contracts were Indian Rupee (INR) 0.69 billion, or $7.3 million, and Indian Rupee (INR) 1.47 billion, or $16.3 million, respectively, based on the exchange rates in effect as of each period end. The outstanding Indian Rupee forward contracts as of June 30, 2026 are scheduled to mature monthly through April 30, 2027.</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As of June 30, 2026 and December 31, 2025, the notional amount of our outstanding Canadian Dollar forward contracts was $20.0 million and $25.0 million, respectively. The outstanding Canadian Dollar forward contract as of June 30, 2026 is scheduled to settle on September 30, 2026.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exchange forward contract portfolio. The sensitivity of the portfolio is computed based on the market value of future cash flows as affected by changes in exchange rates. This sensitivity analysis represents the hypothetical changes in value of the derivatives and does not reflect the offsetting gain or loss on the underlying exposure. A hypothetical 100 basis point change in the USD to INR and USD to CAD exchange rates would have an immaterial impact on the fair value of our derivative instruments as of June 30, 2026 and December 31, 2025.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To the extent any change in fair value is the result of a change in credit-related factors, such change is recorded to other income (expense), net in our consolidated statement of operations as a change to the allowance for credit losses. The allowance for credit losses is calculated as the difference between the present value of expected cash flows to be generated from the investment and the cost basis, limited to the difference between the fair value and cost basis. As of June 30, 2026, the fair value of the investment was $33.8 million with a total cost basis of $40.9 million. The fair value of $33.8 million includes a $9.3 million allowance for credit losses. As of December 31, 2025, the fair value of the investment was $34.1 million with a total cost basis of $40.9 million. The fair value of $34.1 million included a $10.4 million allowance for credit losses.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an equity investment in a privately-held hospital-at-home company, which we account for as equity securities without a readily determinable fair value using the measurement alternative. As such, the investment is carried at cost minus impairment, plus or minus changes resulting from observable price changes in orderly transactions for the identical or similar investment. As of June 30, 2026 and December 31, 2025, the carrying value of the investment was $0.1 million and $2.4 million, respectively, with a total cost basis of $5.0 million. In the second quarter of 2026, we recognized a non-cash impairment charge of $2.2 million based on the valuation established in the most recent financing round. In the first quarter of 2025, we recognized a non-cash impairment charge of $4.2 million on our investment based on the valuation anticipated from the hospital-at-home company's merger with a third-party. Upon the completion of the merger in the second quarter of 2025, we recognized an additional $0.8 million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impairment charge based on the final valuation utilized in the merger. The non-cash impairment charges were recorded to other income (expense), net in our consolidated statement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11 “Fair Value of Financial Instruments” within the notes to our consolidated financial statements for additional information on these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10 “Derivative Instruments and Hedging Activity” within the notes to our consolidated financial statements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0" w:type="dxa"/>
        <w:jc w:val="left"/>
        <w:tblInd w:w="0" w:type="dxa"/>
        <w:tblLayout w:type="fixed"/>
        <w:tblCellMar>
          <w:top w:w="28" w:type="dxa"/>
          <w:left w:w="28" w:type="dxa"/>
          <w:bottom w:w="28" w:type="dxa"/>
          <w:right w:w="28" w:type="dxa"/>
        </w:tblCellMar>
      </w:tblPr>
      <w:tblGrid>
        <w:gridCol w:w="250"/>
        <w:gridCol w:w="219"/>
        <w:gridCol w:w="221"/>
        <w:gridCol w:w="790"/>
        <w:gridCol w:w="790"/>
        <w:gridCol w:w="112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June 30, 2026. Based on this evaluation, our Chief Executive Officer and Chief Financial Officer have concluded that, as of June 30, 2026,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Part 1, Item 1A, “Risk Factors” in our Annual Report on Form 10-K for the fiscal year ended December 31, 2025 (the “2025 Form 10-K”), which was filed with the Securities and Exchange Commission on February 24, 2026, for a complete description of the material risks we face. There have been no material changes to the Company’s risk factors since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90" w:type="dxa"/>
        <w:jc w:val="left"/>
        <w:tblInd w:w="0" w:type="dxa"/>
        <w:tblLayout w:type="fixed"/>
        <w:tblCellMar>
          <w:top w:w="28" w:type="dxa"/>
          <w:left w:w="28" w:type="dxa"/>
          <w:bottom w:w="28" w:type="dxa"/>
          <w:right w:w="28" w:type="dxa"/>
        </w:tblCellMar>
      </w:tblPr>
      <w:tblGrid>
        <w:gridCol w:w="250"/>
        <w:gridCol w:w="219"/>
        <w:gridCol w:w="221"/>
        <w:gridCol w:w="1757"/>
        <w:gridCol w:w="1757"/>
        <w:gridCol w:w="248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June 30, 2026, we reacquired 2,289 shares of common stock with a weighted average fair market value of $123.60 as a result of such tax withholdings.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2026. The current authorization extends the share repurchase program through December 31, 2026 with a repurchase amount of $900 million, of which $92.0 million remains available as of June 30, 2026.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39"/>
        <w:gridCol w:w="563"/>
        <w:gridCol w:w="566"/>
        <w:gridCol w:w="109"/>
        <w:gridCol w:w="109"/>
        <w:gridCol w:w="109"/>
        <w:gridCol w:w="839"/>
        <w:gridCol w:w="809"/>
        <w:gridCol w:w="811"/>
        <w:gridCol w:w="109"/>
        <w:gridCol w:w="109"/>
        <w:gridCol w:w="109"/>
        <w:gridCol w:w="256"/>
        <w:gridCol w:w="846"/>
        <w:gridCol w:w="144"/>
        <w:gridCol w:w="109"/>
        <w:gridCol w:w="109"/>
        <w:gridCol w:w="109"/>
        <w:gridCol w:w="510"/>
        <w:gridCol w:w="510"/>
        <w:gridCol w:w="511"/>
        <w:gridCol w:w="109"/>
        <w:gridCol w:w="109"/>
        <w:gridCol w:w="109"/>
        <w:gridCol w:w="264"/>
        <w:gridCol w:w="1418"/>
        <w:gridCol w:w="211"/>
      </w:tblGrid>
      <w:tr>
        <w:trPr/>
        <w:tc>
          <w:tcPr>
            <w:tcW w:w="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bidi w:val="0"/>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1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203,329 </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128.13 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201,340 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118,753,436 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137,345 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137,234 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101,700,723 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100,071 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99,882 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91,998,694 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440,745 </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119.88 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438,456 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1,989 shares in April 2026, 111 shares in May 2026, and 189 shares in June 2026 to satisfy employee tax withholding requirements. These shares do not reduce the repurchase authority under the share repurchase program.</w:t>
      </w:r>
    </w:p>
    <w:p>
      <w:pPr>
        <w:pStyle w:val="TextBody"/>
        <w:bidi w:val="0"/>
        <w:spacing w:lineRule="auto" w:line="288" w:before="6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60" w:type="dxa"/>
        <w:jc w:val="left"/>
        <w:tblInd w:w="0" w:type="dxa"/>
        <w:tblLayout w:type="fixed"/>
        <w:tblCellMar>
          <w:top w:w="28" w:type="dxa"/>
          <w:left w:w="28" w:type="dxa"/>
          <w:bottom w:w="28" w:type="dxa"/>
          <w:right w:w="28" w:type="dxa"/>
        </w:tblCellMar>
      </w:tblPr>
      <w:tblGrid>
        <w:gridCol w:w="250"/>
        <w:gridCol w:w="219"/>
        <w:gridCol w:w="221"/>
        <w:gridCol w:w="958"/>
        <w:gridCol w:w="958"/>
        <w:gridCol w:w="13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4" w:type="dxa"/>
        <w:jc w:val="left"/>
        <w:tblInd w:w="0" w:type="dxa"/>
        <w:tblLayout w:type="fixed"/>
        <w:tblCellMar>
          <w:top w:w="28" w:type="dxa"/>
          <w:left w:w="28" w:type="dxa"/>
          <w:bottom w:w="28" w:type="dxa"/>
          <w:right w:w="28" w:type="dxa"/>
        </w:tblCellMar>
      </w:tblPr>
      <w:tblGrid>
        <w:gridCol w:w="250"/>
        <w:gridCol w:w="219"/>
        <w:gridCol w:w="221"/>
        <w:gridCol w:w="574"/>
        <w:gridCol w:w="574"/>
        <w:gridCol w:w="8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p>
      <w:pPr>
        <w:pStyle w:val="TextBody"/>
        <w:bidi w:val="0"/>
        <w:spacing w:lineRule="auto" w:line="288" w:before="180" w:after="80"/>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contracts, instructions or written plans for the sale or purchase of our securities adopted by our officers and/or directors during the second quarter of 2026, each of which is intended to satisfy the affirmative defense conditions of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572"/>
        <w:gridCol w:w="397"/>
        <w:gridCol w:w="400"/>
        <w:gridCol w:w="109"/>
        <w:gridCol w:w="109"/>
        <w:gridCol w:w="109"/>
        <w:gridCol w:w="244"/>
        <w:gridCol w:w="244"/>
        <w:gridCol w:w="248"/>
        <w:gridCol w:w="109"/>
        <w:gridCol w:w="109"/>
        <w:gridCol w:w="109"/>
        <w:gridCol w:w="661"/>
        <w:gridCol w:w="661"/>
        <w:gridCol w:w="664"/>
        <w:gridCol w:w="109"/>
        <w:gridCol w:w="109"/>
        <w:gridCol w:w="109"/>
        <w:gridCol w:w="892"/>
        <w:gridCol w:w="892"/>
        <w:gridCol w:w="895"/>
        <w:gridCol w:w="109"/>
        <w:gridCol w:w="109"/>
        <w:gridCol w:w="109"/>
        <w:gridCol w:w="619"/>
        <w:gridCol w:w="619"/>
        <w:gridCol w:w="889"/>
      </w:tblGrid>
      <w:tr>
        <w:trPr/>
        <w:tc>
          <w:tcPr>
            <w:tcW w:w="57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Date of Rule 10b5-1 Trading Plan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 Number of Shares to be Sold</w:t>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Debra Zumwalt -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1,078</w:t>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second quarter of 2026, none of our officers or directors modified or terminated contracts, instructions or written plans for the sale or purchase of our securities intended to satisfy the affirmative defense condition of Rule 10b5-1(c) or adopted, modified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6" w:type="dxa"/>
        <w:jc w:val="left"/>
        <w:tblInd w:w="0" w:type="dxa"/>
        <w:tblLayout w:type="fixed"/>
        <w:tblCellMar>
          <w:top w:w="28" w:type="dxa"/>
          <w:left w:w="28" w:type="dxa"/>
          <w:bottom w:w="28" w:type="dxa"/>
          <w:right w:w="28" w:type="dxa"/>
        </w:tblCellMar>
      </w:tblPr>
      <w:tblGrid>
        <w:gridCol w:w="250"/>
        <w:gridCol w:w="219"/>
        <w:gridCol w:w="221"/>
        <w:gridCol w:w="277"/>
        <w:gridCol w:w="277"/>
        <w:gridCol w:w="39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bidi w:val="0"/>
        <w:spacing w:lineRule="auto" w:line="288" w:before="80" w:after="283"/>
        <w:jc w:val="left"/>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242"/>
        <w:gridCol w:w="213"/>
        <w:gridCol w:w="215"/>
        <w:gridCol w:w="109"/>
        <w:gridCol w:w="109"/>
        <w:gridCol w:w="109"/>
        <w:gridCol w:w="1251"/>
        <w:gridCol w:w="1158"/>
        <w:gridCol w:w="1123"/>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2"/>
        <w:gridCol w:w="162"/>
        <w:gridCol w:w="235"/>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r>
      <w:tr>
        <w:trPr/>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hurn2026630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6630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6630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6630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b7d7f9f4852149bf87ad6ea10b39aa6e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color w:val="000000"/>
        </w:rPr>
      </w:pPr>
      <w:r>
        <w:rPr>
          <w:color w:val="000000"/>
        </w:rPr>
        <w:t> </w:t>
      </w:r>
    </w:p>
    <w:tbl>
      <w:tblPr>
        <w:tblW w:w="5004" w:type="dxa"/>
        <w:jc w:val="left"/>
        <w:tblInd w:w="0" w:type="dxa"/>
        <w:tblLayout w:type="fixed"/>
        <w:tblCellMar>
          <w:top w:w="28" w:type="dxa"/>
          <w:left w:w="28" w:type="dxa"/>
          <w:bottom w:w="28" w:type="dxa"/>
          <w:right w:w="28" w:type="dxa"/>
        </w:tblCellMar>
      </w:tblPr>
      <w:tblGrid>
        <w:gridCol w:w="184"/>
        <w:gridCol w:w="162"/>
        <w:gridCol w:w="164"/>
        <w:gridCol w:w="349"/>
        <w:gridCol w:w="349"/>
        <w:gridCol w:w="352"/>
        <w:gridCol w:w="109"/>
        <w:gridCol w:w="109"/>
        <w:gridCol w:w="109"/>
        <w:gridCol w:w="109"/>
        <w:gridCol w:w="109"/>
        <w:gridCol w:w="109"/>
        <w:gridCol w:w="817"/>
        <w:gridCol w:w="817"/>
        <w:gridCol w:w="1156"/>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49</w:t>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749"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49"/>
        <w:gridCol w:w="349"/>
        <w:gridCol w:w="352"/>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749"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49"/>
        <w:gridCol w:w="349"/>
        <w:gridCol w:w="352"/>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June 30, 2026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749"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49"/>
        <w:gridCol w:w="349"/>
        <w:gridCol w:w="352"/>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June 30, 2026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749"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49"/>
        <w:gridCol w:w="349"/>
        <w:gridCol w:w="352"/>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July 28,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32726</Words>
  <Characters>184968</Characters>
  <CharactersWithSpaces>215584</CharactersWithSpaces>
  <Paragraphs>3693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