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452120</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25"/>
          <w:szCs w:val="25"/>
          <w:color w:val="auto"/>
        </w:rPr>
        <w:t>FORM 10-K</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(Mark One)</w:t>
      </w:r>
    </w:p>
    <w:p>
      <w:pPr>
        <w:spacing w:after="0" w:line="196" w:lineRule="exact"/>
        <w:rPr>
          <w:sz w:val="24"/>
          <w:szCs w:val="24"/>
          <w:color w:val="auto"/>
        </w:rPr>
      </w:pPr>
    </w:p>
    <w:p>
      <w:pPr>
        <w:ind w:left="1280" w:hanging="1245"/>
        <w:spacing w:after="0"/>
        <w:tabs>
          <w:tab w:leader="none" w:pos="1280" w:val="left"/>
        </w:tabs>
        <w:numPr>
          <w:ilvl w:val="0"/>
          <w:numId w:val="1"/>
        </w:numPr>
        <w:rPr>
          <w:rFonts w:ascii="MS PGothic" w:cs="MS PGothic" w:eastAsia="MS PGothic" w:hAnsi="MS PGothic"/>
          <w:sz w:val="17"/>
          <w:szCs w:val="17"/>
          <w:color w:val="auto"/>
        </w:rPr>
      </w:pPr>
      <w:r>
        <w:rPr>
          <w:rFonts w:ascii="Arial" w:cs="Arial" w:eastAsia="Arial" w:hAnsi="Arial"/>
          <w:sz w:val="20"/>
          <w:szCs w:val="20"/>
          <w:color w:val="auto"/>
        </w:rPr>
        <w:t>ANNUAL REPORT PURSUANT TO SECTION 13 OR 15(d) OF THE SECURITIES EXCHANGE ACT OF 1934</w:t>
      </w:r>
    </w:p>
    <w:p>
      <w:pPr>
        <w:spacing w:after="0" w:line="56" w:lineRule="exact"/>
        <w:rPr>
          <w:rFonts w:ascii="MS PGothic" w:cs="MS PGothic" w:eastAsia="MS PGothic" w:hAnsi="MS PGothic"/>
          <w:sz w:val="17"/>
          <w:szCs w:val="17"/>
          <w:color w:val="auto"/>
        </w:rPr>
      </w:pPr>
    </w:p>
    <w:p>
      <w:pPr>
        <w:ind w:left="4100"/>
        <w:spacing w:after="0"/>
        <w:rPr>
          <w:rFonts w:ascii="MS PGothic" w:cs="MS PGothic" w:eastAsia="MS PGothic" w:hAnsi="MS PGothic"/>
          <w:sz w:val="17"/>
          <w:szCs w:val="17"/>
          <w:color w:val="auto"/>
        </w:rPr>
      </w:pPr>
      <w:r>
        <w:rPr>
          <w:rFonts w:ascii="Arial" w:cs="Arial" w:eastAsia="Arial" w:hAnsi="Arial"/>
          <w:sz w:val="18"/>
          <w:szCs w:val="18"/>
          <w:color w:val="auto"/>
        </w:rPr>
        <w:t>For the fiscal year ended December 31, 2019</w:t>
      </w:r>
    </w:p>
    <w:p>
      <w:pPr>
        <w:spacing w:after="0" w:line="49" w:lineRule="exact"/>
        <w:rPr>
          <w:rFonts w:ascii="MS PGothic" w:cs="MS PGothic" w:eastAsia="MS PGothic" w:hAnsi="MS PGothic"/>
          <w:sz w:val="17"/>
          <w:szCs w:val="17"/>
          <w:color w:val="auto"/>
        </w:rPr>
      </w:pPr>
    </w:p>
    <w:p>
      <w:pPr>
        <w:ind w:left="5580"/>
        <w:spacing w:after="0"/>
        <w:rPr>
          <w:rFonts w:ascii="MS PGothic" w:cs="MS PGothic" w:eastAsia="MS PGothic" w:hAnsi="MS PGothic"/>
          <w:sz w:val="17"/>
          <w:szCs w:val="17"/>
          <w:color w:val="auto"/>
        </w:rPr>
      </w:pPr>
      <w:r>
        <w:rPr>
          <w:rFonts w:ascii="Arial" w:cs="Arial" w:eastAsia="Arial" w:hAnsi="Arial"/>
          <w:sz w:val="18"/>
          <w:szCs w:val="18"/>
          <w:color w:val="auto"/>
        </w:rPr>
        <w:t>OR</w:t>
      </w:r>
    </w:p>
    <w:p>
      <w:pPr>
        <w:spacing w:after="0" w:line="168" w:lineRule="exact"/>
        <w:rPr>
          <w:rFonts w:ascii="MS PGothic" w:cs="MS PGothic" w:eastAsia="MS PGothic" w:hAnsi="MS PGothic"/>
          <w:sz w:val="17"/>
          <w:szCs w:val="17"/>
          <w:color w:val="auto"/>
        </w:rPr>
      </w:pPr>
    </w:p>
    <w:p>
      <w:pPr>
        <w:ind w:left="1100" w:hanging="1031"/>
        <w:spacing w:after="0"/>
        <w:tabs>
          <w:tab w:leader="none" w:pos="1100" w:val="left"/>
        </w:tabs>
        <w:numPr>
          <w:ilvl w:val="1"/>
          <w:numId w:val="1"/>
        </w:numPr>
        <w:rPr>
          <w:rFonts w:ascii="MS PGothic" w:cs="MS PGothic" w:eastAsia="MS PGothic" w:hAnsi="MS PGothic"/>
          <w:sz w:val="17"/>
          <w:szCs w:val="17"/>
          <w:color w:val="auto"/>
        </w:rPr>
      </w:pPr>
      <w:r>
        <w:rPr>
          <w:rFonts w:ascii="Arial" w:cs="Arial" w:eastAsia="Arial" w:hAnsi="Arial"/>
          <w:sz w:val="20"/>
          <w:szCs w:val="20"/>
          <w:color w:val="auto"/>
        </w:rPr>
        <w:t>TRANSITION REPORT PURSUANT TO SECTION 13 OR 15(d) OF THE SECURITIES EXCHANGE ACT OF 1934</w:t>
      </w:r>
    </w:p>
    <w:p>
      <w:pPr>
        <w:spacing w:after="0" w:line="56" w:lineRule="exact"/>
        <w:rPr>
          <w:rFonts w:ascii="MS PGothic" w:cs="MS PGothic" w:eastAsia="MS PGothic" w:hAnsi="MS PGothic"/>
          <w:sz w:val="17"/>
          <w:szCs w:val="17"/>
          <w:color w:val="auto"/>
        </w:rPr>
      </w:pPr>
    </w:p>
    <w:p>
      <w:pPr>
        <w:ind w:left="438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000-50976</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3840" w:type="dxa"/>
            <w:vAlign w:val="bottom"/>
          </w:tcPr>
          <w:p>
            <w:pPr>
              <w:spacing w:after="0"/>
              <w:rPr>
                <w:sz w:val="23"/>
                <w:szCs w:val="23"/>
                <w:color w:val="auto"/>
              </w:rPr>
            </w:pPr>
          </w:p>
        </w:tc>
        <w:tc>
          <w:tcPr>
            <w:tcW w:w="3700" w:type="dxa"/>
            <w:vAlign w:val="bottom"/>
            <w:gridSpan w:val="5"/>
          </w:tcPr>
          <w:p>
            <w:pPr>
              <w:jc w:val="center"/>
              <w:spacing w:after="0"/>
              <w:rPr>
                <w:sz w:val="20"/>
                <w:szCs w:val="20"/>
                <w:color w:val="auto"/>
              </w:rPr>
            </w:pPr>
            <w:r>
              <w:rPr>
                <w:rFonts w:ascii="Arial" w:cs="Arial" w:eastAsia="Arial" w:hAnsi="Arial"/>
                <w:sz w:val="22"/>
                <w:szCs w:val="22"/>
                <w:color w:val="auto"/>
                <w:w w:val="94"/>
              </w:rPr>
              <w:t>HURON CONSULTING GROUP INC.</w:t>
            </w:r>
          </w:p>
        </w:tc>
        <w:tc>
          <w:tcPr>
            <w:tcW w:w="1140" w:type="dxa"/>
            <w:vAlign w:val="bottom"/>
          </w:tcPr>
          <w:p>
            <w:pPr>
              <w:spacing w:after="0"/>
              <w:rPr>
                <w:sz w:val="23"/>
                <w:szCs w:val="23"/>
                <w:color w:val="auto"/>
              </w:rPr>
            </w:pPr>
          </w:p>
        </w:tc>
        <w:tc>
          <w:tcPr>
            <w:tcW w:w="2740" w:type="dxa"/>
            <w:vAlign w:val="bottom"/>
          </w:tcPr>
          <w:p>
            <w:pPr>
              <w:spacing w:after="0"/>
              <w:rPr>
                <w:sz w:val="23"/>
                <w:szCs w:val="23"/>
                <w:color w:val="auto"/>
              </w:rPr>
            </w:pPr>
          </w:p>
        </w:tc>
      </w:tr>
      <w:tr>
        <w:trPr>
          <w:trHeight w:val="214"/>
        </w:trPr>
        <w:tc>
          <w:tcPr>
            <w:tcW w:w="3840" w:type="dxa"/>
            <w:vAlign w:val="bottom"/>
          </w:tcPr>
          <w:p>
            <w:pPr>
              <w:spacing w:after="0"/>
              <w:rPr>
                <w:sz w:val="18"/>
                <w:szCs w:val="18"/>
                <w:color w:val="auto"/>
              </w:rPr>
            </w:pPr>
          </w:p>
        </w:tc>
        <w:tc>
          <w:tcPr>
            <w:tcW w:w="3700" w:type="dxa"/>
            <w:vAlign w:val="bottom"/>
            <w:gridSpan w:val="5"/>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c>
          <w:tcPr>
            <w:tcW w:w="11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398"/>
        </w:trPr>
        <w:tc>
          <w:tcPr>
            <w:tcW w:w="3840" w:type="dxa"/>
            <w:vAlign w:val="bottom"/>
          </w:tcPr>
          <w:p>
            <w:pPr>
              <w:jc w:val="center"/>
              <w:ind w:left="1715"/>
              <w:spacing w:after="0"/>
              <w:rPr>
                <w:sz w:val="20"/>
                <w:szCs w:val="20"/>
                <w:color w:val="auto"/>
              </w:rPr>
            </w:pPr>
            <w:r>
              <w:rPr>
                <w:rFonts w:ascii="Arial" w:cs="Arial" w:eastAsia="Arial" w:hAnsi="Arial"/>
                <w:sz w:val="18"/>
                <w:szCs w:val="18"/>
                <w:color w:val="auto"/>
                <w:w w:val="89"/>
              </w:rPr>
              <w:t>Delaware</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gridSpan w:val="2"/>
          </w:tcPr>
          <w:p>
            <w:pPr>
              <w:jc w:val="center"/>
              <w:ind w:right="1535"/>
              <w:spacing w:after="0"/>
              <w:rPr>
                <w:sz w:val="20"/>
                <w:szCs w:val="20"/>
                <w:color w:val="auto"/>
              </w:rPr>
            </w:pPr>
            <w:r>
              <w:rPr>
                <w:rFonts w:ascii="Arial" w:cs="Arial" w:eastAsia="Arial" w:hAnsi="Arial"/>
                <w:sz w:val="18"/>
                <w:szCs w:val="18"/>
                <w:color w:val="auto"/>
                <w:w w:val="89"/>
              </w:rPr>
              <w:t>01-0666114</w:t>
            </w:r>
          </w:p>
        </w:tc>
      </w:tr>
      <w:tr>
        <w:trPr>
          <w:trHeight w:val="184"/>
        </w:trPr>
        <w:tc>
          <w:tcPr>
            <w:tcW w:w="3840" w:type="dxa"/>
            <w:vAlign w:val="bottom"/>
          </w:tcPr>
          <w:p>
            <w:pPr>
              <w:jc w:val="center"/>
              <w:ind w:left="1715"/>
              <w:spacing w:after="0"/>
              <w:rPr>
                <w:sz w:val="20"/>
                <w:szCs w:val="20"/>
                <w:color w:val="auto"/>
              </w:rPr>
            </w:pPr>
            <w:r>
              <w:rPr>
                <w:rFonts w:ascii="Arial" w:cs="Arial" w:eastAsia="Arial" w:hAnsi="Arial"/>
                <w:sz w:val="14"/>
                <w:szCs w:val="14"/>
                <w:color w:val="auto"/>
                <w:w w:val="95"/>
              </w:rPr>
              <w:t>(State or other jurisdiction of</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80" w:type="dxa"/>
            <w:vAlign w:val="bottom"/>
            <w:gridSpan w:val="2"/>
          </w:tcPr>
          <w:p>
            <w:pPr>
              <w:jc w:val="center"/>
              <w:ind w:right="1555"/>
              <w:spacing w:after="0"/>
              <w:rPr>
                <w:sz w:val="20"/>
                <w:szCs w:val="20"/>
                <w:color w:val="auto"/>
              </w:rPr>
            </w:pPr>
            <w:r>
              <w:rPr>
                <w:rFonts w:ascii="Arial" w:cs="Arial" w:eastAsia="Arial" w:hAnsi="Arial"/>
                <w:sz w:val="14"/>
                <w:szCs w:val="14"/>
                <w:color w:val="auto"/>
                <w:w w:val="96"/>
              </w:rPr>
              <w:t>(IRS Employer</w:t>
            </w:r>
          </w:p>
        </w:tc>
      </w:tr>
      <w:tr>
        <w:trPr>
          <w:trHeight w:val="182"/>
        </w:trPr>
        <w:tc>
          <w:tcPr>
            <w:tcW w:w="3840" w:type="dxa"/>
            <w:vAlign w:val="bottom"/>
          </w:tcPr>
          <w:p>
            <w:pPr>
              <w:jc w:val="center"/>
              <w:ind w:left="1715"/>
              <w:spacing w:after="0"/>
              <w:rPr>
                <w:sz w:val="20"/>
                <w:szCs w:val="20"/>
                <w:color w:val="auto"/>
              </w:rPr>
            </w:pPr>
            <w:r>
              <w:rPr>
                <w:rFonts w:ascii="Arial" w:cs="Arial" w:eastAsia="Arial" w:hAnsi="Arial"/>
                <w:sz w:val="14"/>
                <w:szCs w:val="14"/>
                <w:color w:val="auto"/>
                <w:w w:val="94"/>
              </w:rPr>
              <w:t>incorporation or organization)</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80" w:type="dxa"/>
            <w:vAlign w:val="bottom"/>
            <w:gridSpan w:val="2"/>
          </w:tcPr>
          <w:p>
            <w:pPr>
              <w:jc w:val="center"/>
              <w:ind w:right="1535"/>
              <w:spacing w:after="0"/>
              <w:rPr>
                <w:sz w:val="20"/>
                <w:szCs w:val="20"/>
                <w:color w:val="auto"/>
              </w:rPr>
            </w:pPr>
            <w:r>
              <w:rPr>
                <w:rFonts w:ascii="Arial" w:cs="Arial" w:eastAsia="Arial" w:hAnsi="Arial"/>
                <w:sz w:val="14"/>
                <w:szCs w:val="14"/>
                <w:color w:val="auto"/>
                <w:w w:val="97"/>
              </w:rPr>
              <w:t>Identification Number)</w:t>
            </w:r>
          </w:p>
        </w:tc>
      </w:tr>
      <w:tr>
        <w:trPr>
          <w:trHeight w:val="288"/>
        </w:trPr>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3"/>
          </w:tcPr>
          <w:p>
            <w:pPr>
              <w:jc w:val="center"/>
              <w:ind w:right="600"/>
              <w:spacing w:after="0"/>
              <w:rPr>
                <w:sz w:val="20"/>
                <w:szCs w:val="20"/>
                <w:color w:val="auto"/>
              </w:rPr>
            </w:pPr>
            <w:r>
              <w:rPr>
                <w:rFonts w:ascii="Arial" w:cs="Arial" w:eastAsia="Arial" w:hAnsi="Arial"/>
                <w:sz w:val="22"/>
                <w:szCs w:val="22"/>
                <w:color w:val="auto"/>
                <w:w w:val="87"/>
              </w:rPr>
              <w:t>550 West Van Buren Street</w:t>
            </w: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7"/>
        </w:trPr>
        <w:tc>
          <w:tcPr>
            <w:tcW w:w="3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60" w:type="dxa"/>
            <w:vAlign w:val="bottom"/>
            <w:gridSpan w:val="3"/>
          </w:tcPr>
          <w:p>
            <w:pPr>
              <w:jc w:val="center"/>
              <w:ind w:right="580"/>
              <w:spacing w:after="0"/>
              <w:rPr>
                <w:sz w:val="20"/>
                <w:szCs w:val="20"/>
                <w:color w:val="auto"/>
              </w:rPr>
            </w:pPr>
            <w:r>
              <w:rPr>
                <w:rFonts w:ascii="Arial" w:cs="Arial" w:eastAsia="Arial" w:hAnsi="Arial"/>
                <w:sz w:val="22"/>
                <w:szCs w:val="22"/>
                <w:color w:val="auto"/>
                <w:w w:val="93"/>
              </w:rPr>
              <w:t>Chicago, Illinois</w:t>
            </w:r>
          </w:p>
        </w:tc>
        <w:tc>
          <w:tcPr>
            <w:tcW w:w="1140" w:type="dxa"/>
            <w:vAlign w:val="bottom"/>
          </w:tcPr>
          <w:p>
            <w:pPr>
              <w:spacing w:after="0"/>
              <w:rPr>
                <w:sz w:val="22"/>
                <w:szCs w:val="22"/>
                <w:color w:val="auto"/>
              </w:rPr>
            </w:pPr>
          </w:p>
        </w:tc>
        <w:tc>
          <w:tcPr>
            <w:tcW w:w="2740" w:type="dxa"/>
            <w:vAlign w:val="bottom"/>
          </w:tcPr>
          <w:p>
            <w:pPr>
              <w:spacing w:after="0"/>
              <w:rPr>
                <w:sz w:val="22"/>
                <w:szCs w:val="22"/>
                <w:color w:val="auto"/>
              </w:rPr>
            </w:pPr>
          </w:p>
        </w:tc>
      </w:tr>
      <w:tr>
        <w:trPr>
          <w:trHeight w:val="275"/>
        </w:trPr>
        <w:tc>
          <w:tcPr>
            <w:tcW w:w="3840" w:type="dxa"/>
            <w:vAlign w:val="bottom"/>
          </w:tcPr>
          <w:p>
            <w:pPr>
              <w:spacing w:after="0"/>
              <w:rPr>
                <w:sz w:val="23"/>
                <w:szCs w:val="23"/>
                <w:color w:val="auto"/>
              </w:rPr>
            </w:pPr>
          </w:p>
        </w:tc>
        <w:tc>
          <w:tcPr>
            <w:tcW w:w="2920" w:type="dxa"/>
            <w:vAlign w:val="bottom"/>
            <w:gridSpan w:val="3"/>
          </w:tcPr>
          <w:p>
            <w:pPr>
              <w:jc w:val="right"/>
              <w:ind w:right="681"/>
              <w:spacing w:after="0"/>
              <w:rPr>
                <w:sz w:val="20"/>
                <w:szCs w:val="20"/>
                <w:color w:val="auto"/>
              </w:rPr>
            </w:pPr>
            <w:r>
              <w:rPr>
                <w:rFonts w:ascii="Arial" w:cs="Arial" w:eastAsia="Arial" w:hAnsi="Arial"/>
                <w:sz w:val="22"/>
                <w:szCs w:val="22"/>
                <w:color w:val="auto"/>
              </w:rPr>
              <w:t>60607</w:t>
            </w: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740" w:type="dxa"/>
            <w:vAlign w:val="bottom"/>
          </w:tcPr>
          <w:p>
            <w:pPr>
              <w:spacing w:after="0"/>
              <w:rPr>
                <w:sz w:val="23"/>
                <w:szCs w:val="23"/>
                <w:color w:val="auto"/>
              </w:rPr>
            </w:pPr>
          </w:p>
        </w:tc>
      </w:tr>
      <w:tr>
        <w:trPr>
          <w:trHeight w:val="214"/>
        </w:trPr>
        <w:tc>
          <w:tcPr>
            <w:tcW w:w="3840" w:type="dxa"/>
            <w:vAlign w:val="bottom"/>
          </w:tcPr>
          <w:p>
            <w:pPr>
              <w:spacing w:after="0"/>
              <w:rPr>
                <w:sz w:val="18"/>
                <w:szCs w:val="18"/>
                <w:color w:val="auto"/>
              </w:rPr>
            </w:pPr>
          </w:p>
        </w:tc>
        <w:tc>
          <w:tcPr>
            <w:tcW w:w="3700" w:type="dxa"/>
            <w:vAlign w:val="bottom"/>
            <w:gridSpan w:val="5"/>
          </w:tcPr>
          <w:p>
            <w:pPr>
              <w:jc w:val="center"/>
              <w:spacing w:after="0"/>
              <w:rPr>
                <w:sz w:val="20"/>
                <w:szCs w:val="20"/>
                <w:color w:val="auto"/>
              </w:rPr>
            </w:pPr>
            <w:r>
              <w:rPr>
                <w:rFonts w:ascii="Arial" w:cs="Arial" w:eastAsia="Arial" w:hAnsi="Arial"/>
                <w:sz w:val="16"/>
                <w:szCs w:val="16"/>
                <w:color w:val="auto"/>
                <w:w w:val="92"/>
              </w:rPr>
              <w:t>(Address of principal executive offices and zip code)</w:t>
            </w:r>
          </w:p>
        </w:tc>
        <w:tc>
          <w:tcPr>
            <w:tcW w:w="11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6"/>
        </w:trPr>
        <w:tc>
          <w:tcPr>
            <w:tcW w:w="3840" w:type="dxa"/>
            <w:vAlign w:val="bottom"/>
          </w:tcPr>
          <w:p>
            <w:pPr>
              <w:spacing w:after="0"/>
              <w:rPr>
                <w:sz w:val="20"/>
                <w:szCs w:val="20"/>
                <w:color w:val="auto"/>
              </w:rPr>
            </w:pPr>
          </w:p>
        </w:tc>
        <w:tc>
          <w:tcPr>
            <w:tcW w:w="2920" w:type="dxa"/>
            <w:vAlign w:val="bottom"/>
            <w:gridSpan w:val="3"/>
          </w:tcPr>
          <w:p>
            <w:pPr>
              <w:jc w:val="right"/>
              <w:ind w:right="381"/>
              <w:spacing w:after="0"/>
              <w:rPr>
                <w:sz w:val="20"/>
                <w:szCs w:val="20"/>
                <w:color w:val="auto"/>
              </w:rPr>
            </w:pPr>
            <w:r>
              <w:rPr>
                <w:rFonts w:ascii="Arial" w:cs="Arial" w:eastAsia="Arial" w:hAnsi="Arial"/>
                <w:sz w:val="18"/>
                <w:szCs w:val="18"/>
                <w:color w:val="auto"/>
              </w:rPr>
              <w:t>(312) 583-8700</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24"/>
        </w:trPr>
        <w:tc>
          <w:tcPr>
            <w:tcW w:w="3840" w:type="dxa"/>
            <w:vAlign w:val="bottom"/>
          </w:tcPr>
          <w:p>
            <w:pPr>
              <w:spacing w:after="0"/>
              <w:rPr>
                <w:sz w:val="19"/>
                <w:szCs w:val="19"/>
                <w:color w:val="auto"/>
              </w:rPr>
            </w:pPr>
          </w:p>
        </w:tc>
        <w:tc>
          <w:tcPr>
            <w:tcW w:w="3700" w:type="dxa"/>
            <w:vAlign w:val="bottom"/>
            <w:gridSpan w:val="5"/>
          </w:tcPr>
          <w:p>
            <w:pPr>
              <w:jc w:val="center"/>
              <w:spacing w:after="0"/>
              <w:rPr>
                <w:sz w:val="20"/>
                <w:szCs w:val="20"/>
                <w:color w:val="auto"/>
              </w:rPr>
            </w:pPr>
            <w:r>
              <w:rPr>
                <w:rFonts w:ascii="Arial" w:cs="Arial" w:eastAsia="Arial" w:hAnsi="Arial"/>
                <w:sz w:val="16"/>
                <w:szCs w:val="16"/>
                <w:color w:val="auto"/>
                <w:w w:val="90"/>
              </w:rPr>
              <w:t>(Registrant’s telephone number, including area code)</w:t>
            </w:r>
          </w:p>
        </w:tc>
        <w:tc>
          <w:tcPr>
            <w:tcW w:w="11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36"/>
        </w:trPr>
        <w:tc>
          <w:tcPr>
            <w:tcW w:w="8680" w:type="dxa"/>
            <w:vAlign w:val="bottom"/>
            <w:gridSpan w:val="7"/>
          </w:tcPr>
          <w:p>
            <w:pPr>
              <w:jc w:val="center"/>
              <w:ind w:left="2655"/>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40" w:type="dxa"/>
            <w:vAlign w:val="bottom"/>
          </w:tcPr>
          <w:p>
            <w:pPr>
              <w:spacing w:after="0"/>
              <w:rPr>
                <w:sz w:val="20"/>
                <w:szCs w:val="20"/>
                <w:color w:val="auto"/>
              </w:rPr>
            </w:pPr>
          </w:p>
        </w:tc>
      </w:tr>
      <w:tr>
        <w:trPr>
          <w:trHeight w:val="405"/>
        </w:trPr>
        <w:tc>
          <w:tcPr>
            <w:tcW w:w="3840" w:type="dxa"/>
            <w:vAlign w:val="bottom"/>
          </w:tcPr>
          <w:p>
            <w:pPr>
              <w:jc w:val="center"/>
              <w:ind w:left="215"/>
              <w:spacing w:after="0"/>
              <w:rPr>
                <w:sz w:val="20"/>
                <w:szCs w:val="20"/>
                <w:color w:val="auto"/>
              </w:rPr>
            </w:pPr>
            <w:r>
              <w:rPr>
                <w:rFonts w:ascii="Arial" w:cs="Arial" w:eastAsia="Arial" w:hAnsi="Arial"/>
                <w:sz w:val="18"/>
                <w:szCs w:val="18"/>
                <w:b w:val="1"/>
                <w:bCs w:val="1"/>
                <w:color w:val="auto"/>
                <w:w w:val="86"/>
              </w:rPr>
              <w:t>Title of each class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Trading Symbol</w:t>
            </w:r>
          </w:p>
        </w:tc>
        <w:tc>
          <w:tcPr>
            <w:tcW w:w="3880" w:type="dxa"/>
            <w:vAlign w:val="bottom"/>
            <w:gridSpan w:val="2"/>
          </w:tcPr>
          <w:p>
            <w:pPr>
              <w:jc w:val="center"/>
              <w:ind w:right="255"/>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2"/>
          </w:tcPr>
          <w:p>
            <w:pPr>
              <w:spacing w:after="0"/>
              <w:rPr>
                <w:sz w:val="2"/>
                <w:szCs w:val="2"/>
                <w:color w:val="auto"/>
              </w:rPr>
            </w:pPr>
          </w:p>
        </w:tc>
      </w:tr>
      <w:tr>
        <w:trPr>
          <w:trHeight w:val="237"/>
        </w:trPr>
        <w:tc>
          <w:tcPr>
            <w:tcW w:w="3840" w:type="dxa"/>
            <w:vAlign w:val="bottom"/>
          </w:tcPr>
          <w:p>
            <w:pPr>
              <w:jc w:val="center"/>
              <w:ind w:left="215"/>
              <w:spacing w:after="0"/>
              <w:rPr>
                <w:sz w:val="20"/>
                <w:szCs w:val="20"/>
                <w:color w:val="auto"/>
              </w:rPr>
            </w:pPr>
            <w:r>
              <w:rPr>
                <w:rFonts w:ascii="Arial" w:cs="Arial" w:eastAsia="Arial" w:hAnsi="Arial"/>
                <w:sz w:val="18"/>
                <w:szCs w:val="18"/>
                <w:color w:val="auto"/>
                <w:w w:val="89"/>
              </w:rPr>
              <w:t>Common Stock, par value $0.01 per share</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gridSpan w:val="3"/>
          </w:tcPr>
          <w:p>
            <w:pPr>
              <w:jc w:val="center"/>
              <w:ind w:right="780"/>
              <w:spacing w:after="0"/>
              <w:rPr>
                <w:sz w:val="20"/>
                <w:szCs w:val="20"/>
                <w:color w:val="auto"/>
              </w:rPr>
            </w:pPr>
            <w:r>
              <w:rPr>
                <w:rFonts w:ascii="Arial" w:cs="Arial" w:eastAsia="Arial" w:hAnsi="Arial"/>
                <w:sz w:val="18"/>
                <w:szCs w:val="18"/>
                <w:color w:val="auto"/>
                <w:w w:val="99"/>
              </w:rPr>
              <w:t>HURN</w:t>
            </w:r>
          </w:p>
        </w:tc>
        <w:tc>
          <w:tcPr>
            <w:tcW w:w="3880" w:type="dxa"/>
            <w:vAlign w:val="bottom"/>
            <w:gridSpan w:val="2"/>
          </w:tcPr>
          <w:p>
            <w:pPr>
              <w:jc w:val="center"/>
              <w:ind w:right="255"/>
              <w:spacing w:after="0"/>
              <w:rPr>
                <w:sz w:val="20"/>
                <w:szCs w:val="20"/>
                <w:color w:val="auto"/>
              </w:rPr>
            </w:pPr>
            <w:r>
              <w:rPr>
                <w:rFonts w:ascii="Arial" w:cs="Arial" w:eastAsia="Arial" w:hAnsi="Arial"/>
                <w:sz w:val="18"/>
                <w:szCs w:val="18"/>
                <w:color w:val="auto"/>
                <w:w w:val="94"/>
              </w:rPr>
              <w:t>NASDAQ Global Select Market</w:t>
            </w:r>
          </w:p>
        </w:tc>
      </w:tr>
      <w:tr>
        <w:trPr>
          <w:trHeight w:val="270"/>
        </w:trPr>
        <w:tc>
          <w:tcPr>
            <w:tcW w:w="8680" w:type="dxa"/>
            <w:vAlign w:val="bottom"/>
            <w:gridSpan w:val="7"/>
          </w:tcPr>
          <w:p>
            <w:pPr>
              <w:jc w:val="center"/>
              <w:ind w:left="2635"/>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2740" w:type="dxa"/>
            <w:vAlign w:val="bottom"/>
          </w:tcPr>
          <w:p>
            <w:pPr>
              <w:spacing w:after="0"/>
              <w:rPr>
                <w:sz w:val="23"/>
                <w:szCs w:val="23"/>
                <w:color w:val="auto"/>
              </w:rPr>
            </w:pPr>
          </w:p>
        </w:tc>
      </w:tr>
      <w:tr>
        <w:trPr>
          <w:trHeight w:val="226"/>
        </w:trPr>
        <w:tc>
          <w:tcPr>
            <w:tcW w:w="8680" w:type="dxa"/>
            <w:vAlign w:val="bottom"/>
            <w:gridSpan w:val="7"/>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 Yes x</w:t>
            </w:r>
          </w:p>
        </w:tc>
        <w:tc>
          <w:tcPr>
            <w:tcW w:w="2740" w:type="dxa"/>
            <w:vAlign w:val="bottom"/>
          </w:tcPr>
          <w:p>
            <w:pPr>
              <w:ind w:left="20"/>
              <w:spacing w:after="0"/>
              <w:rPr>
                <w:sz w:val="20"/>
                <w:szCs w:val="20"/>
                <w:color w:val="auto"/>
              </w:rPr>
            </w:pPr>
            <w:r>
              <w:rPr>
                <w:rFonts w:ascii="Arial" w:cs="Arial" w:eastAsia="Arial" w:hAnsi="Arial"/>
                <w:sz w:val="17"/>
                <w:szCs w:val="17"/>
                <w:color w:val="auto"/>
              </w:rPr>
              <w:t>No o</w:t>
            </w:r>
          </w:p>
        </w:tc>
      </w:tr>
      <w:tr>
        <w:trPr>
          <w:trHeight w:val="230"/>
        </w:trPr>
        <w:tc>
          <w:tcPr>
            <w:tcW w:w="8680" w:type="dxa"/>
            <w:vAlign w:val="bottom"/>
            <w:gridSpan w:val="7"/>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 Yes o</w:t>
            </w:r>
          </w:p>
        </w:tc>
        <w:tc>
          <w:tcPr>
            <w:tcW w:w="2740" w:type="dxa"/>
            <w:vAlign w:val="bottom"/>
          </w:tcPr>
          <w:p>
            <w:pPr>
              <w:ind w:left="160"/>
              <w:spacing w:after="0"/>
              <w:rPr>
                <w:sz w:val="20"/>
                <w:szCs w:val="20"/>
                <w:color w:val="auto"/>
              </w:rPr>
            </w:pPr>
            <w:r>
              <w:rPr>
                <w:rFonts w:ascii="Arial" w:cs="Arial" w:eastAsia="Arial" w:hAnsi="Arial"/>
                <w:sz w:val="17"/>
                <w:szCs w:val="17"/>
                <w:color w:val="auto"/>
              </w:rPr>
              <w:t>No x</w:t>
            </w:r>
          </w:p>
        </w:tc>
      </w:tr>
    </w:tbl>
    <w:p>
      <w:pPr>
        <w:spacing w:after="0" w:line="13" w:lineRule="exact"/>
        <w:rPr>
          <w:sz w:val="24"/>
          <w:szCs w:val="24"/>
          <w:color w:val="auto"/>
        </w:rPr>
      </w:pPr>
    </w:p>
    <w:p>
      <w:pPr>
        <w:ind w:right="180"/>
        <w:spacing w:after="0" w:line="25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 w:lineRule="exact"/>
        <w:rPr>
          <w:sz w:val="24"/>
          <w:szCs w:val="24"/>
          <w:color w:val="auto"/>
        </w:rPr>
      </w:pPr>
    </w:p>
    <w:p>
      <w:pPr>
        <w:ind w:right="100"/>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ind w:right="14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22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20"/>
              <w:spacing w:after="0"/>
              <w:rPr>
                <w:sz w:val="20"/>
                <w:szCs w:val="20"/>
                <w:color w:val="auto"/>
              </w:rPr>
            </w:pPr>
            <w:r>
              <w:rPr>
                <w:rFonts w:ascii="Arial" w:cs="Arial" w:eastAsia="Arial" w:hAnsi="Arial"/>
                <w:sz w:val="18"/>
                <w:szCs w:val="18"/>
                <w:color w:val="auto"/>
              </w:rPr>
              <w:t>Accelerated Filer</w:t>
            </w:r>
          </w:p>
        </w:tc>
        <w:tc>
          <w:tcPr>
            <w:tcW w:w="52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234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Smaller Reporting</w:t>
            </w:r>
          </w:p>
        </w:tc>
        <w:tc>
          <w:tcPr>
            <w:tcW w:w="56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65"/>
        </w:trPr>
        <w:tc>
          <w:tcPr>
            <w:tcW w:w="22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560" w:type="dxa"/>
            <w:vAlign w:val="bottom"/>
            <w:vMerge w:val="continue"/>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2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180"/>
        <w:spacing w:after="0" w:line="253"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77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No x</w:t>
      </w:r>
    </w:p>
    <w:p>
      <w:pPr>
        <w:spacing w:after="0" w:line="33" w:lineRule="exact"/>
        <w:rPr>
          <w:sz w:val="24"/>
          <w:szCs w:val="24"/>
          <w:color w:val="auto"/>
        </w:rPr>
      </w:pPr>
    </w:p>
    <w:p>
      <w:pPr>
        <w:ind w:right="640"/>
        <w:spacing w:after="0" w:line="261" w:lineRule="auto"/>
        <w:rPr>
          <w:sz w:val="20"/>
          <w:szCs w:val="20"/>
          <w:color w:val="auto"/>
        </w:rPr>
      </w:pPr>
      <w:r>
        <w:rPr>
          <w:rFonts w:ascii="Arial" w:cs="Arial" w:eastAsia="Arial" w:hAnsi="Arial"/>
          <w:sz w:val="17"/>
          <w:szCs w:val="17"/>
          <w:color w:val="auto"/>
        </w:rPr>
        <w:t>The aggregate market value of the registrant’s common stock held by non-affiliates as of June 30, 2019 (the last business day of the registrant’s most recently completed second fiscal quarter) was approximately $1,128,100,000.</w:t>
      </w:r>
    </w:p>
    <w:p>
      <w:pPr>
        <w:spacing w:after="0"/>
        <w:rPr>
          <w:sz w:val="20"/>
          <w:szCs w:val="20"/>
          <w:color w:val="auto"/>
        </w:rPr>
      </w:pPr>
      <w:r>
        <w:rPr>
          <w:rFonts w:ascii="Arial" w:cs="Arial" w:eastAsia="Arial" w:hAnsi="Arial"/>
          <w:sz w:val="17"/>
          <w:szCs w:val="17"/>
          <w:color w:val="auto"/>
        </w:rPr>
        <w:t>As of February 18, 2020, 22,509,235 shares of the registrant’s common stock, par value $0.01 per share, were outstanding.</w:t>
      </w:r>
    </w:p>
    <w:p>
      <w:pPr>
        <w:spacing w:after="0" w:line="34" w:lineRule="exact"/>
        <w:rPr>
          <w:sz w:val="24"/>
          <w:szCs w:val="24"/>
          <w:color w:val="auto"/>
        </w:rPr>
      </w:pPr>
    </w:p>
    <w:p>
      <w:pPr>
        <w:ind w:left="4380"/>
        <w:spacing w:after="0"/>
        <w:rPr>
          <w:sz w:val="20"/>
          <w:szCs w:val="20"/>
          <w:color w:val="auto"/>
        </w:rPr>
      </w:pPr>
      <w:r>
        <w:rPr>
          <w:rFonts w:ascii="Arial" w:cs="Arial" w:eastAsia="Arial" w:hAnsi="Arial"/>
          <w:sz w:val="17"/>
          <w:szCs w:val="17"/>
          <w:color w:val="auto"/>
        </w:rPr>
        <w:t>Documents Incorporated By Reference</w:t>
      </w:r>
    </w:p>
    <w:p>
      <w:pPr>
        <w:spacing w:after="0" w:line="34" w:lineRule="exact"/>
        <w:rPr>
          <w:sz w:val="24"/>
          <w:szCs w:val="24"/>
          <w:color w:val="auto"/>
        </w:rPr>
      </w:pPr>
    </w:p>
    <w:p>
      <w:pPr>
        <w:ind w:right="600"/>
        <w:spacing w:after="0" w:line="274" w:lineRule="auto"/>
        <w:rPr>
          <w:sz w:val="20"/>
          <w:szCs w:val="20"/>
          <w:color w:val="auto"/>
        </w:rPr>
      </w:pPr>
      <w:r>
        <w:rPr>
          <w:rFonts w:ascii="Arial" w:cs="Arial" w:eastAsia="Arial" w:hAnsi="Arial"/>
          <w:sz w:val="17"/>
          <w:szCs w:val="17"/>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88265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60"/>
              <w:spacing w:after="0"/>
              <w:rPr>
                <w:sz w:val="20"/>
                <w:szCs w:val="20"/>
                <w:color w:val="auto"/>
              </w:rPr>
            </w:pPr>
            <w:r>
              <w:rPr>
                <w:rFonts w:ascii="Arial" w:cs="Arial" w:eastAsia="Arial" w:hAnsi="Arial"/>
                <w:sz w:val="20"/>
                <w:szCs w:val="20"/>
                <w:color w:val="auto"/>
                <w:w w:val="94"/>
              </w:rPr>
              <w:t>HURON CONSULTING GROUP INC.</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0" w:type="dxa"/>
            <w:vAlign w:val="bottom"/>
            <w:gridSpan w:val="9"/>
          </w:tcPr>
          <w:p>
            <w:pPr>
              <w:jc w:val="center"/>
              <w:ind w:right="3080"/>
              <w:spacing w:after="0"/>
              <w:rPr>
                <w:sz w:val="20"/>
                <w:szCs w:val="20"/>
                <w:color w:val="auto"/>
              </w:rPr>
            </w:pPr>
            <w:r>
              <w:rPr>
                <w:rFonts w:ascii="Arial" w:cs="Arial" w:eastAsia="Arial" w:hAnsi="Arial"/>
                <w:sz w:val="20"/>
                <w:szCs w:val="20"/>
                <w:color w:val="auto"/>
                <w:w w:val="95"/>
              </w:rPr>
              <w:t>ANNUAL REPORT ON FORM 10-K</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80"/>
              <w:spacing w:after="0"/>
              <w:rPr>
                <w:sz w:val="20"/>
                <w:szCs w:val="20"/>
                <w:color w:val="auto"/>
              </w:rPr>
            </w:pPr>
            <w:r>
              <w:rPr>
                <w:rFonts w:ascii="Arial" w:cs="Arial" w:eastAsia="Arial" w:hAnsi="Arial"/>
                <w:sz w:val="20"/>
                <w:szCs w:val="20"/>
                <w:color w:val="auto"/>
                <w:w w:val="94"/>
              </w:rPr>
              <w:t>FOR FISCAL YEAR ENDED DECEMBER 31, 2019</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7"/>
          </w:tcPr>
          <w:p>
            <w:pPr>
              <w:jc w:val="center"/>
              <w:ind w:right="3540"/>
              <w:spacing w:after="0"/>
              <w:rPr>
                <w:sz w:val="20"/>
                <w:szCs w:val="20"/>
                <w:color w:val="auto"/>
              </w:rPr>
            </w:pPr>
            <w:r>
              <w:rPr>
                <w:rFonts w:ascii="Arial" w:cs="Arial" w:eastAsia="Arial" w:hAnsi="Arial"/>
                <w:sz w:val="20"/>
                <w:szCs w:val="20"/>
                <w:color w:val="auto"/>
                <w:w w:val="94"/>
              </w:rPr>
              <w:t>TABLE OF CONTENTS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720" w:type="dxa"/>
            <w:vAlign w:val="bottom"/>
            <w:gridSpan w:val="5"/>
            <w:vMerge w:val="restart"/>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40" w:type="dxa"/>
            <w:vAlign w:val="bottom"/>
            <w:tcBorders>
              <w:bottom w:val="single" w:sz="8" w:color="0000EE"/>
            </w:tcBorders>
            <w:vMerge w:val="continue"/>
          </w:tcPr>
          <w:p>
            <w:pPr>
              <w:spacing w:after="0"/>
              <w:rPr>
                <w:sz w:val="15"/>
                <w:szCs w:val="15"/>
                <w:color w:val="auto"/>
              </w:rPr>
            </w:pPr>
          </w:p>
        </w:tc>
        <w:tc>
          <w:tcPr>
            <w:tcW w:w="720" w:type="dxa"/>
            <w:vAlign w:val="bottom"/>
            <w:gridSpan w:val="5"/>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420" w:type="dxa"/>
            <w:vAlign w:val="bottom"/>
            <w:gridSpan w:val="18"/>
          </w:tcPr>
          <w:p>
            <w:pPr>
              <w:spacing w:after="0"/>
              <w:rPr>
                <w:sz w:val="22"/>
                <w:szCs w:val="22"/>
                <w:color w:val="auto"/>
              </w:rPr>
            </w:pPr>
          </w:p>
        </w:tc>
        <w:tc>
          <w:tcPr>
            <w:tcW w:w="106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8160" w:type="dxa"/>
            <w:vAlign w:val="bottom"/>
            <w:gridSpan w:val="16"/>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Unresolved Staff Comments</w:t>
              </w:r>
            </w:hyperlink>
          </w:p>
        </w:tc>
        <w:tc>
          <w:tcPr>
            <w:tcW w:w="7020" w:type="dxa"/>
            <w:vAlign w:val="bottom"/>
            <w:gridSpan w:val="10"/>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2.</w:t>
            </w:r>
          </w:p>
        </w:tc>
        <w:tc>
          <w:tcPr>
            <w:tcW w:w="906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1060" w:type="dxa"/>
            <w:vAlign w:val="bottom"/>
            <w:gridSpan w:val="2"/>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3.</w:t>
            </w:r>
          </w:p>
        </w:tc>
        <w:tc>
          <w:tcPr>
            <w:tcW w:w="90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060" w:type="dxa"/>
            <w:vAlign w:val="bottom"/>
            <w:gridSpan w:val="2"/>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4.</w:t>
            </w:r>
          </w:p>
        </w:tc>
        <w:tc>
          <w:tcPr>
            <w:tcW w:w="90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1060" w:type="dxa"/>
            <w:vAlign w:val="bottom"/>
            <w:gridSpan w:val="2"/>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37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PART II</w:t>
              </w:r>
            </w:hyperlink>
          </w:p>
        </w:tc>
        <w:tc>
          <w:tcPr>
            <w:tcW w:w="66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5.</w:t>
            </w:r>
          </w:p>
        </w:tc>
        <w:tc>
          <w:tcPr>
            <w:tcW w:w="90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Market for Registrant’s Common Equity, Related Stockholder Matters and Issuer Purchases of Equity Securities</w:t>
              </w:r>
            </w:hyperlink>
          </w:p>
        </w:tc>
        <w:tc>
          <w:tcPr>
            <w:tcW w:w="1060" w:type="dxa"/>
            <w:vAlign w:val="bottom"/>
            <w:gridSpan w:val="2"/>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1000" w:type="dxa"/>
            <w:vAlign w:val="bottom"/>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600" w:type="dxa"/>
            <w:vAlign w:val="bottom"/>
            <w:gridSpan w:val="3"/>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4700" w:type="dxa"/>
            <w:vAlign w:val="bottom"/>
            <w:gridSpan w:val="5"/>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8.</w:t>
            </w:r>
          </w:p>
        </w:tc>
        <w:tc>
          <w:tcPr>
            <w:tcW w:w="90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1060" w:type="dxa"/>
            <w:vAlign w:val="bottom"/>
            <w:gridSpan w:val="2"/>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w:t>
            </w:r>
          </w:p>
        </w:tc>
        <w:tc>
          <w:tcPr>
            <w:tcW w:w="90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Changes in and Disagreements with Accountants on Accounting and Financial Disclosure</w:t>
              </w:r>
            </w:hyperlink>
          </w:p>
        </w:tc>
        <w:tc>
          <w:tcPr>
            <w:tcW w:w="1060" w:type="dxa"/>
            <w:vAlign w:val="bottom"/>
            <w:gridSpan w:val="2"/>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2600" w:type="dxa"/>
            <w:vAlign w:val="bottom"/>
            <w:gridSpan w:val="3"/>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7300" w:type="dxa"/>
            <w:vAlign w:val="bottom"/>
            <w:gridSpan w:val="12"/>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372"/>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PART III</w:t>
              </w:r>
            </w:hyperlink>
          </w:p>
        </w:tc>
        <w:tc>
          <w:tcPr>
            <w:tcW w:w="6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10.</w:t>
            </w:r>
          </w:p>
        </w:tc>
        <w:tc>
          <w:tcPr>
            <w:tcW w:w="906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Directors, Executive Officers and Corporate Governance</w:t>
              </w:r>
            </w:hyperlink>
          </w:p>
        </w:tc>
        <w:tc>
          <w:tcPr>
            <w:tcW w:w="106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4980" w:type="dxa"/>
            <w:vAlign w:val="bottom"/>
            <w:gridSpan w:val="6"/>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12.</w:t>
            </w:r>
          </w:p>
        </w:tc>
        <w:tc>
          <w:tcPr>
            <w:tcW w:w="906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gridSpan w:val="2"/>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Principal Accounting Fees and Services</w:t>
              </w:r>
            </w:hyperlink>
          </w:p>
        </w:tc>
        <w:tc>
          <w:tcPr>
            <w:tcW w:w="3620" w:type="dxa"/>
            <w:vAlign w:val="bottom"/>
            <w:gridSpan w:val="4"/>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372"/>
        </w:trPr>
        <w:tc>
          <w:tcPr>
            <w:tcW w:w="126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Exhibits and Financial Statement Schedules</w:t>
              </w:r>
            </w:hyperlink>
          </w:p>
        </w:tc>
        <w:tc>
          <w:tcPr>
            <w:tcW w:w="5900" w:type="dxa"/>
            <w:vAlign w:val="bottom"/>
            <w:gridSpan w:val="8"/>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16.</w:t>
            </w:r>
          </w:p>
        </w:tc>
        <w:tc>
          <w:tcPr>
            <w:tcW w:w="906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Form 10-K Summary</w:t>
              </w:r>
            </w:hyperlink>
          </w:p>
        </w:tc>
        <w:tc>
          <w:tcPr>
            <w:tcW w:w="1060" w:type="dxa"/>
            <w:vAlign w:val="bottom"/>
            <w:gridSpan w:val="2"/>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SIGNATURES</w:t>
              </w:r>
            </w:hyperlink>
          </w:p>
        </w:tc>
        <w:tc>
          <w:tcPr>
            <w:tcW w:w="1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Statements in this Annual Report on Form 10-K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headquartered in Chicago, Illinois, with additional locations in the United States and abroad in Canada, India, Singapore, Switzerland, and the United Kingdom.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7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provide professional services through three operating segments: Healthcare, Business Advisory, and Education. For the year ended December 31, 2019, we derived 46%, 29%, and 25% of our revenues from the Healthcare, Business Advisory, and Education operating segments, respectively.</w:t>
      </w:r>
    </w:p>
    <w:p>
      <w:pPr>
        <w:spacing w:after="0" w:line="8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color w:val="auto"/>
        </w:rPr>
      </w:pPr>
    </w:p>
    <w:p>
      <w:pPr>
        <w:ind w:left="660" w:right="60"/>
        <w:spacing w:after="0" w:line="276" w:lineRule="auto"/>
        <w:rPr>
          <w:rFonts w:ascii="Arial" w:cs="Arial" w:eastAsia="Arial" w:hAnsi="Arial"/>
          <w:sz w:val="18"/>
          <w:szCs w:val="18"/>
          <w:color w:val="auto"/>
        </w:rPr>
      </w:pPr>
      <w:r>
        <w:rPr>
          <w:rFonts w:ascii="Arial" w:cs="Arial" w:eastAsia="Arial" w:hAnsi="Arial"/>
          <w:sz w:val="17"/>
          <w:szCs w:val="17"/>
          <w:color w:val="auto"/>
        </w:rPr>
        <w:t>Our Healthcare segment has a depth of expertise in financial and operational improvement, care transformation, culture and organizational excellence, strategy, and technology and analytics. We serve national and regional hospitals,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18" w:lineRule="exact"/>
        <w:rPr>
          <w:rFonts w:ascii="Arial" w:cs="Arial" w:eastAsia="Arial" w:hAnsi="Arial"/>
          <w:sz w:val="18"/>
          <w:szCs w:val="18"/>
          <w:color w:val="auto"/>
        </w:rPr>
      </w:pPr>
    </w:p>
    <w:p>
      <w:pPr>
        <w:ind w:left="660" w:right="60"/>
        <w:spacing w:after="0" w:line="255" w:lineRule="auto"/>
        <w:rPr>
          <w:rFonts w:ascii="Arial" w:cs="Arial" w:eastAsia="Arial" w:hAnsi="Arial"/>
          <w:sz w:val="18"/>
          <w:szCs w:val="18"/>
          <w:color w:val="auto"/>
        </w:rPr>
      </w:pPr>
      <w:r>
        <w:rPr>
          <w:rFonts w:ascii="Arial" w:cs="Arial" w:eastAsia="Arial" w:hAnsi="Arial"/>
          <w:sz w:val="18"/>
          <w:szCs w:val="18"/>
          <w:color w:val="auto"/>
        </w:rPr>
        <w:t>We help organizations transform and innovate their delivery model to focus on patient wellness by improving quality outcomes, minimizing care variation and fundamentally improving patient and population health. Our consultants collaborate with clients to help build and sustain today’s business to invest in the future by reducing complexity, improving operational efficiency and growing market share. We enable the healthcare of the future by identifying, integrating and optimizing digital and technology investments to collect data that transforms care delivery and improves patient outcomes. We also develop future leaders capable of driving meaningful cultural and organizational change and who transform the consumer experience.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b w:val="1"/>
          <w:bCs w:val="1"/>
          <w:color w:val="auto"/>
        </w:rPr>
      </w:pPr>
    </w:p>
    <w:p>
      <w:pPr>
        <w:ind w:left="660" w:right="2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Our Business Advisory segment provides services to large and middle market organizations, lending institutions, law firms, investment banks, private equity firms, and not-for-profit organizations, including higher education and healthcare institutions. We assist clients in a broad range of industries and across the spectrum from healthy, well-capitalized companies to organizations in transition, as well as creditors, equity owners, and other key constituents. Our Enterprise Solutions and Analytics experts advise, deliver, and optimize technology and analytic solutions that enable organizations to manage and optimize their financial performance, operational efficiency, and client or stakeholder experience. Our Business Advisory experts resolve complex business issues and enhance client enterprise value 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1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right="100"/>
        <w:spacing w:after="0" w:line="271" w:lineRule="auto"/>
        <w:rPr>
          <w:rFonts w:ascii="Arial" w:cs="Arial" w:eastAsia="Arial" w:hAnsi="Arial"/>
          <w:sz w:val="18"/>
          <w:szCs w:val="18"/>
          <w:color w:val="auto"/>
        </w:rPr>
      </w:pPr>
      <w:r>
        <w:rPr>
          <w:rFonts w:ascii="Arial" w:cs="Arial" w:eastAsia="Arial" w:hAnsi="Arial"/>
          <w:sz w:val="17"/>
          <w:szCs w:val="17"/>
          <w:color w:val="auto"/>
        </w:rPr>
        <w:t>Our Education segment provides consulting and technology solutions to higher education institutions and academic medical centers. We collaborate with clients to address challenges relating to business and technology strategy, financial and operational excellence, student success, research administration, and regulatory compliance. Our research enterprise solutions assist clients in identifying and implementing institutional research strategy, optimizing clinical research operations, improving financial management and cost reimbursement, improving service to faculty, and mitigating risk compliance. Our technology strategy, enterprise applications, and analytic solutions transform and optimize operations, deliver time and cost savings, and enhance the student experience. Our institutional strategy, budgeting and financial management, and business operations align missions with business priorities, improve quality, and reduce costs institution-wide. Our student solutions improve attraction, retention and graduation rates, increase student satisfaction and help generate quality outcomes.</w:t>
      </w:r>
    </w:p>
    <w:p>
      <w:pPr>
        <w:spacing w:after="0" w:line="1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Huron is a Platinum level member of the Oracle PartnerNetwork (OPN), an Oracle Cloud Premier Partner within North America, a Gold level consulting partner with Salesforce.com and a Workday Services Partner.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7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provide professional services to both financially sound organizations and organizations in transition, including: national and regional hospitals, integrated health systems, higher education institutions and academic medical centers, community hospitals, medical groups, large and middle market organizations, not-for-profit organizations, lending institutions, law firms, investment banks and private equity firms. In 2019, we served over 1,800 clients.</w:t>
      </w:r>
    </w:p>
    <w:p>
      <w:pPr>
        <w:spacing w:after="0" w:line="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clients are in a broad array of industries, including healthcare, education, financial services, life sciences, energy and utilities, manufacturing and industrials, government and other commercial industries.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success depends on our ability to attract, engage, develop and retain highly talented professionals. We know that by creating a work environment where employees can shape their futures, and individuals are rewarded not only for their own contributions, but also for the success of our organization, we can accomplish these goals. We are focused on advancing every facet of the employee experience, beginning with the recruiting process through post-employment or retirement. We create a personalized experience for our people, where they are empowered to make a meaningful impact on our clients, our communities, and with one another. We have developed comprehensive programs incorporating learning opportunities, beginning with the onboarding process and continuing throughout one’s career journey. We provide a competitive total rewards package including robust benefits that are tailored to the diverse needs of our employees and are refreshed regularly to maintain competitiveness. Our commitment to corporate social responsibility is facilitated through our employee and community experience team and encompasses our Helping Hands program, diversity and inclusion efforts, and a renewed focus on sustainability.</w:t>
      </w:r>
    </w:p>
    <w:p>
      <w:pPr>
        <w:spacing w:after="0" w:line="1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employee population is divided into two groups: client-serving and support professionals. As of December 31, 2019, we had 3,750 full-time employees, including 153 client-serving managing directors. Our client-serving employees serve as critical business advisors; collaborating with clients to help solve their most complex business problems. Our managing directors are the key drivers of growth in our business, generating new revenue streams from existing and new clients. They enhance our market reputation by partnering with clients as advisors and engagement team leaders. Internally, they create our intellectual capital, develop our people, and are stewards of our culture. Our senior directors, directors, and managers manage day-to-day client relationships, develop our people, nurture our culture, and oversee the delivery and quality of our work product. Our associates and analysts gather and organize data, conduct detailed analyses, and prepare presentations that synthesize and distill information to support recommendations we deliver to clients. Our support professionals include our senior management team as well as those who provide sales support, methodology creation, software development, and corporate functions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consisting of our facilities, finance and accounting, human resources, information technology, legal, and marketing teams. These employees provide strategic direction and support that enables the success of our client-serving employees. At December 31, 2019, our support professionals team was led by 24 managing directors, executives and corporate vice presidents.</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to our full-time client-serving employees, we engage temporary employees on an as-needed basis to provide unique skill sets that are not required to be staffed on a full-time basis.</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ability to advance one’s career is critical to our employee retention and engagement. As part of our onboarding process, our employee experience team facilitates a robust and structured curriculum for newly hired employees to develop and onboard into the company. We strive to develop world class leaders and are committed to providing programs and opportunities that achieve this goal by focusing on key leadership attributes at all levels. We also provide a variety of learning opportunities, through online and classroom environments, to further develop employees’ capabilities, including technical knowledge; people skills; team dynamics; and coaching and developing others. We encourage our employees to enhance their professional skills through external learning opportunities that certify their technical skills and to pursue certain advanced degrees. Employees are matched with internal performance coaches and mentors to facilitate their growth, including identifying opportunities for professional development, formal training, and technical skill certifications. All employees have a coach to support them.</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total rewards philosophy focuses on rewarding and retaining our high performing employees. To accomplish this, we offer employees a competitive base salary; performance incentives; and robust, market-competitive benefits.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incentive compensation plan is designed to recognize and reward performance of both the organization and individuals and to ensure we retain our top performers. We take both practice and company financial performance into consideration in the determination of bonus pool funding. At the practice level, the annual bonus pool is funded based on achievement of its annual financial goals. Our board of directors reviews and approves the total incentive compensation pool for all practices in the context of the Company’s overall financial performance. Individual bonus awards are based on the practice’s financial performance, individual bonus targets, and the individual’s performance as evaluated through our performance management process. The intent of the incentive compensation plan is to differentiate rewards based on individual performance, ensuring that our top performers for the year receive incentives that are commensurate with their contributions, which enables Huron to retain them and continue to provide our clients with exceptional service. The incentive compensation plan for our named executive officers is funded based on a blend of achievement of financial goals and strategic initiatives.</w:t>
      </w:r>
    </w:p>
    <w:p>
      <w:pPr>
        <w:spacing w:after="0" w:line="2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Managing directors’ individual compensation levels, including base salary and target incentive awards, are set to align with the value of their expected contributions to the organization, including collaboration across practices. As the key drivers of the organization’s success, their compensation is designed to include equity awards as a core component. The use of equity is intended to encourage retention, align the interests of our managing directors with shareholders, and help build wealth over a managing director's career at Huron through annual grants as well as stock price appreciation.</w:t>
      </w:r>
    </w:p>
    <w:p>
      <w:pPr>
        <w:spacing w:after="0" w:line="27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benefit programs are designed to be comprehensive, competitive and personalized to the needs of our employees. Examples of these programs include flexible paid time off and a travel reward program which recognizes the significant travel commitment of our client-serving workforce. We provide opportunities that allow employees to focus and care for their personal well-being which are aimed at providing tools and resources to focus on their physical, financial, social, and emotional health given the demanding nature of their work. In addition, our health and welfare plans, retirement benefits, and stock purchase plan provide a core foundation of security to our employees and their families.</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corporate social responsibility efforts are designed to support an individual’s charitable interests while also providing a venue for our employees to come together to make an impact in the communities in which we live and work. In addition, the diversity and inclusion efforts support the needs of our growing employee population through employee resource groups that provide corporate-wide educational opportunities, build awareness, celebrate our differences, develop mentoring relationships, and ensure we are fostering a welcoming and engaging environment for all 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development and marketing activities are aimed at cultivating relationships, generating leads, and building a strong brand reputation with health systems, hospitals, and university administrators; offices of the C-suite; and senior level influencers and decision makers of middle market and large corporate organizations. We believe excellent service delivery to clients is critical to building and maintaining relationships and our brand reputation, and we emphasize the importance of client service to all of our employees.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we generate new business opportunities through the combination of relationships our managing directors have with individuals working in healthcare organizations, academic and research institutions, and corporations, and marketing lead generation activities. We also view market-based collaboration between our managing directors as a key component in building our business. Often, the client relationship of a managing director in one area of our business leads to opportunities in another area. All of our managing directors understand their roles in ongoing relationship and business development, which is reinforced through our compensation and incentive programs. We actively seek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professional services industry is extremely competitive, highly fragmented, and constantly evolving. The industry includes a large number of participants with a variety of skills and industry expertise, including other strategy, business operations, technology,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and technology providers in all of our segments. Our competitors vary, depending on the particular practice area, and we expect to continue to face competition from new market entrants.</w:t>
      </w:r>
    </w:p>
    <w:p>
      <w:pPr>
        <w:spacing w:after="0" w:line="1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the principal competitive factors in our market include reputation, the ability to attract and retain top talent, the capacity to manage engagements effectively to drive high value to clients, and the ability to deliver measurable and sustainable results. There is also competition on price, although to a lesser extent due to the criticality of the issues that many of our services address. Some competitors have a greater geographic footprint, broader international presence, and more resources than we do, but we believe our reputation and ability to deliver high-value, quality service and measurable results to our clients across a balanced portfolio of services and attract and retain employees with broad capabilities and deep industry expertise enable us to compete favorably in the professional services marketplace.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These filings are available on the SEC’s website at http://www.sec.gov.</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website is located at www.huronconsultinggroup.com, and our investor relations website is located at ir.huronconsultinggroup.com. We make our annual reports on Form 10-K, quarterly reports on Form 10-Q, current reports on Form 8-K, and any amendments to those reports filed or furnished pursuant to Section 13(a) or 15(d) of the Securities Exchange Act of 1934 available through our website, free of charge, as soon as reasonably practicable after we electronically file such material with, or furnish it to, the SEC.</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information about our business and financial performance, including our corporate profile, on the Investor Relations page of our website. Additionally, we webcast our earnings calls and certain events we participate in with members of the investment community on the Investor Relations page of our website. Further corporate governance information, including our code of ethics, code of business conduct, corporate governance guidelines, and board committee charters, is also available on the Investor Relations page of our website. The content of our websites is not incorporated by reference into this Annual Report on Form 10-K or in any other report or document we file with the SEC, and any references to our websites are intended to be inactive textual references only.</w:t>
      </w:r>
    </w:p>
    <w:p>
      <w:pPr>
        <w:spacing w:after="0" w:line="18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inability to retain our senior management team and other managing directors would be detrimental to the success of our business.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our senior management’s and other managing directors’ personal reputations and relationships with our clients are a critical element in obtaining and maintaining client engagements. Members of our senior management team and our other managing directors could choose to leave or join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1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1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71"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U.S. and global economies;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or global financial markets and the availability, costs, and terms of credit;</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and regulations;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economic factors and general business conditions.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example, some portion of the services we provide may be considered by our clients to be more discretionary in nature, as the demand for the services may be impacted by economic slowdowns. We are not able to predict the positive or negative effects that future events or changes to the U.S. or global economy, financial markets, or regulatory and business environment could have on our operations.</w:t>
      </w:r>
    </w:p>
    <w:p>
      <w:pPr>
        <w:spacing w:after="0" w:line="123"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Our total assets reflect a substantial amount of intangible assets, primarily goodwill. At December 31, 2019, goodwill and other intangible assets totaled</w:t>
      </w:r>
    </w:p>
    <w:p>
      <w:pPr>
        <w:spacing w:after="0" w:line="3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$678.3 million, or 61%, of our total assets.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Intangible assets other than goodwill represent purchased assets that lack physical substance but can be distinguished from goodwill. Our intangible assets primarily consist of customer relationships, trade names, customer contracts, technology and software, and non-competition agreements, all of which were acquired through business combinations. We evaluate our intangible assets for impairment whenever events or changes in circumstances indicate that the carrying amount of the assets may not be recoverable. No material impairment charges for intangible assets were recorded in 2019, 2018, and 2017. During the years ended 2019 and 2018, we did not record any non-cash goodwill impairment charges. During 2017, we recorded $253.1 million of non-cash goodwill impairment charges. Of the $253.1 million, $208.1 million related to our Healthcare reporting unit and $45.0 million related to our Enterprise Solutions and Analytics reporting unit which is included in our Business Advisory segment.</w:t>
      </w:r>
    </w:p>
    <w:p>
      <w:pPr>
        <w:spacing w:after="0" w:line="112"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goodwill impairment charge is recognized and also the magnitude of any such charge. The results of an impairment analysis are as of a point in time.</w:t>
      </w:r>
    </w:p>
    <w:p>
      <w:pPr>
        <w:jc w:val="both"/>
        <w:ind w:right="80"/>
        <w:spacing w:after="0" w:line="255" w:lineRule="auto"/>
        <w:rPr>
          <w:sz w:val="20"/>
          <w:szCs w:val="20"/>
          <w:color w:val="auto"/>
        </w:rPr>
      </w:pPr>
      <w:r>
        <w:rPr>
          <w:rFonts w:ascii="Arial" w:cs="Arial" w:eastAsia="Arial" w:hAnsi="Arial"/>
          <w:sz w:val="18"/>
          <w:szCs w:val="18"/>
          <w:color w:val="auto"/>
        </w:rPr>
        <w:t>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1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Refer to “Critical Accounting Policies” within Part I - Item 7. “Management’s Discussion and Analysis of Financial Condition and Results of Operations” and Note 4 “Goodwill and Intangible Assets” within the notes to our consolidated financial statements for further discussion of our business combinations, goodwill, intangible assets, and impairment tests performed.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incur costs to support our business and the inability to effectively build a support structure for the business could have an adverse impact on our growth and profitability.</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grown significantly since we commenced operations and have increased the number of our full-time professionals from 249 in 2002 to 3,750 as of December 31, 2019. Additionally, our considerable growth has placed demands on our management and our internal systems, procedures, and controls and will continue to do so in the near future. To successfully manage growth, we must periodically adjust and strengthen our operating, financial, accounting, and other systems, procedures, and controls, which may increase our total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fourth quarter of 2019, we committed to the implementation of a new enterprise resource planning (“ERP”) system designed to improve the efficiency of our internal operational, financial and administrative activities. The implementation of a new ERP system, which will take place over several years, subjects us to inherent costs and risks including substantial capital expenditures, additional administration and operating expenses, potential disruption of our internal control structure, retention of sufficiently skilled personnel to implement and operate the new system, demand on management time, and other risks and costs of delays or difficulties in transition. Our system implementation may not result in productivity improvements at a level that outweighs the costs of implementation, or at all. In addition, the difficulties with implementing a new ERP system may cause disruptions or have an adverse effect on our business operations, if not anticipated and appropriately mitigated.</w:t>
      </w:r>
    </w:p>
    <w:p>
      <w:pPr>
        <w:spacing w:after="0" w:line="13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financial results could suffer if we are unable to achieve or maintain adequate utilization and suitable billing rates for our consultants, or if we are unable to deliver our services due to factors that disrupt travel to our client sites.</w:t>
      </w:r>
    </w:p>
    <w:p>
      <w:pPr>
        <w:spacing w:after="0" w:line="1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116"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size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the commencement, completion and termination of engagements, which in many cases is unpredictable;</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transition our consultants efficiently from completed engagements to new engagements;</w:t>
      </w:r>
    </w:p>
    <w:p>
      <w:pPr>
        <w:spacing w:after="0" w:line="171" w:lineRule="exact"/>
        <w:rPr>
          <w:rFonts w:ascii="Arial" w:cs="Arial" w:eastAsia="Arial" w:hAnsi="Arial"/>
          <w:sz w:val="18"/>
          <w:szCs w:val="18"/>
          <w:color w:val="auto"/>
        </w:rPr>
      </w:pPr>
    </w:p>
    <w:p>
      <w:pPr>
        <w:ind w:left="820" w:right="600" w:hanging="812"/>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hiring of additional consultants because there is generally a transition period for new consultants that results in a temporary drop in our utilization rate;</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the scope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thereby maintain an appropriate level of consultants;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affecting the industries in which we practice as well as general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71"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clients’ perception of our ability to add value through our services;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demand for the services we provide;</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the number of engagements in the government sector, which are subject to federal contracting regulations;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new services by us or our competitors;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competition and the pricing policies of our competitors;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economic conditions.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are unable to achieve and maintain adequate overall utilization as well as maintain or increase the billing rates for our consultants, our financial results could materially suffer. In addition, our consultants oftentimes perform services at the physical locations of our clients. If there are natural disasters, widespread outbreak of contagious disease, disruptions to travel and transportation, or problems with communications systems, our ability to perform services for, and interact with, our clients at their physical locations may be negatively impacted which could have an adverse effect on our business and results of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add additional risks and may not be profitable.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may choose to develop new service offerings, open new offices, or eliminate service offerings because of market opportunities or client demands.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Developing new service offerings involves inherent risks, including:</w:t>
      </w:r>
    </w:p>
    <w:p>
      <w:pPr>
        <w:spacing w:after="0" w:line="157"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estimate demand for the new service offerings;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more established market participants;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new legal and operational risks;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lack of market understanding;</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expenses to recruit and hire qualified consultants and to market our new service offerings;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challenges with service delivery.</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example, our recently launched Huron Managed Services business provides revenue cycle management services to hospitals and health systems. These services include the coding, preparation, submission and collection of claims for medical service to payers for reimbursement. Such claims are governed by U.S. federal and state laws. U.S. federal law provides civil liability to any persons that knowingly submit, or cause to be submitted, a claim to a payer, including Medicare, Medicaid and private health plans, seeking payment for any services or items that overbills or bills for services or items that have not been provided to the patient. U.S. federal law may also impose criminal penalties for intentionally submitting such false claims. In addition, federal and state law regulates the collection of debt and may impose monetary penalties for violating those regulations. In connection with these laws, we may be subjected to U.S. federal or state government investigations and possible penalties may be imposed upon us, false claims actions may have to be defended and private payers may file claims against us. Any investigation or proceeding related to these laws, even if unwarranted or without merit, may have a material adverse effect on our business, results of operations and financial condition.</w:t>
      </w:r>
    </w:p>
    <w:p>
      <w:pPr>
        <w:spacing w:after="0" w:line="12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 service offerings or new locations effectively, we are unlikely to be successful in these efforts, which could harm our ability to sustain profitability and our business prospects.</w:t>
      </w:r>
    </w:p>
    <w:p>
      <w:pPr>
        <w:spacing w:after="0" w:line="10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1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key element of our strategy is to market our products and services directly to certain large organizations,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Other fluctuations in our quarterly results of operations may be due to a number of other factors, some of which are not within our control, including:</w:t>
      </w:r>
    </w:p>
    <w:p>
      <w:pPr>
        <w:spacing w:after="0" w:line="183" w:lineRule="exact"/>
        <w:rPr>
          <w:sz w:val="20"/>
          <w:szCs w:val="20"/>
          <w:color w:val="auto"/>
        </w:rPr>
      </w:pPr>
    </w:p>
    <w:p>
      <w:pPr>
        <w:ind w:left="820" w:right="800" w:hanging="812"/>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volume of client invoices processed and payments received, which may affect the fees payable to us under certain of our engagements;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client decisions regarding renewal or termination of their contracts;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costs related to the development or acquisition of technologies or businesses;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other settlement gains or losses.</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operations for that quarter. Our quarterly results of operations may vary significantly and period-to-period comparisons of our results of operations may not be meaningful. The results of one quarter should not be relied upon as an indication of future performance. If our quarterly results of operations fall below the expectations of securities analysts or investors, the price of our common stock could decline substantially.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from our performance-based engagements are difficult to predict, and the timing and extent of recovery of our costs is uncertain.</w:t>
      </w:r>
    </w:p>
    <w:p>
      <w:pPr>
        <w:spacing w:after="0" w:line="1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have engagement agreements under which our fees include a significant performance-based component. Performance-based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To the extent that any revenue is contingent upon the achievement of a performance target, we recognize such revenue using a process that requires us to make significant management judgments, estimates, and assumptions. While we believe that the estimates and assumptions we have used for revenue recognition are reasonable, subsequent changes could have a material impact to our future financial results. The percentage of our revenues derived from performance-based fees for the years ended December 31, 2019, 2018, and 2017, was 8.9%, 6.1%, and 4.9%,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profitability of our fixed-fee engagements with clients may not meet our expectations if we underestimate the cost of these engagements.</w:t>
      </w:r>
    </w:p>
    <w:p>
      <w:pPr>
        <w:spacing w:after="0" w:line="19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 For the years ended December 31, 2019, 2018, and 2017, fixed-fee engagements represented 45.8%, 47.4%, and 46.7% of our revenues, respectively.</w:t>
      </w:r>
    </w:p>
    <w:p>
      <w:pPr>
        <w:spacing w:after="0" w:line="11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the use of sophisticated technologies and systems. Some of our practices provide services that are increasingly dependent on the use of software applications and systems that we do not own and could become unavailable. Moreover, our technology platforms will require continuing investments by us in order to expand existing service offerings and develop complementary services. For example, we have subscription-based offerings that require us to incur costs associated with upgrades and maintenance that could impact profit margins associated with those offerings and related services. Our future success depends on our ability to adapt our services and infrastructure while continuing to improve the performance, features, and reliability of our services in response to the evolving demands of the marketplace.</w:t>
      </w:r>
    </w:p>
    <w:p>
      <w:pPr>
        <w:spacing w:after="0" w:line="13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Adverse changes to our relationships with key third-party vendors, or in the business of our key third-party vendors, could unfavorably impact our business.</w:t>
      </w:r>
    </w:p>
    <w:p>
      <w:pPr>
        <w:spacing w:after="0" w:line="11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 portion of our services and solutions depend on technology or software provided by third-party vendors. Some of these third-party vendors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In addition, if a third-party vendor’s business changes, is reduced or fails to adapt to changing market demands, that could adversely affect our business. Moreover, if third-party technology or software that is important to our business does not continue to be available or utilized within the marketplace, or if the services that we provide to clients is no longer relevant in the marketplace, our business may be unfavorably impacted.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organization is comprised of employees who work on matters throughout the United States and overseas.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12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1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rely on information technology systems to process, transmit, and store electronic information and to communicate among our locations around the world and with our clients, partners, and employees. These locations include Canada, the United Kingdom, Switzerland, Singapore, and India, all of which have their own either recently updated or potential new data protection laws. The breadth and complexity of this infrastructure increases the potential risk of security breaches which could lead to potential unauthorized disclosure of confidential information.</w:t>
      </w:r>
    </w:p>
    <w:p>
      <w:pPr>
        <w:spacing w:after="0" w:line="11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Union's General Data Protection Regulation (GDPR), which went into effect in 2018.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These laws and regulations are increasing in complexity and number. If any person, including any of our employees or third-party vendors, negligently disregards or intentionally breaches our established controls or contractual obligations with respect to client or employee data, or otherwise mismanages or misappropriates that data, we could be subject to significant monetary damages, regulatory enforcement actions, fines, and/or criminal prosecution. We maintain certain insurance coverages for cybersecurity incidents through our directors and officers insurance policy, in amounts we believe to be reasonable and at a cost that is included in our general insurance premiums.</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operate both domestically and internationally, including in Canada, Europe, Asia, and the Middle East. Although historically our international operations have been limited, we intend to continue to expand internationally. Such expansion may result in additional risks that are not present domestically and which could adversely affect our business or our results of operations, including:</w:t>
      </w:r>
    </w:p>
    <w:p>
      <w:pPr>
        <w:spacing w:after="0" w:line="127" w:lineRule="exact"/>
        <w:rPr>
          <w:sz w:val="20"/>
          <w:szCs w:val="20"/>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additional U.S. regulations and those of other nations applicable to international operations;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employment laws, including immigration laws affecting the mobility of employees, and rules and related social and cultural factors;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losses related to start-up costs, lack of revenue, higher costs due to low utilization, and delays in purchase decisions by prospective clients;</w:t>
      </w:r>
    </w:p>
    <w:p>
      <w:pPr>
        <w:spacing w:after="0" w:line="182" w:lineRule="exact"/>
        <w:rPr>
          <w:rFonts w:ascii="Arial" w:cs="Arial" w:eastAsia="Arial" w:hAnsi="Arial"/>
          <w:sz w:val="17"/>
          <w:szCs w:val="17"/>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fluctuations between the U.S. dollar and foreign currencies;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and limitations on our ability to utilize losses generated in our foreign operations;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regulatory requirements and other barriers to conducting business;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or less stable political and economic environments;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personal security risks for employees traveling to or located in unstable locations; and</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civil disturbances or other catastrophic events.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Further, conducting business abroad subjects us to increased regulatory compliance and oversight. For example, we are subject to laws prohibiting certain payments to governmental officials, such as the Foreign Corrupt Practices Act, which increases the risk from our international operations relative to our competitors who do not operate outside the United States. A failure to comply with applicable regulations could result in regulatory enforcement actions as well as substantial civil and criminal penalties assessed against us and our employees.</w:t>
      </w:r>
    </w:p>
    <w:p>
      <w:pPr>
        <w:spacing w:after="0" w:line="113"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Our obligations under the Amended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2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entered into a second amended and restated security agreement with Bank of America (the “Security Agreement”) and a second amended and restated pledge agreement (the “Pledge Agreement”) in connection with our entry into the Second Amended and Restated Credit Agreement, dated as of March 31, 2015 (as amended and restated, the “Amended Credit Agreement”).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a security interest in 100% of the voting stock or other equity interests in our domestic subsidiaries and 65% of the voting stock or other equity interests in certain of our foreign subsidiaries.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spacing w:after="0" w:line="1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31, 2019, we had outstanding indebtedness of $205.0 million on our revolving line of credit that becomes due and payable in full upon maturity on September 27, 2024, and $3.9 million principal amount of our promissory note due March 1, 2024. Our ability to make scheduled payments of the principal, to pay interest, or to refinance our indebtedness, depends on our future performance. If we are unable to generate cash flow from operations sufficient to satisfy our obligations under our current indebtedness and any future indebtedness, we may be required to adopt one or more alternatives, such as reducing or delaying investments or capital expenditures, selling assets, refinancing, or obtaining additional equity capital on terms that may be onerous or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spacing w:after="0" w:line="1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interest rates on our revolving line of credit and promissory note are linked to LIBOR. In 2017, the Financial Conduct Authority (FCA) in the U.K. announced that it would phase out LIBOR as a benchmark rate by the end of 2021. It is unclear whether new methods of calculating LIBOR will be established such that it continues to exist after 2021, or whether different benchmark rates will develop. If LIBOR ceases to exist, the method and rates used to calculate our interest rates and/or payments on our debt may result in interest rates and/or payments that are higher than, or that do not otherwise correlate over time with, the interest rates and/or payments that would have been applicable to our obligations if LIBOR was available in its current form, which could have a material adverse effect on our financial condition and results of operations. While we continue to take steps to mitigate the impact of the phase-out or replacement of LIBOR, such efforts may not prove successful. Furthermore, the U.S. or global financial markets may be disrupted as a result of the phase-out or replacement of LIBOR, which could also have a material adverse effect on our business, financial condition and results of operations.</w:t>
      </w:r>
    </w:p>
    <w:p>
      <w:pPr>
        <w:spacing w:after="0" w:line="11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our indebtedness, combined with our other financial obligations and contractual commitments, could have other important consequences such as exposing us to the risk of increased interest rates because some of our borrowings are at variable interest rates; making us more vulnerable to adverse changes in general U.S. and worldwide economic, industry, and competitive conditions and adverse changes in government regulation; or reducing our capacity to obtain additional financing and flexibility in planning for, or reacting to, changes in our business and our industry. Any of these factors could materially and adversely affect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such guidance during the year, the market value of our common stock could be adversely affected.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healthcare industry is an area of significant focus for our business, and factors that adversely affect the financial condition of the healthcare industry could consequently affect our business.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derive a significant portion of our revenue from clients in the healthcare industry. As a result, our financial condition and results of operations could be adversely affected by conditions affecting the healthcare industry generally and hospitals and health systems particularly. The healthcare industry is highly regulated and is subject to changing political, legislative, regulatory, and other influences. Uncertainty in any of these areas could cause our clients to delay or postpone decisions to use our services. Existing and new federal and state laws and regulations affecting the healthcare industry could create unexpected liabilities for us, could cause us or our clients to incur additional costs, and could restrict our or our clients’ operations.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and continue to consider further significant reforms. Due to the significant implementation issues arising under these laws and potential new legislation, it is unclear what long-term effects they will have on the healthcare industry and in turn on our business, financial condition, and results of operations. Our failure to accurately anticipate the application of new laws and regulations, or our failure to comply with such laws and regulations, could create liability for us, result in adverse publicity and negatively affect our business.</w:t>
      </w:r>
    </w:p>
    <w:p>
      <w:pPr>
        <w:spacing w:after="0" w:line="12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There are many factors that could affect the purchasing practices, operations, and, ultimately, the operating funds of healthcare organizations, such as reimbursement policies for healthcare expenses, federal and state budgetary considerations, consolidation in the healthcare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the healthcare industry, such as changes in the way that healthcare organizations are paid for their services (e.g., based on patient outcomes instead of services provided). Furthermore, as a result of the current presidential administration and the upcoming presidential election, there is an increased uncertainty surrounding the future of the Affordable Care Act and the regulation of the healthcare industry, and therefore healthcare organizations may wait to buy services such as ours until the regulatory environment is more certain.</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129"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Additional hiring, departures, business acquisitions and dispositions could disrupt our operations, increase our costs or otherwise harm our business.</w:t>
      </w:r>
    </w:p>
    <w:p>
      <w:pPr>
        <w:spacing w:after="0" w:line="1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 the diversion of management’s time, attention, and resources from managing and marketing our Company; the potential assumption of liabilities of an acquired business; the inability to attain the expected synergies with an acquired business; and the perception of inequalities if different groups of employees are eligible for different benefits and incentives or are subject to different policies and programs.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practices and shutting down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w:t>
      </w:r>
    </w:p>
    <w:p>
      <w:pPr>
        <w:spacing w:after="0" w:line="12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Our ability to maintain and attract new business depends upon our reputation, the professional reputation of our revenue-generating employees, and the quality of our services.</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professional services firm, our ability to secure new engagements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and clients. Similarly, because we obtain many of our new engagements from former or current clients or from referrals by those clients or by law firms that we have worked with in the past,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any client that questions the quality of our work or that of our consultants could impair our ability to secure additional new engagements and clients.</w:t>
      </w:r>
    </w:p>
    <w:p>
      <w:pPr>
        <w:spacing w:after="0" w:line="179"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 and may result in unexpected declines in our utilization and revenues.</w:t>
      </w:r>
    </w:p>
    <w:p>
      <w:pPr>
        <w:spacing w:after="0" w:line="12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a consulting firm, we have derived, and expect to continue to derive, a significant portion of our revenues from a limited number of clients. Our clients typically retain us on an engagement-by-engagement basis, rather than under fixed-term contracts. The volume of work performed for any particular client is likely to vary from year to year, and a major client in one fiscal period may not require or may decide not to use our services in any subsequent fiscal period. Moreover, a large portion of our new engagements comes from existing clients. Accordingly, the failure to obtain new large engagements or multiple engagements from existing or new clients could have a material adverse effect on the amount of revenues we generate.</w:t>
      </w:r>
    </w:p>
    <w:p>
      <w:pPr>
        <w:spacing w:after="0" w:line="11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addition, almost all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elect not to approve claims against fees earned by us prior to or after the bankruptcy filing, or subject previously paid amounts to be returned to the bankruptcy estate as preferential payments under the bankruptcy code.</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We also face increased litigation risk as a result of an expanded workforce.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U.S. tax laws could have a material adverse effect on our business, cash flow, results of operations and financial condition.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Future changes in tax laws, treaties or regulations, and their interpretation or enforcement, may be unpredictable, particularly as taxing jurisdictions face an increasing number of political, budgetary and other fiscal challenges. Tax rates in the jurisdictions in which we operate may change as a result of macroeconomic and other factors outside of our control, making it increasingly difficult for multinational corporations like ourselves to operate with certainty about taxation in many jurisdictions. As a result, we could be materially adversely affected by future changes in tax law or policy (or in their interpretation or enforcement) in the jurisdictions where we operate, including the United States, which could have a material adverse effect on our business, cash flow, results of operations, financial condition, as well as our effective income tax rate.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regional and specialty consulting firms, and the internal professional resources of organizations. In addition, because there are relatively low barriers to entry, we expect to continue to face additional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as well as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11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impairment charges with respect to our convertible debt investment in Shorelight.</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2014 and 2015, we invested $27.9 million, in the form of zero coupon convertible debt, in Shorelight Holdings, LLC (“Shorelight”), the parent company of Shorelight Education. The investment is carried at its fair value of $49.5 million as of December 31, 2019, with unrealized holding gains and losses reported in other comprehensive income. In the first quarter of 2020, we invested an additional $13.0 million, in the form of 1.69% convertible debt with a senior liquidation preference. As of December 31, 2019, our investment in Shorelight is in an unrealized gain position. If the investment were to be in an unrealized loss position, we would assess whether the investment is other-than-temporarily impaired. We consider impairments to be other-than-temporary if they are related to significant credit deterioration or if it is likely we will sell the security before the recovery of its cost basis. As of December 31, 2019, we have not identified any factors that indicate an other-than-temporary impairment. In the future, if there are adverse developments in Shorelight's business that may be the result of events within or outside of Shorelight's control or declines in value judged to be other-than-temporary, we may incur impairment charges with respect to our convertible debt investment, which could materially impact our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10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We do not own any real estate or other physical properties. Our administrative and principal executive offices are located at 550 W. Van Buren Street, Chicago, Illinois 60607. We believe that our office facilities are suitable and adequate for our business as it is presently conducted.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080" w:right="18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“HURN.” As of February 18, 2020, there were 370 registered holders of record of Huron’s common stock. A number of Huron’s stockholders hold their shares in street name; therefore, the Company believes that there are substantially more beneficial owners of its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information required by this item appears under Part III—Item 12. "Security Ownership of Certain Beneficial Owners and Management and Related Stockholders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December 31, 2019, we reacquired 2,816 shares of common stock with a weighted average fair market value of $62.69 as a result of such tax withholdings.</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currently have a share repurchase program pursuant to which we may, from time to time, repurchase up to $125 million of our common stock through October 31, 2020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we made of our common stock during the quarter ended December 31, 2019.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Purchased as Part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 Price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under the Plans or</w:t>
            </w:r>
          </w:p>
        </w:tc>
      </w:tr>
      <w:tr>
        <w:trPr>
          <w:trHeight w:val="26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1"/>
                <w:szCs w:val="21"/>
                <w:b w:val="1"/>
                <w:bCs w:val="1"/>
                <w:color w:val="auto"/>
                <w:w w:val="84"/>
                <w:vertAlign w:val="superscript"/>
              </w:rPr>
              <w:t>(1)</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Paid Per Share</w:t>
            </w: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1"/>
                <w:szCs w:val="21"/>
                <w:b w:val="1"/>
                <w:bCs w:val="1"/>
                <w:color w:val="auto"/>
                <w:w w:val="86"/>
                <w:vertAlign w:val="superscript"/>
              </w:rPr>
              <w:t>(2)</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2019 – October 31,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 2019 – November 30,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89,263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66.63</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89,263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29,193,168</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2019 – December 31,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121,964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68.21</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121,174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20,924,416</w:t>
            </w: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213,253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67.48</w:t>
            </w:r>
          </w:p>
        </w:tc>
        <w:tc>
          <w:tcPr>
            <w:tcW w:w="120" w:type="dxa"/>
            <w:vAlign w:val="bottom"/>
          </w:tcPr>
          <w:p>
            <w:pPr>
              <w:spacing w:after="0"/>
              <w:rPr>
                <w:sz w:val="22"/>
                <w:szCs w:val="22"/>
                <w:color w:val="auto"/>
              </w:rPr>
            </w:pPr>
          </w:p>
        </w:tc>
        <w:tc>
          <w:tcPr>
            <w:tcW w:w="2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210,437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340" w:right="68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repurchased included 2,026 shares in October 2019 and 790 shares in December 2019 to satisfy employee tax withholding requirements. No shares were repurchased in November 2019 to satisfy employee tax withholding requirements. These shares do not reduce the repurchase authority under the Share Repurchase Program.</w:t>
      </w:r>
    </w:p>
    <w:p>
      <w:pPr>
        <w:spacing w:after="0" w:line="127"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derived the following selected consolidated financial data as of and for the years ended December 31, 2015 through 2019 from our consolidated financial statements. The following data reflects the business acquisitions that we have completed through December 31, 2019. The results of operations for acquired businesses have been included in our results of operations since the date of their acquisitions. See Note 3 "Acquisitions" within the notes to our consolidated financial statements for additional information regarding our acquisitions. The following data also reflects the classification of discontinued operations.</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set forth below is not necessarily indicative of the results of future operations and should be read in conjunction with Item 7. "Management’s Discussion and Analysis of Financial Condition and Results of Operations” and the Consolidated Financial Statements and related notes included elsewhere in this Annual Report on Form 10-K.</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699,010</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88,717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75,175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70,013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877,999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797,984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769,023</w:t>
            </w:r>
          </w:p>
        </w:tc>
        <w:tc>
          <w:tcPr>
            <w:tcW w:w="0" w:type="dxa"/>
            <w:vAlign w:val="bottom"/>
          </w:tcPr>
          <w:p>
            <w:pPr>
              <w:spacing w:after="0"/>
              <w:rPr>
                <w:sz w:val="1"/>
                <w:szCs w:val="1"/>
                <w:color w:val="auto"/>
              </w:rPr>
            </w:pPr>
          </w:p>
        </w:tc>
      </w:tr>
      <w:tr>
        <w:trPr>
          <w:trHeight w:val="229"/>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w w:val="91"/>
              </w:rPr>
              <w:t xml:space="preserve">Direct costs and reimbursable expenses </w:t>
            </w:r>
            <w:r>
              <w:rPr>
                <w:rFonts w:ascii="Arial" w:cs="Arial" w:eastAsia="Arial" w:hAnsi="Arial"/>
                <w:sz w:val="18"/>
                <w:szCs w:val="18"/>
                <w:color w:val="auto"/>
                <w:w w:val="91"/>
              </w:rPr>
              <w:t>(exclusive of depreciation and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18"/>
                <w:szCs w:val="18"/>
                <w:color w:val="auto"/>
              </w:rPr>
              <w:t xml:space="preserve">amortization shown in operating expenses)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costs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401,915</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69,932</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669,673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608,707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541,174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524,445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488,635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and other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203,071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180,983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175,364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160,204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157,902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Litigation and other losses (gains), net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28,365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253,093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 and other losses (gains), net</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474,027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176,890</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52,096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(207,456)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74,234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103,498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(18,136)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(222,504)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83,565</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11,277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19,677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21,670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(170,505)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61,895</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(170,117)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59,052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4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(in thousands, except per share data):</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Net earnings (loss) per basic share: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Net earnings (loss) per diluted share: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w w:val="96"/>
              </w:rPr>
              <w:t>Weighted average shares used in calculating net earnings (loss) per share: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22,136</w:t>
            </w:r>
          </w:p>
        </w:tc>
        <w:tc>
          <w:tcPr>
            <w:tcW w:w="0" w:type="dxa"/>
            <w:vAlign w:val="bottom"/>
          </w:tcPr>
          <w:p>
            <w:pPr>
              <w:spacing w:after="0"/>
              <w:rPr>
                <w:sz w:val="1"/>
                <w:szCs w:val="1"/>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22,507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21,439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21,424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As of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58,437</w:t>
            </w: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21"/>
                <w:szCs w:val="2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20,192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(185,374)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51,828</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44,314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96,966</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1,104,271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1,049,532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1,036,928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1,153,215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1,159,543</w:t>
            </w: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Long-term debt, net of current portion </w:t>
            </w:r>
            <w:r>
              <w:rPr>
                <w:rFonts w:ascii="Arial" w:cs="Arial" w:eastAsia="Arial" w:hAnsi="Arial"/>
                <w:sz w:val="21"/>
                <w:szCs w:val="2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208,324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53,853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342,507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292,065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307,376</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21"/>
                <w:szCs w:val="21"/>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585,465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540,624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503,316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648,033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652,325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40" w:right="6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Intangible asset amortization relating to customer contracts, certain client relationships, and software and amortization of software development costs are presented as a component of total direct costs. Depreciation and intangible assets amortization not classified as direct costs are presented as a component of operating expenses.</w:t>
      </w:r>
    </w:p>
    <w:p>
      <w:pPr>
        <w:spacing w:after="0" w:line="127" w:lineRule="exact"/>
        <w:rPr>
          <w:rFonts w:ascii="Arial" w:cs="Arial" w:eastAsia="Arial" w:hAnsi="Arial"/>
          <w:sz w:val="18"/>
          <w:szCs w:val="18"/>
          <w:color w:val="auto"/>
        </w:rPr>
      </w:pPr>
    </w:p>
    <w:p>
      <w:pPr>
        <w:ind w:left="340" w:right="20" w:hanging="332"/>
        <w:spacing w:after="0" w:line="276"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Our Convertible Notes with a principal amount of $250.0 million were classified as short-term debt on our consolidated balance sheet at December 31, 2018 as they had a maturity date of October 1, 2019. Upon maturity, we refinanced the outstanding notes with the borrowing capacity available under our revolving credit facility, which is classified as long-term debt on our consolidated balance sheet. </w:t>
      </w:r>
      <w:r>
        <w:rPr>
          <w:rFonts w:ascii="Arial" w:cs="Arial" w:eastAsia="Arial" w:hAnsi="Arial"/>
          <w:sz w:val="16"/>
          <w:szCs w:val="16"/>
          <w:color w:val="auto"/>
        </w:rPr>
        <w:t>Refer to</w:t>
      </w:r>
      <w:r>
        <w:rPr>
          <w:rFonts w:ascii="Arial" w:cs="Arial" w:eastAsia="Arial" w:hAnsi="Arial"/>
          <w:sz w:val="17"/>
          <w:szCs w:val="17"/>
          <w:color w:val="auto"/>
        </w:rPr>
        <w:t xml:space="preserve"> the "Liquidity and Capital Resources" section under Part II—Item 7. "Management's Discussion and Analysis of Financial Condition and Results of Operations" and Note 7 “Financing Arrangements” within the notes to our consolidated financial statements for more information on our outstanding borrowings.</w:t>
      </w:r>
    </w:p>
    <w:p>
      <w:pPr>
        <w:spacing w:after="0" w:line="118" w:lineRule="exact"/>
        <w:rPr>
          <w:rFonts w:ascii="Arial" w:cs="Arial" w:eastAsia="Arial" w:hAnsi="Arial"/>
          <w:sz w:val="17"/>
          <w:szCs w:val="17"/>
          <w:color w:val="auto"/>
        </w:rPr>
      </w:pPr>
    </w:p>
    <w:p>
      <w:pPr>
        <w:ind w:left="340" w:right="4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not declared or paid dividends on our common stock in the periods presented above. See Item 5. "Market for Registrant's Common Equity, Related Stockholder Matters and Issuer Purchases of Equity Securities—Dividends."</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should be read in conjunction with the information under Part II—Item 6. "Selected Financial Data," and our Consolidated Financial Statements and related notes appearing under Part II—Item 8. "Financial Statements and Supplementary Data." The following MD&amp;A contains forward-looking statements and involves numerous risks and uncertainties, including, without limitation, those described under Part I—Item 1A. "Risk Factors" and "Forward-Looking Statements" of this Annual Report on Form 10-K. Actual results may differ materially from those contained in any forward-looking statements.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The following information summarizes our results of operations for 2019, 2018, and 2017; and discusses those results of operations for 2019 compared to 2018. For a discussion of our results of operations for 2018 compared to 2017, refer to Part II—Item 7. "Management’s Discussion and Analysis of Financial Condition and Results of Operations" of the Annual Report on Form 10-K for the year ended December 31, 2018, which was filed with the United States Securities and Exchange Commission on February 27,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ectPr>
          <w:pgSz w:w="11900" w:h="16838" w:orient="portrait"/>
          <w:cols w:equalWidth="0" w:num="1">
            <w:col w:w="11420"/>
          </w:cols>
          <w:pgMar w:left="240" w:top="125" w:right="2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provide our services and manage our business under three operating segments: Healthcare, Business Advisory, and Education. See Part I—Item 1. "Business—Overview—Our Services” and Note 19 “Segment Information” within the notes to our consolidated financial statements for a discussion of our three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coaches and their support staff from our Culture and Organizational Excellence solution, consultants who work variable schedules as needed by our clients, employees who provide managed services in our Healthcare segment,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 Revenues generated by our Managed Services solution are dependent on the total value, scope and terms of the related contracts.</w:t>
      </w:r>
    </w:p>
    <w:p>
      <w:pPr>
        <w:spacing w:after="0" w:line="1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1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Fixed-fee engagements represented 45.8%, 47.4%, and 46.7% of our revenues for the years ended December 31, 2019, 2018, and 2017, respectively.</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billing arrangements as the related services or publications are provided. Time-and-expense engagements represented 39.9%, 41.2%, and 43.0% of our revenues in 2019, 2018, and 2017, respectively.</w:t>
      </w:r>
    </w:p>
    <w:p>
      <w:pPr>
        <w:spacing w:after="0" w:line="13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Effective January 1, 2018, we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on a modified retrospective basis and began recognizing revenues under performance-based billing arrangements by estimating the amount of variable consideration that is probable of being earned and recognizing that estimate over the length of the contract using a proportionate performance approach. Prior to adopting ASC 606 in 2018, we recognized revenues under performance-based billing arrangements when all related performance criteria were met. Performance-based fee revenues represented 8.9%, 6.1%, and 4.9% of our revenues in 2019, 2018, and 2017, respectively. The level of performance-based fees earned may vary based on our clients’ risk sharing preferences and the mix of services we provide.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 Software support and maintenance and subscription-based revenues represented 5.4%, 5.3%, and 5.4% of our revenues in 2019, 2018, and 2017, respectively.</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Under fixed-fee billing arrangements, we estimate the total amount of reimbursable expenses to be incurred over the course of the engagement and recognize the estimated amount as revenue using the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manage our business on the basis of revenues before reimbursable expenses, which we believe is the most accurate reflection of our services because it eliminates the effect of reimbursable expenses that we bill to our clients at cost.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most significant expenses are costs classified as total direct costs. These total direct costs primarily include salaries, performance bonuses, signing and retention bonuses, payroll taxes, and benefits for revenue-generating professionals, as well as commissions, technology costs, product and event costs, and fees paid to independent contractors that we retain to supplement our revenue-generating professionals, typically on an as-needed basis for specific client engagements. Direct costs also include share-based compensation, which represents the cost of restricted stock and performance-based share awards granted to our revenue-generating professionals. Compensation expense for restricted stock awards and performance-based share awards is recognized ratably using either the straight-line attribution method or the graded vesting attribution method, as appropriate, over the requisite service period, which is generally three to four years. Total direct costs also include amortization of intangible assets, primarily relating to certain customer relationships, technology and software, and customer contracts acquired in business combinations, and internally developed software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operating expenses include selling, general and administrative expenses, which consist primarily of salaries, performance bonuses, payroll taxes, benefits, and share-based compensation for our support personnel. Also included in selling, general and administrative expenses is rent and other office related expenses, sales and marketing related expenses, professional fees, recruiting and training expenses, and practice administration and meetings expenses. Other operating expenses include restructuring charges, other gains and losses, depreciation and certain amortization expenses not included in total direct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expenses that are incurred directly by the segment. Unallocated costs include corporate costs related to administrative functions that are performed in a centralized manner that are not attributable to a particular segment. These administrative function costs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include corporate office support costs, office facility costs, costs relating to accounting and finance, human resources, legal, marketing, information technology, and company-wide business development functions, as well as costs related to overall corporate management.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pacing w:after="0" w:line="251"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34290</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6"/>
              </w:rPr>
              <w:t>Segment and Consolidated Operating Results (in thousands):</w:t>
            </w:r>
          </w:p>
        </w:tc>
        <w:tc>
          <w:tcPr>
            <w:tcW w:w="2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399,221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364,763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356,909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125,724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118,761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7"/>
              </w:rPr>
              <w:t>Segment operating income as a percentage of segment revenues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252,508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236,185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207,753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49,695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7"/>
              </w:rPr>
              <w:t>Segment operating income as a percentage of segment revenues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225,028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194,177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167,908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55,741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40,318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7"/>
              </w:rPr>
              <w:t>Segment operating income as a percentage of segment revenues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876,757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795,125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732,570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88,717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82,874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75,175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0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965,474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877,999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807,745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reconciliation:</w:t>
            </w:r>
          </w:p>
        </w:tc>
        <w:tc>
          <w:tcPr>
            <w:tcW w:w="2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231,160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206,928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205,679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140,285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122,276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120,718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losses (gains), net</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28,365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34,575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38,213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1"/>
                <w:szCs w:val="21"/>
                <w:color w:val="auto"/>
                <w:vertAlign w:val="superscript"/>
              </w:rPr>
              <w:t>(1)</w:t>
            </w:r>
          </w:p>
        </w:tc>
        <w:tc>
          <w:tcPr>
            <w:tcW w:w="2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253,093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income (loss)</w:t>
            </w:r>
          </w:p>
        </w:tc>
        <w:tc>
          <w:tcPr>
            <w:tcW w:w="2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63,706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52,096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(207,456)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26,875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2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52,491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25,221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(222,504)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(51,999)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0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41,979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13,944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(170,505)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share from continuing operations</w:t>
            </w:r>
          </w:p>
        </w:tc>
        <w:tc>
          <w:tcPr>
            <w:tcW w:w="2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2060" w:type="dxa"/>
            <w:vAlign w:val="bottom"/>
          </w:tcPr>
          <w:p>
            <w:pPr>
              <w:jc w:val="right"/>
              <w:ind w:right="131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7"/>
        </w:trPr>
        <w:tc>
          <w:tcPr>
            <w:tcW w:w="72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(4)</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1"/>
                <w:szCs w:val="21"/>
                <w:color w:val="auto"/>
                <w:vertAlign w:val="superscript"/>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0"/>
        </w:trPr>
        <w:tc>
          <w:tcPr>
            <w:tcW w:w="7240" w:type="dxa"/>
            <w:vAlign w:val="bottom"/>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1"/>
                <w:szCs w:val="21"/>
                <w:color w:val="auto"/>
                <w:vertAlign w:val="superscript"/>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(6)</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72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40" w:right="120" w:hanging="332"/>
        <w:spacing w:after="0" w:line="274"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2" w:lineRule="exact"/>
        <w:rPr>
          <w:rFonts w:ascii="Arial" w:cs="Arial" w:eastAsia="Arial" w:hAnsi="Arial"/>
          <w:sz w:val="17"/>
          <w:szCs w:val="17"/>
          <w:color w:val="auto"/>
        </w:rPr>
      </w:pPr>
    </w:p>
    <w:p>
      <w:pPr>
        <w:ind w:left="340" w:hanging="332"/>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Consists of our full-time professionals who provide consulting services and generate revenues based on the number of hours worked.</w:t>
      </w:r>
    </w:p>
    <w:p>
      <w:pPr>
        <w:spacing w:after="0" w:line="61" w:lineRule="exact"/>
        <w:rPr>
          <w:rFonts w:ascii="Arial" w:cs="Arial" w:eastAsia="Arial" w:hAnsi="Arial"/>
          <w:sz w:val="17"/>
          <w:szCs w:val="17"/>
          <w:color w:val="auto"/>
        </w:rPr>
      </w:pPr>
    </w:p>
    <w:p>
      <w:pPr>
        <w:ind w:left="340" w:right="120" w:hanging="332"/>
        <w:spacing w:after="0" w:line="261"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24" w:lineRule="exact"/>
        <w:rPr>
          <w:rFonts w:ascii="Arial" w:cs="Arial" w:eastAsia="Arial" w:hAnsi="Arial"/>
          <w:sz w:val="17"/>
          <w:szCs w:val="17"/>
          <w:color w:val="auto"/>
        </w:rPr>
      </w:pPr>
    </w:p>
    <w:p>
      <w:pPr>
        <w:ind w:left="340" w:right="560" w:hanging="332"/>
        <w:spacing w:after="0" w:line="274"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Average billing rate per hour for our full-time billable consultants is calculated by dividing revenues for a period by the number of hours worked on client assignments during the same period.</w:t>
      </w:r>
    </w:p>
    <w:p>
      <w:pPr>
        <w:spacing w:after="0" w:line="12" w:lineRule="exact"/>
        <w:rPr>
          <w:rFonts w:ascii="Arial" w:cs="Arial" w:eastAsia="Arial" w:hAnsi="Arial"/>
          <w:sz w:val="17"/>
          <w:szCs w:val="17"/>
          <w:color w:val="auto"/>
        </w:rPr>
      </w:pPr>
    </w:p>
    <w:p>
      <w:pPr>
        <w:ind w:left="340" w:right="180" w:hanging="332"/>
        <w:spacing w:after="0" w:line="299"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Business Advisory segment includes operations of Huron Eurasia India. Absent the impact of Huron Eurasia India, the average billing rate per hour for the Business Advisory segment would have been $228, $246, and $233 for the years ended December 31, 2019, 2018 and 2017, respectively.</w:t>
      </w:r>
    </w:p>
    <w:p>
      <w:pPr>
        <w:ind w:left="340" w:right="640"/>
        <w:spacing w:after="0" w:line="274" w:lineRule="auto"/>
        <w:rPr>
          <w:rFonts w:ascii="Arial" w:cs="Arial" w:eastAsia="Arial" w:hAnsi="Arial"/>
          <w:sz w:val="16"/>
          <w:szCs w:val="16"/>
          <w:color w:val="auto"/>
        </w:rPr>
      </w:pPr>
      <w:r>
        <w:rPr>
          <w:rFonts w:ascii="Arial" w:cs="Arial" w:eastAsia="Arial" w:hAnsi="Arial"/>
          <w:sz w:val="17"/>
          <w:szCs w:val="17"/>
          <w:color w:val="auto"/>
        </w:rPr>
        <w:t>Absent the impact of Huron Eurasia India, Huron's consolidated average billing rate per hour would have been $220, $218, and $216 for the years ended December 31, 2019, 2018 and 2017, respectively.</w:t>
      </w:r>
    </w:p>
    <w:p>
      <w:pPr>
        <w:spacing w:after="0" w:line="12" w:lineRule="exact"/>
        <w:rPr>
          <w:rFonts w:ascii="Arial" w:cs="Arial" w:eastAsia="Arial" w:hAnsi="Arial"/>
          <w:sz w:val="16"/>
          <w:szCs w:val="16"/>
          <w:color w:val="auto"/>
        </w:rPr>
      </w:pPr>
    </w:p>
    <w:p>
      <w:pPr>
        <w:jc w:val="both"/>
        <w:ind w:left="340" w:right="20" w:hanging="332"/>
        <w:spacing w:after="0" w:line="261"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Consists of coaches and their support staff within our Culture and Organizational Excellence solution, consultants who work variable schedules as needed by our clients, employees who provide managed services in our Healthcare segment, and full-time employees who provide software support and maintenance services to our clients.</w:t>
      </w:r>
    </w:p>
    <w:p>
      <w:pPr>
        <w:sectPr>
          <w:pgSz w:w="11900" w:h="16838" w:orient="portrait"/>
          <w:cols w:equalWidth="0" w:num="1">
            <w:col w:w="11420"/>
          </w:cols>
          <w:pgMar w:left="240" w:top="125" w:right="239" w:bottom="1016"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5" w:right="239" w:bottom="1016"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(loss)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4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1"/>
              </w:rPr>
              <w:t>Year Ended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876,757</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795,125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732,570</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41,979</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13,944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(170,505)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10,512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11,277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(51,999)</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18,613</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33,740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38,822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49,145</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Earnings (loss) before interest, taxes, depreciation and amortization (EBITDA)</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83,056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(154,746)</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Litigation and other losses (gains),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Transaction-related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Goodwill impairment charges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253,093</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 (income),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105,378</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90,976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104,574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EBITDA as a percentage of revenues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6220" w:type="dxa"/>
            <w:vAlign w:val="bottom"/>
            <w:vMerge w:val="restart"/>
          </w:tcPr>
          <w:p>
            <w:pPr>
              <w:ind w:left="5620"/>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41,979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22,507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22,058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21,439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17,793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35,027</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losses (gains), net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Transaction-related expenses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253,093</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Non-cash interest on convertible notes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 (income), net</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Tax effect of adjustments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(7,200)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(91,557)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expense related to the enactment of Tax Cuts and Jobs Act of 2017</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Tax benefit related to "check-the-box" election</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 net of tax</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19,632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217,109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61,611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45,838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46,604</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weighted average shares - diluted</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22,507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lease impairment charges and accelerated depreciation on lease-related property and equipment,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Litigation and other losses (gains), net: </w:t>
      </w:r>
      <w:r>
        <w:rPr>
          <w:rFonts w:ascii="Arial" w:cs="Arial" w:eastAsia="Arial" w:hAnsi="Arial"/>
          <w:sz w:val="18"/>
          <w:szCs w:val="18"/>
          <w:color w:val="auto"/>
        </w:rPr>
        <w:t>We have excluded the effects of litigation and other losses (gains), net which primarily consist of net remeasurement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gains related to contingent acquisition liabilities and litigation settlement losses and gains to permit comparability with periods that were not impacted by these items.</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Transaction-related expenses: </w:t>
      </w:r>
      <w:r>
        <w:rPr>
          <w:rFonts w:ascii="Arial" w:cs="Arial" w:eastAsia="Arial" w:hAnsi="Arial"/>
          <w:sz w:val="18"/>
          <w:szCs w:val="18"/>
          <w:color w:val="auto"/>
        </w:rPr>
        <w:t>To permit comparability with prior periods, we excluded the impact of transaction-related expenses for acquisitions, whether or</w:t>
      </w:r>
      <w:r>
        <w:rPr>
          <w:rFonts w:ascii="Arial" w:cs="Arial" w:eastAsia="Arial" w:hAnsi="Arial"/>
          <w:sz w:val="18"/>
          <w:szCs w:val="18"/>
          <w:i w:val="1"/>
          <w:iCs w:val="1"/>
          <w:color w:val="auto"/>
        </w:rPr>
        <w:t xml:space="preserve"> </w:t>
      </w:r>
      <w:r>
        <w:rPr>
          <w:rFonts w:ascii="Arial" w:cs="Arial" w:eastAsia="Arial" w:hAnsi="Arial"/>
          <w:sz w:val="18"/>
          <w:szCs w:val="18"/>
          <w:color w:val="auto"/>
        </w:rPr>
        <w:t>not ultimately consummated, and which primarily relate to third-party legal and accounting fees. The transaction-related expenses incurred in 2019 primarily related to the evaluation of a potential acquisition that ultimately did not consummate.</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that occurred in 2017 as these are infrequent events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exclusion permits comparability with periods that were not impacted by such charges.</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incurred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was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Other non-operating expense (income), net: </w:t>
      </w:r>
      <w:r>
        <w:rPr>
          <w:rFonts w:ascii="Arial" w:cs="Arial" w:eastAsia="Arial" w:hAnsi="Arial"/>
          <w:sz w:val="17"/>
          <w:szCs w:val="17"/>
          <w:color w:val="auto"/>
        </w:rPr>
        <w:t>We have excluded the effects of other non-operating income and expense items as they are infrequent,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believes that these items are not indicative of the ongoing performance of our business, and their exclusion permits comparability with periods that were not impacted by such items. The other non-operating expense for 2018 consists of the loss on the sale of the Middle East practice within the Business Advisory segment in 2018. The other non-operating income for 2017 is primarily attributable to a $0.9 million gain on the sale of our Life Sciences C&amp;O practice, partially offset by a $0.3 million remeasurement loss recorded on a promissory note that was amended in 2017.</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Foreign currency transaction losses (gains), net: </w:t>
      </w:r>
      <w:r>
        <w:rPr>
          <w:rFonts w:ascii="Arial" w:cs="Arial" w:eastAsia="Arial" w:hAnsi="Arial"/>
          <w:sz w:val="17"/>
          <w:szCs w:val="17"/>
          <w:color w:val="auto"/>
        </w:rPr>
        <w:t>We have excluded the effect of foreign currency transaction losses and gains from the calculation of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because the amount of each loss or gain is significantly affected by timing and changes in foreign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 adjustments.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Tax expense related to the enactment of Tax Cuts and Jobs Act of 2017 ("2017 Tax Reform"): </w:t>
      </w:r>
      <w:r>
        <w:rPr>
          <w:rFonts w:ascii="Arial" w:cs="Arial" w:eastAsia="Arial" w:hAnsi="Arial"/>
          <w:sz w:val="17"/>
          <w:szCs w:val="17"/>
          <w:color w:val="auto"/>
        </w:rPr>
        <w:t>We have excluded the impact of the 2017 Tax Reform, which</w:t>
      </w:r>
      <w:r>
        <w:rPr>
          <w:rFonts w:ascii="Arial" w:cs="Arial" w:eastAsia="Arial" w:hAnsi="Arial"/>
          <w:sz w:val="17"/>
          <w:szCs w:val="17"/>
          <w:i w:val="1"/>
          <w:iCs w:val="1"/>
          <w:color w:val="auto"/>
        </w:rPr>
        <w:t xml:space="preserve"> </w:t>
      </w:r>
      <w:r>
        <w:rPr>
          <w:rFonts w:ascii="Arial" w:cs="Arial" w:eastAsia="Arial" w:hAnsi="Arial"/>
          <w:sz w:val="17"/>
          <w:szCs w:val="17"/>
          <w:color w:val="auto"/>
        </w:rPr>
        <w:t>was enacted in the fourth quarter of 2017. The net tax expense recorded in 2018 was due to a valuation allowance for foreign tax credits and an adjustment to our withholding tax on outside basis differences due to our change in assertion for permanent reinvestment, which were partially offset by U.S. federal return to provision adjustments related to 2017 Tax Reform items on our 2017 corporate tax return. The tax expense for 2017 was primarily due to the remeasurement of net deferred tax balances at the lower federal income tax rate, additional one-time income tax expense related to the transition tax on accumulated foreign earnings, and withholding tax on outside basis differences due to our change in assertion for permanent reinvestment. The exclusion of the 2017 Tax Reform permits comparability with periods that were not impacted by this item.</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Tax benefit related to "check-the-box" election: </w:t>
      </w:r>
      <w:r>
        <w:rPr>
          <w:rFonts w:ascii="Arial" w:cs="Arial" w:eastAsia="Arial" w:hAnsi="Arial"/>
          <w:sz w:val="18"/>
          <w:szCs w:val="18"/>
          <w:color w:val="auto"/>
        </w:rPr>
        <w:t>We have excluded the positive impacts of tax benefits related to our "check-the-box" elections. The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2019 was the result of recognizing a previously unrecognized tax benefit due to the expiration of statute of limitations on our "check-the-box" election made in 2015 to treat certain wholly-owned foreign subsidiaries as disregarded entities for U.S. federal income tax purposes. The tax benefit recorded in 2017 was the result of recognizing a previously unrecognized tax benefit from our "check-the-box" election made in 2014 to treat one of our wholly-owned foreign subsidiaries as a disregarded entity for U.S. federal income tax purposes. The exclusion of these discrete tax benefits permit comparability with periods that were not impacted by this item. Refer to Note 17 “Income Taxes” within the notes to the consolidated financial statements for additional information on our "check-the-box" elections.</w:t>
      </w:r>
    </w:p>
    <w:p>
      <w:pPr>
        <w:spacing w:after="0" w:line="13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year ended December 31, 2017, GAAP diluted weighted average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equals the basic weighted average shares outstanding for that period. For the year ended December 31, 2017, the non-GAAP adjustments described above resulted in adjusted net income from continuing operations. Therefore, we included the dilutive common stock equivalents in the calculation of adjusted diluted weighted average shares outstanding for that period.</w:t>
      </w:r>
    </w:p>
    <w:p>
      <w:pPr>
        <w:spacing w:after="0" w:line="129" w:lineRule="exact"/>
        <w:rPr>
          <w:sz w:val="20"/>
          <w:szCs w:val="20"/>
          <w:color w:val="auto"/>
        </w:rPr>
      </w:pPr>
    </w:p>
    <w:p>
      <w:pPr>
        <w:ind w:right="5500"/>
        <w:spacing w:after="0" w:line="440" w:lineRule="auto"/>
        <w:rPr>
          <w:sz w:val="20"/>
          <w:szCs w:val="20"/>
          <w:color w:val="auto"/>
        </w:rPr>
      </w:pPr>
      <w:r>
        <w:rPr>
          <w:rFonts w:ascii="Arial" w:cs="Arial" w:eastAsia="Arial" w:hAnsi="Arial"/>
          <w:sz w:val="18"/>
          <w:szCs w:val="18"/>
          <w:b w:val="1"/>
          <w:bCs w:val="1"/>
          <w:color w:val="auto"/>
        </w:rPr>
        <w:t>Year Ended December 31, 2019 Compared to Year Ended December 31, 2018 Revenues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Revenues increased $81.6 million, or 10.3%, to $876.8 million for the year ended December 31, 2019, from $795.1 million for the year ended December 31, 2018. Of the overall $81.6 million increase in revenues, $76.9 million was driven by our full-time billable consultants and $4.7 million was driven by our full-time equivalents.</w:t>
      </w:r>
    </w:p>
    <w:p>
      <w:pPr>
        <w:spacing w:after="0" w:line="12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increase in full-time billable consultant revenues was attributable to strengthened demand for services in all of our segments, as discussed below in Segment Results, and reflected an increase in the average number of full-time billable consultants in 2019 compared to 2018.</w:t>
      </w:r>
    </w:p>
    <w:p>
      <w:pPr>
        <w:spacing w:after="0" w:line="9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increase in full-time equivalent revenues was attributable to increases in full-time equivalent revenues in our Education and Healthcare segments, partially offset by a decrease in full-time equivalent revenues in our Business Advisory segment, as discussed below in Segment Results; and reflected an overall increase in the average number of full-time equivalents, partially offset by an overall decrease in revenue per full-time equivalent.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$55.2 million, or 10.5%, to $581.0 million for the year ended December 31, 2019 from $525.8 million for the year ended December 31, 2018. The overall $55.2 million increase in direct costs primarily related to a $32.2 million increase in salaries and related expenses for our revenue-generating professionals, which was largely driven by increased headcount in all of our segments; a $15.7 million increase in performance bonus expense for our revenue-generating professionals; a $3.2 million increase in contractor expense; and a $2.3 million increase in share-based compensation expense for our revenue-generating professionals. As a percentage of revenues, our total direct costs increased to 66.3% during 2019 compared to 66.1% during 2018, primarily due to the increase in performance bonus expense for our revenue-generating professionals as a percentage of revenues, largely offset by revenue growth that outpaced the increase in salaries and related expenses for our revenue-generating professionals.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Total direct costs for the year ended December 31, 2019 included $5.4 million of amortization expense for internal software development costs and intangible assets, compared to $4.2 million of amortization expense in 2018. The $1.1 million increase in amortization expense was primarily attributable to a $1.4 million increase in amortization of internal software development costs, partially offset by a $0.2 million decrease in intangible asset amortization attributable to certain intangible assets acquired in our Studer Group acquisition which were fully amortized in prior periods. Intangible asset amortization included within direct costs for the years ended December 31, 2019 and 2018 related to technology and software, certain customer relationships, publishing content and customer contracts acquired in connection with our business acquisitions. See Note 3 "Acquisitions" and Note 4 "Goodwill and Intangible Assets" within the notes to our consolidated financial statements for additional information about our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Selling, general and administrative expenses increased $22.1 million, or 12.2%, to $203.1 million for the year ended December 31, 2019, compared to $181.0 million for the year ended December 31, 2018. The overall increase of $22.1 million was primarily related to a $10.9 million increase in salaries and related expenses for our support personnel; a $4.5 million increase in data hosting and software related expenses; a $2.7 million increase in share-based compensation expense for our support personnel; a $2.4 million increase in legal expenses; a $1.7 million increase in performance bonus expense for our support personnel; and a $1.3 million increase in promotion and marketing expenses. These increases were partially offset by a $2.2 million decrease in facilities expense. The increases in share-based compensation expense and performance bonus expense for our support personnel were largely driven by overall improved company-wide performance. The increase in legal expenses was primarily due to third-party transaction-related expenses related to the evaluation of a potential acquisition that ultimately did not consummate. As a percentage of revenues, selling, general and administrative expenses increased to 23.2% during 2019 compared to 22.8% during 2018, primarily due to the items described above.</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Restructuring charges for the year ended December 31, 2019 totaled $1.9 million, compared to $3.7 million for the year ended December 31, 2018. During 2019, we exited a portion of our Lake Oswego, Oregon office resulting in a $0.7 million lease impairment charge on the related operating lease right-of-use (“ROU”) asset and leasehold improvements and $0.2 million of accelerated depreciation on furniture and fixtures in that office. The lease impairment charge was recognized 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which we adopted on a modified retrospective basis on January 1, 2019. See Note 2 “Summary of Significant Accounting Policies” within the notes to our consolidated financial statements for additional information on our adoption of ASC 842. See Note 5 “Leases” within the notes to our consolidated financial statements for additional information on the long-lived asset impairment test performed in 2019. Additionally, during 2019, we exited the remaining portion of our Middleton, Wisconsin office and an office space in Houston, Texas, resulting in restructuring charges of $0.4 million and $0.1 million, respectively, which primarily related to accelerated depreciation on related furniture and fixtures in those offices. During the fourth quarter of 2019, we entered into an amendment to the lease of our principal executive offices in Chicago, Illinois. Among other items, the amendment terminated the lease with respect to certain leased space which we previously vacated and currently sublease to a third-party. As a result of the amendment, we recognized a restructuring gain of $0.4 million. See Note 5 “Leases” for additional information on the amendment. Additional restructuring charges during 2019 include $0.6 million related to workforce reductions as we continue to better align resources with market demand and workforce reductions in our corporate operations.</w:t>
      </w:r>
    </w:p>
    <w:p>
      <w:pPr>
        <w:spacing w:after="0" w:line="13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 xml:space="preserve">The $3.7 million of restructuring charges in 2018 primarily consisted of $2.1 million related to workforce reductions to better align resources with market demand; $0.8 million related to the accrual of remaining lease payments, net of estimated sublease income, and accelerated depreciation on leasehold improvements due to exiting a portion of our Middleton, Wisconsin office; $0.4 million related to updated lease assumptions and commission costs for our San Francisco office vacated in 2017; and $0.3 million related to the divestiture of our Middle East practice within the Business Advisory segment. During the second quarter of 2018, we sold our Middle East business to a former employee who was the practice leader of that business at the time. The office exit costs incurred in 2018 were accounted for in accordance with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See Note 11 “Restructuring Charges” within the notes to our consolidated financial statements for further discussion of our restructuring expenses.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Litigation and other losses (gains), net totaled to a net gain of $1.2 million for the year ended December 31, 2019, which primarily consisted of $1.5 million of remeasurement gains to decrease the estimated fair value of our liabilities for contingent consideration payments related to business acquisitions, partially offset by a $0.4 million litigation loss accrual related to a legal claim that was subsequently settled during the first quarter of 2020. Litigation and other losses (gains), net totaled a net gain of $2.0 million for the year ended December 31, 2018, which primarily consisted of a $2.5 million litigation settlement gain for the resolution of Huron's claim in a class action lawsuit, partially offset by $0.4 million of net remeasurement losses to increase the estimated fair value of our contingent consideration liabilities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13 “Fair Value of Financial Instruments” within the notes to our consolidated financial statements for additional information on the fair value of contingent consideration liabilities.</w:t>
      </w:r>
    </w:p>
    <w:p>
      <w:pPr>
        <w:spacing w:after="0" w:line="12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Depreciation and amortization expense decreased $6.2 million, or 18.0%, to $28.4 million for the year ended December 31, 2019, from $34.6 million for the year ended December 31, 2018. The decrease was primarily attributable to decreasing amortization expense of the trade name and customer relationships acquired in our Studer Group acquisition and certain customer relationships acquired in other business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acquisitions, due to the accelerated basis of amortization in prior periods, as well as certain other customer relationships acquired in business acquisitions that were fully amortized in prior periods. Intangible asset amortization included within operating expenses for the years ended December 31, 2019 and 2018 primarily related to certain customer relationships, trade names and non-competition agreements acquired in connection with our business acquisitions. See Note 3 “Acquisitions” and Note 4 “Goodwill and Intangible Assets” within the notes to our consolidated financial statements for additional information about our intangible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income increased $11.6 million, to $63.7 million for the year ended December 31, 2019, from $52.1 million for the year ended December 31, 2018. Operating margin, which is defined as operating income expressed as a percentage of revenues, increased to 7.3% in 2019 compared to 6.6% in 2018. The increase in operating margin was primarily attributable to the revenue growth that outpaced the increase in salaries and related expenses for our revenue-generating professionals and the decrease in intangible asset amortization expense; partially offset by the increase in performance bonus expense for our revenue-generating professionals, as a percentage of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Total other expense, net decreased by $15.7 million to $11.2 million for the year ended December 31, 2019, from $26.9 million for the year ended December 31, 2018. The decrease in total other expense, net was primarily attributable to a $4.5 million net gain recognized in 2019 for the market value of our investments that are used to fund our deferred compensation liability, compared to a net loss of $1.6 million in 2018; as well as a $5.8 million loss recorded in 2018 related to the divestiture of our Middle East practice within our Business Advisory segment. During the second quarter of 2018, we sold our Middle East business to a former employee who was the practice leader of that business at the time. Interest expense, net of interest income decreased $3.4 million to $15.6 million in 2019 from $19.0 million in 2018, which was primarily attributable to the maturity of our Convertible Notes on October 1, 2019. See Note 7 “Financing Arrangements” within the notes to our consolidated financial statements for additional information about our Convertible Notes.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 ended December 31, 2019, our effective tax rate was 20.0% as we recognized income tax expense from continuing operations of $10.5 million on income from continuing operations of $52.5 million. For the year ended December 31, 2018, our effective tax rate was 44.7% as we recognized income tax expense from continuing operations of $11.3 million on income from continuing operations of $25.2 million.</w:t>
      </w:r>
    </w:p>
    <w:p>
      <w:pPr>
        <w:spacing w:after="0" w:line="1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effective tax rate for 2019 was more favorable than the statutory rate, inclusive of state income taxes, of 25.9%, primarily due to a $1.6 million tax benefit related to federal and state tax credits, which had a favorable impact of 3.1% on the effective tax rate; a $1.5 million tax benefit related to the change in valuation allowance primarily due to realizing deferred tax assets recorded for foreign tax credits, which had a favorable impact of 2.9% on the effective tax rate; and a $1.0 million tax benefit related to non-taxable gains on our investments used to fund our deferred compensation liability, which had a favorable impact of 1.8% on the effective tax rate</w:t>
      </w:r>
      <w:r>
        <w:rPr>
          <w:rFonts w:ascii="Arial" w:cs="Arial" w:eastAsia="Arial" w:hAnsi="Arial"/>
          <w:sz w:val="17"/>
          <w:szCs w:val="17"/>
          <w:color w:val="212529"/>
        </w:rPr>
        <w:t>.</w:t>
      </w:r>
      <w:r>
        <w:rPr>
          <w:rFonts w:ascii="Arial" w:cs="Arial" w:eastAsia="Arial" w:hAnsi="Arial"/>
          <w:sz w:val="17"/>
          <w:szCs w:val="17"/>
          <w:color w:val="auto"/>
        </w:rPr>
        <w:t xml:space="preserve"> These favorable items were partially offset by $1.0 million of additional tax expense related to disallowed executive compensation, which had an unfavorable impact of 2.0% on the effective tax rate.</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effective tax rate for 2018 was less favorable than the statutory rate, inclusive of state income taxes, of 26.2%, primarily due to $1.8 million of discrete tax expense for valuation allowances, primarily due to uncertainties relating to the ability to utilize deferred tax assets recorded for foreign tax credits, which had an unfavorable impact of 6.9% on the effective tax rate; $1.2 million of discrete tax expense for share-based compensation awards that vested during 2018, which had an unfavorable impact of 4.9% on the effective tax rate; $0.6 million of additional tax expense related to disallowed executive compensation, which had an unfavorable impact of 2.5% on the effective tax rate; and $0.6 million of additional tax expense related to the change in fair value of contingent consideration, which had an unfavorable impact of 2.4% on the effective tax rate.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income from continuing operations increased by $28.0 million to $42.0 million for the year ended December 31, 2019, from $13.9 million for the year ended December 31, 2018. As a result of the increase in net income from continuing operations, diluted earnings per share from continuing operations for the year ended December 31, 2019 was $1.87 compared to $0.63 for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EBITDA increased $18.8 million to $101.9 million for the year ended December 31, 2019, from $83.1 million for the year ended December 31, 2018. Adjusted EBITDA increased $14.4 million to $105.4 million in 2019 from $91.0 million in 2018. The increase in EBITDA was primarily attributable to the increase in revenues for the year ended December 31, 2019 compared to the same prior year period and the loss on the divestiture of our Middle East business within our Business Advisory segment recorded in 2018. These increases to EBITDA were partially offset by the increases in salaries and related expenses for our revenue-generating professionals, selling, general and administrative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expenses, and performance bonus expense for our revenue-generating professionals recognized in 2019 compared to 2018. The increase in adjusted EBITDA was primarily attributable to the increase in revenues, partially offset by the increases in salaries and related expenses for our revenue-generating professionals, selling, general and administrative expenses, and performance bonus expense for our revenue-generating professionals in 2019 compared to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Adjusted net income from continuing operations increased $15.8 million to $61.6 million for the year ended December 31, 2019, compared to $45.8 million for the year ended December 31, 2018. As a result of the increase in adjusted net income from continuing operations, adjusted diluted earnings per share from continuing operations increased by $0.66 to $2.74 in 2019, compared to $2.08 in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Healthcare segment revenues increased $34.5 million, or 9.4%, to $399.2 million for the year ended December 31, 2019, from $364.8 million for the year ended December 31, 2018.</w:t>
      </w:r>
    </w:p>
    <w:p>
      <w:pPr>
        <w:spacing w:after="0" w:line="1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year ended December 31, 2019, revenues from fixed-fee arrangements; time-and-expense arrangements; performance-based arrangements; and software support, maintenance and subscription arrangements represented 62.5%, 13.8%, 17.8%, and 5.9% of this segment’s revenues, respectively, compared to 65.6%, 16.0%, 11.7%, and 6.7%, respectively, in 2018. Performance-based fee revenue was $71.1 million in 2019, compared to $42.7 million in 2018. The level of performance-based fees earned may vary based on our clients’ risk sharing preferences and the mix of services we provide.</w:t>
      </w:r>
    </w:p>
    <w:p>
      <w:pPr>
        <w:spacing w:after="0" w:line="10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Of the overall $34.5 million increase in revenues, $33.5 million was attributable to an increase in revenues from our full-time billable consultants and $1.0 million was attributable to our full-time equivalents. The increase in revenues attributable to our full-time billable consultants reflected increases in the average billing rate and the average number of full-time billable consultants, partially offset by a decrease in the consultant utilization rate in 2019 compared to 2018. The increase in revenues attributable to our full-time equivalents reflected an increase in the average number of full-time equivalents, partially offset by a decrease in the revenue per full-time equivalent in 2019 compared to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Healthcare segment operating income increased $17.7 million, or 16.3%, to $125.7 million for the year ended December 31, 2019, from $108.1 million for the year ended December 31, 2018. The Healthcare segment operating margin, defined as segment operating income expressed as a percentage of segment revenues, increased to 31.5% in 2019 from 29.6% in 2018. The increase in this segment’s operating margin was primarily attributable to revenue growth that outpaced an increase in salaries and related expenses for our revenue-generating professionals, partially offset by an increase in performance bonus expense for our revenue-generating professionals, as a percentage of 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Business Advisory segment revenues increased $16.3 million, or 6.9%, to $252.5 million for the year ended December 31, 2019, from $236.2 million for the year ended December 31, 2018.</w:t>
      </w:r>
    </w:p>
    <w:p>
      <w:pPr>
        <w:spacing w:after="0" w:line="11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the year ended December 31, 2019, revenues from fixed-fee arrangements; time-and-expense arrangements; performance-based arrangements; and software support, maintenance and subscription arrangements represented 39.9%, 55.3%, 2.7%, and 2.1% of this segment's revenues, respectively, compared to 41.5%, 54.5%, 2.3%, and 1.7%, respectively, in 2018. Performance-based fee revenue for the year ended December 31, 2019 was $6.9 million compared to $5.4 million in 2018. The level of performance-based fees earned may vary based on our clients’ preferences and the mix of services we provide.</w:t>
      </w:r>
    </w:p>
    <w:p>
      <w:pPr>
        <w:spacing w:after="0" w:line="1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Of the overall $16.3 million increase in revenues, $18.0 million was attributable to an increase in revenues generated by our full-time billable consultants; partially offset by a $1.7 million decrease in revenues generated by our full-time equivalents. The increase in revenues from our full-time billable consultants reflected an increase in the average number of full-time billable consultants, partially offset by decreases in the average billing rate and the consultant utilization rate. The decrease in revenues from our full-time equivalents was driven by a decreased use of contractors and project consultants, partially offset by an increase in software support and maintenance revenues; and reflected a decrease in the average number of full-time equivalents, partially offset by an increase in revenue per full-time equivalent in 2019 compared to 2018.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Business Advisory segment operating income decreased by $0.9 million, or 1.8%, to $49.7 million for the year ended December 31, 2019, compared to $50.6 million for the year ended December 31, 2018. Segment operating margin decreased to 19.7% for 2019 from 21.4% for 2018. The decrease in this segment’s operating margin was also attributable to increases in salaries and related expenses and performance bonus expense for our revenue-generating professionals, as percentages of revenues. These decreases to the operating margin, were offset by decreases in contractor expense, restructuring charges, and third-party consulting expenses. Additionally, the decrease in the operating margin reflected a higher percentage of this segment's revenues derived from our lower margin solutions in 2019 compared to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Education segment revenues increased $30.9 million, or 15.9%, to $225.0 million for the year ended December 31, 2019, from $194.2 million for the year ended December 31, 2018.</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year ended December 31, 2019, revenues from fixed-fee arrangements; time-and-expense arrangements; and software support, maintenance and subscription arrangements represented 23.0%, 68.8%, and 8.2% of this segment’s revenues, respectively, compared to 20.4%, 72.5%, and 7.1%, respectively, in 2018.</w:t>
      </w:r>
    </w:p>
    <w:p>
      <w:pPr>
        <w:spacing w:after="0" w:line="12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Of the overall $30.9 million increase in revenues, $25.4 million was attributable to revenues generated by our full-time billable consultants and $5.5 million was attributable to our full-time equivalents. The increase in revenues from our full-time billable consultants reflected an increase in the average number of full-time billable consultants; partially offset by a decrease in the average billing rate in 2019 compared to 2018. The increase in revenues from our full-time equivalents was primarily driven by an increased use of contractors and an increase in software and data hosting revenues, partially offset by a decreased use of project consultants; and reflected increases in the average number of full-time equivalents and revenue per full-time equivalent in 2019 compared to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Education segment operating income increased $7.5 million, or 15.5%, to $55.7 million for the year ended December 31, 2019, from $48.2 million for the year ended December 31, 2018. The Education segment operating margin was 24.8% for both 2019 and 2018. The Education segment's revenue growth outpaced increases in salaries and related expenses for our revenue-generating professionals and selling, general and administrative expenses. This increase to the operating margin was offset by increases in contractor expense and performance bonus expense for our revenue-generating professionals, as percentages of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Cash and cash equivalents were $11.6 million, $33.1 million, and $16.9 million at December 31, 2019, 2018, and 2017, respectively. As of December 31, 2019,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4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w w:val="89"/>
              </w:rPr>
              <w:t>Year Ended December 31,</w:t>
            </w:r>
          </w:p>
        </w:tc>
        <w:tc>
          <w:tcPr>
            <w:tcW w:w="13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132,220</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99,795</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(128,948)</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28,821</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214</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(21,503)</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cash provided by operating activities totaled $132.2 million and $101.7 million for the years ended December 31, 2019 and 2018,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cash provided by operating activities in 2019 compared to 2018 was primarily attributable to an increase in cash collections from clients, which was driven by revenue growth, partially offset by the higher amount paid for annual performance bonuses during the first quarter of 2019 compared to the first quarter of 2018.</w:t>
      </w:r>
    </w:p>
    <w:p>
      <w:pPr>
        <w:sectPr>
          <w:pgSz w:w="11900" w:h="16838" w:orient="portrait"/>
          <w:cols w:equalWidth="0" w:num="1">
            <w:col w:w="11400"/>
          </w:cols>
          <w:pgMar w:left="240" w:top="125" w:right="259"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25"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$35.0 million and $18.6 million for the years ended December 31, 2019 and 2018, respectively.</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use of cash in 2019 primarily consisted of $13.2 million for purchases of property and equipment, primarily related to purchases of computers and network equipment and leasehold improvements for new office spaces in certain locations; $10.3 million for payments related to internally developed software; $5.0 million for a purchase of investment securities in the fourth quarter of 2019; $4.7 million for contributions to our life insurance policies which fund our deferred compensation plan; and $2.5 million for the purchase of a business in the third quarter of 2019.</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use of cash in 2018 primarily consisted of $8.9 million for purchases of property and equipment, primarily related to purchases of computers and network equipment; $6.1 million for payments related to internally developed software; $2.3 million for payments related to the divestiture of our Middle East practice within the Business Advisory segment; and $2.0 million for contributions to our life insurance policies which fund our deferred compensation plan.</w:t>
      </w:r>
    </w:p>
    <w:p>
      <w:pPr>
        <w:spacing w:after="0" w:line="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estimate that cash utilized for purchases of property and equipment and software in 2020 will be approximately $25 to $30 million; primarily consisting of software development costs, information technology related equipment to support our corporate infrastructure, and leasehold improvements for certain office locations.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$118.8 million and $66.7 million for the years ended December 31, 2019 and 2018, respectively.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2019, we borrowed $347.0 million under our credit facility, of which $217.0 million was used to repay a portion of the $250.0 million outstanding principal on our Convertible Notes in the fourth quarter of 2019. The remaining $33.0 million outstanding principal on our Convertible Notes was repaid with cash on hand. During 2019, we also made repayments on our credit facility of $192.5 million. Additionally, we repurchased and retired $14.2 million of our common stock under our Share Repurchase Program, as defined below, of which $1.2 million settled in the first quarter of 2020. During 2019, we paid $10.0 million to the sellers of certain business acquisitions for achieving specified financial performance targets in accordance with the related purchase agreements. Of the total $10.0 million paid, $4.7 million is classified as a cash outflow from financing activities and represents the amount paid up to the initial fair value of contingent consideration liability recorded as of the acquisition date. The remaining $5.3 million is classified as a cash outflow from operating activities.</w:t>
      </w:r>
    </w:p>
    <w:p>
      <w:pPr>
        <w:spacing w:after="0" w:line="11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During 2018, we borrowed $204.3 million under our credit facility and made repayments on our credit facility of $259.8 million. We also paid $12.0 million to the sellers of certain businesses acquisitions for achieving specified financial performance targets in accordance with the related purchase agreements. Of the $12.0 million paid, $7.0 million is classified as a cash outflow from financing activities and represents the amount paid up to the initial fair value of the contingent consideration liability recorded as of the acquisition date. The remaining $5.0 million is classified as a cash outflow from operating activities.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currently have a share repurchase program permitting us to repurchase up to $125 million of our common stock through October 31, 2020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In 2019, we repurchased and retired 210,437 shares for $14.2 million, of which $1.2 million settled in the first quarter of 2020. No shares were repurchased under this program in 2018. As of December 31, 2019, $20.9 million remains available for share repurchases.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December 31, 2019, we had $205.0 million outstanding under our senior secured credit facility and $3.9 million outstanding under a promissory note, as discussed below. The Convertible Notes matured on October 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September 2014, we issued $250 million principal amount of 1.25% convertible senior notes due 2019 in a private offering. The Convertible Notes were senior unsecured obligations of the Company and paid interest semi-annually on April 1 and October 1 of each year at an annual rate of 1.25%. The Convertible Notes matured on October 1, 2019. Upon maturity, we refinanced $217.0 million of the principal amount of the outstanding Convertible Notes with the borrowing capacity available under our revolving credit facility and funded the remaining $33.0 million principal payment with cash on hand. See Note 7 “Financing Arrangements” within the notes to the consolidated financial statements for additional information on our Convertible Notes.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December 31, 2019 and December 31, 2018, we were in compliance with these financial covenants. Our Consolidated Leverage Ratio as of December 31, 2019 was 1.64 to 1.00, compared to 2.83 to 1.00 as of December 31, 2018. Our Consolidated Interest Coverage Ratio as of December 31, 2019 was 15.29 to 1.00, compared to 11.03 to 1.00 as of December 31, 2018. The reduction in our Consolidated Leverage Ratio as of December 31, 2019 compared to December 31, 2018 was driven by an increase in cash flows from operations, deployment of cash to reduce borrowings and improved profitability. Our maximum borrowing capacity, after consideration of our restrictive covenants and the unused borrowing capacity under the revolving credit facility, was $271.6 million at December 31, 2019 compared to $100.1 million at December 31, 2018.</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Principal borrowings outstanding under the Amended Credit Agreement at December 31, 2019 and December 31, 2018 totaled $205.0 million and $50.0 million, respectively. These borrowings carried a weighted average interest rate of 3.0% at December 31, 2019 and 3.7% at December 31, 2018 including the impact of the interest rate swap described in Note 12 “Derivative Instruments and Hedging Activity" within the notes to the consolidated financial statements. The borrowing capacity under the revolving credit facility is reduced by any outstanding borrowings under the revolving credit facility and outstanding letters of credit. At December 31, 2019, we had outstanding letters of credit totaling $1.7 million, which are primarily used as security deposits for our office facilities.</w:t>
      </w:r>
    </w:p>
    <w:p>
      <w:pPr>
        <w:spacing w:after="0" w:line="1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 For a discussion of certain risks and uncertainties related to the Amended Credit Agreement, see Part I—Item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December 31, 2019, the outstanding principal amount of the promissory note was $3.9 million, and the aircraft had a carrying amount of $5.1 million. At December 31, 2018, the outstanding principal amount of the promissory note was $4.4 million, and the aircraft had a carrying amount of $5.8 million.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our significant obligations and commitments as of December 31, 2019 and the scheduled years of payments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2021-2022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2023-2024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Thereafter</w:t>
            </w: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Long-term bank borrowings—principal and interest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234,037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215,698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Promissory note—principal and interest </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35,211</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29,593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70"/>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1"/>
                <w:szCs w:val="21"/>
                <w:color w:val="auto"/>
                <w:vertAlign w:val="superscript"/>
              </w:rPr>
              <w:t>(6)</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386,415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244,588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40" w:hanging="332"/>
        <w:spacing w:after="0" w:line="26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interest payments on long-term bank borrowings are estimated based on the principal amount outstanding and the interest rate in effect as of December 31, 2019. Actual future interest payments will differ due to changes in our borrowings outstanding and the interest rate on those borrowings, as the interest rate varies based on the fluctuations in the variable base rates and the spread we pay over those base rates pursuant to the Amended Credit Agreement. Refer to “Liquidity and Capital Resources” and Note </w:t>
      </w:r>
      <w:r>
        <w:rPr>
          <w:rFonts w:ascii="Arial" w:cs="Arial" w:eastAsia="Arial" w:hAnsi="Arial"/>
          <w:sz w:val="18"/>
          <w:szCs w:val="18"/>
          <w:color w:val="auto"/>
        </w:rPr>
        <w:t>7</w:t>
      </w:r>
      <w:r>
        <w:rPr>
          <w:rFonts w:ascii="Arial" w:cs="Arial" w:eastAsia="Arial" w:hAnsi="Arial"/>
          <w:sz w:val="17"/>
          <w:szCs w:val="17"/>
          <w:color w:val="auto"/>
        </w:rPr>
        <w:t xml:space="preserve"> “Financing Arrangements” within the notes to our consolidated financial statements for more information on our outstanding borrowings.</w:t>
      </w:r>
    </w:p>
    <w:p>
      <w:pPr>
        <w:spacing w:after="0" w:line="138" w:lineRule="exact"/>
        <w:rPr>
          <w:rFonts w:ascii="Arial" w:cs="Arial" w:eastAsia="Arial" w:hAnsi="Arial"/>
          <w:sz w:val="17"/>
          <w:szCs w:val="17"/>
          <w:color w:val="auto"/>
        </w:rPr>
      </w:pPr>
    </w:p>
    <w:p>
      <w:pPr>
        <w:ind w:left="340" w:right="340" w:hanging="332"/>
        <w:spacing w:after="0" w:line="315"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The interest payments on the promissory note are estimated based on the principal amount outstanding, scheduled principal payments, and the interest rate in effect as of December 31, 2019. Actual future interest payments may differ due to changes in the principal amount outstanding and the interest rate on that principal amount, as the interest rate varies based on the fluctuations in the one-month LIBOR rate. Refer to “Liquidity and Capital Resources” and Note </w:t>
      </w:r>
      <w:r>
        <w:rPr>
          <w:rFonts w:ascii="Arial" w:cs="Arial" w:eastAsia="Arial" w:hAnsi="Arial"/>
          <w:sz w:val="16"/>
          <w:szCs w:val="16"/>
          <w:color w:val="auto"/>
        </w:rPr>
        <w:t>7</w:t>
      </w:r>
      <w:r>
        <w:rPr>
          <w:rFonts w:ascii="Arial" w:cs="Arial" w:eastAsia="Arial" w:hAnsi="Arial"/>
          <w:sz w:val="15"/>
          <w:szCs w:val="15"/>
          <w:color w:val="auto"/>
        </w:rPr>
        <w:t xml:space="preserve"> “Financing Arrangements” within the notes to our consolidated financial statements for more information on the promissory note.</w:t>
      </w:r>
    </w:p>
    <w:p>
      <w:pPr>
        <w:spacing w:after="0" w:line="105" w:lineRule="exact"/>
        <w:rPr>
          <w:rFonts w:ascii="Arial" w:cs="Arial" w:eastAsia="Arial" w:hAnsi="Arial"/>
          <w:sz w:val="15"/>
          <w:szCs w:val="15"/>
          <w:color w:val="auto"/>
        </w:rPr>
      </w:pPr>
    </w:p>
    <w:p>
      <w:pPr>
        <w:ind w:left="340" w:right="100" w:hanging="332"/>
        <w:spacing w:after="0" w:line="29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We lease our facilities under operating lease arrangements expiring on various dates through 2029, with various renewal options. We lease office facilities under non-cancelable operating leases that include fixed or minimum payments plus, in some cases, scheduled base rent increases over the term of the lease. Refer to Note </w:t>
      </w:r>
      <w:r>
        <w:rPr>
          <w:rFonts w:ascii="Arial" w:cs="Arial" w:eastAsia="Arial" w:hAnsi="Arial"/>
          <w:sz w:val="17"/>
          <w:szCs w:val="17"/>
          <w:color w:val="auto"/>
        </w:rPr>
        <w:t>5</w:t>
      </w:r>
      <w:r>
        <w:rPr>
          <w:rFonts w:ascii="Arial" w:cs="Arial" w:eastAsia="Arial" w:hAnsi="Arial"/>
          <w:sz w:val="16"/>
          <w:szCs w:val="16"/>
          <w:color w:val="auto"/>
        </w:rPr>
        <w:t xml:space="preserve"> “</w:t>
      </w:r>
      <w:r>
        <w:rPr>
          <w:rFonts w:ascii="Arial" w:cs="Arial" w:eastAsia="Arial" w:hAnsi="Arial"/>
          <w:sz w:val="17"/>
          <w:szCs w:val="17"/>
          <w:color w:val="auto"/>
        </w:rPr>
        <w:t>Leases</w:t>
      </w:r>
      <w:r>
        <w:rPr>
          <w:rFonts w:ascii="Arial" w:cs="Arial" w:eastAsia="Arial" w:hAnsi="Arial"/>
          <w:sz w:val="16"/>
          <w:szCs w:val="16"/>
          <w:color w:val="auto"/>
        </w:rPr>
        <w:t xml:space="preserve">” </w:t>
      </w:r>
      <w:r>
        <w:rPr>
          <w:rFonts w:ascii="Arial" w:cs="Arial" w:eastAsia="Arial" w:hAnsi="Arial"/>
          <w:sz w:val="17"/>
          <w:szCs w:val="17"/>
          <w:color w:val="auto"/>
        </w:rPr>
        <w:t>within the notes to our consolidated financial statements for more information on our operating lease obligations.</w:t>
      </w:r>
    </w:p>
    <w:p>
      <w:pPr>
        <w:spacing w:after="0" w:line="101" w:lineRule="exact"/>
        <w:rPr>
          <w:rFonts w:ascii="Arial" w:cs="Arial" w:eastAsia="Arial" w:hAnsi="Arial"/>
          <w:sz w:val="16"/>
          <w:szCs w:val="16"/>
          <w:color w:val="auto"/>
        </w:rPr>
      </w:pPr>
    </w:p>
    <w:p>
      <w:pPr>
        <w:jc w:val="both"/>
        <w:ind w:left="340" w:right="80" w:hanging="332"/>
        <w:spacing w:after="0" w:line="261"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Purchase obligations do not include agreements that are cancelable without penalty.</w:t>
      </w:r>
    </w:p>
    <w:p>
      <w:pPr>
        <w:spacing w:after="0" w:line="145" w:lineRule="exact"/>
        <w:rPr>
          <w:rFonts w:ascii="Arial" w:cs="Arial" w:eastAsia="Arial" w:hAnsi="Arial"/>
          <w:sz w:val="17"/>
          <w:szCs w:val="17"/>
          <w:color w:val="auto"/>
        </w:rPr>
      </w:pPr>
    </w:p>
    <w:p>
      <w:pPr>
        <w:ind w:left="340" w:right="160" w:hanging="332"/>
        <w:spacing w:after="0" w:line="26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Included in deferred compensation and other liabilities on our consolidated balance sheet as of December 31, 2019 is a $27.5 million obligation for deferred compensation. The specific payment dates for the deferred compensation are unknown; therefore, the related balances have not been reflected in the “Payments Due by Period” section of the table. This deferred compensation liability is funded by corresponding deferred compensation plan assets. Refer to Note </w:t>
      </w:r>
      <w:r>
        <w:rPr>
          <w:rFonts w:ascii="Arial" w:cs="Arial" w:eastAsia="Arial" w:hAnsi="Arial"/>
          <w:sz w:val="18"/>
          <w:szCs w:val="18"/>
          <w:color w:val="auto"/>
        </w:rPr>
        <w:t>15</w:t>
      </w:r>
      <w:r>
        <w:rPr>
          <w:rFonts w:ascii="Arial" w:cs="Arial" w:eastAsia="Arial" w:hAnsi="Arial"/>
          <w:sz w:val="17"/>
          <w:szCs w:val="17"/>
          <w:color w:val="auto"/>
        </w:rPr>
        <w:t xml:space="preserve"> “Employee Benefit and Deferred Compensation Plans” within the notes to our consolidated financial statements for more information on our deferred compensation plan.</w:t>
      </w:r>
    </w:p>
    <w:p>
      <w:pPr>
        <w:spacing w:after="0" w:line="124" w:lineRule="exact"/>
        <w:rPr>
          <w:rFonts w:ascii="Arial" w:cs="Arial" w:eastAsia="Arial" w:hAnsi="Arial"/>
          <w:sz w:val="17"/>
          <w:szCs w:val="17"/>
          <w:color w:val="auto"/>
        </w:rPr>
      </w:pPr>
    </w:p>
    <w:p>
      <w:pPr>
        <w:ind w:left="340" w:right="180" w:hanging="332"/>
        <w:spacing w:after="0" w:line="261"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liabilities for uncertain tax positions are classified as non-current and includes the accrual of potential payment of interest and penalties. We are unable to reasonably estimate the timing of future payments as it depends on examinations by taxing authorities; as such, the related balance has not been reflected in the “Payments Due by Period” section of the table.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five accounting policies that could be considered critical: revenue recognition, allowances for doubtful accounts and unbilled services, business combinations, carrying values of goodwill and other intangible assets, and accounting for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typically satisfy our performance obligations for professional services over time as the related services are provided. The performance obligations related to software support and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arrangements as the related services or publications are provided, using the right to invoice practical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assets acquired and liabilities assumed in a business combination, including identifiable intangible assets, are recorded at their estimated fair values as of the acquisition date. Goodwill is recorded as the excess of the fair value of consideration transferred, including any contingent consideration, over the fair value of the net assets acquired.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 See Note 3 "Acquisitions" within the notes to our consolidated financial statements for additional information regarding our acquisitions.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Intangibles Assets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At the time of our November 30, 2019 annual goodwill impairment test, we had five reporting units with goodwill balances: Healthcare, Education, Business Advisory, Strategy and Innovation, and Life Sciences. The Business Advisory, Strategy and Innovation, and Life Sciences reporting units, along with the Enterprise Solutions and Analytics reporting unit which does not have a goodwill balance, make up our Business Advisory operating segment.</w:t>
      </w:r>
    </w:p>
    <w:p>
      <w:pPr>
        <w:spacing w:after="0" w:line="11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GAAP, we have the option to first assess qualitative factors to determine whether the existence of current events or circumstances would lead to a determination that it is more likely than not that the fair value of one of our reporting units is greater than its carrying value. If we determine it is more likely than not that the fair value of a reporting unit is greater than its carrying value, no further testing is necessary. However, if we conclude otherwise, then we are required to perform a quantitative impairment test by calculating the fair value of the reporting unit and comparing the fair value with the carrying value of the reporting unit. If the fair value of the reporting unit is less than its carrying value, a non-cash impairment charge is recorded in an amount equal to that difference with the loss not to exceed the total amount of goodwill allocated to the reporting unit.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have the option to bypass the qualitative assessment for any reporting unit and proceed directly to performing the quantitative goodwill impairment test.</w:t>
      </w:r>
    </w:p>
    <w:p>
      <w:pPr>
        <w:spacing w:after="0" w:line="1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reporting units where we perform the quantitative test, we determine the fair value using a combination of the income approach and the market approach. For a company such as ours, the income and market approaches will generally provide the most reliable indications of fair value because the value of such companies is dependent on their ability to generate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goodwill impairment analysis performed during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Annual Goodwill Impairment Analysis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our policy, we performed our annual goodwill impairment test as of November 30, 2019 on our five reporting units with goodwill balances: Healthcare, Education, Business Advisory, Strategy and Innovation, and Life Sciences. We performed a qualitative assessment over the Healthcare, Education, Business Advisory, and Life Sciences reporting units to determine if it was more likely than not the respective fair values of these reporting units were less than their carrying amounts, including goodwill. We elected to bypass the qualitative assessment and performed a quantitative impairment test for the Strategy and Innovation reporting unit as the reporting unit is a relatively new business resulting from an acquisition in 2017 and also fell short of internal financial expectations in 2019.</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our qualitative assessment of the Healthcare, Education, Business Advisory and Life Sciences reporting units, we considered the most recent quantitative analysis performed for these reporting units, which was as of November 30, 2017,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2019 and 2018 compared to the internal financial projections used, as well as specific outlooks for each reporting unit based on our most recent internal financial projections. We also considered the market-based valuation multiples used in the market approach within our prior quantitative analysis, which were derived from guideline companies, and noted that the valuation multiples generally increased compared to November 30, 2017.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of the Healthcare, Education, Business Advisory and Life Sciences reporting units exceeded their respective carrying amounts. As such, the goodwill for these reporting units was not considered impaired as of November 30, 2019, and a quantitative goodwill impairment analysis was not necessary.</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qualitative assessment of our reporting units requires us to make significant judgments, estimates, and assumptions. While we believe that the estimates and assumptions underlying our analysis are reasonable,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Strategy and Innovation reporting unit, we reviewed goodwill for impairment by comparing the fair value of the reporting unit to its carrying value, including goodwill. In estimating the fair value of the reporting unit, we relied on a combination of the income approach and the market approach utilizing the guideline company method, with a fifty-fifty weighting. Based on the results of the goodwill impairment test,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determined the fair value of the Strategy and Innovation reporting unit exceeded its carrying value by 41%. As such, we concluded that there was no indication of goodwill impairment for the reporting unit.</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the income approach used to calculate the fair value of the Strategy and Innovation reporting unit, we utilized a discounted cash flow analysis, which involves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such as long-term projections of future cash flows, including estimates of revenues and operating margins; market conditions; tax rates; and discount rates reflecting the risk inherent in future cash flows. In estimating future cash flows, we relied on internally generated forecasts based on historical experience, current backlog, expected market demand, and other industry information, and assumed a long-term annual revenue growth rate of 3.0%. Our discounted cash flow analysis assumed a weighted average cost of capital discount rate of 14.0% for the Strategy and Innovation reporting unit.</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For the Strategy and Innovation reporting unit, these multiples are evaluated and adjusted based on specific characteristics of the reporting unit relative to the selected guideline companies and applied to the reporting unit's operating data to arrive at an indication of value.</w:t>
      </w:r>
    </w:p>
    <w:p>
      <w:pPr>
        <w:spacing w:after="0" w:line="18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Determining the fair value of the Strategy and Innovation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goodwill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table below presents, based on the quantitative goodwill impairment test performed as of November 30, 2019, the decrease in the fair value of the Strategy and Innovation reporting unit given a 100 basis point increase in the assumed discount rate or a 100 basis point decrease in the assumed long-term annual revenue growth rate.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2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Discount rate increased</w:t>
            </w:r>
          </w:p>
        </w:tc>
        <w:tc>
          <w:tcPr>
            <w:tcW w:w="20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6"/>
              </w:rPr>
              <w:t>Long-term growth rate</w:t>
            </w:r>
          </w:p>
        </w:tc>
      </w:tr>
      <w:tr>
        <w:trPr>
          <w:trHeight w:val="234"/>
        </w:trPr>
        <w:tc>
          <w:tcPr>
            <w:tcW w:w="7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b w:val="1"/>
                <w:bCs w:val="1"/>
                <w:color w:val="auto"/>
              </w:rPr>
              <w:t>by 100 bps</w:t>
            </w:r>
          </w:p>
        </w:tc>
        <w:tc>
          <w:tcPr>
            <w:tcW w:w="180" w:type="dxa"/>
            <w:vAlign w:val="bottom"/>
          </w:tcPr>
          <w:p>
            <w:pPr>
              <w:spacing w:after="0"/>
              <w:rPr>
                <w:sz w:val="20"/>
                <w:szCs w:val="20"/>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86"/>
              </w:rPr>
              <w:t>decreased by 100 bps</w:t>
            </w:r>
          </w:p>
        </w:tc>
      </w:tr>
      <w:tr>
        <w:trPr>
          <w:trHeight w:val="27"/>
        </w:trPr>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Strategy and Innovation:</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60"/>
              <w:spacing w:after="0"/>
              <w:rPr>
                <w:sz w:val="20"/>
                <w:szCs w:val="20"/>
                <w:color w:val="auto"/>
              </w:rPr>
            </w:pPr>
            <w:r>
              <w:rPr>
                <w:rFonts w:ascii="Arial" w:cs="Arial" w:eastAsia="Arial" w:hAnsi="Arial"/>
                <w:sz w:val="18"/>
                <w:szCs w:val="18"/>
                <w:color w:val="auto"/>
              </w:rPr>
              <w:t>Decrease in fair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(5,600)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(3,600)</w:t>
            </w:r>
          </w:p>
        </w:tc>
      </w:tr>
      <w:tr>
        <w:trPr>
          <w:trHeight w:val="27"/>
        </w:trPr>
        <w:tc>
          <w:tcPr>
            <w:tcW w:w="7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Percentage by which fair value exceeds carrying value</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378"/>
        </w:trPr>
        <w:tc>
          <w:tcPr>
            <w:tcW w:w="9420" w:type="dxa"/>
            <w:vAlign w:val="bottom"/>
            <w:gridSpan w:val="3"/>
          </w:tcPr>
          <w:p>
            <w:pPr>
              <w:spacing w:after="0"/>
              <w:rPr>
                <w:sz w:val="20"/>
                <w:szCs w:val="20"/>
                <w:color w:val="auto"/>
              </w:rPr>
            </w:pPr>
            <w:r>
              <w:rPr>
                <w:rFonts w:ascii="Arial" w:cs="Arial" w:eastAsia="Arial" w:hAnsi="Arial"/>
                <w:sz w:val="18"/>
                <w:szCs w:val="18"/>
                <w:color w:val="auto"/>
              </w:rPr>
              <w:t>The carrying values of goodwill for each of our reporting units as of December 31, 2019 are as follows (in thousands):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0"/>
        </w:trPr>
        <w:tc>
          <w:tcPr>
            <w:tcW w:w="7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Carrying Value</w:t>
            </w:r>
          </w:p>
        </w:tc>
      </w:tr>
      <w:tr>
        <w:trPr>
          <w:trHeight w:val="23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Reporting Unit</w:t>
            </w: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7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428,729</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103,889</w:t>
            </w:r>
          </w:p>
        </w:tc>
      </w:tr>
      <w:tr>
        <w:trPr>
          <w:trHeight w:val="27"/>
        </w:trPr>
        <w:tc>
          <w:tcPr>
            <w:tcW w:w="7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Strategy and Innovation</w:t>
            </w: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87,410</w:t>
            </w:r>
          </w:p>
        </w:tc>
      </w:tr>
      <w:tr>
        <w:trPr>
          <w:trHeight w:val="27"/>
        </w:trPr>
        <w:tc>
          <w:tcPr>
            <w:tcW w:w="7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Enterprise Solutions and Analytics</w:t>
            </w: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646,680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$31.6 million at December 31, 2019 and primarily consist of customer relationships, trade names, technology and software, non-competition agreements, and customer contracts, all of which were acquired through business combinations. We evaluate our intangible assets for impairment whenever events or changes in circumstances indicate that the carrying amount of the assets may not be recoverable. No material impairment charges for intangible assets were recorded in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w:t>
      </w:r>
    </w:p>
    <w:p>
      <w:pPr>
        <w:spacing w:after="0" w:line="1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w:t>
      </w:r>
    </w:p>
    <w:p>
      <w:pPr>
        <w:spacing w:after="0" w:line="10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 for information on new accounting pronouncements.</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Concurrent with the issuance of our Convertible Notes, we entered into separate convertible note hedge and warrant transactions. The convertible note hedge transactions were intended to reduce the potential future economic dilution associated with the conversion of the Convertible Notes and, combined with the warrants, effectively raised the price at which economic dilution would occur from the initial conversion price of approximately $79.89 to approximately $97.12 per share. Under the convertible note hedge transactions, we had the option to purchase a total of approximately 3.1 million shares of our common stock, which was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expired in the third quarter of 2019. Under the warrant transactions, the holders of the warrants have the option to purchase a total of approximately 3.1 million shares of our common stock at a price of approximately $97.12. If the average market value per share of our common stock for the reporting period exceeds the strike price of the warrants, the warrants will have a dilutive effect on our earnings per share. The warrants will expire incrementally on 100 different dates from January 6, 2020 to May 28, 2020 and are exercisable at each such expiry date. See Note 7 “Financing Arrangements” within the notes to the consolidated financial statements for additional information on our Convertible Notes, which matured on October 1, 2019.</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December 31, 2019, we had borrowings outstanding under the credit facility totaling $205.0 million that carried a weighted average interest rate of 3.0% including the impact of the interest rate swap described below. A hypothetical 100 basis point change in the interest rate would have a $1.6 million effect on our pretax income, on an annualized basis, including the effect of the interest rate swap. At December 31, 2018, our borrowings outstanding under the credit facility totaled $50.0 million which carried a weighted average interest rate of 3.7%, including the effect of the interest rate swap described below. As of December 31, 2018, these variable rate borrowings were fully hedged against changes in interest rates by the interest rate swap, which had a notional amount of $50.0 million as of December 31, 2018. A hypothetical 100 basis point change in the interest rate as of December 31, 2018, would have had no impact on our consolidated financial statements.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December 31, 2019, the outstanding principal amount of the promissory note was $3.9 million and carried an interest rate of 3.7%. A hypothetical 100 basis point change in this interest rate would not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have a material effect on our pretax income. At December 31, 2018 the outstanding principal amount of the promissory note was $4.4 million and carried an interest rate of 4.3%. A hypothetical 100 basis point change in the interest rate as of December 31, 2018 would not have had a material effect on our pretax income.</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non-interest bearing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December 31, 2019, the fair value of the investment was $49.5 million, with a total cost basis of $27.9 million. At December 31, 2018, the fair value of the investment was $50.4 million, with a total cost basis of $27.9 million.</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 preferred stock investment in Medically Home Group, Inc.,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December 31, 2019, the carrying value of the investment was $5.0 million. Following our purchase, there has been no impairment, nor any observable price changes to our investment. See Note 13 “Fair Value of Financial Instruments” for further information on our long-term investments.</w:t>
      </w:r>
    </w:p>
    <w:p>
      <w:pPr>
        <w:spacing w:after="0" w:line="12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2019. Based on this evaluation, our Chief Executive Officer and Chief Financial Officer have concluded that, as of December 31, 2019,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right="5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16"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2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2019 using the criteria set forth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w:t>
      </w:r>
      <w:r>
        <w:rPr>
          <w:rFonts w:ascii="Arial" w:cs="Arial" w:eastAsia="Arial" w:hAnsi="Arial"/>
          <w:sz w:val="17"/>
          <w:szCs w:val="17"/>
          <w:i w:val="1"/>
          <w:iCs w:val="1"/>
          <w:color w:val="auto"/>
        </w:rPr>
        <w:t>.</w:t>
      </w:r>
      <w:r>
        <w:rPr>
          <w:rFonts w:ascii="Arial" w:cs="Arial" w:eastAsia="Arial" w:hAnsi="Arial"/>
          <w:sz w:val="17"/>
          <w:szCs w:val="17"/>
          <w:color w:val="auto"/>
        </w:rPr>
        <w:t xml:space="preserve"> As a result of that evaluation, management concluded that our internal control over financial reporting was effective as of December 31, 2019.</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2019 has been audited by PricewaterhouseCoopers LLP, an independent registered public accounting firm, as stated in their report appearing on page F-2 of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December 31, 2019 that has materially affected, or is reasonably likely to materially affect, our internal control over financial reporting.</w:t>
      </w:r>
    </w:p>
    <w:p>
      <w:pPr>
        <w:spacing w:after="0" w:line="12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tab/>
        <w:t>OTHER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April 29, 2020 (the “Proxy Statement”) under “Nominees to Board of Directors,” “Directors Not Standing For Election” and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“Section 16(a) Beneficial Ownership Reporting Compliance.”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We have adopted a Code of Business Conduct and Ethics (the “Code”) that is applicable to all of our employees, officers and directors. The Code is available on the Corporate Governance page of our website at </w:t>
      </w:r>
      <w:r>
        <w:rPr>
          <w:rFonts w:ascii="Arial" w:cs="Arial" w:eastAsia="Arial" w:hAnsi="Arial"/>
          <w:sz w:val="17"/>
          <w:szCs w:val="17"/>
          <w:u w:val="single" w:color="auto"/>
          <w:color w:val="auto"/>
        </w:rPr>
        <w:t>ir.huronconsultinggroup.com</w:t>
      </w:r>
      <w:r>
        <w:rPr>
          <w:rFonts w:ascii="Arial" w:cs="Arial" w:eastAsia="Arial" w:hAnsi="Arial"/>
          <w:sz w:val="17"/>
          <w:szCs w:val="17"/>
          <w:color w:val="auto"/>
        </w:rPr>
        <w:t>. If we make any amendments to or grant any waivers from the Code which are required to be disclosed pursuant to the Securities Exchange Act of 1934, we will make such disclosures on our website.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“Board Meetings and Committees.”</w:t>
      </w:r>
    </w:p>
    <w:p>
      <w:pPr>
        <w:spacing w:after="0" w:line="17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“Compensation Committee Report.”</w:t>
      </w:r>
    </w:p>
    <w:p>
      <w:pPr>
        <w:spacing w:after="0" w:line="341" w:lineRule="exact"/>
        <w:rPr>
          <w:sz w:val="20"/>
          <w:szCs w:val="20"/>
          <w:color w:val="auto"/>
        </w:rPr>
      </w:pPr>
    </w:p>
    <w:p>
      <w:pPr>
        <w:ind w:left="1080" w:right="40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information with respect to equity compensation plans approved by shareholders as of December 31, 2019. We do not have equity compensation plans that have not been approved by shareholders.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to be Issued Upon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Weighted Average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for Future Issuance</w:t>
            </w: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 of</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(excluding shares in</w:t>
            </w:r>
          </w:p>
        </w:tc>
      </w:tr>
      <w:tr>
        <w:trPr>
          <w:trHeight w:val="194"/>
        </w:trPr>
        <w:tc>
          <w:tcPr>
            <w:tcW w:w="48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Plan Category</w:t>
            </w:r>
          </w:p>
        </w:tc>
        <w:tc>
          <w:tcPr>
            <w:tcW w:w="20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19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1</w:t>
            </w:r>
            <w:r>
              <w:rPr>
                <w:rFonts w:ascii="Arial" w:cs="Arial" w:eastAsia="Arial" w:hAnsi="Arial"/>
                <w:sz w:val="21"/>
                <w:szCs w:val="21"/>
                <w:b w:val="1"/>
                <w:bCs w:val="1"/>
                <w:color w:val="auto"/>
                <w:w w:val="86"/>
                <w:vertAlign w:val="superscript"/>
              </w:rPr>
              <w:t>st</w:t>
            </w:r>
            <w:r>
              <w:rPr>
                <w:rFonts w:ascii="Arial" w:cs="Arial" w:eastAsia="Arial" w:hAnsi="Arial"/>
                <w:sz w:val="18"/>
                <w:szCs w:val="18"/>
                <w:b w:val="1"/>
                <w:bCs w:val="1"/>
                <w:color w:val="auto"/>
                <w:w w:val="86"/>
              </w:rPr>
              <w:t xml:space="preserve"> column)</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r>
        <w:trPr>
          <w:trHeight w:val="244"/>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shareholders: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 xml:space="preserve">2004 Omnibus Stock Plan </w:t>
            </w:r>
            <w:r>
              <w:rPr>
                <w:rFonts w:ascii="Arial" w:cs="Arial" w:eastAsia="Arial" w:hAnsi="Arial"/>
                <w:sz w:val="21"/>
                <w:szCs w:val="21"/>
                <w:color w:val="auto"/>
                <w:vertAlign w:val="superscript"/>
              </w:rPr>
              <w:t>(1)</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74,608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29.74</w:t>
            </w:r>
          </w:p>
        </w:tc>
        <w:tc>
          <w:tcPr>
            <w:tcW w:w="1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2012 Omnibus Incentive Plan </w:t>
            </w:r>
            <w:r>
              <w:rPr>
                <w:rFonts w:ascii="Arial" w:cs="Arial" w:eastAsia="Arial" w:hAnsi="Arial"/>
                <w:sz w:val="21"/>
                <w:szCs w:val="21"/>
                <w:color w:val="auto"/>
                <w:vertAlign w:val="superscript"/>
              </w:rPr>
              <w:t>(2)</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31,785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1,073,349</w:t>
            </w:r>
          </w:p>
        </w:tc>
      </w:tr>
      <w:tr>
        <w:trPr>
          <w:trHeight w:val="270"/>
        </w:trPr>
        <w:tc>
          <w:tcPr>
            <w:tcW w:w="40" w:type="dxa"/>
            <w:vAlign w:val="bottom"/>
          </w:tcPr>
          <w:p>
            <w:pPr>
              <w:spacing w:after="0"/>
              <w:rPr>
                <w:sz w:val="23"/>
                <w:szCs w:val="23"/>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 xml:space="preserve">Stock Ownership Participation Program </w:t>
            </w:r>
            <w:r>
              <w:rPr>
                <w:rFonts w:ascii="Arial" w:cs="Arial" w:eastAsia="Arial" w:hAnsi="Arial"/>
                <w:sz w:val="21"/>
                <w:szCs w:val="21"/>
                <w:color w:val="auto"/>
                <w:vertAlign w:val="superscript"/>
              </w:rPr>
              <w:t>(3)</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33,497</w:t>
            </w:r>
          </w:p>
        </w:tc>
      </w:tr>
      <w:tr>
        <w:trPr>
          <w:trHeight w:val="27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N/A</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r>
      <w:tr>
        <w:trPr>
          <w:trHeight w:val="257"/>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106,393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22"/>
                <w:szCs w:val="22"/>
                <w:color w:val="auto"/>
              </w:rPr>
            </w:pPr>
          </w:p>
        </w:tc>
        <w:tc>
          <w:tcPr>
            <w:tcW w:w="1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1,106,846</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460" w:hanging="412"/>
        <w:spacing w:after="0" w:line="342"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2004 Omnibus Stock Plan was approved by the existing shareholders prior to our initial public offering. Upon adoption of the 2012 Omnibus Incentive Plan, we terminated the 2004 Omnibus Stock Plan with respect to future awards and no further awards will be granted under this plan.</w:t>
      </w:r>
    </w:p>
    <w:p>
      <w:pPr>
        <w:spacing w:after="0" w:line="69" w:lineRule="exact"/>
        <w:rPr>
          <w:rFonts w:ascii="Arial" w:cs="Arial" w:eastAsia="Arial" w:hAnsi="Arial"/>
          <w:sz w:val="16"/>
          <w:szCs w:val="16"/>
          <w:color w:val="auto"/>
        </w:rPr>
      </w:pPr>
    </w:p>
    <w:p>
      <w:pPr>
        <w:ind w:left="420" w:hanging="412"/>
        <w:spacing w:after="0" w:line="26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2012 Omnibus Incentive Plan was approved by our shareholders at our annual meeting held on May 1, 2012. Subsequent to the initial approval and through December 31, 2019, our shareholders have approved amendments to the 2012 Omnibus Incentive Plan to increase the number of shares reserved for issuance by 2,254,000, in the aggregate.</w:t>
      </w:r>
    </w:p>
    <w:p>
      <w:pPr>
        <w:spacing w:after="0" w:line="127"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 Ownership Participation Program was approved by our shareholders at our annual meeting held on May 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75" w:lineRule="exact"/>
        <w:rPr>
          <w:sz w:val="20"/>
          <w:szCs w:val="20"/>
          <w:color w:val="auto"/>
        </w:rPr>
      </w:pPr>
    </w:p>
    <w:p>
      <w:pPr>
        <w:ind w:left="820" w:right="60" w:hanging="812"/>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Operations and Other Comprehensive Income</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Notes to Consolidated Financial Statements</w:t>
      </w:r>
    </w:p>
    <w:p>
      <w:pPr>
        <w:spacing w:after="0" w:line="157" w:lineRule="exact"/>
        <w:rPr>
          <w:sz w:val="20"/>
          <w:szCs w:val="20"/>
          <w:color w:val="auto"/>
        </w:rPr>
      </w:pPr>
    </w:p>
    <w:p>
      <w:pPr>
        <w:ind w:left="820" w:hanging="812"/>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20" w:type="dxa"/>
            <w:vAlign w:val="bottom"/>
            <w:gridSpan w:val="3"/>
          </w:tcPr>
          <w:p>
            <w:pPr>
              <w:ind w:left="108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20"/>
                <w:szCs w:val="20"/>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Furnished</w:t>
            </w:r>
          </w:p>
        </w:tc>
        <w:tc>
          <w:tcPr>
            <w:tcW w:w="12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4300" w:type="dxa"/>
            <w:vAlign w:val="bottom"/>
            <w:gridSpan w:val="26"/>
          </w:tcPr>
          <w:p>
            <w:pPr>
              <w:spacing w:after="0"/>
              <w:rPr>
                <w:sz w:val="20"/>
                <w:szCs w:val="20"/>
                <w:color w:val="auto"/>
              </w:rPr>
            </w:pPr>
            <w:r>
              <w:rPr>
                <w:rFonts w:ascii="Arial" w:cs="Arial" w:eastAsia="Arial" w:hAnsi="Arial"/>
                <w:sz w:val="18"/>
                <w:szCs w:val="18"/>
                <w:b w:val="1"/>
                <w:bCs w:val="1"/>
                <w:color w:val="auto"/>
              </w:rPr>
              <w:t>Exhibit Description</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Ending</w:t>
            </w: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w w:val="99"/>
              </w:rPr>
              <w:t>Filing Date</w:t>
            </w:r>
          </w:p>
        </w:tc>
      </w:tr>
      <w:tr>
        <w:trPr>
          <w:trHeight w:val="27"/>
        </w:trPr>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08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414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Third Amended and Restated Certificate of Incorporation</w:t>
              </w:r>
            </w:hyperlink>
          </w:p>
        </w:tc>
        <w:tc>
          <w:tcPr>
            <w:tcW w:w="16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0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12/31/2004</w:t>
            </w:r>
          </w:p>
        </w:tc>
        <w:tc>
          <w:tcPr>
            <w:tcW w:w="96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5"/>
              </w:rPr>
              <w:t>3.1</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2"/>
              </w:rPr>
              <w:t>2/16/2005</w:t>
            </w:r>
          </w:p>
        </w:tc>
      </w:tr>
      <w:tr>
        <w:trPr>
          <w:trHeight w:val="196"/>
        </w:trPr>
        <w:tc>
          <w:tcPr>
            <w:tcW w:w="1080" w:type="dxa"/>
            <w:vAlign w:val="bottom"/>
          </w:tcPr>
          <w:p>
            <w:pPr>
              <w:spacing w:after="0"/>
              <w:rPr>
                <w:sz w:val="17"/>
                <w:szCs w:val="17"/>
                <w:color w:val="auto"/>
              </w:rPr>
            </w:pPr>
          </w:p>
        </w:tc>
        <w:tc>
          <w:tcPr>
            <w:tcW w:w="4300" w:type="dxa"/>
            <w:vAlign w:val="bottom"/>
            <w:gridSpan w:val="26"/>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of Huron Consulting Group Inc.</w:t>
              </w:r>
            </w:hyperlink>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3.2</w:t>
            </w:r>
          </w:p>
        </w:tc>
        <w:tc>
          <w:tcPr>
            <w:tcW w:w="3800" w:type="dxa"/>
            <w:vAlign w:val="bottom"/>
            <w:tcBorders>
              <w:bottom w:val="single" w:sz="8" w:color="0000FF"/>
            </w:tcBorders>
            <w:gridSpan w:val="17"/>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Amended and Restated Bylaws of Huron Consulting</w:t>
              </w:r>
            </w:hyperlink>
          </w:p>
        </w:tc>
        <w:tc>
          <w:tcPr>
            <w:tcW w:w="500" w:type="dxa"/>
            <w:vAlign w:val="bottom"/>
            <w:gridSpan w:val="9"/>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5"/>
              </w:rPr>
              <w:t>3.1</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10/28/2015</w:t>
            </w:r>
          </w:p>
        </w:tc>
      </w:tr>
      <w:tr>
        <w:trPr>
          <w:trHeight w:val="196"/>
        </w:trPr>
        <w:tc>
          <w:tcPr>
            <w:tcW w:w="1080" w:type="dxa"/>
            <w:vAlign w:val="bottom"/>
          </w:tcPr>
          <w:p>
            <w:pPr>
              <w:spacing w:after="0"/>
              <w:rPr>
                <w:sz w:val="17"/>
                <w:szCs w:val="17"/>
                <w:color w:val="auto"/>
              </w:rPr>
            </w:pPr>
          </w:p>
        </w:tc>
        <w:tc>
          <w:tcPr>
            <w:tcW w:w="78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Group Inc.</w:t>
              </w:r>
            </w:hyperlink>
          </w:p>
        </w:tc>
        <w:tc>
          <w:tcPr>
            <w:tcW w:w="3520" w:type="dxa"/>
            <w:vAlign w:val="bottom"/>
            <w:gridSpan w:val="24"/>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4.1</w:t>
            </w:r>
          </w:p>
        </w:tc>
        <w:tc>
          <w:tcPr>
            <w:tcW w:w="4300" w:type="dxa"/>
            <w:vAlign w:val="bottom"/>
            <w:gridSpan w:val="26"/>
          </w:tcPr>
          <w:p>
            <w:pPr>
              <w:spacing w:after="0"/>
              <w:rPr>
                <w:rFonts w:ascii="Arial" w:cs="Arial" w:eastAsia="Arial" w:hAnsi="Arial"/>
                <w:sz w:val="18"/>
                <w:szCs w:val="18"/>
                <w:color w:val="0000FF"/>
              </w:rPr>
            </w:pPr>
            <w:hyperlink r:id="rId13">
              <w:r>
                <w:rPr>
                  <w:rFonts w:ascii="Arial" w:cs="Arial" w:eastAsia="Arial" w:hAnsi="Arial"/>
                  <w:sz w:val="18"/>
                  <w:szCs w:val="18"/>
                  <w:color w:val="0000FF"/>
                </w:rPr>
                <w:t>Specimen Stock Certificate.</w:t>
              </w:r>
            </w:hyperlink>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5"/>
              </w:rPr>
              <w:t>4.1</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10/5/2004</w:t>
            </w:r>
          </w:p>
        </w:tc>
      </w:tr>
      <w:tr>
        <w:trPr>
          <w:trHeight w:val="222"/>
        </w:trPr>
        <w:tc>
          <w:tcPr>
            <w:tcW w:w="108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(File No. 333-</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115434)</w:t>
            </w: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1080" w:type="dxa"/>
            <w:vAlign w:val="bottom"/>
          </w:tcPr>
          <w:p>
            <w:pPr>
              <w:ind w:left="40"/>
              <w:spacing w:after="0"/>
              <w:rPr>
                <w:sz w:val="20"/>
                <w:szCs w:val="20"/>
                <w:color w:val="auto"/>
              </w:rPr>
            </w:pPr>
            <w:r>
              <w:rPr>
                <w:rFonts w:ascii="Arial" w:cs="Arial" w:eastAsia="Arial" w:hAnsi="Arial"/>
                <w:sz w:val="18"/>
                <w:szCs w:val="18"/>
                <w:color w:val="auto"/>
              </w:rPr>
              <w:t>4.2</w:t>
            </w:r>
          </w:p>
        </w:tc>
        <w:tc>
          <w:tcPr>
            <w:tcW w:w="4300" w:type="dxa"/>
            <w:vAlign w:val="bottom"/>
            <w:gridSpan w:val="26"/>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Description of Securities.</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4.3</w:t>
            </w:r>
          </w:p>
        </w:tc>
        <w:tc>
          <w:tcPr>
            <w:tcW w:w="4300" w:type="dxa"/>
            <w:vAlign w:val="bottom"/>
            <w:gridSpan w:val="26"/>
          </w:tcPr>
          <w:p>
            <w:pPr>
              <w:spacing w:after="0"/>
              <w:rPr>
                <w:rFonts w:ascii="Arial" w:cs="Arial" w:eastAsia="Arial" w:hAnsi="Arial"/>
                <w:sz w:val="18"/>
                <w:szCs w:val="18"/>
                <w:color w:val="0000FF"/>
              </w:rPr>
            </w:pPr>
            <w:hyperlink r:id="rId14">
              <w:r>
                <w:rPr>
                  <w:rFonts w:ascii="Arial" w:cs="Arial" w:eastAsia="Arial" w:hAnsi="Arial"/>
                  <w:sz w:val="18"/>
                  <w:szCs w:val="18"/>
                  <w:color w:val="0000FF"/>
                </w:rPr>
                <w:t>Indenture (including Form of Note) with respect to the</w:t>
              </w:r>
            </w:hyperlink>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5"/>
              </w:rPr>
              <w:t>4.1</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9/16/2014</w:t>
            </w: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96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Company’s 1.25% Convertible Senior Notes due 2019,</w:t>
              </w:r>
            </w:hyperlink>
          </w:p>
        </w:tc>
        <w:tc>
          <w:tcPr>
            <w:tcW w:w="34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FF"/>
            </w:tcBorders>
            <w:gridSpan w:val="12"/>
          </w:tcPr>
          <w:p>
            <w:pPr>
              <w:spacing w:after="0" w:line="196" w:lineRule="exact"/>
              <w:rPr>
                <w:rFonts w:ascii="Arial" w:cs="Arial" w:eastAsia="Arial" w:hAnsi="Arial"/>
                <w:sz w:val="18"/>
                <w:szCs w:val="18"/>
                <w:color w:val="0000FF"/>
                <w:w w:val="88"/>
              </w:rPr>
            </w:pPr>
            <w:hyperlink r:id="rId14">
              <w:r>
                <w:rPr>
                  <w:rFonts w:ascii="Arial" w:cs="Arial" w:eastAsia="Arial" w:hAnsi="Arial"/>
                  <w:sz w:val="18"/>
                  <w:szCs w:val="18"/>
                  <w:color w:val="0000FF"/>
                  <w:w w:val="88"/>
                </w:rPr>
                <w:t>dated as of September 10, 2014, between Huron</w:t>
              </w:r>
            </w:hyperlink>
          </w:p>
        </w:tc>
        <w:tc>
          <w:tcPr>
            <w:tcW w:w="84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00" w:type="dxa"/>
            <w:vAlign w:val="bottom"/>
            <w:gridSpan w:val="26"/>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Consulting Group Inc. and U.S. Bank National</w:t>
              </w:r>
            </w:hyperlink>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6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14">
              <w:r>
                <w:rPr>
                  <w:rFonts w:ascii="Arial" w:cs="Arial" w:eastAsia="Arial" w:hAnsi="Arial"/>
                  <w:sz w:val="18"/>
                  <w:szCs w:val="18"/>
                  <w:color w:val="0000FF"/>
                  <w:w w:val="88"/>
                </w:rPr>
                <w:t>Association, as trustee.</w:t>
              </w:r>
            </w:hyperlink>
          </w:p>
        </w:tc>
        <w:tc>
          <w:tcPr>
            <w:tcW w:w="1700" w:type="dxa"/>
            <w:vAlign w:val="bottom"/>
            <w:tcBorders>
              <w:top w:val="single" w:sz="8" w:color="0000FF"/>
            </w:tcBorders>
            <w:gridSpan w:val="7"/>
          </w:tcPr>
          <w:p>
            <w:pPr>
              <w:spacing w:after="0"/>
              <w:rPr>
                <w:sz w:val="17"/>
                <w:szCs w:val="17"/>
                <w:color w:val="auto"/>
              </w:rPr>
            </w:pPr>
          </w:p>
        </w:tc>
        <w:tc>
          <w:tcPr>
            <w:tcW w:w="94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w:t>
            </w:r>
          </w:p>
        </w:tc>
        <w:tc>
          <w:tcPr>
            <w:tcW w:w="3780" w:type="dxa"/>
            <w:vAlign w:val="bottom"/>
            <w:tcBorders>
              <w:bottom w:val="single" w:sz="8" w:color="0000FF"/>
            </w:tcBorders>
            <w:gridSpan w:val="16"/>
          </w:tcPr>
          <w:p>
            <w:pPr>
              <w:spacing w:after="0"/>
              <w:rPr>
                <w:rFonts w:ascii="Arial" w:cs="Arial" w:eastAsia="Arial" w:hAnsi="Arial"/>
                <w:sz w:val="18"/>
                <w:szCs w:val="18"/>
                <w:color w:val="0000FF"/>
                <w:w w:val="89"/>
              </w:rPr>
            </w:pPr>
            <w:hyperlink r:id="rId15">
              <w:r>
                <w:rPr>
                  <w:rFonts w:ascii="Arial" w:cs="Arial" w:eastAsia="Arial" w:hAnsi="Arial"/>
                  <w:sz w:val="18"/>
                  <w:szCs w:val="18"/>
                  <w:color w:val="0000FF"/>
                  <w:w w:val="89"/>
                </w:rPr>
                <w:t>Office Lease, dated December 2003, between Union</w:t>
              </w:r>
            </w:hyperlink>
          </w:p>
        </w:tc>
        <w:tc>
          <w:tcPr>
            <w:tcW w:w="520" w:type="dxa"/>
            <w:vAlign w:val="bottom"/>
            <w:gridSpan w:val="10"/>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10/5/2004</w:t>
            </w:r>
          </w:p>
        </w:tc>
      </w:tr>
      <w:tr>
        <w:trPr>
          <w:trHeight w:val="196"/>
        </w:trPr>
        <w:tc>
          <w:tcPr>
            <w:tcW w:w="1080" w:type="dxa"/>
            <w:vAlign w:val="bottom"/>
          </w:tcPr>
          <w:p>
            <w:pPr>
              <w:spacing w:after="0"/>
              <w:rPr>
                <w:sz w:val="17"/>
                <w:szCs w:val="17"/>
                <w:color w:val="auto"/>
              </w:rPr>
            </w:pPr>
          </w:p>
        </w:tc>
        <w:tc>
          <w:tcPr>
            <w:tcW w:w="35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Tower, LLC and Huron Consulting Services LLC</w:t>
              </w:r>
            </w:hyperlink>
          </w:p>
        </w:tc>
        <w:tc>
          <w:tcPr>
            <w:tcW w:w="74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3"/>
              </w:rPr>
              <w:t>(File No. 333-</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00" w:type="dxa"/>
            <w:vAlign w:val="bottom"/>
            <w:gridSpan w:val="26"/>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(formerly known as Huron Consulting Group LLC).</w:t>
              </w:r>
            </w:hyperlink>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115434)</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w:t>
            </w:r>
          </w:p>
        </w:tc>
        <w:tc>
          <w:tcPr>
            <w:tcW w:w="4260" w:type="dxa"/>
            <w:vAlign w:val="bottom"/>
            <w:tcBorders>
              <w:bottom w:val="single" w:sz="8" w:color="0000FF"/>
            </w:tcBorders>
            <w:gridSpan w:val="25"/>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Amended and Restated Huron Consulting Group Inc. 2004</w:t>
              </w:r>
            </w:hyperlink>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5/5/2010</w:t>
            </w:r>
          </w:p>
        </w:tc>
      </w:tr>
      <w:tr>
        <w:trPr>
          <w:trHeight w:val="196"/>
        </w:trPr>
        <w:tc>
          <w:tcPr>
            <w:tcW w:w="1080" w:type="dxa"/>
            <w:vAlign w:val="bottom"/>
          </w:tcPr>
          <w:p>
            <w:pPr>
              <w:spacing w:after="0"/>
              <w:rPr>
                <w:sz w:val="17"/>
                <w:szCs w:val="17"/>
                <w:color w:val="auto"/>
              </w:rPr>
            </w:pPr>
          </w:p>
        </w:tc>
        <w:tc>
          <w:tcPr>
            <w:tcW w:w="152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Omnibus Stock Plan.</w:t>
              </w:r>
            </w:hyperlink>
          </w:p>
        </w:tc>
        <w:tc>
          <w:tcPr>
            <w:tcW w:w="2780" w:type="dxa"/>
            <w:vAlign w:val="bottom"/>
            <w:gridSpan w:val="23"/>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10.3*</w:t>
            </w:r>
          </w:p>
        </w:tc>
        <w:tc>
          <w:tcPr>
            <w:tcW w:w="4260" w:type="dxa"/>
            <w:vAlign w:val="bottom"/>
            <w:tcBorders>
              <w:bottom w:val="single" w:sz="8" w:color="0000FF"/>
            </w:tcBorders>
            <w:gridSpan w:val="25"/>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Huron Consulting Group Inc. Deferred Compensation Plan</w:t>
              </w:r>
            </w:hyperlink>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12/31/2008</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10.12</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2/24/2009</w:t>
            </w:r>
          </w:p>
        </w:tc>
      </w:tr>
      <w:tr>
        <w:trPr>
          <w:trHeight w:val="196"/>
        </w:trPr>
        <w:tc>
          <w:tcPr>
            <w:tcW w:w="1080" w:type="dxa"/>
            <w:vAlign w:val="bottom"/>
          </w:tcPr>
          <w:p>
            <w:pPr>
              <w:spacing w:after="0"/>
              <w:rPr>
                <w:sz w:val="17"/>
                <w:szCs w:val="17"/>
                <w:color w:val="auto"/>
              </w:rPr>
            </w:pPr>
          </w:p>
        </w:tc>
        <w:tc>
          <w:tcPr>
            <w:tcW w:w="4300" w:type="dxa"/>
            <w:vAlign w:val="bottom"/>
            <w:gridSpan w:val="26"/>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as Amended and Restated effective January 1, 2009.</w:t>
              </w:r>
            </w:hyperlink>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10.4*</w:t>
            </w:r>
          </w:p>
        </w:tc>
        <w:tc>
          <w:tcPr>
            <w:tcW w:w="3980" w:type="dxa"/>
            <w:vAlign w:val="bottom"/>
            <w:tcBorders>
              <w:bottom w:val="single" w:sz="8" w:color="0000FF"/>
            </w:tcBorders>
            <w:gridSpan w:val="20"/>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Senior Management Agreement by and between Huron</w:t>
              </w:r>
            </w:hyperlink>
          </w:p>
        </w:tc>
        <w:tc>
          <w:tcPr>
            <w:tcW w:w="320" w:type="dxa"/>
            <w:vAlign w:val="bottom"/>
            <w:gridSpan w:val="6"/>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196"/>
        </w:trPr>
        <w:tc>
          <w:tcPr>
            <w:tcW w:w="1080" w:type="dxa"/>
            <w:vAlign w:val="bottom"/>
          </w:tcPr>
          <w:p>
            <w:pPr>
              <w:spacing w:after="0"/>
              <w:rPr>
                <w:sz w:val="17"/>
                <w:szCs w:val="17"/>
                <w:color w:val="auto"/>
              </w:rPr>
            </w:pPr>
          </w:p>
        </w:tc>
        <w:tc>
          <w:tcPr>
            <w:tcW w:w="30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Consulting Group Inc. and John D. Kelly.</w:t>
              </w:r>
            </w:hyperlink>
          </w:p>
        </w:tc>
        <w:tc>
          <w:tcPr>
            <w:tcW w:w="130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10.5*</w:t>
            </w:r>
          </w:p>
        </w:tc>
        <w:tc>
          <w:tcPr>
            <w:tcW w:w="4240" w:type="dxa"/>
            <w:vAlign w:val="bottom"/>
            <w:tcBorders>
              <w:bottom w:val="single" w:sz="8" w:color="0000FF"/>
            </w:tcBorders>
            <w:gridSpan w:val="24"/>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Amended and Restated Senior Management Agreement by</w:t>
              </w:r>
            </w:hyperlink>
          </w:p>
        </w:tc>
        <w:tc>
          <w:tcPr>
            <w:tcW w:w="6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10.2</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196"/>
        </w:trPr>
        <w:tc>
          <w:tcPr>
            <w:tcW w:w="1080" w:type="dxa"/>
            <w:vAlign w:val="bottom"/>
          </w:tcPr>
          <w:p>
            <w:pPr>
              <w:spacing w:after="0"/>
              <w:rPr>
                <w:sz w:val="17"/>
                <w:szCs w:val="17"/>
                <w:color w:val="auto"/>
              </w:rPr>
            </w:pPr>
          </w:p>
        </w:tc>
        <w:tc>
          <w:tcPr>
            <w:tcW w:w="40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and between Huron Consulting Group Inc. and James H.</w:t>
              </w:r>
            </w:hyperlink>
          </w:p>
        </w:tc>
        <w:tc>
          <w:tcPr>
            <w:tcW w:w="22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9">
              <w:r>
                <w:rPr>
                  <w:rFonts w:ascii="Arial" w:cs="Arial" w:eastAsia="Arial" w:hAnsi="Arial"/>
                  <w:sz w:val="18"/>
                  <w:szCs w:val="18"/>
                  <w:color w:val="0000FF"/>
                  <w:w w:val="88"/>
                </w:rPr>
                <w:t>Roth.</w:t>
              </w:r>
            </w:hyperlink>
          </w:p>
        </w:tc>
        <w:tc>
          <w:tcPr>
            <w:tcW w:w="3900" w:type="dxa"/>
            <w:vAlign w:val="bottom"/>
            <w:gridSpan w:val="25"/>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10.6*</w:t>
            </w:r>
          </w:p>
        </w:tc>
        <w:tc>
          <w:tcPr>
            <w:tcW w:w="3980" w:type="dxa"/>
            <w:vAlign w:val="bottom"/>
            <w:tcBorders>
              <w:bottom w:val="single" w:sz="8" w:color="0000FF"/>
            </w:tcBorders>
            <w:gridSpan w:val="20"/>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Senior Management Agreement by and between Huron</w:t>
              </w:r>
            </w:hyperlink>
          </w:p>
        </w:tc>
        <w:tc>
          <w:tcPr>
            <w:tcW w:w="320" w:type="dxa"/>
            <w:vAlign w:val="bottom"/>
            <w:gridSpan w:val="6"/>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10.3</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196"/>
        </w:trPr>
        <w:tc>
          <w:tcPr>
            <w:tcW w:w="1080" w:type="dxa"/>
            <w:vAlign w:val="bottom"/>
          </w:tcPr>
          <w:p>
            <w:pPr>
              <w:spacing w:after="0"/>
              <w:rPr>
                <w:sz w:val="17"/>
                <w:szCs w:val="17"/>
                <w:color w:val="auto"/>
              </w:rPr>
            </w:pPr>
          </w:p>
        </w:tc>
        <w:tc>
          <w:tcPr>
            <w:tcW w:w="4300" w:type="dxa"/>
            <w:vAlign w:val="bottom"/>
            <w:gridSpan w:val="26"/>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Consulting Group Inc. and C. Mark Hussey.</w:t>
              </w:r>
            </w:hyperlink>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16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10.7*</w:t>
            </w:r>
          </w:p>
        </w:tc>
        <w:tc>
          <w:tcPr>
            <w:tcW w:w="3980" w:type="dxa"/>
            <w:vAlign w:val="bottom"/>
            <w:tcBorders>
              <w:bottom w:val="single" w:sz="8" w:color="0000FF"/>
            </w:tcBorders>
            <w:gridSpan w:val="20"/>
          </w:tcPr>
          <w:p>
            <w:pPr>
              <w:spacing w:after="0"/>
              <w:rPr>
                <w:rFonts w:ascii="Arial" w:cs="Arial" w:eastAsia="Arial" w:hAnsi="Arial"/>
                <w:sz w:val="18"/>
                <w:szCs w:val="18"/>
                <w:color w:val="0000FF"/>
                <w:w w:val="89"/>
              </w:rPr>
            </w:pPr>
            <w:hyperlink r:id="rId21">
              <w:r>
                <w:rPr>
                  <w:rFonts w:ascii="Arial" w:cs="Arial" w:eastAsia="Arial" w:hAnsi="Arial"/>
                  <w:sz w:val="18"/>
                  <w:szCs w:val="18"/>
                  <w:color w:val="0000FF"/>
                  <w:w w:val="89"/>
                </w:rPr>
                <w:t>Senior Management Agreement by and between Huron</w:t>
              </w:r>
            </w:hyperlink>
          </w:p>
        </w:tc>
        <w:tc>
          <w:tcPr>
            <w:tcW w:w="320" w:type="dxa"/>
            <w:vAlign w:val="bottom"/>
            <w:gridSpan w:val="6"/>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10.4</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196"/>
        </w:trPr>
        <w:tc>
          <w:tcPr>
            <w:tcW w:w="1080" w:type="dxa"/>
            <w:vAlign w:val="bottom"/>
          </w:tcPr>
          <w:p>
            <w:pPr>
              <w:spacing w:after="0"/>
              <w:rPr>
                <w:sz w:val="17"/>
                <w:szCs w:val="17"/>
                <w:color w:val="auto"/>
              </w:rPr>
            </w:pPr>
          </w:p>
        </w:tc>
        <w:tc>
          <w:tcPr>
            <w:tcW w:w="32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Consulting Group Inc. and Diane E. Ratekin.</w:t>
              </w:r>
            </w:hyperlink>
          </w:p>
        </w:tc>
        <w:tc>
          <w:tcPr>
            <w:tcW w:w="106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10.8*</w:t>
            </w:r>
          </w:p>
        </w:tc>
        <w:tc>
          <w:tcPr>
            <w:tcW w:w="4300" w:type="dxa"/>
            <w:vAlign w:val="bottom"/>
            <w:gridSpan w:val="26"/>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Transitional Retirement Agreement by and between Huron</w:t>
              </w:r>
            </w:hyperlink>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9/16/2019</w:t>
            </w:r>
          </w:p>
        </w:tc>
      </w:tr>
      <w:tr>
        <w:trPr>
          <w:trHeight w:val="196"/>
        </w:trPr>
        <w:tc>
          <w:tcPr>
            <w:tcW w:w="1080" w:type="dxa"/>
            <w:vAlign w:val="bottom"/>
          </w:tcPr>
          <w:p>
            <w:pPr>
              <w:spacing w:after="0"/>
              <w:rPr>
                <w:sz w:val="17"/>
                <w:szCs w:val="17"/>
                <w:color w:val="auto"/>
              </w:rPr>
            </w:pPr>
          </w:p>
        </w:tc>
        <w:tc>
          <w:tcPr>
            <w:tcW w:w="32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Consulting Group Inc. and Diane E. Ratekin.</w:t>
              </w:r>
            </w:hyperlink>
          </w:p>
        </w:tc>
        <w:tc>
          <w:tcPr>
            <w:tcW w:w="980" w:type="dxa"/>
            <w:vAlign w:val="bottom"/>
            <w:tcBorders>
              <w:top w:val="single" w:sz="8" w:color="0000FF"/>
            </w:tcBorders>
            <w:gridSpan w:val="13"/>
          </w:tcPr>
          <w:p>
            <w:pPr>
              <w:spacing w:after="0"/>
              <w:rPr>
                <w:sz w:val="17"/>
                <w:szCs w:val="17"/>
                <w:color w:val="auto"/>
              </w:rPr>
            </w:pPr>
          </w:p>
        </w:tc>
        <w:tc>
          <w:tcPr>
            <w:tcW w:w="8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400" w:type="dxa"/>
            <w:vAlign w:val="bottom"/>
            <w:gridSpan w:val="3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31"/>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24"/>
                <w:szCs w:val="24"/>
                <w:color w:val="auto"/>
              </w:rPr>
            </w:pPr>
          </w:p>
        </w:tc>
      </w:tr>
      <w:tr>
        <w:trPr>
          <w:trHeight w:val="27"/>
        </w:trPr>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Furnished</w:t>
            </w:r>
          </w:p>
        </w:tc>
        <w:tc>
          <w:tcPr>
            <w:tcW w:w="94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4320" w:type="dxa"/>
            <w:vAlign w:val="bottom"/>
            <w:gridSpan w:val="30"/>
          </w:tcPr>
          <w:p>
            <w:pPr>
              <w:spacing w:after="0"/>
              <w:rPr>
                <w:sz w:val="20"/>
                <w:szCs w:val="20"/>
                <w:color w:val="auto"/>
              </w:rPr>
            </w:pPr>
            <w:r>
              <w:rPr>
                <w:rFonts w:ascii="Arial" w:cs="Arial" w:eastAsia="Arial" w:hAnsi="Arial"/>
                <w:sz w:val="18"/>
                <w:szCs w:val="18"/>
                <w:b w:val="1"/>
                <w:bCs w:val="1"/>
                <w:color w:val="auto"/>
              </w:rPr>
              <w:t>Exhibit Description</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Ending</w:t>
            </w: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w w:val="99"/>
              </w:rPr>
              <w:t>Filing Date</w:t>
            </w:r>
          </w:p>
        </w:tc>
      </w:tr>
      <w:tr>
        <w:trPr>
          <w:trHeight w:val="27"/>
        </w:trPr>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080" w:type="dxa"/>
            <w:vAlign w:val="bottom"/>
          </w:tcPr>
          <w:p>
            <w:pPr>
              <w:ind w:left="40"/>
              <w:spacing w:after="0" w:line="196" w:lineRule="exact"/>
              <w:rPr>
                <w:sz w:val="20"/>
                <w:szCs w:val="20"/>
                <w:color w:val="auto"/>
              </w:rPr>
            </w:pPr>
            <w:r>
              <w:rPr>
                <w:rFonts w:ascii="Arial" w:cs="Arial" w:eastAsia="Arial" w:hAnsi="Arial"/>
                <w:sz w:val="18"/>
                <w:szCs w:val="18"/>
                <w:color w:val="auto"/>
              </w:rPr>
              <w:t>10.9</w:t>
            </w:r>
          </w:p>
        </w:tc>
        <w:tc>
          <w:tcPr>
            <w:tcW w:w="4320" w:type="dxa"/>
            <w:vAlign w:val="bottom"/>
            <w:gridSpan w:val="30"/>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First Amendment to Lease by and between Huron</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12/31/2012</w:t>
            </w:r>
          </w:p>
        </w:tc>
        <w:tc>
          <w:tcPr>
            <w:tcW w:w="96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8"/>
              </w:rPr>
              <w:t>10.17</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2"/>
              </w:rPr>
              <w:t>2/21/2013</w:t>
            </w: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w w:val="98"/>
              </w:rPr>
            </w:pPr>
            <w:hyperlink r:id="rId23">
              <w:r>
                <w:rPr>
                  <w:rFonts w:ascii="Arial" w:cs="Arial" w:eastAsia="Arial" w:hAnsi="Arial"/>
                  <w:sz w:val="18"/>
                  <w:szCs w:val="18"/>
                  <w:color w:val="0000FF"/>
                  <w:w w:val="98"/>
                </w:rPr>
                <w:t>Consulting Services LLC and Union Tower, LLC, dated</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August 23, 2004.</w:t>
              </w:r>
            </w:hyperlink>
          </w:p>
        </w:tc>
        <w:tc>
          <w:tcPr>
            <w:tcW w:w="2780" w:type="dxa"/>
            <w:vAlign w:val="bottom"/>
            <w:tcBorders>
              <w:top w:val="single" w:sz="8" w:color="0000FF"/>
            </w:tcBorders>
            <w:gridSpan w:val="17"/>
          </w:tcPr>
          <w:p>
            <w:pPr>
              <w:spacing w:after="0"/>
              <w:rPr>
                <w:sz w:val="17"/>
                <w:szCs w:val="17"/>
                <w:color w:val="auto"/>
              </w:rPr>
            </w:pPr>
          </w:p>
        </w:tc>
        <w:tc>
          <w:tcPr>
            <w:tcW w:w="30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10.10</w:t>
            </w:r>
          </w:p>
        </w:tc>
        <w:tc>
          <w:tcPr>
            <w:tcW w:w="4320" w:type="dxa"/>
            <w:vAlign w:val="bottom"/>
            <w:gridSpan w:val="30"/>
          </w:tcPr>
          <w:p>
            <w:pPr>
              <w:spacing w:after="0"/>
              <w:rPr>
                <w:rFonts w:ascii="Arial" w:cs="Arial" w:eastAsia="Arial" w:hAnsi="Arial"/>
                <w:sz w:val="18"/>
                <w:szCs w:val="18"/>
                <w:color w:val="0000FF"/>
              </w:rPr>
            </w:pPr>
            <w:hyperlink r:id="rId24">
              <w:r>
                <w:rPr>
                  <w:rFonts w:ascii="Arial" w:cs="Arial" w:eastAsia="Arial" w:hAnsi="Arial"/>
                  <w:sz w:val="18"/>
                  <w:szCs w:val="18"/>
                  <w:color w:val="0000FF"/>
                </w:rPr>
                <w:t>Second Amendment to Lease by and between Huron</w:t>
              </w:r>
            </w:hyperlink>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10.18</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2/21/2013</w:t>
            </w: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w w:val="98"/>
              </w:rPr>
            </w:pPr>
            <w:hyperlink r:id="rId24">
              <w:r>
                <w:rPr>
                  <w:rFonts w:ascii="Arial" w:cs="Arial" w:eastAsia="Arial" w:hAnsi="Arial"/>
                  <w:sz w:val="18"/>
                  <w:szCs w:val="18"/>
                  <w:color w:val="0000FF"/>
                  <w:w w:val="98"/>
                </w:rPr>
                <w:t>Consulting Services LLC and Union Tower, LLC, dated</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March 14, 2007.</w:t>
              </w:r>
            </w:hyperlink>
          </w:p>
        </w:tc>
        <w:tc>
          <w:tcPr>
            <w:tcW w:w="30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10.11</w:t>
            </w:r>
          </w:p>
        </w:tc>
        <w:tc>
          <w:tcPr>
            <w:tcW w:w="3660" w:type="dxa"/>
            <w:vAlign w:val="bottom"/>
            <w:tcBorders>
              <w:bottom w:val="single" w:sz="8" w:color="0000FF"/>
            </w:tcBorders>
            <w:gridSpan w:val="15"/>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Third Amendment to Lease by and between Huron</w:t>
              </w:r>
            </w:hyperlink>
          </w:p>
        </w:tc>
        <w:tc>
          <w:tcPr>
            <w:tcW w:w="660" w:type="dxa"/>
            <w:vAlign w:val="bottom"/>
            <w:gridSpan w:val="15"/>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10.19</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2/21/2013</w:t>
            </w: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w w:val="98"/>
              </w:rPr>
            </w:pPr>
            <w:hyperlink r:id="rId25">
              <w:r>
                <w:rPr>
                  <w:rFonts w:ascii="Arial" w:cs="Arial" w:eastAsia="Arial" w:hAnsi="Arial"/>
                  <w:sz w:val="18"/>
                  <w:szCs w:val="18"/>
                  <w:color w:val="0000FF"/>
                  <w:w w:val="98"/>
                </w:rPr>
                <w:t>Consulting Services LLC and Union Tower, LLC, dated</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April 2, 2010.</w:t>
              </w:r>
            </w:hyperlink>
          </w:p>
        </w:tc>
        <w:tc>
          <w:tcPr>
            <w:tcW w:w="30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10.12</w:t>
            </w:r>
          </w:p>
        </w:tc>
        <w:tc>
          <w:tcPr>
            <w:tcW w:w="3780" w:type="dxa"/>
            <w:vAlign w:val="bottom"/>
            <w:tcBorders>
              <w:bottom w:val="single" w:sz="8" w:color="0000FF"/>
            </w:tcBorders>
            <w:gridSpan w:val="17"/>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Fourth Amendment to Lease by and between Huron</w:t>
              </w:r>
            </w:hyperlink>
          </w:p>
        </w:tc>
        <w:tc>
          <w:tcPr>
            <w:tcW w:w="540" w:type="dxa"/>
            <w:vAlign w:val="bottom"/>
            <w:gridSpan w:val="13"/>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1/4/2013</w:t>
            </w: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w w:val="98"/>
              </w:rPr>
            </w:pPr>
            <w:hyperlink r:id="rId26">
              <w:r>
                <w:rPr>
                  <w:rFonts w:ascii="Arial" w:cs="Arial" w:eastAsia="Arial" w:hAnsi="Arial"/>
                  <w:sz w:val="18"/>
                  <w:szCs w:val="18"/>
                  <w:color w:val="0000FF"/>
                  <w:w w:val="98"/>
                </w:rPr>
                <w:t>Consulting Services LLC and Union Tower, LLC, dated</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December 31, 2012.</w:t>
              </w:r>
            </w:hyperlink>
          </w:p>
        </w:tc>
        <w:tc>
          <w:tcPr>
            <w:tcW w:w="2560" w:type="dxa"/>
            <w:vAlign w:val="bottom"/>
            <w:tcBorders>
              <w:top w:val="single" w:sz="8" w:color="0000FF"/>
            </w:tcBorders>
            <w:gridSpan w:val="15"/>
          </w:tcPr>
          <w:p>
            <w:pPr>
              <w:spacing w:after="0"/>
              <w:rPr>
                <w:sz w:val="17"/>
                <w:szCs w:val="17"/>
                <w:color w:val="auto"/>
              </w:rPr>
            </w:pPr>
          </w:p>
        </w:tc>
        <w:tc>
          <w:tcPr>
            <w:tcW w:w="30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10.13</w:t>
            </w:r>
            <w:r>
              <w:rPr>
                <w:rFonts w:ascii="Arial" w:cs="Arial" w:eastAsia="Arial" w:hAnsi="Arial"/>
                <w:sz w:val="21"/>
                <w:szCs w:val="21"/>
                <w:color w:val="auto"/>
                <w:vertAlign w:val="superscript"/>
              </w:rPr>
              <w:t>†</w:t>
            </w:r>
          </w:p>
        </w:tc>
        <w:tc>
          <w:tcPr>
            <w:tcW w:w="4320" w:type="dxa"/>
            <w:vAlign w:val="bottom"/>
            <w:gridSpan w:val="30"/>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Fifth Amendment to Lease by and between Huron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w w:val="98"/>
              </w:rPr>
            </w:pPr>
            <w:hyperlink w:anchor="page96">
              <w:r>
                <w:rPr>
                  <w:rFonts w:ascii="Arial" w:cs="Arial" w:eastAsia="Arial" w:hAnsi="Arial"/>
                  <w:sz w:val="18"/>
                  <w:szCs w:val="18"/>
                  <w:color w:val="0000FF"/>
                  <w:w w:val="98"/>
                </w:rPr>
                <w:t>Consulting Services LLC and Union Tower, LLC, dated</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w:anchor="page96">
              <w:r>
                <w:rPr>
                  <w:rFonts w:ascii="Arial" w:cs="Arial" w:eastAsia="Arial" w:hAnsi="Arial"/>
                  <w:sz w:val="18"/>
                  <w:szCs w:val="18"/>
                  <w:color w:val="0000FF"/>
                </w:rPr>
                <w:t>December 1, 2013.</w:t>
              </w:r>
            </w:hyperlink>
          </w:p>
        </w:tc>
        <w:tc>
          <w:tcPr>
            <w:tcW w:w="30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10.14</w:t>
            </w:r>
          </w:p>
        </w:tc>
        <w:tc>
          <w:tcPr>
            <w:tcW w:w="3640" w:type="dxa"/>
            <w:vAlign w:val="bottom"/>
            <w:tcBorders>
              <w:bottom w:val="single" w:sz="8" w:color="0000FF"/>
            </w:tcBorders>
            <w:gridSpan w:val="14"/>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Sixth Amendment to Lease by and between Huron</w:t>
              </w:r>
            </w:hyperlink>
          </w:p>
        </w:tc>
        <w:tc>
          <w:tcPr>
            <w:tcW w:w="680" w:type="dxa"/>
            <w:vAlign w:val="bottom"/>
            <w:gridSpan w:val="16"/>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10/16/2019</w:t>
            </w:r>
          </w:p>
        </w:tc>
      </w:tr>
      <w:tr>
        <w:trPr>
          <w:trHeight w:val="196"/>
        </w:trPr>
        <w:tc>
          <w:tcPr>
            <w:tcW w:w="108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Consulting Services LLC and Onni Van Buren Chicago</w:t>
              </w:r>
            </w:hyperlink>
          </w:p>
        </w:tc>
        <w:tc>
          <w:tcPr>
            <w:tcW w:w="32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LLC, dated October 3, 2019.</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10.15*</w:t>
            </w:r>
          </w:p>
        </w:tc>
        <w:tc>
          <w:tcPr>
            <w:tcW w:w="4120" w:type="dxa"/>
            <w:vAlign w:val="bottom"/>
            <w:tcBorders>
              <w:bottom w:val="single" w:sz="8" w:color="0000FF"/>
            </w:tcBorders>
            <w:gridSpan w:val="24"/>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Form of the Huron Consulting Group Inc. 2012 Omnibus</w:t>
              </w:r>
            </w:hyperlink>
          </w:p>
        </w:tc>
        <w:tc>
          <w:tcPr>
            <w:tcW w:w="200" w:type="dxa"/>
            <w:vAlign w:val="bottom"/>
            <w:gridSpan w:val="6"/>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10.20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2/21/2013</w:t>
            </w: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Incentive Plan Restricted Stock Agreement.</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10.16</w:t>
            </w:r>
          </w:p>
        </w:tc>
        <w:tc>
          <w:tcPr>
            <w:tcW w:w="4140" w:type="dxa"/>
            <w:vAlign w:val="bottom"/>
            <w:tcBorders>
              <w:bottom w:val="single" w:sz="8" w:color="0000FF"/>
            </w:tcBorders>
            <w:gridSpan w:val="25"/>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Base Convertible Bond Hedge Transaction Confirmation,</w:t>
              </w:r>
            </w:hyperlink>
          </w:p>
        </w:tc>
        <w:tc>
          <w:tcPr>
            <w:tcW w:w="180" w:type="dxa"/>
            <w:vAlign w:val="bottom"/>
            <w:gridSpan w:val="5"/>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10.2</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196"/>
        </w:trPr>
        <w:tc>
          <w:tcPr>
            <w:tcW w:w="1080" w:type="dxa"/>
            <w:vAlign w:val="bottom"/>
          </w:tcPr>
          <w:p>
            <w:pPr>
              <w:spacing w:after="0"/>
              <w:rPr>
                <w:sz w:val="17"/>
                <w:szCs w:val="17"/>
                <w:color w:val="auto"/>
              </w:rPr>
            </w:pPr>
          </w:p>
        </w:tc>
        <w:tc>
          <w:tcPr>
            <w:tcW w:w="3900" w:type="dxa"/>
            <w:vAlign w:val="bottom"/>
            <w:tcBorders>
              <w:bottom w:val="single" w:sz="8" w:color="0000FF"/>
            </w:tcBorders>
            <w:gridSpan w:val="18"/>
          </w:tcPr>
          <w:p>
            <w:pPr>
              <w:spacing w:after="0" w:line="196" w:lineRule="exact"/>
              <w:rPr>
                <w:rFonts w:ascii="Arial" w:cs="Arial" w:eastAsia="Arial" w:hAnsi="Arial"/>
                <w:sz w:val="18"/>
                <w:szCs w:val="18"/>
                <w:color w:val="0000FF"/>
                <w:w w:val="88"/>
              </w:rPr>
            </w:pPr>
            <w:hyperlink r:id="rId29">
              <w:r>
                <w:rPr>
                  <w:rFonts w:ascii="Arial" w:cs="Arial" w:eastAsia="Arial" w:hAnsi="Arial"/>
                  <w:sz w:val="18"/>
                  <w:szCs w:val="18"/>
                  <w:color w:val="0000FF"/>
                  <w:w w:val="88"/>
                </w:rPr>
                <w:t>dated as of September 4, 2014, by and between Huron</w:t>
              </w:r>
            </w:hyperlink>
          </w:p>
        </w:tc>
        <w:tc>
          <w:tcPr>
            <w:tcW w:w="42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64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Consulting Group Inc. and Bank of America, N.A.</w:t>
              </w:r>
            </w:hyperlink>
          </w:p>
        </w:tc>
        <w:tc>
          <w:tcPr>
            <w:tcW w:w="68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10.17</w:t>
            </w:r>
          </w:p>
        </w:tc>
        <w:tc>
          <w:tcPr>
            <w:tcW w:w="4140" w:type="dxa"/>
            <w:vAlign w:val="bottom"/>
            <w:tcBorders>
              <w:bottom w:val="single" w:sz="8" w:color="0000FF"/>
            </w:tcBorders>
            <w:gridSpan w:val="25"/>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Base Convertible Bond Hedge Transaction Confirmation,</w:t>
              </w:r>
            </w:hyperlink>
          </w:p>
        </w:tc>
        <w:tc>
          <w:tcPr>
            <w:tcW w:w="180" w:type="dxa"/>
            <w:vAlign w:val="bottom"/>
            <w:gridSpan w:val="5"/>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10.3</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196"/>
        </w:trPr>
        <w:tc>
          <w:tcPr>
            <w:tcW w:w="1080" w:type="dxa"/>
            <w:vAlign w:val="bottom"/>
          </w:tcPr>
          <w:p>
            <w:pPr>
              <w:spacing w:after="0"/>
              <w:rPr>
                <w:sz w:val="17"/>
                <w:szCs w:val="17"/>
                <w:color w:val="auto"/>
              </w:rPr>
            </w:pPr>
          </w:p>
        </w:tc>
        <w:tc>
          <w:tcPr>
            <w:tcW w:w="3900" w:type="dxa"/>
            <w:vAlign w:val="bottom"/>
            <w:tcBorders>
              <w:bottom w:val="single" w:sz="8" w:color="0000FF"/>
            </w:tcBorders>
            <w:gridSpan w:val="18"/>
          </w:tcPr>
          <w:p>
            <w:pPr>
              <w:spacing w:after="0" w:line="196" w:lineRule="exact"/>
              <w:rPr>
                <w:rFonts w:ascii="Arial" w:cs="Arial" w:eastAsia="Arial" w:hAnsi="Arial"/>
                <w:sz w:val="18"/>
                <w:szCs w:val="18"/>
                <w:color w:val="0000FF"/>
                <w:w w:val="88"/>
              </w:rPr>
            </w:pPr>
            <w:hyperlink r:id="rId30">
              <w:r>
                <w:rPr>
                  <w:rFonts w:ascii="Arial" w:cs="Arial" w:eastAsia="Arial" w:hAnsi="Arial"/>
                  <w:sz w:val="18"/>
                  <w:szCs w:val="18"/>
                  <w:color w:val="0000FF"/>
                  <w:w w:val="88"/>
                </w:rPr>
                <w:t>dated as of September 4, 2014, by and between Huron</w:t>
              </w:r>
            </w:hyperlink>
          </w:p>
        </w:tc>
        <w:tc>
          <w:tcPr>
            <w:tcW w:w="42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Consulting Group Inc. and J.P. Morgan Securities LLC, as</w:t>
              </w:r>
            </w:hyperlink>
          </w:p>
        </w:tc>
        <w:tc>
          <w:tcPr>
            <w:tcW w:w="12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2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an agent for JPMorgan Chase Bank, National Association,</w:t>
              </w:r>
            </w:hyperlink>
          </w:p>
        </w:tc>
        <w:tc>
          <w:tcPr>
            <w:tcW w:w="1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London Branch.</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10.18</w:t>
            </w:r>
          </w:p>
        </w:tc>
        <w:tc>
          <w:tcPr>
            <w:tcW w:w="4240" w:type="dxa"/>
            <w:vAlign w:val="bottom"/>
            <w:tcBorders>
              <w:bottom w:val="single" w:sz="8" w:color="0000FF"/>
            </w:tcBorders>
            <w:gridSpan w:val="28"/>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Base Issuer Warrant Transaction Confirmation, dated as of</w:t>
              </w:r>
            </w:hyperlink>
          </w:p>
        </w:tc>
        <w:tc>
          <w:tcPr>
            <w:tcW w:w="8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10.4</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196"/>
        </w:trPr>
        <w:tc>
          <w:tcPr>
            <w:tcW w:w="1080" w:type="dxa"/>
            <w:vAlign w:val="bottom"/>
          </w:tcPr>
          <w:p>
            <w:pPr>
              <w:spacing w:after="0"/>
              <w:rPr>
                <w:sz w:val="17"/>
                <w:szCs w:val="17"/>
                <w:color w:val="auto"/>
              </w:rPr>
            </w:pPr>
          </w:p>
        </w:tc>
        <w:tc>
          <w:tcPr>
            <w:tcW w:w="392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September 4, 2014, by and between Huron Consulting</w:t>
              </w:r>
            </w:hyperlink>
          </w:p>
        </w:tc>
        <w:tc>
          <w:tcPr>
            <w:tcW w:w="40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Group Inc. and Bank of America, N.A.</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74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10.19</w:t>
            </w:r>
          </w:p>
        </w:tc>
        <w:tc>
          <w:tcPr>
            <w:tcW w:w="4240" w:type="dxa"/>
            <w:vAlign w:val="bottom"/>
            <w:tcBorders>
              <w:bottom w:val="single" w:sz="8" w:color="0000FF"/>
            </w:tcBorders>
            <w:gridSpan w:val="28"/>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Base Issuer Warrant Transaction Confirmation, dated as of</w:t>
              </w:r>
            </w:hyperlink>
          </w:p>
        </w:tc>
        <w:tc>
          <w:tcPr>
            <w:tcW w:w="8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196"/>
        </w:trPr>
        <w:tc>
          <w:tcPr>
            <w:tcW w:w="1080" w:type="dxa"/>
            <w:vAlign w:val="bottom"/>
          </w:tcPr>
          <w:p>
            <w:pPr>
              <w:spacing w:after="0"/>
              <w:rPr>
                <w:sz w:val="17"/>
                <w:szCs w:val="17"/>
                <w:color w:val="auto"/>
              </w:rPr>
            </w:pPr>
          </w:p>
        </w:tc>
        <w:tc>
          <w:tcPr>
            <w:tcW w:w="392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32">
              <w:r>
                <w:rPr>
                  <w:rFonts w:ascii="Arial" w:cs="Arial" w:eastAsia="Arial" w:hAnsi="Arial"/>
                  <w:sz w:val="18"/>
                  <w:szCs w:val="18"/>
                  <w:color w:val="0000FF"/>
                  <w:w w:val="89"/>
                </w:rPr>
                <w:t>September 4, 2014, by and between Huron Consulting</w:t>
              </w:r>
            </w:hyperlink>
          </w:p>
        </w:tc>
        <w:tc>
          <w:tcPr>
            <w:tcW w:w="40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Group Inc. and J.P. Morgan Securities LLC, as an agent for</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JPMorgan Chase Bank, National Association, London</w:t>
              </w:r>
            </w:hyperlink>
          </w:p>
        </w:tc>
        <w:tc>
          <w:tcPr>
            <w:tcW w:w="360" w:type="dxa"/>
            <w:vAlign w:val="bottom"/>
            <w:tcBorders>
              <w:top w:val="single" w:sz="8" w:color="0000FF"/>
            </w:tcBorders>
            <w:gridSpan w:val="11"/>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rFonts w:ascii="Arial" w:cs="Arial" w:eastAsia="Arial" w:hAnsi="Arial"/>
                <w:sz w:val="18"/>
                <w:szCs w:val="18"/>
                <w:color w:val="0000FF"/>
                <w:w w:val="86"/>
              </w:rPr>
            </w:pPr>
            <w:hyperlink r:id="rId32">
              <w:r>
                <w:rPr>
                  <w:rFonts w:ascii="Arial" w:cs="Arial" w:eastAsia="Arial" w:hAnsi="Arial"/>
                  <w:sz w:val="18"/>
                  <w:szCs w:val="18"/>
                  <w:color w:val="0000FF"/>
                  <w:w w:val="86"/>
                </w:rPr>
                <w:t>Branch.</w:t>
              </w:r>
            </w:hyperlink>
          </w:p>
        </w:tc>
        <w:tc>
          <w:tcPr>
            <w:tcW w:w="3760" w:type="dxa"/>
            <w:vAlign w:val="bottom"/>
            <w:gridSpan w:val="28"/>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10.20</w:t>
            </w:r>
          </w:p>
        </w:tc>
        <w:tc>
          <w:tcPr>
            <w:tcW w:w="3500" w:type="dxa"/>
            <w:vAlign w:val="bottom"/>
            <w:tcBorders>
              <w:bottom w:val="single" w:sz="8" w:color="0000FF"/>
            </w:tcBorders>
            <w:gridSpan w:val="12"/>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Additional Convertible Bond Hedge Transaction</w:t>
              </w:r>
            </w:hyperlink>
          </w:p>
        </w:tc>
        <w:tc>
          <w:tcPr>
            <w:tcW w:w="820" w:type="dxa"/>
            <w:vAlign w:val="bottom"/>
            <w:gridSpan w:val="18"/>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9/16/2014</w:t>
            </w:r>
          </w:p>
        </w:tc>
      </w:tr>
      <w:tr>
        <w:trPr>
          <w:trHeight w:val="196"/>
        </w:trPr>
        <w:tc>
          <w:tcPr>
            <w:tcW w:w="1080" w:type="dxa"/>
            <w:vAlign w:val="bottom"/>
          </w:tcPr>
          <w:p>
            <w:pPr>
              <w:spacing w:after="0"/>
              <w:rPr>
                <w:sz w:val="17"/>
                <w:szCs w:val="17"/>
                <w:color w:val="auto"/>
              </w:rPr>
            </w:pPr>
          </w:p>
        </w:tc>
        <w:tc>
          <w:tcPr>
            <w:tcW w:w="390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Confirmation, dated as of September 10, 2014, by and</w:t>
              </w:r>
            </w:hyperlink>
          </w:p>
        </w:tc>
        <w:tc>
          <w:tcPr>
            <w:tcW w:w="42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between Huron Consulting Group Inc. and Bank of</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America, N.A.</w:t>
              </w:r>
            </w:hyperlink>
          </w:p>
        </w:tc>
        <w:tc>
          <w:tcPr>
            <w:tcW w:w="2620" w:type="dxa"/>
            <w:vAlign w:val="bottom"/>
            <w:tcBorders>
              <w:top w:val="single" w:sz="8" w:color="0000FF"/>
            </w:tcBorders>
            <w:gridSpan w:val="12"/>
          </w:tcPr>
          <w:p>
            <w:pPr>
              <w:spacing w:after="0"/>
              <w:rPr>
                <w:sz w:val="17"/>
                <w:szCs w:val="17"/>
                <w:color w:val="auto"/>
              </w:rPr>
            </w:pPr>
          </w:p>
        </w:tc>
        <w:tc>
          <w:tcPr>
            <w:tcW w:w="64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10.21</w:t>
            </w:r>
          </w:p>
        </w:tc>
        <w:tc>
          <w:tcPr>
            <w:tcW w:w="3500" w:type="dxa"/>
            <w:vAlign w:val="bottom"/>
            <w:tcBorders>
              <w:bottom w:val="single" w:sz="8" w:color="0000FF"/>
            </w:tcBorders>
            <w:gridSpan w:val="12"/>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Additional Convertible Bond Hedge Transaction</w:t>
              </w:r>
            </w:hyperlink>
          </w:p>
        </w:tc>
        <w:tc>
          <w:tcPr>
            <w:tcW w:w="820" w:type="dxa"/>
            <w:vAlign w:val="bottom"/>
            <w:gridSpan w:val="18"/>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10.2</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9/16/2014</w:t>
            </w:r>
          </w:p>
        </w:tc>
      </w:tr>
      <w:tr>
        <w:trPr>
          <w:trHeight w:val="196"/>
        </w:trPr>
        <w:tc>
          <w:tcPr>
            <w:tcW w:w="1080" w:type="dxa"/>
            <w:vAlign w:val="bottom"/>
          </w:tcPr>
          <w:p>
            <w:pPr>
              <w:spacing w:after="0"/>
              <w:rPr>
                <w:sz w:val="17"/>
                <w:szCs w:val="17"/>
                <w:color w:val="auto"/>
              </w:rPr>
            </w:pPr>
          </w:p>
        </w:tc>
        <w:tc>
          <w:tcPr>
            <w:tcW w:w="390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Confirmation, dated as of September 10, 2014, by and</w:t>
              </w:r>
            </w:hyperlink>
          </w:p>
        </w:tc>
        <w:tc>
          <w:tcPr>
            <w:tcW w:w="42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w w:val="98"/>
              </w:rPr>
            </w:pPr>
            <w:hyperlink r:id="rId34">
              <w:r>
                <w:rPr>
                  <w:rFonts w:ascii="Arial" w:cs="Arial" w:eastAsia="Arial" w:hAnsi="Arial"/>
                  <w:sz w:val="18"/>
                  <w:szCs w:val="18"/>
                  <w:color w:val="0000FF"/>
                  <w:w w:val="98"/>
                </w:rPr>
                <w:t>between Huron Consulting Group Inc. and J.P. Morgan</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760" w:type="dxa"/>
            <w:vAlign w:val="bottom"/>
            <w:gridSpan w:val="10"/>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9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Securities LLC, as an agent for JPMorgan Chase Bank,</w:t>
              </w:r>
            </w:hyperlink>
          </w:p>
        </w:tc>
        <w:tc>
          <w:tcPr>
            <w:tcW w:w="34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National Association, London Branch.</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760" w:type="dxa"/>
            <w:vAlign w:val="bottom"/>
            <w:gridSpan w:val="10"/>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10.22</w:t>
            </w:r>
          </w:p>
        </w:tc>
        <w:tc>
          <w:tcPr>
            <w:tcW w:w="4320" w:type="dxa"/>
            <w:vAlign w:val="bottom"/>
            <w:gridSpan w:val="30"/>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Additional Issuer Warrant Transaction Confirmation, dated</w:t>
              </w:r>
            </w:hyperlink>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10.3</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9/16/2014</w:t>
            </w:r>
          </w:p>
        </w:tc>
      </w:tr>
      <w:tr>
        <w:trPr>
          <w:trHeight w:val="196"/>
        </w:trPr>
        <w:tc>
          <w:tcPr>
            <w:tcW w:w="108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as of September 10, 2014, by and between Huron</w:t>
              </w:r>
            </w:hyperlink>
          </w:p>
        </w:tc>
        <w:tc>
          <w:tcPr>
            <w:tcW w:w="660" w:type="dxa"/>
            <w:vAlign w:val="bottom"/>
            <w:tcBorders>
              <w:top w:val="single" w:sz="8" w:color="0000FF"/>
            </w:tcBorders>
            <w:gridSpan w:val="15"/>
          </w:tcPr>
          <w:p>
            <w:pPr>
              <w:spacing w:after="0"/>
              <w:rPr>
                <w:sz w:val="17"/>
                <w:szCs w:val="17"/>
                <w:color w:val="auto"/>
              </w:rPr>
            </w:pPr>
          </w:p>
        </w:tc>
        <w:tc>
          <w:tcPr>
            <w:tcW w:w="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64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Consulting Group Inc. and Bank of America, N.A.</w:t>
              </w:r>
            </w:hyperlink>
          </w:p>
        </w:tc>
        <w:tc>
          <w:tcPr>
            <w:tcW w:w="68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10.23</w:t>
            </w:r>
          </w:p>
        </w:tc>
        <w:tc>
          <w:tcPr>
            <w:tcW w:w="4320" w:type="dxa"/>
            <w:vAlign w:val="bottom"/>
            <w:gridSpan w:val="30"/>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Additional Issuer Warrant Transaction Confirmation, dated</w:t>
              </w:r>
            </w:hyperlink>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10.4</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9/16/2014</w:t>
            </w:r>
          </w:p>
        </w:tc>
      </w:tr>
      <w:tr>
        <w:trPr>
          <w:trHeight w:val="196"/>
        </w:trPr>
        <w:tc>
          <w:tcPr>
            <w:tcW w:w="108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88"/>
              </w:rPr>
            </w:pPr>
            <w:hyperlink r:id="rId36">
              <w:r>
                <w:rPr>
                  <w:rFonts w:ascii="Arial" w:cs="Arial" w:eastAsia="Arial" w:hAnsi="Arial"/>
                  <w:sz w:val="18"/>
                  <w:szCs w:val="18"/>
                  <w:color w:val="0000FF"/>
                  <w:w w:val="88"/>
                </w:rPr>
                <w:t>as of September 10, 2014, by and between Huron</w:t>
              </w:r>
            </w:hyperlink>
          </w:p>
        </w:tc>
        <w:tc>
          <w:tcPr>
            <w:tcW w:w="660" w:type="dxa"/>
            <w:vAlign w:val="bottom"/>
            <w:tcBorders>
              <w:top w:val="single" w:sz="8" w:color="0000FF"/>
            </w:tcBorders>
            <w:gridSpan w:val="15"/>
          </w:tcPr>
          <w:p>
            <w:pPr>
              <w:spacing w:after="0"/>
              <w:rPr>
                <w:sz w:val="17"/>
                <w:szCs w:val="17"/>
                <w:color w:val="auto"/>
              </w:rPr>
            </w:pPr>
          </w:p>
        </w:tc>
        <w:tc>
          <w:tcPr>
            <w:tcW w:w="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Consulting Group Inc. and J.P. Morgan Securities LLC, as</w:t>
              </w:r>
            </w:hyperlink>
          </w:p>
        </w:tc>
        <w:tc>
          <w:tcPr>
            <w:tcW w:w="12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2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an agent for JPMorgan Chase Bank, National Association,</w:t>
              </w:r>
            </w:hyperlink>
          </w:p>
        </w:tc>
        <w:tc>
          <w:tcPr>
            <w:tcW w:w="1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London Branch.</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08"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538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31"/>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24"/>
                <w:szCs w:val="24"/>
                <w:color w:val="auto"/>
              </w:rPr>
            </w:pPr>
          </w:p>
        </w:tc>
      </w:tr>
      <w:tr>
        <w:trPr>
          <w:trHeight w:val="27"/>
        </w:trPr>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Furnished</w:t>
            </w:r>
          </w:p>
        </w:tc>
        <w:tc>
          <w:tcPr>
            <w:tcW w:w="94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4300" w:type="dxa"/>
            <w:vAlign w:val="bottom"/>
            <w:gridSpan w:val="8"/>
          </w:tcPr>
          <w:p>
            <w:pPr>
              <w:spacing w:after="0"/>
              <w:rPr>
                <w:sz w:val="20"/>
                <w:szCs w:val="20"/>
                <w:color w:val="auto"/>
              </w:rPr>
            </w:pPr>
            <w:r>
              <w:rPr>
                <w:rFonts w:ascii="Arial" w:cs="Arial" w:eastAsia="Arial" w:hAnsi="Arial"/>
                <w:sz w:val="18"/>
                <w:szCs w:val="18"/>
                <w:b w:val="1"/>
                <w:bCs w:val="1"/>
                <w:color w:val="auto"/>
              </w:rPr>
              <w:t>Exhibit Description</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Ending</w:t>
            </w: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w w:val="99"/>
              </w:rPr>
              <w:t>Filing Date</w:t>
            </w:r>
          </w:p>
        </w:tc>
      </w:tr>
      <w:tr>
        <w:trPr>
          <w:trHeight w:val="27"/>
        </w:trPr>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080" w:type="dxa"/>
            <w:vAlign w:val="bottom"/>
          </w:tcPr>
          <w:p>
            <w:pPr>
              <w:ind w:left="40"/>
              <w:spacing w:after="0" w:line="196" w:lineRule="exact"/>
              <w:rPr>
                <w:sz w:val="20"/>
                <w:szCs w:val="20"/>
                <w:color w:val="auto"/>
              </w:rPr>
            </w:pPr>
            <w:r>
              <w:rPr>
                <w:rFonts w:ascii="Arial" w:cs="Arial" w:eastAsia="Arial" w:hAnsi="Arial"/>
                <w:sz w:val="18"/>
                <w:szCs w:val="18"/>
                <w:color w:val="auto"/>
              </w:rPr>
              <w:t>10.24*</w:t>
            </w:r>
          </w:p>
        </w:tc>
        <w:tc>
          <w:tcPr>
            <w:tcW w:w="41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Form of the Huron Consulting Group Inc. 2012 Omnibus</w:t>
              </w:r>
            </w:hyperlink>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12/31/2014</w:t>
            </w:r>
          </w:p>
        </w:tc>
        <w:tc>
          <w:tcPr>
            <w:tcW w:w="96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8"/>
              </w:rPr>
              <w:t>10.31</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2"/>
              </w:rPr>
              <w:t>2/24/2015</w:t>
            </w:r>
          </w:p>
        </w:tc>
      </w:tr>
      <w:tr>
        <w:trPr>
          <w:trHeight w:val="196"/>
        </w:trPr>
        <w:tc>
          <w:tcPr>
            <w:tcW w:w="1080" w:type="dxa"/>
            <w:vAlign w:val="bottom"/>
          </w:tcPr>
          <w:p>
            <w:pPr>
              <w:spacing w:after="0"/>
              <w:rPr>
                <w:sz w:val="17"/>
                <w:szCs w:val="17"/>
                <w:color w:val="auto"/>
              </w:rPr>
            </w:pPr>
          </w:p>
        </w:tc>
        <w:tc>
          <w:tcPr>
            <w:tcW w:w="36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Incentive Plan Restricted Stock Agreement (Stock</w:t>
              </w:r>
            </w:hyperlink>
          </w:p>
        </w:tc>
        <w:tc>
          <w:tcPr>
            <w:tcW w:w="68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5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Ownership Participation Program).</w:t>
              </w:r>
            </w:hyperlink>
          </w:p>
        </w:tc>
        <w:tc>
          <w:tcPr>
            <w:tcW w:w="17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10.25*</w:t>
            </w:r>
          </w:p>
        </w:tc>
        <w:tc>
          <w:tcPr>
            <w:tcW w:w="4120" w:type="dxa"/>
            <w:vAlign w:val="bottom"/>
            <w:tcBorders>
              <w:bottom w:val="single" w:sz="8" w:color="0000FF"/>
            </w:tcBorders>
            <w:gridSpan w:val="6"/>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Form of the Huron Consulting Group Inc. 2012 Omnibus</w:t>
              </w:r>
            </w:hyperlink>
          </w:p>
        </w:tc>
        <w:tc>
          <w:tcPr>
            <w:tcW w:w="1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12/31/2014</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10.32</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2/24/2015</w:t>
            </w:r>
          </w:p>
        </w:tc>
      </w:tr>
      <w:tr>
        <w:trPr>
          <w:trHeight w:val="196"/>
        </w:trPr>
        <w:tc>
          <w:tcPr>
            <w:tcW w:w="1080" w:type="dxa"/>
            <w:vAlign w:val="bottom"/>
          </w:tcPr>
          <w:p>
            <w:pPr>
              <w:spacing w:after="0"/>
              <w:rPr>
                <w:sz w:val="17"/>
                <w:szCs w:val="17"/>
                <w:color w:val="auto"/>
              </w:rPr>
            </w:pPr>
          </w:p>
        </w:tc>
        <w:tc>
          <w:tcPr>
            <w:tcW w:w="4300" w:type="dxa"/>
            <w:vAlign w:val="bottom"/>
            <w:gridSpan w:val="8"/>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Incentive Plan Performance Stock Unit Agreement.</w:t>
              </w:r>
            </w:hyperlink>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10.26*</w:t>
            </w:r>
          </w:p>
        </w:tc>
        <w:tc>
          <w:tcPr>
            <w:tcW w:w="4120" w:type="dxa"/>
            <w:vAlign w:val="bottom"/>
            <w:tcBorders>
              <w:bottom w:val="single" w:sz="8" w:color="0000FF"/>
            </w:tcBorders>
            <w:gridSpan w:val="6"/>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Form of the Huron Consulting Group Inc. 2012 Omnibus</w:t>
              </w:r>
            </w:hyperlink>
          </w:p>
        </w:tc>
        <w:tc>
          <w:tcPr>
            <w:tcW w:w="1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12/31/2014</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10.33</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2/24/2015</w:t>
            </w:r>
          </w:p>
        </w:tc>
      </w:tr>
      <w:tr>
        <w:trPr>
          <w:trHeight w:val="196"/>
        </w:trPr>
        <w:tc>
          <w:tcPr>
            <w:tcW w:w="1080" w:type="dxa"/>
            <w:vAlign w:val="bottom"/>
          </w:tcPr>
          <w:p>
            <w:pPr>
              <w:spacing w:after="0"/>
              <w:rPr>
                <w:sz w:val="17"/>
                <w:szCs w:val="17"/>
                <w:color w:val="auto"/>
              </w:rPr>
            </w:pPr>
          </w:p>
        </w:tc>
        <w:tc>
          <w:tcPr>
            <w:tcW w:w="29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Incentive Plan Stock Option Agreement.</w:t>
              </w:r>
            </w:hyperlink>
          </w:p>
        </w:tc>
        <w:tc>
          <w:tcPr>
            <w:tcW w:w="138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10.27*</w:t>
            </w:r>
          </w:p>
        </w:tc>
        <w:tc>
          <w:tcPr>
            <w:tcW w:w="4120" w:type="dxa"/>
            <w:vAlign w:val="bottom"/>
            <w:tcBorders>
              <w:bottom w:val="single" w:sz="8" w:color="0000FF"/>
            </w:tcBorders>
            <w:gridSpan w:val="6"/>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Form of the Huron Consulting Group Inc. 2012 Omnibus</w:t>
              </w:r>
            </w:hyperlink>
          </w:p>
        </w:tc>
        <w:tc>
          <w:tcPr>
            <w:tcW w:w="1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12/31/2014</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10.34</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2/24/2015</w:t>
            </w:r>
          </w:p>
        </w:tc>
      </w:tr>
      <w:tr>
        <w:trPr>
          <w:trHeight w:val="196"/>
        </w:trPr>
        <w:tc>
          <w:tcPr>
            <w:tcW w:w="1080" w:type="dxa"/>
            <w:vAlign w:val="bottom"/>
          </w:tcPr>
          <w:p>
            <w:pPr>
              <w:spacing w:after="0"/>
              <w:rPr>
                <w:sz w:val="17"/>
                <w:szCs w:val="17"/>
                <w:color w:val="auto"/>
              </w:rPr>
            </w:pPr>
          </w:p>
        </w:tc>
        <w:tc>
          <w:tcPr>
            <w:tcW w:w="41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Incentive Plan NEO Performance Stock Unit Agreement.</w:t>
              </w:r>
            </w:hyperlink>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10.28</w:t>
            </w:r>
          </w:p>
        </w:tc>
        <w:tc>
          <w:tcPr>
            <w:tcW w:w="4260" w:type="dxa"/>
            <w:vAlign w:val="bottom"/>
            <w:tcBorders>
              <w:bottom w:val="single" w:sz="8" w:color="0000FF"/>
            </w:tcBorders>
            <w:gridSpan w:val="7"/>
          </w:tcPr>
          <w:p>
            <w:pPr>
              <w:spacing w:after="0"/>
              <w:rPr>
                <w:rFonts w:ascii="Arial" w:cs="Arial" w:eastAsia="Arial" w:hAnsi="Arial"/>
                <w:sz w:val="18"/>
                <w:szCs w:val="18"/>
                <w:color w:val="0000FF"/>
                <w:w w:val="88"/>
              </w:rPr>
            </w:pPr>
            <w:hyperlink r:id="rId41">
              <w:r>
                <w:rPr>
                  <w:rFonts w:ascii="Arial" w:cs="Arial" w:eastAsia="Arial" w:hAnsi="Arial"/>
                  <w:sz w:val="18"/>
                  <w:szCs w:val="18"/>
                  <w:color w:val="0000FF"/>
                  <w:w w:val="88"/>
                </w:rPr>
                <w:t>Second Amended and Restated Credit Agreement, dated as</w:t>
              </w:r>
            </w:hyperlink>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196"/>
        </w:trPr>
        <w:tc>
          <w:tcPr>
            <w:tcW w:w="1080" w:type="dxa"/>
            <w:vAlign w:val="bottom"/>
          </w:tcPr>
          <w:p>
            <w:pPr>
              <w:spacing w:after="0"/>
              <w:rPr>
                <w:sz w:val="17"/>
                <w:szCs w:val="17"/>
                <w:color w:val="auto"/>
              </w:rPr>
            </w:pPr>
          </w:p>
        </w:tc>
        <w:tc>
          <w:tcPr>
            <w:tcW w:w="4300" w:type="dxa"/>
            <w:vAlign w:val="bottom"/>
            <w:gridSpan w:val="8"/>
          </w:tcPr>
          <w:p>
            <w:pPr>
              <w:spacing w:after="0" w:line="196" w:lineRule="exact"/>
              <w:rPr>
                <w:rFonts w:ascii="Arial" w:cs="Arial" w:eastAsia="Arial" w:hAnsi="Arial"/>
                <w:sz w:val="18"/>
                <w:szCs w:val="18"/>
                <w:color w:val="0000FF"/>
                <w:w w:val="95"/>
              </w:rPr>
            </w:pPr>
            <w:hyperlink r:id="rId41">
              <w:r>
                <w:rPr>
                  <w:rFonts w:ascii="Arial" w:cs="Arial" w:eastAsia="Arial" w:hAnsi="Arial"/>
                  <w:sz w:val="18"/>
                  <w:szCs w:val="18"/>
                  <w:color w:val="0000FF"/>
                  <w:w w:val="95"/>
                </w:rPr>
                <w:t>of March 31, 2015, among Huron Consulting Group Inc.,</w:t>
              </w:r>
            </w:hyperlink>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as Borrower, certain subsidiaries as Guarantors, the</w:t>
              </w:r>
            </w:hyperlink>
          </w:p>
        </w:tc>
        <w:tc>
          <w:tcPr>
            <w:tcW w:w="420" w:type="dxa"/>
            <w:vAlign w:val="bottom"/>
            <w:tcBorders>
              <w:top w:val="single" w:sz="8" w:color="0000FF"/>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13" w:lineRule="exact"/>
        <w:rPr>
          <w:sz w:val="20"/>
          <w:szCs w:val="20"/>
          <w:color w:val="auto"/>
        </w:rPr>
      </w:pPr>
    </w:p>
    <w:p>
      <w:pPr>
        <w:ind w:left="108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Lenders Party Hereto and Bank of America, N.A., as</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Administrative Agent and Collateral Agent, JPMorgan</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Chase Bank, N.A., as Syndication Agent, PNC Bank, Bank</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of Montreal and Key Bank National Association as Co-</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Documentation Agents, and Merrill Lynch, Pierce, Fenner</w:t>
        </w:r>
      </w:hyperlink>
    </w:p>
    <w:p>
      <w:pPr>
        <w:spacing w:after="0" w:line="9" w:lineRule="exact"/>
        <w:rPr>
          <w:sz w:val="20"/>
          <w:szCs w:val="20"/>
          <w:color w:val="auto"/>
        </w:rPr>
      </w:pPr>
    </w:p>
    <w:p>
      <w:pPr>
        <w:ind w:left="1080" w:right="6180" w:hanging="5"/>
        <w:spacing w:after="0" w:line="289" w:lineRule="auto"/>
        <w:tabs>
          <w:tab w:leader="none" w:pos="1265" w:val="left"/>
        </w:tabs>
        <w:numPr>
          <w:ilvl w:val="0"/>
          <w:numId w:val="18"/>
        </w:numPr>
        <w:rPr>
          <w:rFonts w:ascii="Arial" w:cs="Arial" w:eastAsia="Arial" w:hAnsi="Arial"/>
          <w:sz w:val="17"/>
          <w:szCs w:val="17"/>
          <w:color w:val="0000FF"/>
        </w:rPr>
      </w:pPr>
      <w:hyperlink r:id="rId41">
        <w:r>
          <w:rPr>
            <w:rFonts w:ascii="Arial" w:cs="Arial" w:eastAsia="Arial" w:hAnsi="Arial"/>
            <w:sz w:val="17"/>
            <w:szCs w:val="17"/>
            <w:u w:val="single" w:color="auto"/>
            <w:color w:val="0000FF"/>
          </w:rPr>
          <w:t>Smith Incorporated and J.P. Morgan Securities LLC, as</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Joint Lead Arrangers and Joint Book Managers</w:t>
        </w:r>
        <w:r>
          <w:rPr>
            <w:rFonts w:ascii="Arial" w:cs="Arial" w:eastAsia="Arial" w:hAnsi="Arial"/>
            <w:sz w:val="17"/>
            <w:szCs w:val="17"/>
            <w:color w:val="000000"/>
          </w:rPr>
          <w:t>.</w:t>
        </w:r>
      </w:hyperlink>
    </w:p>
    <w:tbl>
      <w:tblPr>
        <w:tblLayout w:type="fixed"/>
        <w:tblInd w:w="40" w:type="dxa"/>
        <w:tblCellMar>
          <w:top w:w="0" w:type="dxa"/>
          <w:left w:w="0" w:type="dxa"/>
          <w:bottom w:w="0" w:type="dxa"/>
          <w:right w:w="0" w:type="dxa"/>
        </w:tblCellMar>
      </w:tblPr>
      <w:tr>
        <w:trPr>
          <w:trHeight w:val="191"/>
        </w:trPr>
        <w:tc>
          <w:tcPr>
            <w:tcW w:w="1040" w:type="dxa"/>
            <w:vAlign w:val="bottom"/>
          </w:tcPr>
          <w:p>
            <w:pPr>
              <w:spacing w:after="0" w:line="191" w:lineRule="exact"/>
              <w:rPr>
                <w:sz w:val="20"/>
                <w:szCs w:val="20"/>
                <w:color w:val="auto"/>
              </w:rPr>
            </w:pPr>
            <w:r>
              <w:rPr>
                <w:rFonts w:ascii="Arial" w:cs="Arial" w:eastAsia="Arial" w:hAnsi="Arial"/>
                <w:sz w:val="18"/>
                <w:szCs w:val="18"/>
                <w:color w:val="auto"/>
              </w:rPr>
              <w:t>10.29</w:t>
            </w:r>
          </w:p>
        </w:tc>
        <w:tc>
          <w:tcPr>
            <w:tcW w:w="4220" w:type="dxa"/>
            <w:vAlign w:val="bottom"/>
            <w:tcBorders>
              <w:bottom w:val="single" w:sz="8" w:color="0000FF"/>
            </w:tcBorders>
            <w:gridSpan w:val="12"/>
          </w:tcPr>
          <w:p>
            <w:pPr>
              <w:spacing w:after="0" w:line="191"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Second Amended and Restated Security Agreement, dated</w:t>
              </w:r>
            </w:hyperlink>
          </w:p>
        </w:tc>
        <w:tc>
          <w:tcPr>
            <w:tcW w:w="220" w:type="dxa"/>
            <w:vAlign w:val="bottom"/>
            <w:gridSpan w:val="3"/>
          </w:tcPr>
          <w:p>
            <w:pPr>
              <w:spacing w:after="0"/>
              <w:rPr>
                <w:sz w:val="16"/>
                <w:szCs w:val="16"/>
                <w:color w:val="auto"/>
              </w:rPr>
            </w:pPr>
          </w:p>
        </w:tc>
        <w:tc>
          <w:tcPr>
            <w:tcW w:w="2780" w:type="dxa"/>
            <w:vAlign w:val="bottom"/>
          </w:tcPr>
          <w:p>
            <w:pPr>
              <w:jc w:val="center"/>
              <w:ind w:left="1650"/>
              <w:spacing w:after="0" w:line="191" w:lineRule="exact"/>
              <w:rPr>
                <w:sz w:val="20"/>
                <w:szCs w:val="20"/>
                <w:color w:val="auto"/>
              </w:rPr>
            </w:pPr>
            <w:r>
              <w:rPr>
                <w:rFonts w:ascii="Arial" w:cs="Arial" w:eastAsia="Arial" w:hAnsi="Arial"/>
                <w:sz w:val="18"/>
                <w:szCs w:val="18"/>
                <w:color w:val="auto"/>
                <w:w w:val="99"/>
              </w:rPr>
              <w:t>8-K</w:t>
            </w:r>
          </w:p>
        </w:tc>
        <w:tc>
          <w:tcPr>
            <w:tcW w:w="10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color w:val="auto"/>
                <w:w w:val="91"/>
              </w:rPr>
              <w:t>10.2</w:t>
            </w:r>
          </w:p>
        </w:tc>
        <w:tc>
          <w:tcPr>
            <w:tcW w:w="840" w:type="dxa"/>
            <w:vAlign w:val="bottom"/>
          </w:tcPr>
          <w:p>
            <w:pPr>
              <w:jc w:val="center"/>
              <w:spacing w:after="0" w:line="191" w:lineRule="exact"/>
              <w:rPr>
                <w:sz w:val="20"/>
                <w:szCs w:val="20"/>
                <w:color w:val="auto"/>
              </w:rPr>
            </w:pPr>
            <w:r>
              <w:rPr>
                <w:rFonts w:ascii="Arial" w:cs="Arial" w:eastAsia="Arial" w:hAnsi="Arial"/>
                <w:sz w:val="18"/>
                <w:szCs w:val="18"/>
                <w:color w:val="auto"/>
                <w:w w:val="91"/>
              </w:rPr>
              <w:t>4/2/2015</w:t>
            </w:r>
          </w:p>
        </w:tc>
      </w:tr>
      <w:tr>
        <w:trPr>
          <w:trHeight w:val="196"/>
        </w:trPr>
        <w:tc>
          <w:tcPr>
            <w:tcW w:w="1040" w:type="dxa"/>
            <w:vAlign w:val="bottom"/>
          </w:tcPr>
          <w:p>
            <w:pPr>
              <w:spacing w:after="0"/>
              <w:rPr>
                <w:sz w:val="17"/>
                <w:szCs w:val="17"/>
                <w:color w:val="auto"/>
              </w:rPr>
            </w:pPr>
          </w:p>
        </w:tc>
        <w:tc>
          <w:tcPr>
            <w:tcW w:w="158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as of March 31, 2015.</w:t>
              </w:r>
            </w:hyperlink>
          </w:p>
        </w:tc>
        <w:tc>
          <w:tcPr>
            <w:tcW w:w="2860" w:type="dxa"/>
            <w:vAlign w:val="bottom"/>
            <w:gridSpan w:val="14"/>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10.30</w:t>
            </w:r>
          </w:p>
        </w:tc>
        <w:tc>
          <w:tcPr>
            <w:tcW w:w="4100" w:type="dxa"/>
            <w:vAlign w:val="bottom"/>
            <w:tcBorders>
              <w:bottom w:val="single" w:sz="8" w:color="0000FF"/>
            </w:tcBorders>
            <w:gridSpan w:val="10"/>
          </w:tcPr>
          <w:p>
            <w:pPr>
              <w:spacing w:after="0"/>
              <w:rPr>
                <w:rFonts w:ascii="Arial" w:cs="Arial" w:eastAsia="Arial" w:hAnsi="Arial"/>
                <w:sz w:val="18"/>
                <w:szCs w:val="18"/>
                <w:color w:val="0000FF"/>
                <w:w w:val="87"/>
              </w:rPr>
            </w:pPr>
            <w:hyperlink r:id="rId43">
              <w:r>
                <w:rPr>
                  <w:rFonts w:ascii="Arial" w:cs="Arial" w:eastAsia="Arial" w:hAnsi="Arial"/>
                  <w:sz w:val="18"/>
                  <w:szCs w:val="18"/>
                  <w:color w:val="0000FF"/>
                  <w:w w:val="87"/>
                </w:rPr>
                <w:t>Second Amended and Restated Pledge Agreement, dated</w:t>
              </w:r>
            </w:hyperlink>
          </w:p>
        </w:tc>
        <w:tc>
          <w:tcPr>
            <w:tcW w:w="340" w:type="dxa"/>
            <w:vAlign w:val="bottom"/>
            <w:gridSpan w:val="5"/>
          </w:tcPr>
          <w:p>
            <w:pPr>
              <w:spacing w:after="0"/>
              <w:rPr>
                <w:sz w:val="21"/>
                <w:szCs w:val="21"/>
                <w:color w:val="auto"/>
              </w:rPr>
            </w:pPr>
          </w:p>
        </w:tc>
        <w:tc>
          <w:tcPr>
            <w:tcW w:w="2780" w:type="dxa"/>
            <w:vAlign w:val="bottom"/>
          </w:tcPr>
          <w:p>
            <w:pPr>
              <w:jc w:val="center"/>
              <w:ind w:left="1650"/>
              <w:spacing w:after="0"/>
              <w:rPr>
                <w:sz w:val="20"/>
                <w:szCs w:val="20"/>
                <w:color w:val="auto"/>
              </w:rPr>
            </w:pPr>
            <w:r>
              <w:rPr>
                <w:rFonts w:ascii="Arial" w:cs="Arial" w:eastAsia="Arial" w:hAnsi="Arial"/>
                <w:sz w:val="18"/>
                <w:szCs w:val="18"/>
                <w:color w:val="auto"/>
                <w:w w:val="99"/>
              </w:rPr>
              <w:t>8-K</w:t>
            </w:r>
          </w:p>
        </w:tc>
        <w:tc>
          <w:tcPr>
            <w:tcW w:w="10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196"/>
        </w:trPr>
        <w:tc>
          <w:tcPr>
            <w:tcW w:w="1040" w:type="dxa"/>
            <w:vAlign w:val="bottom"/>
          </w:tcPr>
          <w:p>
            <w:pPr>
              <w:spacing w:after="0"/>
              <w:rPr>
                <w:sz w:val="17"/>
                <w:szCs w:val="17"/>
                <w:color w:val="auto"/>
              </w:rPr>
            </w:pPr>
          </w:p>
        </w:tc>
        <w:tc>
          <w:tcPr>
            <w:tcW w:w="158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as of March 31, 2015.</w:t>
              </w:r>
            </w:hyperlink>
          </w:p>
        </w:tc>
        <w:tc>
          <w:tcPr>
            <w:tcW w:w="2860" w:type="dxa"/>
            <w:vAlign w:val="bottom"/>
            <w:gridSpan w:val="14"/>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10.31*</w:t>
            </w:r>
          </w:p>
        </w:tc>
        <w:tc>
          <w:tcPr>
            <w:tcW w:w="4440" w:type="dxa"/>
            <w:vAlign w:val="bottom"/>
            <w:gridSpan w:val="15"/>
          </w:tcPr>
          <w:p>
            <w:pPr>
              <w:spacing w:after="0"/>
              <w:rPr>
                <w:rFonts w:ascii="Arial" w:cs="Arial" w:eastAsia="Arial" w:hAnsi="Arial"/>
                <w:sz w:val="18"/>
                <w:szCs w:val="18"/>
                <w:color w:val="0000FF"/>
              </w:rPr>
            </w:pPr>
            <w:hyperlink r:id="rId44">
              <w:r>
                <w:rPr>
                  <w:rFonts w:ascii="Arial" w:cs="Arial" w:eastAsia="Arial" w:hAnsi="Arial"/>
                  <w:sz w:val="18"/>
                  <w:szCs w:val="18"/>
                  <w:color w:val="0000FF"/>
                </w:rPr>
                <w:t>Huron Consulting Group Inc. Stock Ownership</w:t>
              </w:r>
            </w:hyperlink>
          </w:p>
        </w:tc>
        <w:tc>
          <w:tcPr>
            <w:tcW w:w="2780" w:type="dxa"/>
            <w:vAlign w:val="bottom"/>
          </w:tcPr>
          <w:p>
            <w:pPr>
              <w:jc w:val="center"/>
              <w:ind w:left="1630"/>
              <w:spacing w:after="0"/>
              <w:rPr>
                <w:sz w:val="20"/>
                <w:szCs w:val="20"/>
                <w:color w:val="auto"/>
              </w:rPr>
            </w:pPr>
            <w:r>
              <w:rPr>
                <w:rFonts w:ascii="Arial" w:cs="Arial" w:eastAsia="Arial" w:hAnsi="Arial"/>
                <w:sz w:val="18"/>
                <w:szCs w:val="18"/>
                <w:color w:val="auto"/>
                <w:w w:val="95"/>
              </w:rPr>
              <w:t>DEF 14A</w:t>
            </w:r>
          </w:p>
        </w:tc>
        <w:tc>
          <w:tcPr>
            <w:tcW w:w="10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2"/>
              </w:rPr>
              <w:t>3/20/2015</w:t>
            </w:r>
          </w:p>
        </w:tc>
      </w:tr>
      <w:tr>
        <w:trPr>
          <w:trHeight w:val="196"/>
        </w:trPr>
        <w:tc>
          <w:tcPr>
            <w:tcW w:w="1040" w:type="dxa"/>
            <w:vAlign w:val="bottom"/>
          </w:tcPr>
          <w:p>
            <w:pPr>
              <w:spacing w:after="0"/>
              <w:rPr>
                <w:sz w:val="17"/>
                <w:szCs w:val="17"/>
                <w:color w:val="auto"/>
              </w:rPr>
            </w:pPr>
          </w:p>
        </w:tc>
        <w:tc>
          <w:tcPr>
            <w:tcW w:w="34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Participation Program.</w:t>
              </w:r>
            </w:hyperlink>
          </w:p>
        </w:tc>
        <w:tc>
          <w:tcPr>
            <w:tcW w:w="1040" w:type="dxa"/>
            <w:vAlign w:val="bottom"/>
            <w:gridSpan w:val="11"/>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10.32*</w:t>
            </w:r>
          </w:p>
        </w:tc>
        <w:tc>
          <w:tcPr>
            <w:tcW w:w="3940" w:type="dxa"/>
            <w:vAlign w:val="bottom"/>
            <w:tcBorders>
              <w:bottom w:val="single" w:sz="8" w:color="0000FF"/>
            </w:tcBorders>
            <w:gridSpan w:val="6"/>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Huron Consulting Group Inc. 2012 Omnibus Incentive</w:t>
              </w:r>
            </w:hyperlink>
          </w:p>
        </w:tc>
        <w:tc>
          <w:tcPr>
            <w:tcW w:w="500" w:type="dxa"/>
            <w:vAlign w:val="bottom"/>
            <w:gridSpan w:val="9"/>
          </w:tcPr>
          <w:p>
            <w:pPr>
              <w:spacing w:after="0"/>
              <w:rPr>
                <w:sz w:val="21"/>
                <w:szCs w:val="21"/>
                <w:color w:val="auto"/>
              </w:rPr>
            </w:pPr>
          </w:p>
        </w:tc>
        <w:tc>
          <w:tcPr>
            <w:tcW w:w="2780" w:type="dxa"/>
            <w:vAlign w:val="bottom"/>
          </w:tcPr>
          <w:p>
            <w:pPr>
              <w:jc w:val="center"/>
              <w:ind w:left="1630"/>
              <w:spacing w:after="0"/>
              <w:rPr>
                <w:sz w:val="20"/>
                <w:szCs w:val="20"/>
                <w:color w:val="auto"/>
              </w:rPr>
            </w:pPr>
            <w:r>
              <w:rPr>
                <w:rFonts w:ascii="Arial" w:cs="Arial" w:eastAsia="Arial" w:hAnsi="Arial"/>
                <w:sz w:val="18"/>
                <w:szCs w:val="18"/>
                <w:color w:val="auto"/>
                <w:w w:val="95"/>
              </w:rPr>
              <w:t>DEF 14A</w:t>
            </w:r>
          </w:p>
        </w:tc>
        <w:tc>
          <w:tcPr>
            <w:tcW w:w="10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2"/>
              </w:rPr>
              <w:t>3/27/2017</w:t>
            </w:r>
          </w:p>
        </w:tc>
      </w:tr>
      <w:tr>
        <w:trPr>
          <w:trHeight w:val="196"/>
        </w:trPr>
        <w:tc>
          <w:tcPr>
            <w:tcW w:w="1040" w:type="dxa"/>
            <w:vAlign w:val="bottom"/>
          </w:tcPr>
          <w:p>
            <w:pPr>
              <w:spacing w:after="0"/>
              <w:rPr>
                <w:sz w:val="17"/>
                <w:szCs w:val="17"/>
                <w:color w:val="auto"/>
              </w:rPr>
            </w:pPr>
          </w:p>
        </w:tc>
        <w:tc>
          <w:tcPr>
            <w:tcW w:w="384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45">
              <w:r>
                <w:rPr>
                  <w:rFonts w:ascii="Arial" w:cs="Arial" w:eastAsia="Arial" w:hAnsi="Arial"/>
                  <w:sz w:val="18"/>
                  <w:szCs w:val="18"/>
                  <w:color w:val="0000FF"/>
                  <w:w w:val="88"/>
                </w:rPr>
                <w:t>Plan, as amended and restated effective May 1, 2017.</w:t>
              </w:r>
            </w:hyperlink>
          </w:p>
        </w:tc>
        <w:tc>
          <w:tcPr>
            <w:tcW w:w="600" w:type="dxa"/>
            <w:vAlign w:val="bottom"/>
            <w:gridSpan w:val="10"/>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10.33*</w:t>
            </w:r>
          </w:p>
        </w:tc>
        <w:tc>
          <w:tcPr>
            <w:tcW w:w="4260" w:type="dxa"/>
            <w:vAlign w:val="bottom"/>
            <w:tcBorders>
              <w:bottom w:val="single" w:sz="8" w:color="0000FF"/>
            </w:tcBorders>
            <w:gridSpan w:val="14"/>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Amendment to the Huron Consulting Group Inc. Amended</w:t>
              </w:r>
            </w:hyperlink>
          </w:p>
        </w:tc>
        <w:tc>
          <w:tcPr>
            <w:tcW w:w="180" w:type="dxa"/>
            <w:vAlign w:val="bottom"/>
          </w:tcPr>
          <w:p>
            <w:pPr>
              <w:spacing w:after="0"/>
              <w:rPr>
                <w:sz w:val="24"/>
                <w:szCs w:val="24"/>
                <w:color w:val="auto"/>
              </w:rPr>
            </w:pPr>
          </w:p>
        </w:tc>
        <w:tc>
          <w:tcPr>
            <w:tcW w:w="2780" w:type="dxa"/>
            <w:vAlign w:val="bottom"/>
          </w:tcPr>
          <w:p>
            <w:pPr>
              <w:jc w:val="center"/>
              <w:ind w:left="1630"/>
              <w:spacing w:after="0"/>
              <w:rPr>
                <w:sz w:val="20"/>
                <w:szCs w:val="20"/>
                <w:color w:val="auto"/>
              </w:rPr>
            </w:pPr>
            <w:r>
              <w:rPr>
                <w:rFonts w:ascii="Arial" w:cs="Arial" w:eastAsia="Arial" w:hAnsi="Arial"/>
                <w:sz w:val="18"/>
                <w:szCs w:val="18"/>
                <w:color w:val="auto"/>
                <w:w w:val="95"/>
              </w:rPr>
              <w:t>DEF 14A</w:t>
            </w:r>
          </w:p>
        </w:tc>
        <w:tc>
          <w:tcPr>
            <w:tcW w:w="10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2"/>
              </w:rPr>
              <w:t>3/22/2019</w:t>
            </w:r>
          </w:p>
        </w:tc>
      </w:tr>
      <w:tr>
        <w:trPr>
          <w:trHeight w:val="196"/>
        </w:trPr>
        <w:tc>
          <w:tcPr>
            <w:tcW w:w="1040" w:type="dxa"/>
            <w:vAlign w:val="bottom"/>
          </w:tcPr>
          <w:p>
            <w:pPr>
              <w:spacing w:after="0"/>
              <w:rPr>
                <w:sz w:val="17"/>
                <w:szCs w:val="17"/>
                <w:color w:val="auto"/>
              </w:rPr>
            </w:pPr>
          </w:p>
        </w:tc>
        <w:tc>
          <w:tcPr>
            <w:tcW w:w="31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and Restated 2012 Omnibus Incentive Plan.</w:t>
              </w:r>
            </w:hyperlink>
          </w:p>
        </w:tc>
        <w:tc>
          <w:tcPr>
            <w:tcW w:w="1280" w:type="dxa"/>
            <w:vAlign w:val="bottom"/>
            <w:gridSpan w:val="12"/>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10.34*</w:t>
            </w:r>
          </w:p>
        </w:tc>
        <w:tc>
          <w:tcPr>
            <w:tcW w:w="39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18">
              <w:r>
                <w:rPr>
                  <w:rFonts w:ascii="Arial" w:cs="Arial" w:eastAsia="Arial" w:hAnsi="Arial"/>
                  <w:sz w:val="18"/>
                  <w:szCs w:val="18"/>
                  <w:color w:val="0000FF"/>
                  <w:w w:val="91"/>
                </w:rPr>
                <w:t>Huron Consulting Group Inc. 2012 Omnibus Incentive</w:t>
              </w:r>
            </w:hyperlink>
          </w:p>
        </w:tc>
        <w:tc>
          <w:tcPr>
            <w:tcW w:w="500" w:type="dxa"/>
            <w:vAlign w:val="bottom"/>
            <w:gridSpan w:val="9"/>
          </w:tcPr>
          <w:p>
            <w:pPr>
              <w:spacing w:after="0"/>
              <w:rPr>
                <w:sz w:val="21"/>
                <w:szCs w:val="21"/>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4260" w:type="dxa"/>
            <w:vAlign w:val="bottom"/>
            <w:tcBorders>
              <w:bottom w:val="single" w:sz="8" w:color="0000FF"/>
            </w:tcBorders>
            <w:gridSpan w:val="14"/>
          </w:tcPr>
          <w:p>
            <w:pPr>
              <w:spacing w:after="0" w:line="196" w:lineRule="exact"/>
              <w:rPr>
                <w:rFonts w:ascii="Arial" w:cs="Arial" w:eastAsia="Arial" w:hAnsi="Arial"/>
                <w:sz w:val="18"/>
                <w:szCs w:val="18"/>
                <w:color w:val="0000FF"/>
                <w:w w:val="88"/>
              </w:rPr>
            </w:pPr>
            <w:hyperlink w:anchor="page118">
              <w:r>
                <w:rPr>
                  <w:rFonts w:ascii="Arial" w:cs="Arial" w:eastAsia="Arial" w:hAnsi="Arial"/>
                  <w:sz w:val="18"/>
                  <w:szCs w:val="18"/>
                  <w:color w:val="0000FF"/>
                  <w:w w:val="88"/>
                </w:rPr>
                <w:t>Plan, as amended and restated effective February 13, 2020.</w:t>
              </w:r>
            </w:hyperlink>
          </w:p>
        </w:tc>
        <w:tc>
          <w:tcPr>
            <w:tcW w:w="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10.35</w:t>
            </w:r>
          </w:p>
        </w:tc>
        <w:tc>
          <w:tcPr>
            <w:tcW w:w="4100" w:type="dxa"/>
            <w:vAlign w:val="bottom"/>
            <w:tcBorders>
              <w:bottom w:val="single" w:sz="8" w:color="0000FF"/>
            </w:tcBorders>
            <w:gridSpan w:val="10"/>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Amendment No. 1 of the Second Amended and Restated</w:t>
              </w:r>
            </w:hyperlink>
          </w:p>
        </w:tc>
        <w:tc>
          <w:tcPr>
            <w:tcW w:w="340" w:type="dxa"/>
            <w:vAlign w:val="bottom"/>
            <w:gridSpan w:val="5"/>
          </w:tcPr>
          <w:p>
            <w:pPr>
              <w:spacing w:after="0"/>
              <w:rPr>
                <w:sz w:val="21"/>
                <w:szCs w:val="21"/>
                <w:color w:val="auto"/>
              </w:rPr>
            </w:pPr>
          </w:p>
        </w:tc>
        <w:tc>
          <w:tcPr>
            <w:tcW w:w="2780" w:type="dxa"/>
            <w:vAlign w:val="bottom"/>
          </w:tcPr>
          <w:p>
            <w:pPr>
              <w:jc w:val="center"/>
              <w:ind w:left="1650"/>
              <w:spacing w:after="0"/>
              <w:rPr>
                <w:sz w:val="20"/>
                <w:szCs w:val="20"/>
                <w:color w:val="auto"/>
              </w:rPr>
            </w:pPr>
            <w:r>
              <w:rPr>
                <w:rFonts w:ascii="Arial" w:cs="Arial" w:eastAsia="Arial" w:hAnsi="Arial"/>
                <w:sz w:val="18"/>
                <w:szCs w:val="18"/>
                <w:color w:val="auto"/>
                <w:w w:val="99"/>
              </w:rPr>
              <w:t>8-K</w:t>
            </w:r>
          </w:p>
        </w:tc>
        <w:tc>
          <w:tcPr>
            <w:tcW w:w="10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3/6/2017</w:t>
            </w:r>
          </w:p>
        </w:tc>
      </w:tr>
      <w:tr>
        <w:trPr>
          <w:trHeight w:val="196"/>
        </w:trPr>
        <w:tc>
          <w:tcPr>
            <w:tcW w:w="1040" w:type="dxa"/>
            <w:vAlign w:val="bottom"/>
          </w:tcPr>
          <w:p>
            <w:pPr>
              <w:spacing w:after="0"/>
              <w:rPr>
                <w:sz w:val="17"/>
                <w:szCs w:val="17"/>
                <w:color w:val="auto"/>
              </w:rPr>
            </w:pPr>
          </w:p>
        </w:tc>
        <w:tc>
          <w:tcPr>
            <w:tcW w:w="4440" w:type="dxa"/>
            <w:vAlign w:val="bottom"/>
            <w:gridSpan w:val="15"/>
          </w:tcPr>
          <w:p>
            <w:pPr>
              <w:spacing w:after="0" w:line="196" w:lineRule="exact"/>
              <w:rPr>
                <w:rFonts w:ascii="Arial" w:cs="Arial" w:eastAsia="Arial" w:hAnsi="Arial"/>
                <w:sz w:val="18"/>
                <w:szCs w:val="18"/>
                <w:color w:val="0000FF"/>
                <w:w w:val="96"/>
              </w:rPr>
            </w:pPr>
            <w:hyperlink r:id="rId47">
              <w:r>
                <w:rPr>
                  <w:rFonts w:ascii="Arial" w:cs="Arial" w:eastAsia="Arial" w:hAnsi="Arial"/>
                  <w:sz w:val="18"/>
                  <w:szCs w:val="18"/>
                  <w:color w:val="0000FF"/>
                  <w:w w:val="96"/>
                </w:rPr>
                <w:t>Credit Agreement, dated as of February 28, 2017, by and</w:t>
              </w:r>
            </w:hyperlink>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among Huron Consulting Group Inc., as Borrower, certain</w:t>
              </w:r>
            </w:hyperlink>
          </w:p>
        </w:tc>
        <w:tc>
          <w:tcPr>
            <w:tcW w:w="240" w:type="dxa"/>
            <w:vAlign w:val="bottom"/>
            <w:gridSpan w:val="4"/>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40" w:type="dxa"/>
            <w:vAlign w:val="bottom"/>
            <w:gridSpan w:val="15"/>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subsidiaries, as Guarantors, and Bank of America, N.A., as</w:t>
              </w:r>
            </w:hyperlink>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240" w:type="dxa"/>
            <w:vAlign w:val="bottom"/>
            <w:tcBorders>
              <w:top w:val="single" w:sz="8" w:color="0000FF"/>
            </w:tcBorders>
            <w:gridSpan w:val="13"/>
          </w:tcPr>
          <w:p>
            <w:pPr>
              <w:spacing w:after="0" w:line="196" w:lineRule="exact"/>
              <w:rPr>
                <w:rFonts w:ascii="Arial" w:cs="Arial" w:eastAsia="Arial" w:hAnsi="Arial"/>
                <w:sz w:val="18"/>
                <w:szCs w:val="18"/>
                <w:color w:val="0000FF"/>
                <w:w w:val="98"/>
              </w:rPr>
            </w:pPr>
            <w:hyperlink r:id="rId47">
              <w:r>
                <w:rPr>
                  <w:rFonts w:ascii="Arial" w:cs="Arial" w:eastAsia="Arial" w:hAnsi="Arial"/>
                  <w:sz w:val="18"/>
                  <w:szCs w:val="18"/>
                  <w:color w:val="0000FF"/>
                  <w:w w:val="98"/>
                </w:rPr>
                <w:t>Administrative Agent for and on behalf of the Lenders.</w:t>
              </w:r>
            </w:hyperlink>
          </w:p>
        </w:tc>
        <w:tc>
          <w:tcPr>
            <w:tcW w:w="200" w:type="dxa"/>
            <w:vAlign w:val="bottom"/>
            <w:gridSpan w:val="2"/>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10.36</w:t>
            </w:r>
          </w:p>
        </w:tc>
        <w:tc>
          <w:tcPr>
            <w:tcW w:w="4100" w:type="dxa"/>
            <w:vAlign w:val="bottom"/>
            <w:tcBorders>
              <w:bottom w:val="single" w:sz="8" w:color="0000FF"/>
            </w:tcBorders>
            <w:gridSpan w:val="10"/>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Amendment No. 2 of the Second Amended and Restated</w:t>
              </w:r>
            </w:hyperlink>
          </w:p>
        </w:tc>
        <w:tc>
          <w:tcPr>
            <w:tcW w:w="340" w:type="dxa"/>
            <w:vAlign w:val="bottom"/>
            <w:gridSpan w:val="5"/>
          </w:tcPr>
          <w:p>
            <w:pPr>
              <w:spacing w:after="0"/>
              <w:rPr>
                <w:sz w:val="24"/>
                <w:szCs w:val="24"/>
                <w:color w:val="auto"/>
              </w:rPr>
            </w:pPr>
          </w:p>
        </w:tc>
        <w:tc>
          <w:tcPr>
            <w:tcW w:w="2780" w:type="dxa"/>
            <w:vAlign w:val="bottom"/>
          </w:tcPr>
          <w:p>
            <w:pPr>
              <w:jc w:val="center"/>
              <w:ind w:left="16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9/30/2017</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11/1/2017</w:t>
            </w:r>
          </w:p>
        </w:tc>
      </w:tr>
      <w:tr>
        <w:trPr>
          <w:trHeight w:val="196"/>
        </w:trPr>
        <w:tc>
          <w:tcPr>
            <w:tcW w:w="1040" w:type="dxa"/>
            <w:vAlign w:val="bottom"/>
          </w:tcPr>
          <w:p>
            <w:pPr>
              <w:spacing w:after="0"/>
              <w:rPr>
                <w:sz w:val="17"/>
                <w:szCs w:val="17"/>
                <w:color w:val="auto"/>
              </w:rPr>
            </w:pPr>
          </w:p>
        </w:tc>
        <w:tc>
          <w:tcPr>
            <w:tcW w:w="404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Credit Agreement, dated as of October 24, 2017, by and</w:t>
              </w:r>
            </w:hyperlink>
          </w:p>
        </w:tc>
        <w:tc>
          <w:tcPr>
            <w:tcW w:w="400" w:type="dxa"/>
            <w:vAlign w:val="bottom"/>
            <w:gridSpan w:val="6"/>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2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among Huron Consulting Group Inc., as Borrower, certain</w:t>
              </w:r>
            </w:hyperlink>
          </w:p>
        </w:tc>
        <w:tc>
          <w:tcPr>
            <w:tcW w:w="240" w:type="dxa"/>
            <w:vAlign w:val="bottom"/>
            <w:gridSpan w:val="4"/>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40" w:type="dxa"/>
            <w:vAlign w:val="bottom"/>
            <w:gridSpan w:val="15"/>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subsidiaries, as Guarantors, and Bank of America, N.A., as</w:t>
              </w:r>
            </w:hyperlink>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240" w:type="dxa"/>
            <w:vAlign w:val="bottom"/>
            <w:tcBorders>
              <w:top w:val="single" w:sz="8" w:color="0000FF"/>
            </w:tcBorders>
            <w:gridSpan w:val="13"/>
          </w:tcPr>
          <w:p>
            <w:pPr>
              <w:spacing w:after="0" w:line="196" w:lineRule="exact"/>
              <w:rPr>
                <w:rFonts w:ascii="Arial" w:cs="Arial" w:eastAsia="Arial" w:hAnsi="Arial"/>
                <w:sz w:val="18"/>
                <w:szCs w:val="18"/>
                <w:color w:val="0000FF"/>
                <w:w w:val="98"/>
              </w:rPr>
            </w:pPr>
            <w:hyperlink r:id="rId48">
              <w:r>
                <w:rPr>
                  <w:rFonts w:ascii="Arial" w:cs="Arial" w:eastAsia="Arial" w:hAnsi="Arial"/>
                  <w:sz w:val="18"/>
                  <w:szCs w:val="18"/>
                  <w:color w:val="0000FF"/>
                  <w:w w:val="98"/>
                </w:rPr>
                <w:t>Administrative Agent for and on behalf of the Lenders.</w:t>
              </w:r>
            </w:hyperlink>
          </w:p>
        </w:tc>
        <w:tc>
          <w:tcPr>
            <w:tcW w:w="200" w:type="dxa"/>
            <w:vAlign w:val="bottom"/>
            <w:gridSpan w:val="2"/>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10.37</w:t>
            </w:r>
          </w:p>
        </w:tc>
        <w:tc>
          <w:tcPr>
            <w:tcW w:w="4000" w:type="dxa"/>
            <w:vAlign w:val="bottom"/>
            <w:tcBorders>
              <w:bottom w:val="single" w:sz="8" w:color="0000FF"/>
            </w:tcBorders>
            <w:gridSpan w:val="8"/>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Amendment No. 3 of the Credit Agreement, dated as of</w:t>
              </w:r>
            </w:hyperlink>
          </w:p>
        </w:tc>
        <w:tc>
          <w:tcPr>
            <w:tcW w:w="440" w:type="dxa"/>
            <w:vAlign w:val="bottom"/>
            <w:gridSpan w:val="7"/>
          </w:tcPr>
          <w:p>
            <w:pPr>
              <w:spacing w:after="0"/>
              <w:rPr>
                <w:sz w:val="21"/>
                <w:szCs w:val="21"/>
                <w:color w:val="auto"/>
              </w:rPr>
            </w:pPr>
          </w:p>
        </w:tc>
        <w:tc>
          <w:tcPr>
            <w:tcW w:w="2780" w:type="dxa"/>
            <w:vAlign w:val="bottom"/>
          </w:tcPr>
          <w:p>
            <w:pPr>
              <w:jc w:val="center"/>
              <w:ind w:left="1650"/>
              <w:spacing w:after="0"/>
              <w:rPr>
                <w:sz w:val="20"/>
                <w:szCs w:val="20"/>
                <w:color w:val="auto"/>
              </w:rPr>
            </w:pPr>
            <w:r>
              <w:rPr>
                <w:rFonts w:ascii="Arial" w:cs="Arial" w:eastAsia="Arial" w:hAnsi="Arial"/>
                <w:sz w:val="18"/>
                <w:szCs w:val="18"/>
                <w:color w:val="auto"/>
                <w:w w:val="99"/>
              </w:rPr>
              <w:t>8-K</w:t>
            </w:r>
          </w:p>
        </w:tc>
        <w:tc>
          <w:tcPr>
            <w:tcW w:w="10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40" w:type="dxa"/>
            <w:vAlign w:val="bottom"/>
          </w:tcPr>
          <w:p>
            <w:pPr>
              <w:jc w:val="center"/>
              <w:ind w:left="10"/>
              <w:spacing w:after="0"/>
              <w:rPr>
                <w:sz w:val="20"/>
                <w:szCs w:val="20"/>
                <w:color w:val="auto"/>
              </w:rPr>
            </w:pPr>
            <w:r>
              <w:rPr>
                <w:rFonts w:ascii="Arial" w:cs="Arial" w:eastAsia="Arial" w:hAnsi="Arial"/>
                <w:sz w:val="18"/>
                <w:szCs w:val="18"/>
                <w:color w:val="auto"/>
                <w:w w:val="92"/>
              </w:rPr>
              <w:t>3/29/2018</w:t>
            </w:r>
          </w:p>
        </w:tc>
      </w:tr>
      <w:tr>
        <w:trPr>
          <w:trHeight w:val="196"/>
        </w:trPr>
        <w:tc>
          <w:tcPr>
            <w:tcW w:w="1040" w:type="dxa"/>
            <w:vAlign w:val="bottom"/>
          </w:tcPr>
          <w:p>
            <w:pPr>
              <w:spacing w:after="0"/>
              <w:rPr>
                <w:sz w:val="17"/>
                <w:szCs w:val="17"/>
                <w:color w:val="auto"/>
              </w:rPr>
            </w:pPr>
          </w:p>
        </w:tc>
        <w:tc>
          <w:tcPr>
            <w:tcW w:w="410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March 23, 2018, by and among Huron Consulting Group</w:t>
              </w:r>
            </w:hyperlink>
          </w:p>
        </w:tc>
        <w:tc>
          <w:tcPr>
            <w:tcW w:w="340" w:type="dxa"/>
            <w:vAlign w:val="bottom"/>
            <w:gridSpan w:val="5"/>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13" w:lineRule="exact"/>
        <w:rPr>
          <w:sz w:val="20"/>
          <w:szCs w:val="20"/>
          <w:color w:val="auto"/>
        </w:rPr>
      </w:pPr>
    </w:p>
    <w:p>
      <w:pPr>
        <w:ind w:left="108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Inc., as Borrower, certain subsidiaries, as Guarantors, and</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Bank of America, N.A., as Administrative Agent for and</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on behalf of the Lenders.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8"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40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31"/>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24"/>
                <w:szCs w:val="24"/>
                <w:color w:val="auto"/>
              </w:rPr>
            </w:pPr>
          </w:p>
        </w:tc>
      </w:tr>
      <w:tr>
        <w:trPr>
          <w:trHeight w:val="27"/>
        </w:trPr>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Furnished</w:t>
            </w:r>
          </w:p>
        </w:tc>
        <w:tc>
          <w:tcPr>
            <w:tcW w:w="940" w:type="dxa"/>
            <w:vAlign w:val="bottom"/>
          </w:tcPr>
          <w:p>
            <w:pPr>
              <w:spacing w:after="0"/>
              <w:rPr>
                <w:sz w:val="18"/>
                <w:szCs w:val="18"/>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Period</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4320" w:type="dxa"/>
            <w:vAlign w:val="bottom"/>
            <w:gridSpan w:val="16"/>
          </w:tcPr>
          <w:p>
            <w:pPr>
              <w:spacing w:after="0"/>
              <w:rPr>
                <w:sz w:val="20"/>
                <w:szCs w:val="20"/>
                <w:color w:val="auto"/>
              </w:rPr>
            </w:pPr>
            <w:r>
              <w:rPr>
                <w:rFonts w:ascii="Arial" w:cs="Arial" w:eastAsia="Arial" w:hAnsi="Arial"/>
                <w:sz w:val="18"/>
                <w:szCs w:val="18"/>
                <w:b w:val="1"/>
                <w:bCs w:val="1"/>
                <w:color w:val="auto"/>
              </w:rPr>
              <w:t>Exhibit Description</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Form</w:t>
            </w:r>
          </w:p>
        </w:tc>
        <w:tc>
          <w:tcPr>
            <w:tcW w:w="122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Ending</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27"/>
        </w:trPr>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080" w:type="dxa"/>
            <w:vAlign w:val="bottom"/>
          </w:tcPr>
          <w:p>
            <w:pPr>
              <w:ind w:left="40"/>
              <w:spacing w:after="0" w:line="196" w:lineRule="exact"/>
              <w:rPr>
                <w:sz w:val="20"/>
                <w:szCs w:val="20"/>
                <w:color w:val="auto"/>
              </w:rPr>
            </w:pPr>
            <w:r>
              <w:rPr>
                <w:rFonts w:ascii="Arial" w:cs="Arial" w:eastAsia="Arial" w:hAnsi="Arial"/>
                <w:sz w:val="18"/>
                <w:szCs w:val="18"/>
                <w:color w:val="auto"/>
              </w:rPr>
              <w:t>10.38</w:t>
            </w:r>
          </w:p>
        </w:tc>
        <w:tc>
          <w:tcPr>
            <w:tcW w:w="40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Amendment No. 4 of the Credit Agreement, the Pledge</w:t>
              </w:r>
            </w:hyperlink>
          </w:p>
        </w:tc>
        <w:tc>
          <w:tcPr>
            <w:tcW w:w="32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17"/>
                <w:szCs w:val="17"/>
                <w:color w:val="auto"/>
              </w:rPr>
            </w:pPr>
          </w:p>
        </w:tc>
        <w:tc>
          <w:tcPr>
            <w:tcW w:w="10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10.1</w:t>
            </w:r>
          </w:p>
        </w:tc>
        <w:tc>
          <w:tcPr>
            <w:tcW w:w="10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10/3/2019</w:t>
            </w:r>
          </w:p>
        </w:tc>
      </w:tr>
      <w:tr>
        <w:trPr>
          <w:trHeight w:val="196"/>
        </w:trPr>
        <w:tc>
          <w:tcPr>
            <w:tcW w:w="1080" w:type="dxa"/>
            <w:vAlign w:val="bottom"/>
          </w:tcPr>
          <w:p>
            <w:pPr>
              <w:spacing w:after="0"/>
              <w:rPr>
                <w:sz w:val="17"/>
                <w:szCs w:val="17"/>
                <w:color w:val="auto"/>
              </w:rPr>
            </w:pPr>
          </w:p>
        </w:tc>
        <w:tc>
          <w:tcPr>
            <w:tcW w:w="4320" w:type="dxa"/>
            <w:vAlign w:val="bottom"/>
            <w:gridSpan w:val="16"/>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Agreement and the Security Agreement, dated as of</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320" w:type="dxa"/>
            <w:vAlign w:val="bottom"/>
            <w:gridSpan w:val="16"/>
          </w:tcPr>
          <w:p>
            <w:pPr>
              <w:spacing w:after="0" w:line="19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September 27, 2019, by and among Huron Consulting</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Group Inc., as Borrower, certain subsidiaries, as</w:t>
              </w:r>
            </w:hyperlink>
          </w:p>
        </w:tc>
        <w:tc>
          <w:tcPr>
            <w:tcW w:w="420" w:type="dxa"/>
            <w:vAlign w:val="bottom"/>
            <w:tcBorders>
              <w:top w:val="single" w:sz="8" w:color="0000FF"/>
            </w:tcBorders>
            <w:gridSpan w:val="3"/>
          </w:tcPr>
          <w:p>
            <w:pPr>
              <w:spacing w:after="0"/>
              <w:rPr>
                <w:sz w:val="17"/>
                <w:szCs w:val="17"/>
                <w:color w:val="auto"/>
              </w:rPr>
            </w:pPr>
          </w:p>
        </w:tc>
        <w:tc>
          <w:tcPr>
            <w:tcW w:w="4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Guarantors, and Bank of America, N.A., as Administrative</w:t>
              </w:r>
            </w:hyperlink>
          </w:p>
        </w:tc>
        <w:tc>
          <w:tcPr>
            <w:tcW w:w="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320" w:type="dxa"/>
            <w:vAlign w:val="bottom"/>
            <w:gridSpan w:val="16"/>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Agent for and on behalf of the Lenders.</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21.1</w:t>
            </w:r>
          </w:p>
        </w:tc>
        <w:tc>
          <w:tcPr>
            <w:tcW w:w="376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134">
              <w:r>
                <w:rPr>
                  <w:rFonts w:ascii="Arial" w:cs="Arial" w:eastAsia="Arial" w:hAnsi="Arial"/>
                  <w:sz w:val="18"/>
                  <w:szCs w:val="18"/>
                  <w:color w:val="0000FF"/>
                  <w:w w:val="92"/>
                </w:rPr>
                <w:t>List of Subsidiaries of Huron Consulting Group Inc.</w:t>
              </w:r>
            </w:hyperlink>
          </w:p>
        </w:tc>
        <w:tc>
          <w:tcPr>
            <w:tcW w:w="560" w:type="dxa"/>
            <w:vAlign w:val="bottom"/>
            <w:gridSpan w:val="8"/>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23.1</w:t>
            </w:r>
          </w:p>
        </w:tc>
        <w:tc>
          <w:tcPr>
            <w:tcW w:w="4320" w:type="dxa"/>
            <w:vAlign w:val="bottom"/>
            <w:gridSpan w:val="16"/>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Consent of PricewaterhouseCoopers LLP.</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31.1</w:t>
            </w:r>
          </w:p>
        </w:tc>
        <w:tc>
          <w:tcPr>
            <w:tcW w:w="4320" w:type="dxa"/>
            <w:vAlign w:val="bottom"/>
            <w:gridSpan w:val="16"/>
          </w:tcPr>
          <w:p>
            <w:pPr>
              <w:spacing w:after="0"/>
              <w:rPr>
                <w:rFonts w:ascii="Arial" w:cs="Arial" w:eastAsia="Arial" w:hAnsi="Arial"/>
                <w:sz w:val="18"/>
                <w:szCs w:val="18"/>
                <w:color w:val="0000FF"/>
                <w:w w:val="99"/>
              </w:rPr>
            </w:pPr>
            <w:hyperlink w:anchor="page136">
              <w:r>
                <w:rPr>
                  <w:rFonts w:ascii="Arial" w:cs="Arial" w:eastAsia="Arial" w:hAnsi="Arial"/>
                  <w:sz w:val="18"/>
                  <w:szCs w:val="18"/>
                  <w:color w:val="0000FF"/>
                  <w:w w:val="99"/>
                </w:rPr>
                <w:t>Certification of the Chief Executive Officer, pursuant to</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320" w:type="dxa"/>
            <w:vAlign w:val="bottom"/>
            <w:gridSpan w:val="16"/>
          </w:tcPr>
          <w:p>
            <w:pPr>
              <w:spacing w:after="0" w:line="196" w:lineRule="exact"/>
              <w:rPr>
                <w:rFonts w:ascii="Arial" w:cs="Arial" w:eastAsia="Arial" w:hAnsi="Arial"/>
                <w:sz w:val="18"/>
                <w:szCs w:val="18"/>
                <w:color w:val="0000FF"/>
                <w:w w:val="93"/>
              </w:rPr>
            </w:pPr>
            <w:hyperlink w:anchor="page136">
              <w:r>
                <w:rPr>
                  <w:rFonts w:ascii="Arial" w:cs="Arial" w:eastAsia="Arial" w:hAnsi="Arial"/>
                  <w:sz w:val="18"/>
                  <w:szCs w:val="18"/>
                  <w:color w:val="0000FF"/>
                  <w:w w:val="93"/>
                </w:rPr>
                <w:t>Rule 13a-14(a)/15d-14(a), as adopted pursuant to Section</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12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302 of the Sarbanes-Oxley Act of 2002.</w:t>
              </w:r>
            </w:hyperlink>
          </w:p>
        </w:tc>
        <w:tc>
          <w:tcPr>
            <w:tcW w:w="2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31.2</w:t>
            </w:r>
          </w:p>
        </w:tc>
        <w:tc>
          <w:tcPr>
            <w:tcW w:w="398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37">
              <w:r>
                <w:rPr>
                  <w:rFonts w:ascii="Arial" w:cs="Arial" w:eastAsia="Arial" w:hAnsi="Arial"/>
                  <w:sz w:val="18"/>
                  <w:szCs w:val="18"/>
                  <w:color w:val="0000FF"/>
                  <w:w w:val="92"/>
                </w:rPr>
                <w:t>Certification of the Chief Financial Officer, pursuant to</w:t>
              </w:r>
            </w:hyperlink>
          </w:p>
        </w:tc>
        <w:tc>
          <w:tcPr>
            <w:tcW w:w="340" w:type="dxa"/>
            <w:vAlign w:val="bottom"/>
            <w:gridSpan w:val="6"/>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4320" w:type="dxa"/>
            <w:vAlign w:val="bottom"/>
            <w:gridSpan w:val="16"/>
          </w:tcPr>
          <w:p>
            <w:pPr>
              <w:spacing w:after="0" w:line="196" w:lineRule="exact"/>
              <w:rPr>
                <w:rFonts w:ascii="Arial" w:cs="Arial" w:eastAsia="Arial" w:hAnsi="Arial"/>
                <w:sz w:val="18"/>
                <w:szCs w:val="18"/>
                <w:color w:val="0000FF"/>
                <w:w w:val="93"/>
              </w:rPr>
            </w:pPr>
            <w:hyperlink w:anchor="page137">
              <w:r>
                <w:rPr>
                  <w:rFonts w:ascii="Arial" w:cs="Arial" w:eastAsia="Arial" w:hAnsi="Arial"/>
                  <w:sz w:val="18"/>
                  <w:szCs w:val="18"/>
                  <w:color w:val="0000FF"/>
                  <w:w w:val="93"/>
                </w:rPr>
                <w:t>Rule 13a-14(a)/15d-14(a), as adopted pursuant to Section</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12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w:anchor="page137">
              <w:r>
                <w:rPr>
                  <w:rFonts w:ascii="Arial" w:cs="Arial" w:eastAsia="Arial" w:hAnsi="Arial"/>
                  <w:sz w:val="18"/>
                  <w:szCs w:val="18"/>
                  <w:color w:val="0000FF"/>
                </w:rPr>
                <w:t>302 of the Sarbanes-Oxley Act of 2002.</w:t>
              </w:r>
            </w:hyperlink>
          </w:p>
        </w:tc>
        <w:tc>
          <w:tcPr>
            <w:tcW w:w="2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32.1</w:t>
            </w:r>
          </w:p>
        </w:tc>
        <w:tc>
          <w:tcPr>
            <w:tcW w:w="4320" w:type="dxa"/>
            <w:vAlign w:val="bottom"/>
            <w:gridSpan w:val="16"/>
          </w:tcPr>
          <w:p>
            <w:pPr>
              <w:spacing w:after="0"/>
              <w:rPr>
                <w:rFonts w:ascii="Arial" w:cs="Arial" w:eastAsia="Arial" w:hAnsi="Arial"/>
                <w:sz w:val="18"/>
                <w:szCs w:val="18"/>
                <w:color w:val="0000FF"/>
                <w:w w:val="93"/>
              </w:rPr>
            </w:pPr>
            <w:hyperlink w:anchor="page138">
              <w:r>
                <w:rPr>
                  <w:rFonts w:ascii="Arial" w:cs="Arial" w:eastAsia="Arial" w:hAnsi="Arial"/>
                  <w:sz w:val="18"/>
                  <w:szCs w:val="18"/>
                  <w:color w:val="0000FF"/>
                  <w:w w:val="93"/>
                </w:rPr>
                <w:t>Certification of the Chief Executive Officer, pursuant to 18</w:t>
              </w:r>
            </w:hyperlink>
          </w:p>
        </w:tc>
        <w:tc>
          <w:tcPr>
            <w:tcW w:w="8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320" w:type="dxa"/>
            <w:vAlign w:val="bottom"/>
            <w:gridSpan w:val="16"/>
          </w:tcPr>
          <w:p>
            <w:pPr>
              <w:spacing w:after="0" w:line="196" w:lineRule="exact"/>
              <w:rPr>
                <w:rFonts w:ascii="Arial" w:cs="Arial" w:eastAsia="Arial" w:hAnsi="Arial"/>
                <w:sz w:val="18"/>
                <w:szCs w:val="18"/>
                <w:color w:val="0000FF"/>
                <w:w w:val="90"/>
              </w:rPr>
            </w:pPr>
            <w:hyperlink w:anchor="page138">
              <w:r>
                <w:rPr>
                  <w:rFonts w:ascii="Arial" w:cs="Arial" w:eastAsia="Arial" w:hAnsi="Arial"/>
                  <w:sz w:val="18"/>
                  <w:szCs w:val="18"/>
                  <w:color w:val="0000FF"/>
                  <w:w w:val="90"/>
                </w:rPr>
                <w:t>U.S.C. Section 1350, as adopted pursuant to Section 906 of</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3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138">
              <w:r>
                <w:rPr>
                  <w:rFonts w:ascii="Arial" w:cs="Arial" w:eastAsia="Arial" w:hAnsi="Arial"/>
                  <w:sz w:val="18"/>
                  <w:szCs w:val="18"/>
                  <w:color w:val="0000FF"/>
                  <w:w w:val="89"/>
                </w:rPr>
                <w:t>the Sarbanes-Oxley Act of 2002.</w:t>
              </w:r>
            </w:hyperlink>
          </w:p>
        </w:tc>
        <w:tc>
          <w:tcPr>
            <w:tcW w:w="1900" w:type="dxa"/>
            <w:vAlign w:val="bottom"/>
            <w:tcBorders>
              <w:top w:val="single" w:sz="8" w:color="0000FF"/>
            </w:tcBorders>
            <w:gridSpan w:val="13"/>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32.2</w:t>
            </w:r>
          </w:p>
        </w:tc>
        <w:tc>
          <w:tcPr>
            <w:tcW w:w="424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39">
              <w:r>
                <w:rPr>
                  <w:rFonts w:ascii="Arial" w:cs="Arial" w:eastAsia="Arial" w:hAnsi="Arial"/>
                  <w:sz w:val="18"/>
                  <w:szCs w:val="18"/>
                  <w:color w:val="0000FF"/>
                  <w:w w:val="92"/>
                </w:rPr>
                <w:t>Certification of the Chief Financial Officer, pursuant to 18</w:t>
              </w:r>
            </w:hyperlink>
          </w:p>
        </w:tc>
        <w:tc>
          <w:tcPr>
            <w:tcW w:w="8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4320" w:type="dxa"/>
            <w:vAlign w:val="bottom"/>
            <w:gridSpan w:val="16"/>
          </w:tcPr>
          <w:p>
            <w:pPr>
              <w:spacing w:after="0" w:line="196" w:lineRule="exact"/>
              <w:rPr>
                <w:rFonts w:ascii="Arial" w:cs="Arial" w:eastAsia="Arial" w:hAnsi="Arial"/>
                <w:sz w:val="18"/>
                <w:szCs w:val="18"/>
                <w:color w:val="0000FF"/>
                <w:w w:val="90"/>
              </w:rPr>
            </w:pPr>
            <w:hyperlink w:anchor="page139">
              <w:r>
                <w:rPr>
                  <w:rFonts w:ascii="Arial" w:cs="Arial" w:eastAsia="Arial" w:hAnsi="Arial"/>
                  <w:sz w:val="18"/>
                  <w:szCs w:val="18"/>
                  <w:color w:val="0000FF"/>
                  <w:w w:val="90"/>
                </w:rPr>
                <w:t>U.S.C. Section 1350, as adopted pursuant to Section 906 of</w:t>
              </w:r>
            </w:hyperlink>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3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139">
              <w:r>
                <w:rPr>
                  <w:rFonts w:ascii="Arial" w:cs="Arial" w:eastAsia="Arial" w:hAnsi="Arial"/>
                  <w:sz w:val="18"/>
                  <w:szCs w:val="18"/>
                  <w:color w:val="0000FF"/>
                  <w:w w:val="89"/>
                </w:rPr>
                <w:t>the Sarbanes-Oxley Act of 2002.</w:t>
              </w:r>
            </w:hyperlink>
          </w:p>
        </w:tc>
        <w:tc>
          <w:tcPr>
            <w:tcW w:w="1900" w:type="dxa"/>
            <w:vAlign w:val="bottom"/>
            <w:tcBorders>
              <w:top w:val="single" w:sz="8" w:color="0000FF"/>
            </w:tcBorders>
            <w:gridSpan w:val="13"/>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6"/>
        </w:trPr>
        <w:tc>
          <w:tcPr>
            <w:tcW w:w="1080" w:type="dxa"/>
            <w:vAlign w:val="bottom"/>
          </w:tcPr>
          <w:p>
            <w:pPr>
              <w:ind w:left="40"/>
              <w:spacing w:after="0"/>
              <w:rPr>
                <w:sz w:val="20"/>
                <w:szCs w:val="20"/>
                <w:color w:val="auto"/>
              </w:rPr>
            </w:pPr>
            <w:r>
              <w:rPr>
                <w:rFonts w:ascii="Arial" w:cs="Arial" w:eastAsia="Arial" w:hAnsi="Arial"/>
                <w:sz w:val="18"/>
                <w:szCs w:val="18"/>
                <w:color w:val="auto"/>
              </w:rPr>
              <w:t>101.INS</w:t>
            </w:r>
          </w:p>
        </w:tc>
        <w:tc>
          <w:tcPr>
            <w:tcW w:w="4320" w:type="dxa"/>
            <w:vAlign w:val="bottom"/>
            <w:gridSpan w:val="16"/>
          </w:tcPr>
          <w:p>
            <w:pPr>
              <w:spacing w:after="0"/>
              <w:rPr>
                <w:sz w:val="20"/>
                <w:szCs w:val="20"/>
                <w:color w:val="auto"/>
              </w:rPr>
            </w:pPr>
            <w:r>
              <w:rPr>
                <w:rFonts w:ascii="Arial" w:cs="Arial" w:eastAsia="Arial" w:hAnsi="Arial"/>
                <w:sz w:val="18"/>
                <w:szCs w:val="18"/>
                <w:color w:val="auto"/>
                <w:w w:val="95"/>
              </w:rPr>
              <w:t>Inline XBRL Instance Document - the instance document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Arial" w:cs="Arial" w:eastAsia="Arial" w:hAnsi="Arial"/>
                <w:sz w:val="18"/>
                <w:szCs w:val="18"/>
                <w:color w:val="auto"/>
                <w:w w:val="97"/>
              </w:rPr>
              <w:t>does not appear in the Interactive Data File because its</w:t>
            </w: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Arial" w:cs="Arial" w:eastAsia="Arial" w:hAnsi="Arial"/>
                <w:sz w:val="18"/>
                <w:szCs w:val="18"/>
                <w:color w:val="auto"/>
              </w:rPr>
              <w:t>XBRL tags are embedded within the Inline XBRL</w:t>
            </w: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432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43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6"/>
        </w:trPr>
        <w:tc>
          <w:tcPr>
            <w:tcW w:w="1080" w:type="dxa"/>
            <w:vAlign w:val="bottom"/>
          </w:tcPr>
          <w:p>
            <w:pPr>
              <w:ind w:left="40"/>
              <w:spacing w:after="0"/>
              <w:rPr>
                <w:sz w:val="20"/>
                <w:szCs w:val="20"/>
                <w:color w:val="auto"/>
              </w:rPr>
            </w:pPr>
            <w:r>
              <w:rPr>
                <w:rFonts w:ascii="Arial" w:cs="Arial" w:eastAsia="Arial" w:hAnsi="Arial"/>
                <w:sz w:val="18"/>
                <w:szCs w:val="18"/>
                <w:color w:val="auto"/>
              </w:rPr>
              <w:t>101.CAL</w:t>
            </w:r>
          </w:p>
        </w:tc>
        <w:tc>
          <w:tcPr>
            <w:tcW w:w="4320" w:type="dxa"/>
            <w:vAlign w:val="bottom"/>
            <w:gridSpan w:val="16"/>
          </w:tcPr>
          <w:p>
            <w:pPr>
              <w:spacing w:after="0"/>
              <w:rPr>
                <w:sz w:val="20"/>
                <w:szCs w:val="20"/>
                <w:color w:val="auto"/>
              </w:rPr>
            </w:pPr>
            <w:r>
              <w:rPr>
                <w:rFonts w:ascii="Arial" w:cs="Arial" w:eastAsia="Arial" w:hAnsi="Arial"/>
                <w:sz w:val="18"/>
                <w:szCs w:val="18"/>
                <w:color w:val="auto"/>
                <w:w w:val="97"/>
              </w:rPr>
              <w:t>Inline XBRL Taxonomy Extension Calculation Linkbase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432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080" w:type="dxa"/>
            <w:vAlign w:val="bottom"/>
          </w:tcPr>
          <w:p>
            <w:pPr>
              <w:ind w:left="40"/>
              <w:spacing w:after="0"/>
              <w:rPr>
                <w:sz w:val="20"/>
                <w:szCs w:val="20"/>
                <w:color w:val="auto"/>
              </w:rPr>
            </w:pPr>
            <w:r>
              <w:rPr>
                <w:rFonts w:ascii="Arial" w:cs="Arial" w:eastAsia="Arial" w:hAnsi="Arial"/>
                <w:sz w:val="18"/>
                <w:szCs w:val="18"/>
                <w:color w:val="auto"/>
              </w:rPr>
              <w:t>101.LAB</w:t>
            </w:r>
          </w:p>
        </w:tc>
        <w:tc>
          <w:tcPr>
            <w:tcW w:w="432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432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4320" w:type="dxa"/>
            <w:vAlign w:val="bottom"/>
            <w:gridSpan w:val="16"/>
          </w:tcPr>
          <w:p>
            <w:pPr>
              <w:spacing w:after="0"/>
              <w:rPr>
                <w:sz w:val="20"/>
                <w:szCs w:val="20"/>
                <w:color w:val="auto"/>
              </w:rPr>
            </w:pPr>
            <w:r>
              <w:rPr>
                <w:rFonts w:ascii="Arial" w:cs="Arial" w:eastAsia="Arial" w:hAnsi="Arial"/>
                <w:sz w:val="18"/>
                <w:szCs w:val="18"/>
                <w:color w:val="auto"/>
                <w:w w:val="95"/>
              </w:rPr>
              <w:t>Inline XBRL Taxonomy Extension Presentation Linkbase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432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43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432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080" w:type="dxa"/>
            <w:vAlign w:val="bottom"/>
          </w:tcPr>
          <w:p>
            <w:pPr>
              <w:ind w:left="40"/>
              <w:spacing w:after="0"/>
              <w:rPr>
                <w:sz w:val="20"/>
                <w:szCs w:val="20"/>
                <w:color w:val="auto"/>
              </w:rPr>
            </w:pPr>
            <w:r>
              <w:rPr>
                <w:rFonts w:ascii="Arial" w:cs="Arial" w:eastAsia="Arial" w:hAnsi="Arial"/>
                <w:sz w:val="18"/>
                <w:szCs w:val="18"/>
                <w:color w:val="auto"/>
              </w:rPr>
              <w:t>104</w:t>
            </w:r>
          </w:p>
        </w:tc>
        <w:tc>
          <w:tcPr>
            <w:tcW w:w="432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4320" w:type="dxa"/>
            <w:vAlign w:val="bottom"/>
            <w:gridSpan w:val="16"/>
          </w:tcPr>
          <w:p>
            <w:pPr>
              <w:spacing w:after="0"/>
              <w:rPr>
                <w:sz w:val="20"/>
                <w:szCs w:val="20"/>
                <w:color w:val="auto"/>
              </w:rPr>
            </w:pPr>
            <w:r>
              <w:rPr>
                <w:rFonts w:ascii="Arial" w:cs="Arial" w:eastAsia="Arial" w:hAnsi="Arial"/>
                <w:sz w:val="18"/>
                <w:szCs w:val="18"/>
                <w:color w:val="auto"/>
              </w:rPr>
              <w:t>XBRL and contained in Exhibit 101)</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Indicates the exhibit is a management contract or compensatory plan or arrangement.</w:t>
      </w:r>
    </w:p>
    <w:p>
      <w:pPr>
        <w:spacing w:after="0" w:line="171" w:lineRule="exact"/>
        <w:rPr>
          <w:sz w:val="20"/>
          <w:szCs w:val="20"/>
          <w:color w:val="auto"/>
        </w:rPr>
      </w:pPr>
    </w:p>
    <w:p>
      <w:pPr>
        <w:ind w:left="260" w:right="500" w:hanging="225"/>
        <w:spacing w:after="0" w:line="232" w:lineRule="auto"/>
        <w:tabs>
          <w:tab w:leader="none" w:pos="260" w:val="left"/>
        </w:tabs>
        <w:numPr>
          <w:ilvl w:val="0"/>
          <w:numId w:val="19"/>
        </w:numPr>
        <w:rPr>
          <w:rFonts w:ascii="Arial" w:cs="Arial" w:eastAsia="Arial" w:hAnsi="Arial"/>
          <w:sz w:val="22"/>
          <w:szCs w:val="22"/>
          <w:color w:val="auto"/>
          <w:vertAlign w:val="subscript"/>
        </w:rPr>
      </w:pPr>
      <w:r>
        <w:rPr>
          <w:rFonts w:ascii="Arial" w:cs="Arial" w:eastAsia="Arial" w:hAnsi="Arial"/>
          <w:sz w:val="18"/>
          <w:szCs w:val="18"/>
          <w:color w:val="auto"/>
        </w:rPr>
        <w:t>Pursuant to Regulation S-K 601(b)(10)(iv), certain exhibits to this Exhibit have been omitted. The Company agrees to furnish supplementally to the Securities and Exchange Commission, upon its request, a copy of any or all omitted exhibits.</w:t>
      </w:r>
    </w:p>
    <w:p>
      <w:pPr>
        <w:spacing w:after="0" w:line="200" w:lineRule="exact"/>
        <w:rPr>
          <w:sz w:val="20"/>
          <w:szCs w:val="20"/>
          <w:color w:val="auto"/>
        </w:rPr>
      </w:pPr>
    </w:p>
    <w:p>
      <w:pPr>
        <w:spacing w:after="0" w:line="29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468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1820" w:type="dxa"/>
            <w:vAlign w:val="bottom"/>
          </w:tcPr>
          <w:p>
            <w:pPr>
              <w:spacing w:after="0"/>
              <w:rPr>
                <w:sz w:val="17"/>
                <w:szCs w:val="17"/>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8"/>
              </w:rPr>
              <w:t>/s/  JAMES H. ROTH</w:t>
            </w:r>
          </w:p>
        </w:tc>
        <w:tc>
          <w:tcPr>
            <w:tcW w:w="46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Director</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2/25/2020</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James H. Roth</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James H. Roth, John D. Kelly, and Diane Ratekin,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558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920" w:type="dxa"/>
            <w:vAlign w:val="bottom"/>
          </w:tcPr>
          <w:p>
            <w:pPr>
              <w:spacing w:after="0"/>
              <w:rPr>
                <w:sz w:val="18"/>
                <w:szCs w:val="18"/>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4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/s/</w:t>
            </w:r>
          </w:p>
        </w:tc>
        <w:tc>
          <w:tcPr>
            <w:tcW w:w="2520" w:type="dxa"/>
            <w:vAlign w:val="bottom"/>
            <w:gridSpan w:val="3"/>
          </w:tcPr>
          <w:p>
            <w:pPr>
              <w:jc w:val="center"/>
              <w:ind w:right="1080"/>
              <w:spacing w:after="0"/>
              <w:rPr>
                <w:sz w:val="20"/>
                <w:szCs w:val="20"/>
                <w:color w:val="auto"/>
              </w:rPr>
            </w:pPr>
            <w:r>
              <w:rPr>
                <w:rFonts w:ascii="Arial" w:cs="Arial" w:eastAsia="Arial" w:hAnsi="Arial"/>
                <w:sz w:val="18"/>
                <w:szCs w:val="18"/>
                <w:color w:val="auto"/>
                <w:w w:val="94"/>
              </w:rPr>
              <w:t>JAMES H. ROTH</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2/25/2020</w:t>
            </w:r>
          </w:p>
        </w:tc>
        <w:tc>
          <w:tcPr>
            <w:tcW w:w="0" w:type="dxa"/>
            <w:vAlign w:val="bottom"/>
          </w:tcPr>
          <w:p>
            <w:pPr>
              <w:spacing w:after="0"/>
              <w:rPr>
                <w:sz w:val="1"/>
                <w:szCs w:val="1"/>
                <w:color w:val="auto"/>
              </w:rPr>
            </w:pPr>
          </w:p>
        </w:tc>
      </w:tr>
      <w:tr>
        <w:trPr>
          <w:trHeight w:val="41"/>
        </w:trPr>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58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Executive Officer)</w:t>
            </w: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3"/>
            <w:vMerge w:val="restart"/>
          </w:tcPr>
          <w:p>
            <w:pPr>
              <w:jc w:val="center"/>
              <w:ind w:right="1080"/>
              <w:spacing w:after="0"/>
              <w:rPr>
                <w:sz w:val="20"/>
                <w:szCs w:val="20"/>
                <w:color w:val="auto"/>
              </w:rPr>
            </w:pPr>
            <w:r>
              <w:rPr>
                <w:rFonts w:ascii="Arial" w:cs="Arial" w:eastAsia="Arial" w:hAnsi="Arial"/>
                <w:sz w:val="18"/>
                <w:szCs w:val="18"/>
                <w:color w:val="auto"/>
                <w:w w:val="87"/>
              </w:rPr>
              <w:t>James H. Roth</w:t>
            </w:r>
          </w:p>
        </w:tc>
        <w:tc>
          <w:tcPr>
            <w:tcW w:w="55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940" w:type="dxa"/>
            <w:vAlign w:val="bottom"/>
          </w:tcPr>
          <w:p>
            <w:pPr>
              <w:ind w:left="640"/>
              <w:spacing w:after="0"/>
              <w:rPr>
                <w:sz w:val="20"/>
                <w:szCs w:val="20"/>
                <w:color w:val="auto"/>
              </w:rPr>
            </w:pPr>
            <w:r>
              <w:rPr>
                <w:rFonts w:ascii="Arial" w:cs="Arial" w:eastAsia="Arial" w:hAnsi="Arial"/>
                <w:sz w:val="18"/>
                <w:szCs w:val="18"/>
                <w:color w:val="auto"/>
              </w:rPr>
              <w:t>/s/</w:t>
            </w:r>
          </w:p>
        </w:tc>
        <w:tc>
          <w:tcPr>
            <w:tcW w:w="2840" w:type="dxa"/>
            <w:vAlign w:val="bottom"/>
            <w:gridSpan w:val="4"/>
          </w:tcPr>
          <w:p>
            <w:pPr>
              <w:ind w:left="60"/>
              <w:spacing w:after="0"/>
              <w:rPr>
                <w:sz w:val="20"/>
                <w:szCs w:val="20"/>
                <w:color w:val="auto"/>
              </w:rPr>
            </w:pPr>
            <w:r>
              <w:rPr>
                <w:rFonts w:ascii="Arial" w:cs="Arial" w:eastAsia="Arial" w:hAnsi="Arial"/>
                <w:sz w:val="18"/>
                <w:szCs w:val="18"/>
                <w:color w:val="auto"/>
              </w:rPr>
              <w:t>JOHN F. MCCARTNEY</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Non-Executive Chairman of the Board</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2/25/2020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2840" w:type="dxa"/>
            <w:vAlign w:val="bottom"/>
            <w:gridSpan w:val="4"/>
          </w:tcPr>
          <w:p>
            <w:pPr>
              <w:jc w:val="center"/>
              <w:ind w:right="940"/>
              <w:spacing w:after="0"/>
              <w:rPr>
                <w:sz w:val="20"/>
                <w:szCs w:val="20"/>
                <w:color w:val="auto"/>
              </w:rPr>
            </w:pPr>
            <w:r>
              <w:rPr>
                <w:rFonts w:ascii="Arial" w:cs="Arial" w:eastAsia="Arial" w:hAnsi="Arial"/>
                <w:sz w:val="18"/>
                <w:szCs w:val="18"/>
                <w:color w:val="auto"/>
                <w:w w:val="90"/>
              </w:rPr>
              <w:t>John F. McCartney</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tcPr>
          <w:p>
            <w:pPr>
              <w:ind w:left="640"/>
              <w:spacing w:after="0"/>
              <w:rPr>
                <w:sz w:val="20"/>
                <w:szCs w:val="20"/>
                <w:color w:val="auto"/>
              </w:rPr>
            </w:pPr>
            <w:r>
              <w:rPr>
                <w:rFonts w:ascii="Arial" w:cs="Arial" w:eastAsia="Arial" w:hAnsi="Arial"/>
                <w:sz w:val="18"/>
                <w:szCs w:val="18"/>
                <w:color w:val="auto"/>
              </w:rPr>
              <w:t>/s/</w:t>
            </w:r>
          </w:p>
        </w:tc>
        <w:tc>
          <w:tcPr>
            <w:tcW w:w="28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GEORGE E. MASSARO</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Vice Chairman of the Board</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2/25/2020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2840" w:type="dxa"/>
            <w:vAlign w:val="bottom"/>
            <w:gridSpan w:val="4"/>
          </w:tcPr>
          <w:p>
            <w:pPr>
              <w:jc w:val="center"/>
              <w:ind w:right="940"/>
              <w:spacing w:after="0"/>
              <w:rPr>
                <w:sz w:val="20"/>
                <w:szCs w:val="20"/>
                <w:color w:val="auto"/>
              </w:rPr>
            </w:pPr>
            <w:r>
              <w:rPr>
                <w:rFonts w:ascii="Arial" w:cs="Arial" w:eastAsia="Arial" w:hAnsi="Arial"/>
                <w:sz w:val="18"/>
                <w:szCs w:val="18"/>
                <w:color w:val="auto"/>
                <w:w w:val="88"/>
              </w:rPr>
              <w:t>George E. Massaro</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4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/s/</w:t>
            </w:r>
          </w:p>
        </w:tc>
        <w:tc>
          <w:tcPr>
            <w:tcW w:w="2520" w:type="dxa"/>
            <w:vAlign w:val="bottom"/>
            <w:gridSpan w:val="3"/>
          </w:tcPr>
          <w:p>
            <w:pPr>
              <w:jc w:val="center"/>
              <w:ind w:right="980"/>
              <w:spacing w:after="0"/>
              <w:rPr>
                <w:sz w:val="20"/>
                <w:szCs w:val="20"/>
                <w:color w:val="auto"/>
              </w:rPr>
            </w:pPr>
            <w:r>
              <w:rPr>
                <w:rFonts w:ascii="Arial" w:cs="Arial" w:eastAsia="Arial" w:hAnsi="Arial"/>
                <w:sz w:val="18"/>
                <w:szCs w:val="18"/>
                <w:color w:val="auto"/>
                <w:w w:val="97"/>
              </w:rPr>
              <w:t>JOHN D. KELLY</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Chief Financial Officer and Treasurer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2/25/2020</w:t>
            </w:r>
          </w:p>
        </w:tc>
        <w:tc>
          <w:tcPr>
            <w:tcW w:w="0" w:type="dxa"/>
            <w:vAlign w:val="bottom"/>
          </w:tcPr>
          <w:p>
            <w:pPr>
              <w:spacing w:after="0"/>
              <w:rPr>
                <w:sz w:val="1"/>
                <w:szCs w:val="1"/>
                <w:color w:val="auto"/>
              </w:rPr>
            </w:pPr>
          </w:p>
        </w:tc>
      </w:tr>
      <w:tr>
        <w:trPr>
          <w:trHeight w:val="41"/>
        </w:trPr>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58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Financial Officer)</w:t>
            </w: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3"/>
            <w:vMerge w:val="restart"/>
          </w:tcPr>
          <w:p>
            <w:pPr>
              <w:jc w:val="center"/>
              <w:ind w:right="1260"/>
              <w:spacing w:after="0"/>
              <w:rPr>
                <w:sz w:val="20"/>
                <w:szCs w:val="20"/>
                <w:color w:val="auto"/>
              </w:rPr>
            </w:pPr>
            <w:r>
              <w:rPr>
                <w:rFonts w:ascii="Arial" w:cs="Arial" w:eastAsia="Arial" w:hAnsi="Arial"/>
                <w:sz w:val="18"/>
                <w:szCs w:val="18"/>
                <w:color w:val="auto"/>
                <w:w w:val="96"/>
              </w:rPr>
              <w:t>John D. Kelly</w:t>
            </w:r>
          </w:p>
        </w:tc>
        <w:tc>
          <w:tcPr>
            <w:tcW w:w="55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/s/</w:t>
            </w:r>
          </w:p>
        </w:tc>
        <w:tc>
          <w:tcPr>
            <w:tcW w:w="2520" w:type="dxa"/>
            <w:vAlign w:val="bottom"/>
            <w:gridSpan w:val="3"/>
          </w:tcPr>
          <w:p>
            <w:pPr>
              <w:jc w:val="center"/>
              <w:ind w:right="900"/>
              <w:spacing w:after="0"/>
              <w:rPr>
                <w:sz w:val="20"/>
                <w:szCs w:val="20"/>
                <w:color w:val="auto"/>
              </w:rPr>
            </w:pPr>
            <w:r>
              <w:rPr>
                <w:rFonts w:ascii="Arial" w:cs="Arial" w:eastAsia="Arial" w:hAnsi="Arial"/>
                <w:sz w:val="18"/>
                <w:szCs w:val="18"/>
                <w:color w:val="auto"/>
                <w:w w:val="94"/>
              </w:rPr>
              <w:t>ELLEN P. WONG</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 xml:space="preserve">Chief Accounting Officer </w:t>
            </w:r>
            <w:r>
              <w:rPr>
                <w:rFonts w:ascii="Arial" w:cs="Arial" w:eastAsia="Arial" w:hAnsi="Arial"/>
                <w:sz w:val="18"/>
                <w:szCs w:val="18"/>
                <w:i w:val="1"/>
                <w:iCs w:val="1"/>
                <w:color w:val="auto"/>
              </w:rPr>
              <w:t>(Principal Accounting Officer)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2/25/2020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tcPr>
          <w:p>
            <w:pPr>
              <w:jc w:val="center"/>
              <w:ind w:right="1260"/>
              <w:spacing w:after="0"/>
              <w:rPr>
                <w:sz w:val="20"/>
                <w:szCs w:val="20"/>
                <w:color w:val="auto"/>
              </w:rPr>
            </w:pPr>
            <w:r>
              <w:rPr>
                <w:rFonts w:ascii="Arial" w:cs="Arial" w:eastAsia="Arial" w:hAnsi="Arial"/>
                <w:sz w:val="18"/>
                <w:szCs w:val="18"/>
                <w:color w:val="auto"/>
                <w:w w:val="89"/>
              </w:rPr>
              <w:t>Ellen P. Wong</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tcPr>
          <w:p>
            <w:pPr>
              <w:ind w:left="720"/>
              <w:spacing w:after="0"/>
              <w:rPr>
                <w:sz w:val="20"/>
                <w:szCs w:val="20"/>
                <w:color w:val="auto"/>
              </w:rPr>
            </w:pPr>
            <w:r>
              <w:rPr>
                <w:rFonts w:ascii="Arial" w:cs="Arial" w:eastAsia="Arial" w:hAnsi="Arial"/>
                <w:sz w:val="18"/>
                <w:szCs w:val="18"/>
                <w:color w:val="auto"/>
              </w:rPr>
              <w:t>/s/</w:t>
            </w:r>
          </w:p>
        </w:tc>
        <w:tc>
          <w:tcPr>
            <w:tcW w:w="2840" w:type="dxa"/>
            <w:vAlign w:val="bottom"/>
            <w:gridSpan w:val="4"/>
          </w:tcPr>
          <w:p>
            <w:pPr>
              <w:jc w:val="center"/>
              <w:ind w:right="640"/>
              <w:spacing w:after="0"/>
              <w:rPr>
                <w:sz w:val="20"/>
                <w:szCs w:val="20"/>
                <w:color w:val="auto"/>
              </w:rPr>
            </w:pPr>
            <w:r>
              <w:rPr>
                <w:rFonts w:ascii="Arial" w:cs="Arial" w:eastAsia="Arial" w:hAnsi="Arial"/>
                <w:sz w:val="18"/>
                <w:szCs w:val="18"/>
                <w:color w:val="auto"/>
                <w:w w:val="96"/>
              </w:rPr>
              <w:t>H. EUGENE LOCKHART</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2/25/2020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2840" w:type="dxa"/>
            <w:vAlign w:val="bottom"/>
            <w:gridSpan w:val="4"/>
          </w:tcPr>
          <w:p>
            <w:pPr>
              <w:jc w:val="center"/>
              <w:ind w:right="940"/>
              <w:spacing w:after="0"/>
              <w:rPr>
                <w:sz w:val="20"/>
                <w:szCs w:val="20"/>
                <w:color w:val="auto"/>
              </w:rPr>
            </w:pPr>
            <w:r>
              <w:rPr>
                <w:rFonts w:ascii="Arial" w:cs="Arial" w:eastAsia="Arial" w:hAnsi="Arial"/>
                <w:sz w:val="18"/>
                <w:szCs w:val="18"/>
                <w:color w:val="auto"/>
                <w:w w:val="91"/>
              </w:rPr>
              <w:t>H. Eugene Lockhart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/s/</w:t>
            </w:r>
          </w:p>
        </w:tc>
        <w:tc>
          <w:tcPr>
            <w:tcW w:w="2520" w:type="dxa"/>
            <w:vAlign w:val="bottom"/>
            <w:gridSpan w:val="3"/>
          </w:tcPr>
          <w:p>
            <w:pPr>
              <w:jc w:val="center"/>
              <w:ind w:right="960"/>
              <w:spacing w:after="0"/>
              <w:rPr>
                <w:sz w:val="20"/>
                <w:szCs w:val="20"/>
                <w:color w:val="auto"/>
              </w:rPr>
            </w:pPr>
            <w:r>
              <w:rPr>
                <w:rFonts w:ascii="Arial" w:cs="Arial" w:eastAsia="Arial" w:hAnsi="Arial"/>
                <w:sz w:val="18"/>
                <w:szCs w:val="18"/>
                <w:color w:val="auto"/>
                <w:w w:val="96"/>
              </w:rPr>
              <w:t>HUGH E. SAWYER</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2/25/2020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tcPr>
          <w:p>
            <w:pPr>
              <w:jc w:val="center"/>
              <w:ind w:right="1260"/>
              <w:spacing w:after="0"/>
              <w:rPr>
                <w:sz w:val="20"/>
                <w:szCs w:val="20"/>
                <w:color w:val="auto"/>
              </w:rPr>
            </w:pPr>
            <w:r>
              <w:rPr>
                <w:rFonts w:ascii="Arial" w:cs="Arial" w:eastAsia="Arial" w:hAnsi="Arial"/>
                <w:sz w:val="18"/>
                <w:szCs w:val="18"/>
                <w:color w:val="auto"/>
                <w:w w:val="90"/>
              </w:rPr>
              <w:t>Hugh E. Sawyer</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tcPr>
          <w:p>
            <w:pPr>
              <w:ind w:left="760"/>
              <w:spacing w:after="0"/>
              <w:rPr>
                <w:sz w:val="20"/>
                <w:szCs w:val="20"/>
                <w:color w:val="auto"/>
              </w:rPr>
            </w:pPr>
            <w:r>
              <w:rPr>
                <w:rFonts w:ascii="Arial" w:cs="Arial" w:eastAsia="Arial" w:hAnsi="Arial"/>
                <w:sz w:val="18"/>
                <w:szCs w:val="18"/>
                <w:color w:val="auto"/>
                <w:w w:val="83"/>
              </w:rPr>
              <w:t>/s/</w:t>
            </w:r>
          </w:p>
        </w:tc>
        <w:tc>
          <w:tcPr>
            <w:tcW w:w="2840" w:type="dxa"/>
            <w:vAlign w:val="bottom"/>
            <w:gridSpan w:val="4"/>
          </w:tcPr>
          <w:p>
            <w:pPr>
              <w:jc w:val="center"/>
              <w:ind w:right="580"/>
              <w:spacing w:after="0"/>
              <w:rPr>
                <w:sz w:val="20"/>
                <w:szCs w:val="20"/>
                <w:color w:val="auto"/>
              </w:rPr>
            </w:pPr>
            <w:r>
              <w:rPr>
                <w:rFonts w:ascii="Arial" w:cs="Arial" w:eastAsia="Arial" w:hAnsi="Arial"/>
                <w:sz w:val="18"/>
                <w:szCs w:val="18"/>
                <w:color w:val="auto"/>
                <w:w w:val="98"/>
              </w:rPr>
              <w:t>EKTA SINGH-BUSHELL</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2/25/2020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2840" w:type="dxa"/>
            <w:vAlign w:val="bottom"/>
            <w:gridSpan w:val="4"/>
          </w:tcPr>
          <w:p>
            <w:pPr>
              <w:jc w:val="center"/>
              <w:ind w:right="940"/>
              <w:spacing w:after="0"/>
              <w:rPr>
                <w:sz w:val="20"/>
                <w:szCs w:val="20"/>
                <w:color w:val="auto"/>
              </w:rPr>
            </w:pPr>
            <w:r>
              <w:rPr>
                <w:rFonts w:ascii="Arial" w:cs="Arial" w:eastAsia="Arial" w:hAnsi="Arial"/>
                <w:sz w:val="18"/>
                <w:szCs w:val="18"/>
                <w:color w:val="auto"/>
                <w:w w:val="93"/>
              </w:rPr>
              <w:t>Ekta Singh-Bushell</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/s/</w:t>
            </w:r>
          </w:p>
        </w:tc>
        <w:tc>
          <w:tcPr>
            <w:tcW w:w="2520" w:type="dxa"/>
            <w:vAlign w:val="bottom"/>
            <w:gridSpan w:val="3"/>
          </w:tcPr>
          <w:p>
            <w:pPr>
              <w:jc w:val="center"/>
              <w:ind w:right="900"/>
              <w:spacing w:after="0"/>
              <w:rPr>
                <w:sz w:val="20"/>
                <w:szCs w:val="20"/>
                <w:color w:val="auto"/>
              </w:rPr>
            </w:pPr>
            <w:r>
              <w:rPr>
                <w:rFonts w:ascii="Arial" w:cs="Arial" w:eastAsia="Arial" w:hAnsi="Arial"/>
                <w:sz w:val="18"/>
                <w:szCs w:val="18"/>
                <w:color w:val="auto"/>
                <w:w w:val="98"/>
              </w:rPr>
              <w:t>DEBRA ZUMWALT</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2/25/2020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tcPr>
          <w:p>
            <w:pPr>
              <w:jc w:val="center"/>
              <w:ind w:right="1260"/>
              <w:spacing w:after="0"/>
              <w:rPr>
                <w:sz w:val="20"/>
                <w:szCs w:val="20"/>
                <w:color w:val="auto"/>
              </w:rPr>
            </w:pPr>
            <w:r>
              <w:rPr>
                <w:rFonts w:ascii="Arial" w:cs="Arial" w:eastAsia="Arial" w:hAnsi="Arial"/>
                <w:sz w:val="18"/>
                <w:szCs w:val="18"/>
                <w:color w:val="auto"/>
                <w:w w:val="93"/>
              </w:rPr>
              <w:t>Debra Zumwalt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20"/>
          </w:cols>
          <w:pgMar w:left="24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HURON CONSULTING GROUP INC.</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170180</wp:posOffset>
            </wp:positionV>
            <wp:extent cx="3679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INDEX</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1046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Report of Independent Registered Public Accounting Firm</w:t>
              </w:r>
            </w:hyperlink>
          </w:p>
        </w:tc>
        <w:tc>
          <w:tcPr>
            <w:tcW w:w="54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w:t>
            </w:r>
          </w:p>
        </w:tc>
      </w:tr>
      <w:tr>
        <w:trPr>
          <w:trHeight w:val="270"/>
        </w:trPr>
        <w:tc>
          <w:tcPr>
            <w:tcW w:w="10460" w:type="dxa"/>
            <w:vAlign w:val="bottom"/>
          </w:tcPr>
          <w:p>
            <w:pPr>
              <w:spacing w:after="0"/>
              <w:rPr>
                <w:sz w:val="20"/>
                <w:szCs w:val="20"/>
                <w:color w:val="auto"/>
              </w:rPr>
            </w:pPr>
            <w:r>
              <w:rPr>
                <w:rFonts w:ascii="Arial" w:cs="Arial" w:eastAsia="Arial" w:hAnsi="Arial"/>
                <w:sz w:val="18"/>
                <w:szCs w:val="18"/>
                <w:color w:val="auto"/>
              </w:rPr>
              <w:t>Consolidated Balance Sheets at December 31, 2019 and 2018</w:t>
            </w:r>
          </w:p>
        </w:tc>
        <w:tc>
          <w:tcPr>
            <w:tcW w:w="5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70"/>
        </w:trPr>
        <w:tc>
          <w:tcPr>
            <w:tcW w:w="10460" w:type="dxa"/>
            <w:vAlign w:val="bottom"/>
          </w:tcPr>
          <w:p>
            <w:pPr>
              <w:spacing w:after="0"/>
              <w:rPr>
                <w:sz w:val="20"/>
                <w:szCs w:val="20"/>
                <w:color w:val="auto"/>
              </w:rPr>
            </w:pPr>
            <w:r>
              <w:rPr>
                <w:rFonts w:ascii="Arial" w:cs="Arial" w:eastAsia="Arial" w:hAnsi="Arial"/>
                <w:sz w:val="18"/>
                <w:szCs w:val="18"/>
                <w:color w:val="auto"/>
                <w:w w:val="94"/>
              </w:rPr>
              <w:t>Consolidated Statements of Operations and Other Comprehensive Income (Loss) for the years ended December 31, 2019, 2018, and 2017</w:t>
            </w:r>
          </w:p>
        </w:tc>
        <w:tc>
          <w:tcPr>
            <w:tcW w:w="5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70"/>
        </w:trPr>
        <w:tc>
          <w:tcPr>
            <w:tcW w:w="10460" w:type="dxa"/>
            <w:vAlign w:val="bottom"/>
          </w:tcPr>
          <w:p>
            <w:pPr>
              <w:spacing w:after="0"/>
              <w:rPr>
                <w:rFonts w:ascii="Arial" w:cs="Arial" w:eastAsia="Arial" w:hAnsi="Arial"/>
                <w:sz w:val="18"/>
                <w:szCs w:val="18"/>
                <w:color w:val="auto"/>
              </w:rPr>
            </w:pPr>
            <w:hyperlink w:anchor="page53">
              <w:r>
                <w:rPr>
                  <w:rFonts w:ascii="Arial" w:cs="Arial" w:eastAsia="Arial" w:hAnsi="Arial"/>
                  <w:sz w:val="18"/>
                  <w:szCs w:val="18"/>
                  <w:color w:val="auto"/>
                </w:rPr>
                <w:t xml:space="preserve">Consolidated Statements of Stockholders’ Equity for the years ended December 31, </w:t>
              </w:r>
            </w:hyperlink>
            <w:r>
              <w:rPr>
                <w:rFonts w:ascii="Arial" w:cs="Arial" w:eastAsia="Arial" w:hAnsi="Arial"/>
                <w:sz w:val="18"/>
                <w:szCs w:val="18"/>
                <w:color w:val="auto"/>
              </w:rPr>
              <w:t>2019, 2018, and 2017</w:t>
            </w:r>
          </w:p>
        </w:tc>
        <w:tc>
          <w:tcPr>
            <w:tcW w:w="5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10460" w:type="dxa"/>
            <w:vAlign w:val="bottom"/>
          </w:tcPr>
          <w:p>
            <w:pPr>
              <w:spacing w:after="0"/>
              <w:rPr>
                <w:rFonts w:ascii="Arial" w:cs="Arial" w:eastAsia="Arial" w:hAnsi="Arial"/>
                <w:sz w:val="18"/>
                <w:szCs w:val="18"/>
                <w:color w:val="auto"/>
              </w:rPr>
            </w:pPr>
            <w:hyperlink w:anchor="page54">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2019, 2018, and 2017</w:t>
            </w:r>
          </w:p>
        </w:tc>
        <w:tc>
          <w:tcPr>
            <w:tcW w:w="5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10460" w:type="dxa"/>
            <w:vAlign w:val="bottom"/>
          </w:tcPr>
          <w:p>
            <w:pPr>
              <w:spacing w:after="0"/>
              <w:rPr>
                <w:rFonts w:ascii="Arial" w:cs="Arial" w:eastAsia="Arial" w:hAnsi="Arial"/>
                <w:sz w:val="18"/>
                <w:szCs w:val="18"/>
                <w:color w:val="auto"/>
              </w:rPr>
            </w:pPr>
            <w:hyperlink w:anchor="page56">
              <w:r>
                <w:rPr>
                  <w:rFonts w:ascii="Arial" w:cs="Arial" w:eastAsia="Arial" w:hAnsi="Arial"/>
                  <w:sz w:val="18"/>
                  <w:szCs w:val="18"/>
                  <w:color w:val="auto"/>
                </w:rPr>
                <w:t>Notes to Consolidated Financial Statements</w:t>
              </w:r>
            </w:hyperlink>
          </w:p>
        </w:tc>
        <w:tc>
          <w:tcPr>
            <w:tcW w:w="5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459"/>
        </w:trPr>
        <w:tc>
          <w:tcPr>
            <w:tcW w:w="10460" w:type="dxa"/>
            <w:vAlign w:val="bottom"/>
          </w:tcPr>
          <w:p>
            <w:pPr>
              <w:ind w:left="55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Huron Consulting Group Inc.</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Huron Consulting Group Inc. and its subsidiaries (the “Company”) as of December 31, 2019 and 2018, and the related consolidated statements of operations and other comprehensive income (loss), of stockholders’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w:t>
      </w:r>
    </w:p>
    <w:p>
      <w:pPr>
        <w:spacing w:after="0" w:line="11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as of January 1, 2019 and the manner in which it accounts for revenue from contracts with customers as of January 1, 2018.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Fixed-Fee and Healthcare Performance-Based Billing Arrangements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described in Notes 2 and 19 to the consolidated financial statements, in fixed-fee billing arrangements, which accounted for $401.9 million of revenues for the year ended December 31, 2019, the Company agrees to a pre-established fee in exchange for a predetermined set of professional services. As disclosed by management, under fixed-fee arrangements, revenues are recognized based upon work completed to date versus management’s estimates of the total services to be provided under the engagement. Additionally, the Company’s Healthcare practice enters into performance-based billing arrangements whereby fees are tied to the attainment of contractually defined objectives, as a result of adopting the Company’s recommendations, which accounted for $71.1 million of revenues for the year ended December 31, 2019. Under performance-based billing arrangements, revenue is recognized based on an estimate of variable consideration and work completed to date versus the estimates of the total services to be provided under the engagement. Variable consideration is estimated based on a probability-weighted assessment of the fees to be earned, net of a constraint to limit the amount that could be reversed when the uncertainty is resolved.</w:t>
      </w:r>
    </w:p>
    <w:p>
      <w:pPr>
        <w:spacing w:after="0" w:line="18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under fixed-fee and healthcare performance-based billing arrangements is a critical audit matter are there was significant judgment by management when developing their estimates of revenue to be recognized from these billing arrangements. This in turn led to a high degree of auditor judgment, subjectivity and effort in performing procedures and evaluating audit evidence related to management’s significant assumptions, including work completed to date versus management’s estimates of the total services to be provided for fixed-fee and performance-based billing arrangements, and the probability of attaining contractually defined objectives in performance-based billing arrangements.</w:t>
      </w:r>
    </w:p>
    <w:p>
      <w:pPr>
        <w:spacing w:after="0" w:line="19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under fixed-fee and performance-based billing arrangements. These procedures also included, among others, testing the accuracy of the total contract amounts and evaluating the reasonableness of management’s assumption of work completed to-date versus management’s estimates of the total services to be provided by (i) inquiring with the Company’s employees regarding the expected remaining efforts for a sample of engagements, (ii) evaluating trends in past performance, and (iii) evaluating performance to date. Additionally, for performance-based billing arrangements, procedures included, among others, (i) evaluating the reasonableness of management’s assumption of the probability of attaining the contractually defined objectives by inquiring with the Company’s employees regarding the expected remaining efforts and the probability weighting of variable consideration to be earned for a sample of engagements and by evaluating trends in past performance, (ii) evaluating the necessity of applying a constraint based upon consideration of the initial forecasts developed during project procurement, and (iii) evaluating performance to date towards the attainment of contractually defined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Strategy and Innovation Reporting Unit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described in Notes 2 and 4 to the consolidated financial statements, the Company’s consolidated goodwill balance was $646.7 million as of December 31, 2019, of which $87.4 million is attributed to the Strategy and Innovation reporting unit. Management conducts an annual goodwill impairment test as of November 30, and when events or circumstances indicate the fair value of a reporting unit may be below its carrying value. As disclosed by management, in performing the analysis, management first assesses qualitative factors to determine whether the existence of current events or circumstances would lead to a determination that it is more likely than not that the fair value of one of the reporting units is greater than its carrying value. If management determines it is more likely than not that the fair value of a reporting unit is greater than its carrying value, no further testing is necessary. However, if management concludes otherwise, a quantitative impairment test is performed by calculating the fair value of the reporting unit and comparing the fair value with the carrying value of the reporting unit, including goodwill. Fair value is estimated using a combination of the income approach, utilizing a discounted cash flow analysis, and the market approach, utilizing the guideline company method, with a fifty-fifty weighting. The determination of fair value using the income approach requires the use of significant estimates and assumptions, including long-term projections of future cash flows, estimated revenues, operating margin, market conditions, tax rates, and discount rates. The determination of fair value using the market approach requires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use of valuation multiples based on operating data from guideline publicly traded companies. If the fair value of the reporting unit is less than its carrying value, a non-cash impairment charge is recorded in an amount equal to that difference with the loss not to exceed the total amount of goodwill allocated to the reporting unit.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Strategy and Innovation reporting unit is a critical audit matter are there was significant judgment by management when developing the fair value measurement of the reporting unit. This in turn led to a high degree of auditor judgment, subjectivity and effort in performing procedures and evaluating audit evidence related to management's cash flow projections and significant assumptions, including estimated revenues, operating margin, discount rate, and market multiples. In addition, the audit effort involved the use of professionals with specialized skill and knowledge to assist in performing these procedures and evaluating the audit evidence obtained.</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annual goodwill impairment test, including controls over the determination of the fair value of the Strategy and Innovation reporting unit. These procedures also included, among others, testing management’s process for developing the fair value estimate; evaluating the allocation of assets to the reporting unit; evaluating the appropriateness of the income and market approaches; testing the completeness, accuracy and relevance of underlying data used in the income approach; testing the reasonableness and accuracy of the underlying data used in the market approach; and evaluating the significant assumptions used by management, including estimated revenues, operating margin, discount rate, and market multiples. Evaluating management’s assumptions related to estimated revenues, operating margin, discount rate, and market multiples involved evaluating whether the assumptions used by management were reasonable considering (i) the current and past performance of the reporting unit, (ii) the actions necessary to achieve future forecasts, (iii) the consistency with external market and industry data, and (iv) whether these assumptions were consistent with evidence obtained in other areas of the audit. Professionals with specialized skill and knowledge were used to assist in the evaluation of the discounted cash flow analysis and certain significant assumptions, including the discount rate, as well as the selection and calculation of market multiples.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33,107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from clients,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116,571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109,677</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Unbilled services,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69,613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6,612</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13,922</w:t>
            </w: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224,736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232,931</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40,374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2,153</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54,954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30,525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31,625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47,857</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646,680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645,263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1,104,271</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1,049,532</w:t>
            </w:r>
          </w:p>
        </w:tc>
      </w:tr>
      <w:tr>
        <w:trPr>
          <w:trHeight w:val="73"/>
        </w:trPr>
        <w:tc>
          <w:tcPr>
            <w:tcW w:w="834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18,554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17,207</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payroll and related benefits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141,605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109,825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contingent consideration for business acquisitions</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9,991</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maturities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243,132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Current maturities of operating lease liabilities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7,469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28,443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28,130</w:t>
            </w: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204,544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418,305</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compensation and other liabilities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28,635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20,875</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contingent consideration for business acquisitions, net of current portion</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Long-term debt, net of current portion</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208,324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53,853</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 net of current portion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lease incentives</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13,693</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net</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non-current liabilities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314,262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90,603</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$0.01 par value; 500,000,000 shares authorized; 25,144,764 and 25,114,739 shares issued at December 31,</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and December 31, 2018, respectively</w:t>
            </w:r>
          </w:p>
        </w:tc>
        <w:tc>
          <w:tcPr>
            <w:tcW w:w="4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w w:val="99"/>
              </w:rPr>
              <w:t>Treasury stock, at cost, 2,425,430 and 2,568,288 shares at December 31, 2019 and December 31, 2018, respectively</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(128,348)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(124,794)</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460,781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452,573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237,849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196,106</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14,936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16,495</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585,465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540,624</w:t>
            </w: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1,104,271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1,049,532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 and reimbursable expenses: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876,757</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795,125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732,570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88,717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75,175</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revenues and reimbursable expenses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965,474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877,999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807,745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 xml:space="preserve">Direct costs and reimbursable expenses </w:t>
            </w:r>
            <w:r>
              <w:rPr>
                <w:rFonts w:ascii="Arial" w:cs="Arial" w:eastAsia="Arial" w:hAnsi="Arial"/>
                <w:sz w:val="16"/>
                <w:szCs w:val="16"/>
                <w:color w:val="auto"/>
                <w:w w:val="97"/>
              </w:rPr>
              <w:t>(exclusive of depreciation and amortization shown in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Direct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575,602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521,537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454,806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 and software development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88,696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82,923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75,436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direct costs and 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669,673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541,174</w:t>
            </w: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Operating expenses and other losses (gains), net:</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203,071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175,364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6,246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Litigation and other losses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28,365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34,575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38,213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253,093</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operating expenses and other losses (gains), net</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232,095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217,196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474,027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63,706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(207,456)</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(18,613)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4,433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3,565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(15,048)</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taxes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52,491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25,221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(222,504)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(51,999)</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 from continuing operations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41,979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13,944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(170,505)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41,743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13,646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(170,117)</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Net earnings (loss) per basic share: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 from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1.91</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(loss) per diluted share:</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 from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1.87</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used in calculating earnings per share:</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21,993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21,706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21,439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21,439</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41,743</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(170,117)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1,602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(loss) on investment,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Unrealized gain (loss) on cash flow hedging instruments,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6,755</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40,184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19,771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(163,362)</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964"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120" w:type="dxa"/>
            <w:vAlign w:val="bottom"/>
            <w:gridSpan w:val="5"/>
            <w:vMerge w:val="restart"/>
          </w:tcPr>
          <w:p>
            <w:pPr>
              <w:ind w:left="500"/>
              <w:spacing w:after="0"/>
              <w:rPr>
                <w:sz w:val="20"/>
                <w:szCs w:val="20"/>
                <w:color w:val="auto"/>
              </w:rPr>
            </w:pPr>
            <w:r>
              <w:rPr>
                <w:rFonts w:ascii="Arial" w:cs="Arial" w:eastAsia="Arial" w:hAnsi="Arial"/>
                <w:sz w:val="16"/>
                <w:szCs w:val="16"/>
                <w:color w:val="auto"/>
              </w:rPr>
              <w:t>Common Stock</w:t>
            </w:r>
          </w:p>
        </w:tc>
        <w:tc>
          <w:tcPr>
            <w:tcW w:w="2080" w:type="dxa"/>
            <w:vAlign w:val="bottom"/>
            <w:gridSpan w:val="5"/>
            <w:vMerge w:val="restart"/>
          </w:tcPr>
          <w:p>
            <w:pPr>
              <w:ind w:left="5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Pr>
          <w:p>
            <w:pPr>
              <w:spacing w:after="0"/>
              <w:rPr>
                <w:sz w:val="17"/>
                <w:szCs w:val="17"/>
                <w:color w:val="auto"/>
              </w:rPr>
            </w:pPr>
          </w:p>
        </w:tc>
        <w:tc>
          <w:tcPr>
            <w:tcW w:w="2120" w:type="dxa"/>
            <w:vAlign w:val="bottom"/>
            <w:gridSpan w:val="5"/>
            <w:vMerge w:val="continue"/>
          </w:tcPr>
          <w:p>
            <w:pPr>
              <w:spacing w:after="0"/>
              <w:rPr>
                <w:sz w:val="17"/>
                <w:szCs w:val="17"/>
                <w:color w:val="auto"/>
              </w:rPr>
            </w:pPr>
          </w:p>
        </w:tc>
        <w:tc>
          <w:tcPr>
            <w:tcW w:w="2080" w:type="dxa"/>
            <w:vAlign w:val="bottom"/>
            <w:gridSpan w:val="5"/>
            <w:vMerge w:val="continue"/>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Additional</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Other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Paid-In</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Retained</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1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w w:val="89"/>
              </w:rPr>
              <w:t>Stockholders'</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180" w:type="dxa"/>
            <w:vAlign w:val="bottom"/>
            <w:gridSpan w:val="2"/>
          </w:tcPr>
          <w:p>
            <w:pPr>
              <w:ind w:left="32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Capital</w:t>
            </w: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Income</w:t>
            </w:r>
          </w:p>
        </w:tc>
        <w:tc>
          <w:tcPr>
            <w:tcW w:w="120" w:type="dxa"/>
            <w:vAlign w:val="bottom"/>
          </w:tcPr>
          <w:p>
            <w:pPr>
              <w:spacing w:after="0"/>
              <w:rPr>
                <w:sz w:val="17"/>
                <w:szCs w:val="17"/>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23,478,016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351,483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648,033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(170,117)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(163,362)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399,248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(58,211)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3,949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Business acquisition</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221,558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14,419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14,419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Cumulative-effect adjustment from</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adoption of ASU 2016-09</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Cumulative-effect adjustment from</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ASU 2018-02</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24,098,822</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(2,591,135)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(121,994)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434,256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180,443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10,370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503,316</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19,771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279,430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17,770</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(86,813)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(3,187)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Cumulative-effect adjustment from</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ASU 2014-09</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24,418,252</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(2,671,962)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(124,794)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452,573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196,106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16,495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540,624</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40,184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347,589</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20,171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47,904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(111,511)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capital contributions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 repurchases</w:t>
            </w:r>
          </w:p>
        </w:tc>
        <w:tc>
          <w:tcPr>
            <w:tcW w:w="1040" w:type="dxa"/>
            <w:vAlign w:val="bottom"/>
          </w:tcPr>
          <w:p>
            <w:pPr>
              <w:jc w:val="right"/>
              <w:spacing w:after="0"/>
              <w:rPr>
                <w:sz w:val="20"/>
                <w:szCs w:val="20"/>
                <w:color w:val="auto"/>
              </w:rPr>
            </w:pPr>
            <w:r>
              <w:rPr>
                <w:rFonts w:ascii="Arial" w:cs="Arial" w:eastAsia="Arial" w:hAnsi="Arial"/>
                <w:sz w:val="16"/>
                <w:szCs w:val="16"/>
                <w:color w:val="auto"/>
              </w:rPr>
              <w:t>(210,437)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(14,219)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24,603,308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237,849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585,465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53" w:name="page54"/>
    <w:bookmarkEnd w:id="5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41,743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13,646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(170,117)</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34,405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39,311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50,089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18,818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14,838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10,203</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Goodwill impairment charges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253,093</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Allowances for doubtful accounts and unbilled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10,717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(53,753)</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(gain) on sale of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unbilled services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3,732</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30,339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35,481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(10,966)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17"/>
        </w:trPr>
        <w:tc>
          <w:tcPr>
            <w:tcW w:w="776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132,220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101,658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99,795</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Purchases of property and equipment,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(24,402)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life insurance policies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Distributions from life insurance policies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(106,915)</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Purchase of investment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Capitalization of internally developed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note receivable</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Divestitures of businesses, net of cash sold</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(128,948)</w:t>
            </w:r>
          </w:p>
        </w:tc>
        <w:tc>
          <w:tcPr>
            <w:tcW w:w="0" w:type="dxa"/>
            <w:vAlign w:val="bottom"/>
          </w:tcPr>
          <w:p>
            <w:pPr>
              <w:spacing w:after="0"/>
              <w:rPr>
                <w:sz w:val="1"/>
                <w:szCs w:val="1"/>
                <w:color w:val="auto"/>
              </w:rPr>
            </w:pPr>
          </w:p>
        </w:tc>
      </w:tr>
      <w:tr>
        <w:trPr>
          <w:trHeight w:val="204"/>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bank borrowings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347,000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204,300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277,500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bank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(192,515)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(240,745)</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Repayment of convertible notes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for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Payments for contingent consideration liabilities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28,821</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33,107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16,909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17,027</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760" w:type="dxa"/>
            <w:vAlign w:val="bottom"/>
          </w:tcPr>
          <w:p>
            <w:pPr>
              <w:ind w:left="380"/>
              <w:spacing w:after="0"/>
              <w:rPr>
                <w:sz w:val="20"/>
                <w:szCs w:val="20"/>
                <w:color w:val="auto"/>
              </w:rPr>
            </w:pPr>
            <w:r>
              <w:rPr>
                <w:rFonts w:ascii="Arial" w:cs="Arial" w:eastAsia="Arial" w:hAnsi="Arial"/>
                <w:sz w:val="16"/>
                <w:szCs w:val="16"/>
                <w:color w:val="auto"/>
                <w:w w:val="98"/>
              </w:rPr>
              <w:t>Property and equipment expenditures and capitalized software included in accounts payable and accrued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6"/>
                <w:szCs w:val="16"/>
                <w:color w:val="auto"/>
              </w:rPr>
              <w:t>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2,358</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Promissory note assumed for purchase of property and equipment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15,489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issued related to business acquisition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9,560</w:t>
            </w:r>
          </w:p>
        </w:tc>
        <w:tc>
          <w:tcPr>
            <w:tcW w:w="0" w:type="dxa"/>
            <w:vAlign w:val="bottom"/>
          </w:tcPr>
          <w:p>
            <w:pPr>
              <w:spacing w:after="0"/>
              <w:rPr>
                <w:sz w:val="1"/>
                <w:szCs w:val="1"/>
                <w:color w:val="auto"/>
              </w:rPr>
            </w:pPr>
          </w:p>
        </w:tc>
      </w:tr>
      <w:tr>
        <w:trPr>
          <w:trHeight w:val="22"/>
        </w:trPr>
        <w:tc>
          <w:tcPr>
            <w:tcW w:w="7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40" w:top="125" w:right="259" w:bottom="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5620" w:type="dxa"/>
            <w:vAlign w:val="bottom"/>
          </w:tcPr>
          <w:p>
            <w:pPr>
              <w:ind w:left="380"/>
              <w:spacing w:after="0"/>
              <w:rPr>
                <w:sz w:val="20"/>
                <w:szCs w:val="20"/>
                <w:color w:val="auto"/>
              </w:rPr>
            </w:pPr>
            <w:r>
              <w:rPr>
                <w:rFonts w:ascii="Arial" w:cs="Arial" w:eastAsia="Arial" w:hAnsi="Arial"/>
                <w:sz w:val="16"/>
                <w:szCs w:val="16"/>
                <w:color w:val="auto"/>
              </w:rPr>
              <w:t>Share repurchases included in accounts payable</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1,234</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during the year for:</w:t>
            </w:r>
          </w:p>
        </w:tc>
        <w:tc>
          <w:tcPr>
            <w:tcW w:w="25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Interest</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7,971</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8,887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9,068</w:t>
            </w:r>
          </w:p>
        </w:tc>
      </w:tr>
      <w:tr>
        <w:trPr>
          <w:trHeight w:val="33"/>
        </w:trPr>
        <w:tc>
          <w:tcPr>
            <w:tcW w:w="56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w:t>
            </w:r>
          </w:p>
        </w:tc>
        <w:tc>
          <w:tcPr>
            <w:tcW w:w="2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w:t>
            </w:r>
          </w:p>
        </w:tc>
        <w:tc>
          <w:tcPr>
            <w:tcW w:w="5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3,349</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5,399</w:t>
            </w:r>
          </w:p>
        </w:tc>
      </w:tr>
      <w:tr>
        <w:trPr>
          <w:trHeight w:val="230"/>
        </w:trPr>
        <w:tc>
          <w:tcPr>
            <w:tcW w:w="8920" w:type="dxa"/>
            <w:vAlign w:val="bottom"/>
            <w:gridSpan w:val="3"/>
          </w:tcPr>
          <w:p>
            <w:pPr>
              <w:jc w:val="right"/>
              <w:ind w:right="3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60" w:top="170"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2019 and 2018, and the results of operations and cash flows for the years ended December 31, 2019, 2018, and 2017.</w:t>
      </w:r>
    </w:p>
    <w:p>
      <w:pPr>
        <w:spacing w:after="0" w:line="11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consolidated financial statements include the accounts of Huron Consulting Group Inc. and its subsidiaries, all of which are wholly-owned. All intercompany balances and transactions have been eliminated in consolidation.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On January 1, 2019, we adopted Accounting Standard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For additional information on the adoption of ASU 2016-02, refer to our leases policy and new accounting pronouncements below.</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On January 1, 2018, we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 new Topic, ASC 606, which superseded ASC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The new revenue recognition standard provides a five-step analysis of transactions to determine when and how revenue is recognized. The core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 is that a company should recognize revenue to depict the transfer of promised goods or services to customers in an amount that reflects the consideration to which the entity expects to be entitled in exchange for those goods or services. We adopted ASC 606 on a modified retrospective basis to all open contracts, as modified, as of that date. Adoption of the new standard resulted in changes to our accounting policy for revenue recognition, most notably for performance-based billing arrangements, and sales commissions. Adopting ASC 606 on a modified retrospective basis had no impact on our consolidated financial statements in the prior periods presented. Upon adoption, we recorded a $2.0 million cumulative-effect adjustment to record a net increase to retained earnings for the portion of performance-based billing arrangements that have been earned as of the adoption date but for which we had not recognized as revenue under previous revenue recognition guidance, the capitalization of sales commissions paid on open contracts as of the adoption date, and the related tax effects. Refer to our revenue recognition and capitalized sales commissions policies below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typically satisfy our performance obligations for professional services over time as the related services are provided. The performance obligations related to software support and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3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included within unbilled services. Client prepayments and retainers are classified as deferred revenues and recognized over future periods as earned in accordance with the applicable engagement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Sales Commissions</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Sales commissions earned by our sales professionals are considered incremental and recoverable costs of obtaining a contract with a customer. Sales commissions with an expected amortization period greater than one year are deferred and amortized on a straight-line basis over the period of the associated contract. We elected to apply the practical expedient to expense sales commissions as incurred when the expected amortization period is one year or less. Amortization expense is recorded to direct costs. During the years ended December 31, 2019 and 2018, we amortized $0.3 million and $0.2 million, respectively, of capitalized sales commissions. Unamortized sales commissions were $0.8 million and $0.4 million as of December 31, 2019 and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benefits and share-based compensation costs; as well as commissions, the cost of outside consultants or subcontractors assigned to revenue-generating activities, technology costs, other third-party costs directly attributable to our revenue-generating activities, and direct expenses to be reimbursed by clients. Direct costs and reimbursable expenses incurred on engagements are expensed in the period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19 “Segment Information” for concentration of accounts receivable and unbilled services.</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1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long-term investments consist of our convertible debt investment in Shorelight Holdings, LLC ("Shorelight") and preferred stock investment in Medically Home Group, Inc. ("Medically Home").</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classified the convertible debt investment in Shorelight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we assess whether the investment is other-than-temporarily impaired. We consider impairments to be other-than-temporary if they are related to significant credit deterioration or if it is likely we will sell the security before the recovery of its cost basis. We have not identified any other-than-temporary impairments for our convertible debt investment. In the event there are realized gains and losses or declines in value judged to be other-than-temporary, we will record the amount in earnings.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classified the preferred stock investment in Medically Home as an equity security without a readily determinable value at the time of purchase and reevaluate such classification as of each balance sheet date. We elected the measurement alternative to value this equity security without a readily determinable fair value. Under the measurement alternative, the investment is recorded at its cost minus impairment, if any, plus or minus changes resulting from observable price changes in orderly transactions for the identical or similar investment in Medically Home. Any unrealized holding gains and losses resulting from observable price changes are recorded in our consolidated statement of operations. Following our purchase, there has been no impairment, nor any observable price changes to our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 13 “Fair Value of Financial Instruments” for further information on our long-term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13 “Fair Value of Financial Instruments” for the accounting policies used to measure the fair value of our financial assets and liabilities that are measured at fair value on a recurring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 five years. Aircraft are depreciated over ten years. Leasehold improvements are amortized over the lesser of the estimated useful life of the asset or the initial term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determine if an arrangement contains a lease and the classification of such lease at inception. As of December 31, 2019, all of our material leases are classified as operating leases; we have not entered into any material finance leases. For all operating leases with an initial term greater than 12 months, we recognize an operating lease right-of-use ("ROU") asset and operating lease liability. Leases with an initial term of 12 months or less are not recorded on the balance sheet; we recognize lease expense for these leases on a straight-line basis over the lease term.</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Operating lease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our leases do not provide an implicit rate, we use our incremental borrowing rate based on the information available at the lease commencement date and provided by the administrative agent for our senior secured credit facility in determining the present value of lease payments. Operating lease ROU assets exclude lease incentives. We elected the practical expedient to combine lease and nonlease components. Certain lease agreements contain variable lease payments that do not depend on an index or rate. These variable lease payments are not included in the calculation of the operating lease ROU asset and operating lease liability; instead, they are expensed as incurred. Our leases may contain options to extend or terminate the lease, and we include these terms in our calculation of the operating lease ROU asset and operating lease liability when it is reasonably certain that we will exercise the option.</w:t>
      </w:r>
    </w:p>
    <w:p>
      <w:pPr>
        <w:spacing w:after="0" w:line="12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Operating lease expense is recognized on a straight-line basis over the lease term and recorded within selling, general and administrative expenses on our consolidated statement of operations. In accordance with our accounting policy for impairment of long-lived assets, operating lease ROU assets are reviewed for impairment whenever events or changes in circumstances indicate that the carrying amount of the asset group to which the operating lease ROU asset is assigned may not be recoverable. We evaluate the recoverability of the asset group based on forecasted undiscounted cash flows. See Note 5 "Leases" for additional information on our leases, including the lease impairment charges recorded in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incur internal and external software development costs related to our cloud computing applications and software for internal use. We capitalize these software development costs incurred during the application development stage. Costs related to preliminary project activities and post implementation activities are expensed as incurred. Once the project is substantially complete and ready for its intended use these costs are amortized on a straight-line basis over the technology's estimated useful life. Acquired technology assets are initially recorded at fair value and amortized on a straight-line basis over the estimated useful life.</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Development costs related to software products that will be sold, leased, or otherwise marketed are expensed until technological feasibility has been established. Thereafter and until the software is available for general release to customers, these software development costs are capitalized and subsequently reported at the lower of unamortized cost or net realizable value. These capitalized development costs are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125"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amortized in proportion to current and future revenue for each product with an annual minimum equal to the straight-line amortization over the remaining estimated economic life of the product. We did not capitalize any development costs for this type of software during 2019 or 2018.</w:t>
      </w:r>
    </w:p>
    <w:p>
      <w:pPr>
        <w:spacing w:after="0" w:line="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classify capitalized software development costs, which primarily relate to cloud computing applications and software for internal use, as other non-current assets on our consolidated balance sheet. As of December 31, 2019, gross capitalized software development costs and related accumulated amortization was $21.5 million and $5.9 million, respectively. As of December 31, 2018, gross capitalized software development costs and related accumulated amortization was $10.2 million and $2.9 million, respectively. During the years ended December 31, 2019, 2018, and 2017, we amortized $3.0 million, $1.4 million, and $0.8 million, respectively, of capitalized software development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Identifiable intangible assets are amortized over their expected useful lives using a method that reflects the economic benefit expected to be derived from the assets or on a straight-line basis. We evaluate the recoverability of intangible assets periodically by considering events or circumstances that may warrant revised estimates of useful lives or that indicate the asset may be impaired.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Long-lived assets, including property and equipment, right-of-use assets, and intangible assets, are reviewed for impairment whenever events or changes in circumstances indicate that the carrying amount of an asset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on forecasted undiscounted cash flows. See Note 5 "Leases" for information on our right-of-use asset impairment charges recorded in 2019. No material impairment charges for other long-lived assets were recorded in 2019, 2018, or 2017.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We have six reporting units: Healthcare, Education, Business Advisory, Enterprise Solutions and Analytics, Strategy and Innovation, and Life Sciences. The Business Advisory, Enterprise Solutions and Analytics, Strategy and Innovation, and Life Sciences reporting units make up our Business Advisory operating segment.</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our policy, we performed the annual goodwill impairment test as of November 30, 2019 and determined that no impairment of goodwill existed as of that date. Further, we evaluated whether any events have occurred, or any circumstances have changed since November 30, 2019 that would indicate goodwill may have become impaired since our annual impairment test. Based on our evaluation as of December 31, 2019, we determined that no indications of impairment have arisen since our annual goodwill impairment test.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use the acquisition method of accounting for business combinations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are recorded at fair value as of the acquisition date. Goodwill is recognized for the excess of purchase price over the net fair value of tangible and intangible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13 “Fair Value of Financial Instruments” for further information regarding our contingent acquisition liability balances.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Current tax liabilities and assets are recognized for the estimated taxes payable or refundable, respectively, on the tax returns for the current year. We have elected to recognize the tax expense related to Global Intangible Low-Taxed Income ("GILTI") as a period expense in the period the tax is incurred.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 Refer to Note 17 "Income Taxes" for further information regarding incomes taxes.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It is our policy to account for forfeitures as they occur.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Sponsorship and advertising costs are expensed as incurred. Such expenses for the years ended December 31, 2019, 2018, and 2017 totaled $8.4 million, $7.9 million, and $6.6 million, respectively, and are a component of selling, general and administrative expenses on our consolidated statement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September 2014, we issued $250 million principal amount of 1.25% convertible senior notes due 2019 (the “Convertible Notes”) in a private offering. The Convertible Notes matured on October 1, 2019, and the outstanding principal and accrued interest were paid in full at that time. At issuance, we separated the Convertible Notes into liability and equity components. The carrying amount of the liability component was determined by measuring the fair value of a similar liability that does not have an associated convertible feature. The carrying value of the equity component representing the conversion option, which was recognized as a debt discount, was determined by deducting the fair value of the liability component from the proceeds of the Convertible Notes. The debt discount was amortized to interest expense using the effective interest method over the term of the Convertible Notes. The equity component was not remeasured as it continued to meet the conditions for equity classification. Refer to Note 7 “Financing Arrangements” for further information regarding the Convertible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 of operations. Unamortized debt issuance costs attributable to our revolving credit facility are included as a component of other non-current assets. Unamortized debt issuance costs attributable to our Convertible Notes were recorded as a deduction from the carrying amount of the debt liability.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Assets and liabilities of foreign subsidiaries whose functional currency is not the United States Dollar (USD) are translated into the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 gains and losses are included in other income, net on the consolidated statement of operations. We recognized $0.2 million of foreign currency transaction losses in 2019, $0.5 million of foreign currency transaction losses in 2018, and $0.4 million of foreign currency transaction gains in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three operating segments, which are our reportable segments: Healthcare, Business Advisory, and Education.</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March 2016, the Financial Accounting Standards Board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 a new Topic, ASC 842, which superseded ASC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sets forth the principles for the recognition, measurement, presentation, and disclosure of leases for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using an effective interest rate method or on a straight-line basis over the term of the lease. In July 2018, the FASB issued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an optional transition method that allows entities to initially apply ASC 842 at the adoption date and recognize a cumulative-effect adjustment to the opening balance of retained earnings on the adoption date. We adopted ASC 842 effective January 1, 2019 on a modified retrospective basis for existing leases using the transition method allowed by ASU 2018-11, which had no impact on our consolidated financial statements in the prior periods presented. The new lease standard had a material impact on our consolidated balance sheet upon adoption but did not impact our consolidated statement of operations. The most significant impact to our consolidated balance sheet is the recognition of ROU assets and lease liabilities for operating leases. The impact of the new lease standard on our consolidated balance sheet upon adoption follows: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30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ASC 842</w:t>
            </w:r>
          </w:p>
        </w:tc>
        <w:tc>
          <w:tcPr>
            <w:tcW w:w="240" w:type="dxa"/>
            <w:vAlign w:val="bottom"/>
          </w:tcPr>
          <w:p>
            <w:pPr>
              <w:spacing w:after="0"/>
              <w:rPr>
                <w:sz w:val="18"/>
                <w:szCs w:val="18"/>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r>
      <w:tr>
        <w:trPr>
          <w:trHeight w:val="234"/>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2018</w:t>
            </w:r>
          </w:p>
        </w:tc>
        <w:tc>
          <w:tcPr>
            <w:tcW w:w="300" w:type="dxa"/>
            <w:vAlign w:val="bottom"/>
          </w:tcPr>
          <w:p>
            <w:pPr>
              <w:spacing w:after="0"/>
              <w:rPr>
                <w:sz w:val="20"/>
                <w:szCs w:val="20"/>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Adjustment</w:t>
            </w:r>
          </w:p>
        </w:tc>
        <w:tc>
          <w:tcPr>
            <w:tcW w:w="240" w:type="dxa"/>
            <w:vAlign w:val="bottom"/>
          </w:tcPr>
          <w:p>
            <w:pPr>
              <w:spacing w:after="0"/>
              <w:rPr>
                <w:sz w:val="20"/>
                <w:szCs w:val="20"/>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1, 2019</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56,463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56,463</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5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14,650</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Current maturities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10,537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10,537</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20,339</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Deferred lease incentives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13,693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(13,693)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62,712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62,712</w:t>
            </w:r>
          </w:p>
        </w:tc>
      </w:tr>
      <w:tr>
        <w:trPr>
          <w:trHeight w:val="27"/>
        </w:trPr>
        <w:tc>
          <w:tcPr>
            <w:tcW w:w="5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 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Implementation Costs Incurred in a Cloud Computing Arrangement That Is a Service Contract</w:t>
      </w:r>
      <w:r>
        <w:rPr>
          <w:rFonts w:ascii="Arial" w:cs="Arial" w:eastAsia="Arial" w:hAnsi="Arial"/>
          <w:sz w:val="18"/>
          <w:szCs w:val="18"/>
          <w:color w:val="auto"/>
        </w:rPr>
        <w:t>. This update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cloud computing arrangement that is a service contract with the requirements for capitalizing implementation costs incurred to develop or obtain internal-use software. Capitalized implementation costs are amortized on a straight-line basis generally over the term of the service contract with the amortization recognized in the same financial statement line item as the fees related to the service contract. ASU 2018-15 is effective beginning January 1, 2020, with early adoption permitted. We adopted this ASU in the third quarter of 2019 on a prospective basis. In 2019, we capitalized an immaterial amount of implementation costs for cloud computing arrangements that are service contracts. The future impact of adoption of this ASU on our consolidated financial statements will depend on the magnitude of implementation costs we may incur to implement cloud computing arrangements that are service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7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Fair Value Measurement, </w:t>
      </w:r>
      <w:r>
        <w:rPr>
          <w:rFonts w:ascii="Arial" w:cs="Arial" w:eastAsia="Arial" w:hAnsi="Arial"/>
          <w:sz w:val="17"/>
          <w:szCs w:val="17"/>
          <w:color w:val="auto"/>
        </w:rPr>
        <w:t>which modifies certain disclosure requirements related to fair value measurements. ASU 2018-13 will be effective for us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2020. We do not expect this guidance to have an impact on the amounts reported on our consolidated financial statements, and we will update our disclosures within the notes to our consolidated financial statements as required by ASU 2018-13.</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simplifies the accounting for income taxes by eliminating certain exceptions to the guidance in ASC 740, </w:t>
      </w:r>
      <w:r>
        <w:rPr>
          <w:rFonts w:ascii="Arial" w:cs="Arial" w:eastAsia="Arial" w:hAnsi="Arial"/>
          <w:sz w:val="17"/>
          <w:szCs w:val="17"/>
          <w:i w:val="1"/>
          <w:iCs w:val="1"/>
          <w:color w:val="auto"/>
        </w:rPr>
        <w:t>Income Taxes</w:t>
      </w:r>
      <w:r>
        <w:rPr>
          <w:rFonts w:ascii="Arial" w:cs="Arial" w:eastAsia="Arial" w:hAnsi="Arial"/>
          <w:sz w:val="17"/>
          <w:szCs w:val="17"/>
          <w:color w:val="auto"/>
        </w:rPr>
        <w:t>, related to the approach for intraperiod tax allocation, the methodology for calculating income taxes in an interim period and the recognition of deferred tax liabilities for outside basis differences. The new guidance also simplifies other aspects of the accounting for franchise taxes and enacted changes in tax laws or tax rates and clarifies the accounting for transactions that result in a step-up in the tax basis of goodwill. ASU 2019-12 will be effective for us beginning January 1, 2021, with early adoption permitted. We are currently evaluating the potential impact this guidance will have on our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twelve months ended December 31, 2019 and 2018, we completed no acquisitions that were significant to our consolidated financial statements individually or in the aggregate.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Pope Woodhead's results of operations have been included in our consolidated financial statements and the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April 1, 2017, we completed our acquisition of the international assets of ADI Strategies, Inc. ("ADI Strategies") in Dubai and India. We acquired the U.S. assets of ADI Strategies in the second quarter of 2016. ADI Strategies is a leading enterprise performance management, risk management and business intelligence firm. The international results of operations of ADI Strategies have been included in our consolidated financial statements and results of operations of the Business Advisory segment from the date of acquisition. During the second quarter of 2018, we sold our Middle East practice, which primarily consisted of the international assets of the ADI Strategies acquisition, to a former employee who was the practice leader of that business at the time.</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acquisitions of ADI Strategies and Pope Woodhead are not significant to our consolidated financial statements individually or in the aggregate as of and for the twelve months ended December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March 1, 2017, we acquired 100% of the membership interests of Innosight Holdings, LLC ("Innosight"). Innosight is a growth strategy firm focused on helping companies navigate disruptive change and manage strategic transformation. Together with Innosight, we use our strategic, operational, and technology capabilities to help clients across multiple industries develop pioneering solutions to address disruption and achieve sustained growth.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Innosight was $113.6 million, which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Fair value of consideration transferred</w:t>
            </w:r>
          </w:p>
        </w:tc>
        <w:tc>
          <w:tcPr>
            <w:tcW w:w="320" w:type="dxa"/>
            <w:vAlign w:val="bottom"/>
          </w:tcPr>
          <w:p>
            <w:pPr>
              <w:spacing w:after="0"/>
              <w:rPr>
                <w:sz w:val="20"/>
                <w:szCs w:val="20"/>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1, 2017</w:t>
            </w:r>
          </w:p>
        </w:tc>
      </w:tr>
      <w:tr>
        <w:trPr>
          <w:trHeight w:val="27"/>
        </w:trPr>
        <w:tc>
          <w:tcPr>
            <w:tcW w:w="9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9,560</w:t>
            </w:r>
          </w:p>
        </w:tc>
      </w:tr>
      <w:tr>
        <w:trPr>
          <w:trHeight w:val="27"/>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Net working capital adjustment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9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consideration transferred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funded the cash component of the purchase price with cash on hand and borrowings of $89.0 million under our senior secured credit facility. We issued 221,558 shares of our common stock as part of the consideration transferred, with an acquisition date fair value of $9.6 million based on our common stock's closing price of $43.15 on the date of acquisition. The contingent consideration liability of $12.1 million represents the acquisition date fair value of the contingent consideration arrangement, pursuant to which we may be required to pay additional consideration to the sellers if specific financial performance targets are met over a four-year term. The maximum amount of contingent consideration that may be paid is $35.0 million. See Note 13 "Fair Value of Financial Instruments" for additional information on the valuation of contingent consideration liabilities.</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were recorded at fair value as of the acquisition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purchase price to the fair value of assets acquired and liabilities assumed as of the acquisition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1, 2017</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87,410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weighted average amortization period for the identifiable intangible assets shown above is 5.6 years. Customer relationships and customer contracts represent the fair values of the underlying relationships and agreements with Innosight customers. The trade name represents the fair value of the brand and name recognition associated with the marketing of Innosight's service offerings. Non-compete agreements represent the value derived from preventing certain Innosight executives from entering into or starting a similar, competing business. The favorable lease contract represents the difference between the fair value and minimum lease obligations under the current outstanding lease. Goodwill is recognized for the excess of purchase price over the net fair value of assets acquired and liabilities assumed, and largely reflects the expanded market opportunities expected from combining the service offerings of Huron and Innosight, as well as the assembled workforce of Innosight. Goodwill recognized in conjunction with the acquisition of Innosight was recorded in the Business Advisory segment. Goodwill of $87.4 million is expected to be deductible for income tax purposes.</w:t>
      </w:r>
    </w:p>
    <w:p>
      <w:pPr>
        <w:spacing w:after="0" w:line="11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Innosight’s results of operations have been included in our consolidated statements of operations and results of operations of our Business Advisory segment from the date of acquisition. For the year ended December 31, 2017, revenues from Innosight were $34.3 million and operating loss was $0.9 million, which included $3.4 million of amortization expense for intangible assets acquired. In connection with the acquisition of Innosight, we incurred $1.7 million of transaction and acquisition-related expenses in 2017. These costs are recorded in selling, general and administrative expenses.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of Huron and Innosight as though the companies were combined on January 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9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741,695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(167,346)</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per share -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(7.79)</w:t>
            </w:r>
          </w:p>
        </w:tc>
      </w:tr>
    </w:tbl>
    <w:p>
      <w:pPr>
        <w:spacing w:after="0" w:line="39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historical financial information has been adjusted to give effect to pro forma adjustments consisting of intangible asset amortization expense, acquisition-related costs, interest expense, and the related income tax effects. The unaudited pro forma information above includes adjustments to include additional expense of $0.6 million for the year ended December 31, 2017. Additionally, the historical financial information has been adjusted to give effect to the shares issued as consideration. All of these adjustments are based upon currently available information and certain assumptions. Therefore, the pro forma consolidated results are not necessarily indicative of what our consolidated results of operations actually would have been had we completed the acquisition on January 1, 2016.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changes in the carrying amount of goodwill by reportable segment for the years ended December 31, 2019 and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Business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Advisory</w:t>
            </w:r>
          </w:p>
        </w:tc>
        <w:tc>
          <w:tcPr>
            <w:tcW w:w="24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Education</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302,187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102,829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1,041,826</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(187,995)</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(396,076)</w:t>
            </w: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114,192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102,829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645,750</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a business combination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301,700</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102,829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1,041,339</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(187,995)</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(396,076)</w:t>
            </w: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113,705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102,829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645,263</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recorded in connection with a business combination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302,057</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103,889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1,042,756</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(187,995)</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(396,076)</w:t>
            </w: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114,062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103,889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646,680</w:t>
            </w:r>
          </w:p>
        </w:tc>
      </w:tr>
      <w:tr>
        <w:trPr>
          <w:trHeight w:val="27"/>
        </w:trPr>
        <w:tc>
          <w:tcPr>
            <w:tcW w:w="5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1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September 30, 2019, we completed the acquisition of a business in our Education segment. The results of operations of the acquired business is included in our consolidated financial statements and results of operations of our Education segment from the date of acquisition. This acquisition is not significant to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Annual Goodwill Impairment Test</w:t>
      </w:r>
    </w:p>
    <w:p>
      <w:pPr>
        <w:spacing w:after="0" w:line="17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Pursuant to our policy, we performed our annual goodwill impairment test as of November 30, 2019 on our five reporting units with goodwill balances: Healthcare, Education, Business Advisory, Strategy and Innovation, and Life Sciences. We performed a quantitative impairment test for Strategy and Innovation as the reporting unit is a relatively new business resulting from an acquisition in 2017 and also fell slightly short of internal financial expectations in 2019. We performed qualitative assessments over the Healthcare, Education, Business Advisory, and Life Sciences reporting units to determine if it was more likely than not the respective fair values of these reporting units were less than their carrying amounts, including goodwill.</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the Strategy and Innovation reporting unit, we reviewed goodwill for impairment by comparing the fair value of the reporting unit to its carrying value, including goodwill. In estimating the fair value of the reporting unit, we relied on a combination of the income approach and the market approach utilizing the guideline company method, with a fifty-fifty weighting. Based on the results of the goodwill impairment test, we determined the fair value of Strategy and Innovation reporting unit exceeded its carrying value by 41%. As such, we concluded that there is no indication of goodwill impairment for the reporting unit.</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our qualitative assessment of the Healthcare, Education, Business Advisory and Life Sciences reporting units, we considered the most recent quantitative analysis performed for these reporting units, which was as of November 30, 2017,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2019 and 2018 compared to the internal financial projections used, as well as specific outlooks for each reporting unit based on our most recent internal financial projections. We also considered the market-based valuation multiples used in the market approach within our prior quantitative analysis, which were derived from guideline companies, and noted that the valuation multiples generally increased compared to November 30, 2017.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of the Healthcare, Education, Business Advisory and Life Sciences reporting units exceeded their respective carrying amounts. As such, the goodwill for these reporting units was not considered impaired as of November 30, 2019, and a quantitative goodwill impairment analysis was not necessary.</w:t>
      </w:r>
    </w:p>
    <w:p>
      <w:pPr>
        <w:spacing w:after="0" w:line="11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Further, we evaluated whether any events occurred or any circumstances changed since November 30, 2019 that would indicate goodwill may have become impaired since our annual impairment test. Based on our evaluation as of December 31, 2019, we determined that no indications of impairment arose since our annual goodwill impairment test.</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Goodwill Impairment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second quarter of 2017, we performed a goodwill impairment analysis for our Healthcare reporting unit as our Healthcare business was experiencing a prolonged period of declining revenues at the time, primarily driven by softness in our revenue cycle offering within our performance improvement solution. This softness was attributable to decreased demand for our services, the winding down of some of our larger projects, and a trend toward smaller projects, as well as fewer large integrated projects. Based on forecasts prepared in the second quarter of 2017 in connection with our quarterly forecasting cycle, we determined that the likely time frame to improve the financial results of this segment would take longer than originally anticipated. As such, we concluded, during the second quarter of 2017, that the fair value of the Healthcare reporting unit may no longer exceed its carrying value. In connection with the preparation of our financial statements for the quarter ended June 30, 2017, we performed an interim impairment test on the Healthcare reporting unit.</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goodwill impairment test was performed by comparing the fair value of the Healthcare reporting unit to its carrying value and recognizing an impairment charge for the amount by which the carrying value exceeded the fair value. To estimate the fair value of the Healthcare reporting unit, we relied on a combination of the income approach and the market approach, utilizing the guideline company method, with a fifty-fifty weighting. Based on the estimated fair value of the Healthcare reporting unit, we recorded a $208.1 million non-cash pretax goodwill impairment charge in 2017 to reduce the carrying value of goodwill in our Healthcare reporting unit.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Solutions and Analytics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Enterprise Solutions and Analytics reporting unit was established with the acquisition of Blue Stone International, LLC in 2013. Since that time, we completed five additional business acquisitions within the reporting unit, most recently the acquisitions of the U.S. assets and international assets of ADI Strategies in May 2016 and April 2017, respectively.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 Therefore, the initial accounting for an acquisition results in its fair value equaling its carrying value. Due to this reporting unit’s relatively low headroom, in the event that the financial performance of the reporting unit did not meet our expectations during 2017, we could be required to take a non-cash impairment charge as a result of any goodwill impairment test. During the first three quarters of 2017,</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performance of Enterprise Solutions and Analytics continued to reasonably meet our expectations. However, both revenues and operating margin during the fourth quarter of 2017 fell short of our expectations resulting in a reduction in workforce within the reporting unit during that quarter. Further, in connection with our annual budget process for 2018, which coincided with our annual goodwill impairment test during the fourth quarter of 2017, we determined that the reporting unit's expected future revenue growth rates and operating margin would be lower than previously anticipated for this reporting unit. As a result, our goodwill impairment test indicated that the fair value of the Enterprise Solutions and Analytics reporting unit no longer exceeded its carrying value.</w:t>
      </w:r>
    </w:p>
    <w:p>
      <w:pPr>
        <w:spacing w:after="0" w:line="13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goodwill impairment test was performed by comparing the fair value of the Enterprise Solutions and Analytics reporting unit to its carrying value and recognizing an impairment charge for the amount by which the carrying value exceeded the fair value. To estimate the fair value of the Enterprise Solutions and Analytics reporting unit, we relied on a combination of the income approach and the market approach, utilizing the guideline company method, with a fifty-fifty weighting. Based on the estimated fair value of the Enterprise Solutions and Analytics reporting unit, we recorded a $45.0 million non-cash pretax goodwill impairment charge to reduce the carrying value of this reporting unit's goodwill to zero.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2019 and 2018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740"/>
              <w:spacing w:after="0"/>
              <w:rPr>
                <w:sz w:val="20"/>
                <w:szCs w:val="20"/>
                <w:color w:val="auto"/>
              </w:rPr>
            </w:pPr>
            <w:r>
              <w:rPr>
                <w:rFonts w:ascii="Arial" w:cs="Arial" w:eastAsia="Arial" w:hAnsi="Arial"/>
                <w:sz w:val="18"/>
                <w:szCs w:val="18"/>
                <w:b w:val="1"/>
                <w:bCs w:val="1"/>
                <w:color w:val="auto"/>
              </w:rPr>
              <w:t>As of December 31,</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9"/>
              </w:rPr>
              <w:t>2019</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Accumulated</w:t>
            </w:r>
          </w:p>
        </w:tc>
      </w:tr>
      <w:tr>
        <w:trPr>
          <w:trHeight w:val="234"/>
        </w:trPr>
        <w:tc>
          <w:tcPr>
            <w:tcW w:w="334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Years</w:t>
            </w:r>
          </w:p>
        </w:tc>
        <w:tc>
          <w:tcPr>
            <w:tcW w:w="2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3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87,577</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60,462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5 to 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23,181</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software</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2,241</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Favorable lease contract</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646</w:t>
            </w:r>
          </w:p>
        </w:tc>
      </w:tr>
      <w:tr>
        <w:trPr>
          <w:trHeight w:val="27"/>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125,221</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89,372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Intangible assets amortization expense was $17.8 million, $24.0 million, and $35.0 million for the years ended December 31, 2019, 2018, and 2017, respectively. The table below sets forth the estimated annual amortization expense for each of the five succeeding years for the intangible assets recorded as of December 31,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ind w:right="71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20"/>
                <w:szCs w:val="20"/>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Amortization 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12,638</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8,379</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6,111</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3,512</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892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4"/>
              </w:rPr>
              <w:t>2024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7"/>
        </w:trPr>
        <w:tc>
          <w:tcPr>
            <w:tcW w:w="8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7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lease office space, data centers and certain equipment under operating leases expiring on various dates through 2029, with various renewal options that can extend the lease terms by one to ten years. Our operating leases include fixed payments plus, in some cases, scheduled base rent increases over the term of the lease. Certain leases require variable payments of real estate taxes, insurance and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expenses. We exclude these variable payments from the measurements of our lease liabilities and expense them as incurred. We elected the practical expedient to combine lease and nonlease components. No lease agreements contain any residual value guarantees or material restrictive covenants. As of December 31, 2019, we have not entered into any material finance leases. We sublease certain office spaces to third parties resulting from restructuring activities in certain locations.</w:t>
      </w: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Operating lease right-of-use ("ROU") assets are reviewed for impairment whenever events or changes in circumstances indicate that the carrying amount of the asset group to which the operating lease ROU asset is assigned may not be recoverable. First, we test the asset group for recoverability by comparing the undiscounted cash flows of the asset group, which include expected future lease and nonlease payments under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 and discount rate. During 2019, we recorded $0.8 million of lease impairment charges for office spaces vacated during the year, of which $0.6 million was allocated to the operating lease ROU assets and $0.2 million was allocated to the leasehold improvements based on their relative carrying amounts. The $0.8 million lease impairment charge was recognized in restructuring charges on our consolidated statement of operations. See Note 11 "Restructuring Charges" for additional information on our restructuring activities.</w:t>
      </w:r>
    </w:p>
    <w:p>
      <w:pPr>
        <w:spacing w:after="0" w:line="26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the fourth quarter of 2019, we entered into an amendment to the office lease agreement for our principal executive offices in Chicago, Illinois, which resulted in a non-cash gain on lease modification of $0.8 million. Among other items, this amendment i) extends the term of the lease from September 30, 2024 to September 30, 2029; ii) provides a renewal option to extend the lease for an additional five year period to September 30, 2034; iii) terminates the lease with respect to certain leased spaces previously vacated; iv) provides abatement of certain future base rent payments and our pro rata share of operating expenses and taxes; and v) provides a one-time cash payment from the lessor as an incentive.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Additional information on our operating leases as of December 31, 2019 follows.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91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2019</w:t>
            </w:r>
          </w:p>
        </w:tc>
      </w:tr>
      <w:tr>
        <w:trPr>
          <w:trHeight w:val="27"/>
        </w:trPr>
        <w:tc>
          <w:tcPr>
            <w:tcW w:w="9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54,954</w:t>
            </w:r>
          </w:p>
        </w:tc>
      </w:tr>
      <w:tr>
        <w:trPr>
          <w:trHeight w:val="324"/>
        </w:trPr>
        <w:tc>
          <w:tcPr>
            <w:tcW w:w="9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operating lease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7,469</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69,233</w:t>
            </w:r>
          </w:p>
        </w:tc>
      </w:tr>
      <w:tr>
        <w:trPr>
          <w:trHeight w:val="27"/>
        </w:trPr>
        <w:tc>
          <w:tcPr>
            <w:tcW w:w="9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76,702</w:t>
            </w:r>
          </w:p>
        </w:tc>
      </w:tr>
      <w:tr>
        <w:trPr>
          <w:trHeight w:val="20"/>
        </w:trPr>
        <w:tc>
          <w:tcPr>
            <w:tcW w:w="9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9260" w:type="dxa"/>
            <w:vAlign w:val="bottom"/>
            <w:gridSpan w:val="2"/>
          </w:tcPr>
          <w:p>
            <w:pPr>
              <w:ind w:left="40"/>
              <w:spacing w:after="0"/>
              <w:rPr>
                <w:sz w:val="20"/>
                <w:szCs w:val="20"/>
                <w:color w:val="auto"/>
              </w:rPr>
            </w:pPr>
            <w:r>
              <w:rPr>
                <w:rFonts w:ascii="Arial" w:cs="Arial" w:eastAsia="Arial" w:hAnsi="Arial"/>
                <w:sz w:val="18"/>
                <w:szCs w:val="18"/>
                <w:b w:val="1"/>
                <w:bCs w:val="1"/>
                <w:color w:val="auto"/>
              </w:rPr>
              <w:t>Lease Cost</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2019</w:t>
            </w:r>
          </w:p>
        </w:tc>
      </w:tr>
      <w:tr>
        <w:trPr>
          <w:trHeight w:val="27"/>
        </w:trPr>
        <w:tc>
          <w:tcPr>
            <w:tcW w:w="9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11,883</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 xml:space="preserve">Short-term leases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lease costs</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3,656</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Sublease income</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(2,638)</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 xml:space="preserve">Net lease cost </w:t>
            </w:r>
            <w:r>
              <w:rPr>
                <w:rFonts w:ascii="Arial" w:cs="Arial" w:eastAsia="Arial" w:hAnsi="Arial"/>
                <w:sz w:val="21"/>
                <w:szCs w:val="21"/>
                <w:b w:val="1"/>
                <w:bCs w:val="1"/>
                <w:color w:val="auto"/>
                <w:vertAlign w:val="superscript"/>
              </w:rPr>
              <w:t>(2)(3)(4)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13,223</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variable lease costs related to short-term leases.</w:t>
      </w:r>
    </w:p>
    <w:p>
      <w:pPr>
        <w:spacing w:after="0" w:line="63"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lease cost includes $0.4 million for the year ended December 31, 2019, recorded as restructuring charges as they relate to vacated office spaces. See Note 11 "Restructuring Charges" for additional information on our vacated office spaces.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lease cost includes $0.3 million for the year ended December 31, 2019, related to vacated office spaces directly related to discontinued operations.</w:t>
      </w:r>
    </w:p>
    <w:p>
      <w:pPr>
        <w:spacing w:after="0" w:line="86" w:lineRule="exact"/>
        <w:rPr>
          <w:rFonts w:ascii="Arial" w:cs="Arial" w:eastAsia="Arial" w:hAnsi="Arial"/>
          <w:sz w:val="16"/>
          <w:szCs w:val="16"/>
          <w:color w:val="auto"/>
        </w:rPr>
      </w:pPr>
    </w:p>
    <w:p>
      <w:pPr>
        <w:ind w:left="340" w:right="20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Rent expense, including operating expenses, real estate taxes and insurance, recorded under ASC 840 for the years ended December 31, 2018 and 2017 was $15.1 million and $14.3 million,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gridSpan w:val="2"/>
          </w:tcPr>
          <w:p>
            <w:pPr>
              <w:jc w:val="center"/>
              <w:ind w:left="2090"/>
              <w:spacing w:after="0"/>
              <w:rPr>
                <w:sz w:val="20"/>
                <w:szCs w:val="20"/>
                <w:color w:val="auto"/>
              </w:rPr>
            </w:pPr>
            <w:r>
              <w:rPr>
                <w:rFonts w:ascii="Arial" w:cs="Arial" w:eastAsia="Arial" w:hAnsi="Arial"/>
                <w:sz w:val="18"/>
                <w:szCs w:val="18"/>
                <w:b w:val="1"/>
                <w:bCs w:val="1"/>
                <w:color w:val="auto"/>
                <w:w w:val="99"/>
              </w:rPr>
              <w:t>HURON CONSULTING GROUP INC.</w:t>
            </w: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6"/>
        </w:trPr>
        <w:tc>
          <w:tcPr>
            <w:tcW w:w="9240" w:type="dxa"/>
            <w:vAlign w:val="bottom"/>
            <w:gridSpan w:val="2"/>
          </w:tcPr>
          <w:p>
            <w:pPr>
              <w:jc w:val="center"/>
              <w:ind w:left="2110"/>
              <w:spacing w:after="0"/>
              <w:rPr>
                <w:sz w:val="20"/>
                <w:szCs w:val="20"/>
                <w:color w:val="auto"/>
              </w:rPr>
            </w:pPr>
            <w:r>
              <w:rPr>
                <w:rFonts w:ascii="Arial" w:cs="Arial" w:eastAsia="Arial" w:hAnsi="Arial"/>
                <w:sz w:val="18"/>
                <w:szCs w:val="18"/>
                <w:b w:val="1"/>
                <w:bCs w:val="1"/>
                <w:color w:val="auto"/>
              </w:rPr>
              <w:t>NOTES TO CONSOLIDATED FINANCIAL STATEMENTS</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9240" w:type="dxa"/>
            <w:vAlign w:val="bottom"/>
            <w:gridSpan w:val="2"/>
          </w:tcPr>
          <w:p>
            <w:pPr>
              <w:jc w:val="center"/>
              <w:ind w:left="2090"/>
              <w:spacing w:after="0"/>
              <w:rPr>
                <w:sz w:val="20"/>
                <w:szCs w:val="20"/>
                <w:color w:val="auto"/>
              </w:rPr>
            </w:pPr>
            <w:r>
              <w:rPr>
                <w:rFonts w:ascii="Arial" w:cs="Arial" w:eastAsia="Arial" w:hAnsi="Arial"/>
                <w:sz w:val="18"/>
                <w:szCs w:val="18"/>
                <w:b w:val="1"/>
                <w:bCs w:val="1"/>
                <w:color w:val="auto"/>
                <w:w w:val="88"/>
              </w:rPr>
              <w:t>(Tabular amounts in thousands, except per share amounts)</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94"/>
        </w:trPr>
        <w:tc>
          <w:tcPr>
            <w:tcW w:w="9240" w:type="dxa"/>
            <w:vAlign w:val="bottom"/>
            <w:gridSpan w:val="2"/>
          </w:tcPr>
          <w:p>
            <w:pPr>
              <w:spacing w:after="0"/>
              <w:rPr>
                <w:sz w:val="20"/>
                <w:szCs w:val="20"/>
                <w:color w:val="auto"/>
              </w:rPr>
            </w:pPr>
            <w:r>
              <w:rPr>
                <w:rFonts w:ascii="Arial" w:cs="Arial" w:eastAsia="Arial" w:hAnsi="Arial"/>
                <w:sz w:val="18"/>
                <w:szCs w:val="18"/>
                <w:color w:val="auto"/>
                <w:w w:val="93"/>
              </w:rPr>
              <w:t>The table below summarizes the remaining expected lease payments under our operating leases as of December 31, 2019.</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60"/>
        </w:trPr>
        <w:tc>
          <w:tcPr>
            <w:tcW w:w="9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9240" w:type="dxa"/>
            <w:vAlign w:val="bottom"/>
            <w:gridSpan w:val="2"/>
          </w:tcPr>
          <w:p>
            <w:pPr>
              <w:ind w:left="40"/>
              <w:spacing w:after="0"/>
              <w:rPr>
                <w:sz w:val="20"/>
                <w:szCs w:val="20"/>
                <w:color w:val="auto"/>
              </w:rPr>
            </w:pPr>
            <w:r>
              <w:rPr>
                <w:rFonts w:ascii="Arial" w:cs="Arial" w:eastAsia="Arial" w:hAnsi="Arial"/>
                <w:sz w:val="18"/>
                <w:szCs w:val="18"/>
                <w:b w:val="1"/>
                <w:bCs w:val="1"/>
                <w:color w:val="auto"/>
              </w:rPr>
              <w:t>Future Lease Payments</w:t>
            </w: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r>
      <w:tr>
        <w:trPr>
          <w:trHeight w:val="27"/>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12,039</w:t>
            </w:r>
          </w:p>
        </w:tc>
      </w:tr>
      <w:tr>
        <w:trPr>
          <w:trHeight w:val="27"/>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11,470</w:t>
            </w:r>
          </w:p>
        </w:tc>
      </w:tr>
      <w:tr>
        <w:trPr>
          <w:trHeight w:val="27"/>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10,893</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35,211</w:t>
            </w:r>
          </w:p>
        </w:tc>
      </w:tr>
      <w:tr>
        <w:trPr>
          <w:trHeight w:val="27"/>
        </w:trPr>
        <w:tc>
          <w:tcPr>
            <w:tcW w:w="9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lease payments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90,887</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(14,185)</w:t>
            </w:r>
          </w:p>
        </w:tc>
      </w:tr>
      <w:tr>
        <w:trPr>
          <w:trHeight w:val="27"/>
        </w:trPr>
        <w:tc>
          <w:tcPr>
            <w:tcW w:w="9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operating lease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76,702</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table below summarizes the future minimum rental commitments, as defined by ASC 840, under our non-cancelable operating leases as of December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1"/>
        </w:trPr>
        <w:tc>
          <w:tcPr>
            <w:tcW w:w="90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Lease Payments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13,701</w:t>
            </w:r>
          </w:p>
        </w:tc>
        <w:tc>
          <w:tcPr>
            <w:tcW w:w="0" w:type="dxa"/>
            <w:vAlign w:val="bottom"/>
          </w:tcPr>
          <w:p>
            <w:pPr>
              <w:spacing w:after="0"/>
              <w:rPr>
                <w:sz w:val="1"/>
                <w:szCs w:val="1"/>
                <w:color w:val="auto"/>
              </w:rPr>
            </w:pP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27,033</w:t>
            </w:r>
          </w:p>
        </w:tc>
        <w:tc>
          <w:tcPr>
            <w:tcW w:w="0" w:type="dxa"/>
            <w:vAlign w:val="bottom"/>
          </w:tcPr>
          <w:p>
            <w:pPr>
              <w:spacing w:after="0"/>
              <w:rPr>
                <w:sz w:val="1"/>
                <w:szCs w:val="1"/>
                <w:color w:val="auto"/>
              </w:rPr>
            </w:pPr>
          </w:p>
        </w:tc>
      </w:tr>
      <w:tr>
        <w:trPr>
          <w:trHeight w:val="27"/>
        </w:trPr>
        <w:tc>
          <w:tcPr>
            <w:tcW w:w="10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86,521</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8"/>
              </w:rPr>
              <w:t>(1) As of December 31, 2018, the expected total future minimum sublease income to be received was $10.2 million.</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right"/>
              <w:ind w:right="67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9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Information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7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13,902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9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00" w:type="dxa"/>
            <w:vAlign w:val="bottom"/>
          </w:tcPr>
          <w:p>
            <w:pPr>
              <w:spacing w:after="0"/>
              <w:rPr>
                <w:sz w:val="24"/>
                <w:szCs w:val="24"/>
                <w:color w:val="auto"/>
              </w:rPr>
            </w:pPr>
          </w:p>
        </w:tc>
        <w:tc>
          <w:tcPr>
            <w:tcW w:w="8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96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7.7 years</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648"/>
        </w:trPr>
        <w:tc>
          <w:tcPr>
            <w:tcW w:w="100" w:type="dxa"/>
            <w:vAlign w:val="bottom"/>
          </w:tcPr>
          <w:p>
            <w:pPr>
              <w:spacing w:after="0"/>
              <w:rPr>
                <w:sz w:val="24"/>
                <w:szCs w:val="24"/>
                <w:color w:val="auto"/>
              </w:rPr>
            </w:pPr>
          </w:p>
        </w:tc>
        <w:tc>
          <w:tcPr>
            <w:tcW w:w="8960" w:type="dxa"/>
            <w:vAlign w:val="bottom"/>
            <w:gridSpan w:val="2"/>
          </w:tcPr>
          <w:p>
            <w:pPr>
              <w:ind w:left="5420"/>
              <w:spacing w:after="0"/>
              <w:rPr>
                <w:sz w:val="20"/>
                <w:szCs w:val="20"/>
                <w:color w:val="auto"/>
              </w:rPr>
            </w:pPr>
            <w:r>
              <w:rPr>
                <w:rFonts w:ascii="Arial" w:cs="Arial" w:eastAsia="Arial" w:hAnsi="Arial"/>
                <w:sz w:val="18"/>
                <w:szCs w:val="18"/>
                <w:color w:val="auto"/>
              </w:rPr>
              <w:t>F-22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Depreciation expense for property and equipment was $13.0 million, $13.4 million, and $13.3 million for the years ended December 31, 2019, 2018, and 2017, respectively. Property and equipment, net at December 31, 2019 and 2018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gridSpan w:val="8"/>
          </w:tcPr>
          <w:p>
            <w:pPr>
              <w:jc w:val="right"/>
              <w:ind w:right="690"/>
              <w:spacing w:after="0"/>
              <w:rPr>
                <w:sz w:val="20"/>
                <w:szCs w:val="20"/>
                <w:color w:val="auto"/>
              </w:rPr>
            </w:pPr>
            <w:r>
              <w:rPr>
                <w:rFonts w:ascii="Arial" w:cs="Arial" w:eastAsia="Arial" w:hAnsi="Arial"/>
                <w:sz w:val="18"/>
                <w:szCs w:val="18"/>
                <w:b w:val="1"/>
                <w:bCs w:val="1"/>
                <w:color w:val="auto"/>
              </w:rPr>
              <w:t>As of 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related equipment, and software</w:t>
            </w:r>
          </w:p>
        </w:tc>
        <w:tc>
          <w:tcPr>
            <w:tcW w:w="112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50,251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5"/>
          </w:tcPr>
          <w:p>
            <w:pPr>
              <w:jc w:val="right"/>
              <w:ind w:right="30"/>
              <w:spacing w:after="0"/>
              <w:rPr>
                <w:sz w:val="20"/>
                <w:szCs w:val="20"/>
                <w:color w:val="auto"/>
              </w:rPr>
            </w:pPr>
            <w:r>
              <w:rPr>
                <w:rFonts w:ascii="Arial" w:cs="Arial" w:eastAsia="Arial" w:hAnsi="Arial"/>
                <w:sz w:val="18"/>
                <w:szCs w:val="18"/>
                <w:color w:val="auto"/>
              </w:rPr>
              <w:t>44,323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45,052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16,273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Aircraft</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5"/>
          </w:tcPr>
          <w:p>
            <w:pPr>
              <w:jc w:val="right"/>
              <w:ind w:right="30"/>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construction</w:t>
            </w: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3"/>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6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5"/>
          </w:tcPr>
          <w:p>
            <w:pPr>
              <w:jc w:val="right"/>
              <w:ind w:right="30"/>
              <w:spacing w:after="0"/>
              <w:rPr>
                <w:sz w:val="20"/>
                <w:szCs w:val="20"/>
                <w:color w:val="auto"/>
              </w:rPr>
            </w:pPr>
            <w:r>
              <w:rPr>
                <w:rFonts w:ascii="Arial" w:cs="Arial" w:eastAsia="Arial" w:hAnsi="Arial"/>
                <w:sz w:val="18"/>
                <w:szCs w:val="18"/>
                <w:color w:val="auto"/>
              </w:rPr>
              <w:t>118,764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123,367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(80,351)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66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5"/>
          </w:tcPr>
          <w:p>
            <w:pPr>
              <w:jc w:val="right"/>
              <w:ind w:right="30"/>
              <w:spacing w:after="0"/>
              <w:rPr>
                <w:sz w:val="20"/>
                <w:szCs w:val="20"/>
                <w:color w:val="auto"/>
              </w:rPr>
            </w:pPr>
            <w:r>
              <w:rPr>
                <w:rFonts w:ascii="Arial" w:cs="Arial" w:eastAsia="Arial" w:hAnsi="Arial"/>
                <w:sz w:val="18"/>
                <w:szCs w:val="18"/>
                <w:color w:val="auto"/>
              </w:rPr>
              <w:t>38,413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40,374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7. Financing Arrangements</w:t>
            </w:r>
          </w:p>
        </w:tc>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gridSpan w:val="7"/>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205,000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 due 2024</w:t>
            </w: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208,853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296,985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208,324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53,853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color w:val="auto"/>
                <w:w w:val="90"/>
              </w:rPr>
              <w:t>Below is a summary of the scheduled remaining principal payments of our debt as of December 31, 2019.</w:t>
            </w: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89"/>
              </w:rPr>
              <w:t>Principal Payments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Long-Term Debt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206,646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were governed by the terms of an indenture between the Company and U.S. Bank National Association, as Trustee (the “Indenture”). The Convertible Notes were senior unsecured obligations of the Company and paid interest semi-annually on April 1 and October 1 of each year at an annual rate of 1.25%. The Convertible Notes matured on October 1, 2019. Upon maturity, we refinanced $217.0 million of the principal amount of the outstanding Convertible Notes with the borrowing capacity available under our revolving credit facility and funded the remaining $33.0 million principal payment with cash on hand.</w:t>
      </w:r>
    </w:p>
    <w:p>
      <w:pPr>
        <w:spacing w:after="0" w:line="1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Prior to maturity, upon conversion, the Convertible Notes would have been settled, at our election, in cash, shares of the Company’s common stock, or a combination of cash and shares of the Company’s common stock. On October 1, 2019, one holder of the Convertible Notes converted their holding, which we settled in cash and resulted in an immaterial gain on conversion.</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Upon issuance, we separated the Convertible Notes into liability and equity components. The carrying amount of the liability component was determined by measuring the fair value of a similar liability that does not have an associated convertible feature, assuming our non-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convertible debt borrowing rate. The carrying value of the equity component representing the conversion option, which was recognized as a debt discount, was determined by deducting the fair value of the liability component from the proceeds of the Convertible Notes. The debt discount was amortized to interest expense using an effective interest rate of 4.751% over the term of the Convertible Notes. The equity component was not remeasured as it continued to meet the conditions for equity classification.</w:t>
      </w:r>
    </w:p>
    <w:p>
      <w:pPr>
        <w:spacing w:after="0" w:line="13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were recorded as a deduction to the carrying amount of the liability and amortized to interest expense over the term of the Convertible Notes; and transaction costs attributable to the equity component were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Convertible Notes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jc w:val="right"/>
              <w:ind w:right="510"/>
              <w:spacing w:after="0"/>
              <w:rPr>
                <w:sz w:val="20"/>
                <w:szCs w:val="20"/>
                <w:color w:val="auto"/>
              </w:rPr>
            </w:pPr>
            <w:r>
              <w:rPr>
                <w:rFonts w:ascii="Arial" w:cs="Arial" w:eastAsia="Arial" w:hAnsi="Arial"/>
                <w:sz w:val="18"/>
                <w:szCs w:val="18"/>
                <w:b w:val="1"/>
                <w:bCs w:val="1"/>
                <w:color w:val="auto"/>
                <w:w w:val="98"/>
              </w:rPr>
              <w:t>As of December 31, 2018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36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242,617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 Included in additional paid-in capital on the consolidated balance sheet.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6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6,436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7,851</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9,727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12,200</w:t>
            </w: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issuance of the Convertible Notes, we entered into convertible note hedge transactions and warrant transactions. The convertible note hedge transactions were intended to reduce the potential future economic dilution associated with the conversion of the Convertible Notes and, combined with the warrants, effectively raised the price at which economic dilution would occur from the initial conversion price of approximately $79.89 to approximately $97.12 per share. For purposes of the computation of diluted earnings per share in accordance with GAAP, dilution would occur when the average share price of our common stock for a given period exceeds the conversion price of the Convertible Notes, which initially is equal to approximately $79.89 per share. The convertible note hedge transactions and warrant transactions are discussed separately below.</w:t>
      </w:r>
    </w:p>
    <w:p>
      <w:pPr>
        <w:spacing w:after="0" w:line="124" w:lineRule="exact"/>
        <w:rPr>
          <w:sz w:val="20"/>
          <w:szCs w:val="20"/>
          <w:color w:val="auto"/>
        </w:rPr>
      </w:pPr>
    </w:p>
    <w:p>
      <w:pPr>
        <w:ind w:left="820" w:right="20" w:hanging="812"/>
        <w:spacing w:after="0" w:line="25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had call options to purchase a total of approximately 3.1 million shares of the Company’s common stock, which is the number of shares initially issuable upon conversion of the Convertible Notes in full, at a price of approximately $79.89, which corresponded to the initial conversion price of the Convertible Notes, subject to customary anti-dilution adjustments substantially similar to those in the Convertible Notes. The convertible note hedge transactions were exercisable upon conversion of the Convertible Notes and expired in the third quarter of 2019. We paid an aggregate amount of $42.1 million for the convertible note hedge transactions, which was recorded as additional paid-in capital on the consolidated balance sheet. The convertible note hedge transactions were separate transactions and were not part of the terms of the Convertible Notes.</w:t>
      </w:r>
    </w:p>
    <w:p>
      <w:pPr>
        <w:spacing w:after="0" w:line="138" w:lineRule="exact"/>
        <w:rPr>
          <w:rFonts w:ascii="Arial" w:cs="Arial" w:eastAsia="Arial" w:hAnsi="Arial"/>
          <w:sz w:val="18"/>
          <w:szCs w:val="18"/>
          <w:color w:val="auto"/>
        </w:rPr>
      </w:pPr>
    </w:p>
    <w:p>
      <w:pPr>
        <w:ind w:left="820" w:right="20" w:hanging="812"/>
        <w:spacing w:after="0" w:line="25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jc w:val="both"/>
        <w:ind w:left="820" w:right="280"/>
        <w:spacing w:after="0" w:line="342" w:lineRule="auto"/>
        <w:rPr>
          <w:sz w:val="20"/>
          <w:szCs w:val="20"/>
          <w:color w:val="auto"/>
        </w:rPr>
      </w:pPr>
      <w:r>
        <w:rPr>
          <w:rFonts w:ascii="Arial" w:cs="Arial" w:eastAsia="Arial" w:hAnsi="Arial"/>
          <w:sz w:val="16"/>
          <w:szCs w:val="16"/>
          <w:color w:val="auto"/>
        </w:rPr>
        <w:t>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were included in deferred income taxes, net on the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December 31, 2019, we were in compliance with these financial covenants with a Consolidated Leverage Ratio of 1.64 to 1.00 and a Consolidated Interest Coverage Ratio of 15.29 to 1.00.</w:t>
      </w:r>
    </w:p>
    <w:p>
      <w:pPr>
        <w:spacing w:after="0" w:line="14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Borrowings outstanding under the Amended Credit Agreement at December 31, 2019 totaled $205.0 million. These borrowings carried a weighted average interest rate of 3.0%, including the impact of the interest rate swap described in Note 12 “Derivative Instruments and Hedging Activity." Borrowings outstanding under the Amended Credit Agreement at December 31, 2018 were $50.0 million and carried a weighted average interest rate of 3.7%, including the impact of the interest rate swap described in Note 12 "Derivative Instruments and Hedging Activity." The borrowing capacity under the revolving credit facility is reduced by any outstanding borrowings under the revolving credit facility and outstanding letters of credit. At December 31, 2019, we had outstanding letters of credit totaling $1.7 million, which are primarily used as security deposits for our office facilities. As of December 31, 2019, the unused borrowing capacity under the revolving credit facility was $393.3 million.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due 2024</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December 31, 2019, the outstanding principal amount of the promissory note was $3.9 million. As of December 31, 2019, the aircraft had a carrying amount of $5.1 million. At December 31, 2018, the outstanding principal amount of the promissory note was $4.4 million, and the aircraft had a carrying amount of $5.8 million.</w:t>
      </w:r>
    </w:p>
    <w:p>
      <w:pPr>
        <w:spacing w:after="0" w:line="121" w:lineRule="exact"/>
        <w:rPr>
          <w:sz w:val="20"/>
          <w:szCs w:val="20"/>
          <w:color w:val="auto"/>
        </w:rPr>
      </w:pPr>
    </w:p>
    <w:p>
      <w:pPr>
        <w:ind w:right="9840" w:firstLine="8"/>
        <w:spacing w:after="0" w:line="495" w:lineRule="auto"/>
        <w:tabs>
          <w:tab w:leader="none" w:pos="18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Preferred Stock</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2019 and 2018, no such preferred stock has been approved or issued.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the years ended December 31, 2019, 2018 and 2017 we recognized revenues of $876.8 million, $795.1 million, and $732.6 million, respectively. Of the $876.8 million recognized in 2019, we recognized revenues of $2.8 million from obligations satisfied, or partially satisfied, in prior periods due to the release of allowances on unbilled services as a result of securing contract amendments. During 2019, we recognized a $1.0 million decrease to revenues due to changes in the estimates of our variable consideration under performance-based billing arrangements. Of the $795.1 million recognized in 2018, we recognized revenues of $10.8 million from obligations satisfied, or partially satisfied, in prior periods, of which $7.2 million was due to changes in the estimates of our variable consideration under performance-based billing arrangements and $3.6 million was primarily due to the release of allowances on unbilled services due to securing contract amendments.</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2019, we had $90.1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$90.1 million of performance obligations, we expect to recognize approximately $58.1 million as revenue in 2020, $20.9 million in 2021, and the remaining $11.1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must occur, such as the completion of the measurement period or client approval in performance-based engagements, are recorded as contract assets and included within unbilled services, net. The contract asset balance as of December 31, 2019 and 2018 was $12.6 million and $9.1 million, respectively. The $3.5 million increase primarily reflects timing differences between the completion of our performance obligations and the amounts billed or billable to clients in accordance with their contractual billing terms.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December 31, 2019 and December 31, 2018 was $28.4 million and $28.1 million respectively. The $0.3 million increase primarily reflects timing differences between client payments in accordance with their contract terms and the completion of our performance obligations. For the year ended December 31, 2019, $22.8 million of revenues recognized were included in the deferred revenue balance as of December 31, 2018. For the year ended December 31, 2018, $23.5 million of revenues recognized were included in the deferred revenue balance as of December 31,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41,979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388</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41,743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(170,117)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21,993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22,507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r>
      <w:tr>
        <w:trPr>
          <w:trHeight w:val="67"/>
        </w:trPr>
        <w:tc>
          <w:tcPr>
            <w:tcW w:w="64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earnings (loss) per diluted share:</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0.02</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As of December 31,</w:t>
            </w:r>
          </w:p>
        </w:tc>
        <w:tc>
          <w:tcPr>
            <w:tcW w:w="90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3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Outstanding common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194</w:t>
            </w: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1060" w:type="dxa"/>
            <w:vAlign w:val="bottom"/>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3,129</w:t>
            </w: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6,258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25" w:right="25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See Note 7 “Financing Arrangements” for further information on the convertible senior notes and warrants related to the issuance of convertible notes.</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currently have a share repurchase program permitting us to repurchase up to $125 million of our common stock through October 31, 2020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In 2019, we repurchased and retired 210,437 shares for $14.2 million, of which $1.2 million settled in the first quarter of 2020. All of the 210,437 shares repurchased and retired in 2019 were included as a reduction to our basic weighted average shares outstanding for the year ended December 31, 2019 based on the trade date of the share repurchase. No shares were repurchased under this program in 2018 or 2017. As of December 31, 2019, $20.9 million remains available for share repurchases.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2019, we incurred $1.9 million of pretax restructuring expense. This expense primarily consisted of the following charges: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We incurred $0.6 million of severance expense as a result of workforce reductions to better align resources with market demand and workforce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our corporate operations.</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Office exit costs - We incurred $1.2 million of office exit costs. During 2019, we exited a portion of our Lake Oswego, Oregon office resulting in a $0.7 million lease impairment charge on the related operating lease right-of-use asset and leasehold improvements and $0.2 million of accelerated depreciation on furniture and fixtures in that office. The lease impairment charge was recognized 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which we adopted on a modified retrospective basis on January 1, 2019. See Note 2 "Summary of Significant Accounting Policies" for additional information on our adoption of ASC 842. See Note 5 "Leases" for additional information on the long-lived asset impairment test. Additionally, during 2019, we exited the remaining portion of our Middleton, Wisconsin office and an office in Houston, Texas, resulting in restructuring charges of $0.4 million and $0.1 million, respectively, which primarily consisted of accelerated depreciation on furniture and fixtures in those offices. During the fourth quarter of 2019, we entered into an amendment to the lease of our principal executive offices in Chicago, Illinois. Among other items, the amendment terminated the lease with respect to certain leased space which we previously vacated and currently sublease to a third-party. As a result of the amendment, we recognized a restructuring gain of $0.4 million. See Note 5 "Leases" for additional information on the amendment.</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 the $1.9 million pretax restructuring charge, $1.5 million related to our corporate operations, $0.3 million related to our Healthcare segment, and $0.1 million related to our Business Advisory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2018, we incurred $3.7 million of pretax restructuring expense. This expense primarily consisted of the following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Severance - </w:t>
      </w:r>
      <w:r>
        <w:rPr>
          <w:rFonts w:ascii="Arial" w:cs="Arial" w:eastAsia="Arial" w:hAnsi="Arial"/>
          <w:sz w:val="18"/>
          <w:szCs w:val="18"/>
          <w:color w:val="auto"/>
        </w:rPr>
        <w:t>We incurred $2.1 million of severance expense as a result of workforce reductions to better align resources with market demand.</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Office exit costs </w:t>
      </w:r>
      <w:r>
        <w:rPr>
          <w:rFonts w:ascii="Arial" w:cs="Arial" w:eastAsia="Arial" w:hAnsi="Arial"/>
          <w:sz w:val="18"/>
          <w:szCs w:val="18"/>
          <w:color w:val="auto"/>
        </w:rPr>
        <w:t>- We incurred $1.3 million of office exit costs. Of the $1.3 million, $0.8 million related to the accrual of remaining lease payments,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estimated sublease income, accelerated depreciation on leasehold improvements, and moving expenses due to exiting a portion of our Middleton, Wisconsin office; $0.4 million related to updated lease assumptions, commission costs, and moving expenses for our San Francisco office vacated in 2017; and $0.1 million related to updated lease assumptions for our Chicago office consolidation. The office exit costs incurred in the 2018 were accounted for in accordance with ASC 840, </w:t>
      </w:r>
      <w:r>
        <w:rPr>
          <w:rFonts w:ascii="Arial" w:cs="Arial" w:eastAsia="Arial" w:hAnsi="Arial"/>
          <w:sz w:val="18"/>
          <w:szCs w:val="18"/>
          <w:i w:val="1"/>
          <w:iCs w:val="1"/>
          <w:color w:val="auto"/>
        </w:rPr>
        <w:t>Leases.</w:t>
      </w:r>
    </w:p>
    <w:p>
      <w:pPr>
        <w:spacing w:after="0" w:line="13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We incurred $0.3 million related to the divestiture of our Middle East practice within the Business Advisory segment in the second quarter of 2018.</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second quarter of 2018, we sold our Middle East practice to a former employee who was the practice leader of that business at the time, and we recorded a $5.8 million loss which is included in other income (expense), net in our consolidated statements of operations.</w:t>
      </w:r>
    </w:p>
    <w:p>
      <w:pPr>
        <w:spacing w:after="0" w:line="1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Of the $3.7 million pretax restructuring charge, $1.1 million was related to our Healthcare segment, $1.0 million was related to our Business Advisory segment, and $1.6 million was related to our corporate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2017, we incurred $6.2 million of pretax restructuring expense. This expense primarily consisted of the following charges: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Severance - </w:t>
      </w:r>
      <w:r>
        <w:rPr>
          <w:rFonts w:ascii="Arial" w:cs="Arial" w:eastAsia="Arial" w:hAnsi="Arial"/>
          <w:sz w:val="18"/>
          <w:szCs w:val="18"/>
          <w:color w:val="auto"/>
        </w:rPr>
        <w:t>We incurred $3.7 million of severance expense as a result of workforce reductions to better align resources with market demand and workforce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our corporate operations.</w:t>
      </w:r>
    </w:p>
    <w:p>
      <w:pPr>
        <w:spacing w:after="0" w:line="11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Office exit costs </w:t>
      </w:r>
      <w:r>
        <w:rPr>
          <w:rFonts w:ascii="Arial" w:cs="Arial" w:eastAsia="Arial" w:hAnsi="Arial"/>
          <w:sz w:val="16"/>
          <w:szCs w:val="16"/>
          <w:color w:val="auto"/>
        </w:rPr>
        <w:t>- We incurred $2.4 million of office exit costs primarily related to the accrual of remaining lease obligations, net of estimated sublease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income, due to relocating our San Francisco office to a smaller space and consolidating our Chicago and New York offices, and accelerated depreciation on leasehold improvements for our San Francisco office. The office exit costs incurred in the 2017 were accounted for in accordance with ASC 840, </w:t>
      </w:r>
      <w:r>
        <w:rPr>
          <w:rFonts w:ascii="Arial" w:cs="Arial" w:eastAsia="Arial" w:hAnsi="Arial"/>
          <w:sz w:val="16"/>
          <w:szCs w:val="16"/>
          <w:i w:val="1"/>
          <w:iCs w:val="1"/>
          <w:color w:val="auto"/>
        </w:rPr>
        <w:t>Leases.</w:t>
      </w:r>
    </w:p>
    <w:p>
      <w:pPr>
        <w:spacing w:after="0" w:line="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Of the $6.2 million pretax restructuring charge, $2.1 million was related to our Healthcare segment, $1.1 million was related to our Business Advisory segment, and $2.9 million was related to our corporate operations.</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years ended December 31, 2019 and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Office Space</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Employee Costs</w:t>
            </w:r>
          </w:p>
        </w:tc>
        <w:tc>
          <w:tcPr>
            <w:tcW w:w="2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Reductions</w:t>
            </w:r>
          </w:p>
        </w:tc>
        <w:tc>
          <w:tcPr>
            <w:tcW w:w="380" w:type="dxa"/>
            <w:vAlign w:val="bottom"/>
          </w:tcPr>
          <w:p>
            <w:pPr>
              <w:spacing w:after="0"/>
              <w:rPr>
                <w:sz w:val="20"/>
                <w:szCs w:val="20"/>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5,514</w:t>
            </w:r>
          </w:p>
        </w:tc>
      </w:tr>
      <w:tr>
        <w:trPr>
          <w:trHeight w:val="270"/>
        </w:trPr>
        <w:tc>
          <w:tcPr>
            <w:tcW w:w="4240" w:type="dxa"/>
            <w:vAlign w:val="bottom"/>
          </w:tcPr>
          <w:p>
            <w:pPr>
              <w:ind w:left="28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 (2)</w:t>
            </w:r>
          </w:p>
        </w:tc>
        <w:tc>
          <w:tcPr>
            <w:tcW w:w="18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2,970</w:t>
            </w: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r>
      <w:tr>
        <w:trPr>
          <w:trHeight w:val="270"/>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 (2)</w:t>
            </w: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781</w:t>
            </w: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r>
      <w:tr>
        <w:trPr>
          <w:trHeight w:val="264"/>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 xml:space="preserve">Adoption of ASC 842 </w:t>
            </w:r>
            <w:r>
              <w:rPr>
                <w:rFonts w:ascii="Arial" w:cs="Arial" w:eastAsia="Arial" w:hAnsi="Arial"/>
                <w:sz w:val="21"/>
                <w:szCs w:val="21"/>
                <w:color w:val="auto"/>
                <w:vertAlign w:val="superscript"/>
              </w:rPr>
              <w:t>(3)</w:t>
            </w:r>
          </w:p>
        </w:tc>
        <w:tc>
          <w:tcPr>
            <w:tcW w:w="18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January 1, 2019</w:t>
            </w: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r>
      <w:tr>
        <w:trPr>
          <w:trHeight w:val="264"/>
        </w:trPr>
        <w:tc>
          <w:tcPr>
            <w:tcW w:w="4240" w:type="dxa"/>
            <w:vAlign w:val="bottom"/>
          </w:tcPr>
          <w:p>
            <w:pPr>
              <w:ind w:left="28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(2)</w:t>
            </w:r>
          </w:p>
        </w:tc>
        <w:tc>
          <w:tcPr>
            <w:tcW w:w="1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w:t>
            </w: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r>
      <w:tr>
        <w:trPr>
          <w:trHeight w:val="270"/>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1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and adjustments for the years ended December 31, 2019 and 2018 include restructuring charges of $0.1 million and $0.4 million, respectively related to office exit costs for vacated offices spaces directly related to discontinued operations</w:t>
      </w:r>
      <w:r>
        <w:rPr>
          <w:rFonts w:ascii="Arial" w:cs="Arial" w:eastAsia="Arial" w:hAnsi="Arial"/>
          <w:sz w:val="18"/>
          <w:szCs w:val="18"/>
          <w:i w:val="1"/>
          <w:iCs w:val="1"/>
          <w:color w:val="auto"/>
        </w:rPr>
        <w:t>.</w:t>
      </w:r>
    </w:p>
    <w:p>
      <w:pPr>
        <w:spacing w:after="0" w:line="116"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and adjustments exclude non-cash items related to vacated office spaces, such as lease impairment charges and accelerated depreciation on fixed assets, which are recorded as restructuring charges on our consolidated statements of operations.</w:t>
      </w:r>
    </w:p>
    <w:p>
      <w:pPr>
        <w:spacing w:after="0" w:line="116"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adoption of ASC 842 on January 1, 2019, we reclassified the restructuring charge liabilities, which represented the present value of remaining lease payments, net of estimated sublease income, for vacated office spaces from restructuring charge liabilities to operating lease right-of-use assets. See Note 2 "Summary of Significant Accounting Polices" for additional information on the impact of adoption.</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$0.1 million restructuring charge liability related to office space reductions at December 31, 2019 is included as a component of deferred compensation and other liabilities. The $0.1 million restructuring charge liability related to employee costs at December 31, 2019 is expected to be paid in the next 12 months and is included as a component of accrued payroll and related benefits.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Activity</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3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recognize all derivative instruments as either assets or liabilities at fair value on the balance sheet. We have designated this derivative instrument as a cash flow hedge. Therefore, changes in the fair value of the derivative instrument are recorded to other comprehensive income (“OCI”) to the extent effective and reclassified into interest expense upon settlement. As of December 31, 2019, it was anticipated that $0.1 million of the losses, net of tax, currently recorded in accumulated other comprehensive income will be reclassified into earnings within the next 12 months.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sets forth additional information relating to our interest rate swap designated as a cash flow hedging instrument as of December 31, 2019 and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41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Fair Value (Derivative Asset and Liability)</w:t>
            </w:r>
          </w:p>
        </w:tc>
        <w:tc>
          <w:tcPr>
            <w:tcW w:w="5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6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95"/>
              </w:rPr>
              <w:t>As of December 31,</w:t>
            </w:r>
          </w:p>
        </w:tc>
        <w:tc>
          <w:tcPr>
            <w:tcW w:w="5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6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compensation and other liabilities</w:t>
            </w: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14 “Other Comprehensive Income (Loss)” for additional information on our derivative instrument.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3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ind w:right="100"/>
        <w:spacing w:after="0" w:line="26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41"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tables below sets forth our fair value hierarchy for our financial assets and liabilities measured at fair value on a recurring basis as of December 31, 2019 and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debt investment</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Deferred compensation assets</w:t>
            </w:r>
          </w:p>
        </w:tc>
        <w:tc>
          <w:tcPr>
            <w:tcW w:w="126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27,445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27,445</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76,987</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w:t>
            </w:r>
          </w:p>
        </w:tc>
      </w:tr>
      <w:tr>
        <w:trPr>
          <w:trHeight w:val="27"/>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642"/>
        </w:trPr>
        <w:tc>
          <w:tcPr>
            <w:tcW w:w="47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Convertible debt investment</w:t>
            </w:r>
          </w:p>
        </w:tc>
        <w:tc>
          <w:tcPr>
            <w:tcW w:w="12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50,429</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18,205</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18,958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69,387</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Contingent consideration for business acquisitions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11,441</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11,441</w:t>
            </w:r>
          </w:p>
        </w:tc>
      </w:tr>
      <w:tr>
        <w:trPr>
          <w:trHeight w:val="20"/>
        </w:trPr>
        <w:tc>
          <w:tcPr>
            <w:tcW w:w="47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Interest rate swap: </w:t>
      </w:r>
      <w:r>
        <w:rPr>
          <w:rFonts w:ascii="Arial" w:cs="Arial" w:eastAsia="Arial" w:hAnsi="Arial"/>
          <w:sz w:val="16"/>
          <w:szCs w:val="16"/>
          <w:color w:val="auto"/>
        </w:rPr>
        <w:t>The fair value of our interest rate swap was derived using estimates to settle the interest rate swap agreement, which is based on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value of expected future cash flows on each leg of the swap utilizing market-based inputs and discount rates reflecting the risks involved.</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(the "initial convertible notes"), in</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Holdings, LLC (“Shorelight”), the parent company of Shorelight, a U.S.-based company that partners with leading nonprofit universities to increase access to and retention of international students, boost institutional growth, and enhance an institution’s global footprint. In the second quarter of 2019, we amended the initial investment to extend the maturity date by one year to July 1, 2021, unless converted earlier. In the first quarter of 2020, we invested an additional $13.0 million, in the form of 1.69% convertible debt with a senior liquidation preference to the initial convertible notes (the "additional convertible note"); and amended our initial convertible notes to extend the maturity date to January 17, 2024, which coincides with the maturity date of the additional convertible note.</w:t>
      </w:r>
    </w:p>
    <w:p>
      <w:pPr>
        <w:spacing w:after="0" w:line="1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related to the assumed holding period, the applicable waterfall distribution at the end of the expected holding period based on the rights and privileges of the various instruments, cash flow projections discounted at the risk-adjusted rate, and the concluded equity volatility, all of which are Level 3 inputs. The valuation of our investment as of December 31, 2019 takes into consideration the equity value indication as well as the dilutive impact of the convertible debt issued by Shorelight in the first quarter of 2020, the terms of which were known or knowable as of December 31, 2019.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years ended December 31, 2019 and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10,525</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 and a select group</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Contingent consideration for business acquisitions: </w:t>
      </w:r>
      <w:r>
        <w:rPr>
          <w:rFonts w:ascii="Arial" w:cs="Arial" w:eastAsia="Arial" w:hAnsi="Arial"/>
          <w:sz w:val="17"/>
          <w:szCs w:val="17"/>
          <w:color w:val="auto"/>
        </w:rPr>
        <w:t>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12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years ended December 31, 2019 and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due to foreign currency translation</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60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11,441</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fourth quarter of 2019, we invested $5.0 million, in the form of preferred stock, in Medically Home Group, Inc. ("Medically Home"), a healthcare technology-enabled services company. To determine the appropriate accounting treatment for our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the fair value of the preferred stock using such identified transactions, with changes in the fair value recorded in consolidated statement of operations. Following our purchase, there has been no impairment, nor any observable price changes to our investment.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 and estimated fair value of the Convertible Notes as of December 31, 2018 follows. The Convertible Notes matured on October 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242,617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242,940</w:t>
            </w:r>
          </w:p>
        </w:tc>
      </w:tr>
      <w:tr>
        <w:trPr>
          <w:trHeight w:val="27"/>
        </w:trPr>
        <w:tc>
          <w:tcPr>
            <w:tcW w:w="8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difference between the $250 million principal amount of the Convertible Notes and the carrying amount shown above represented the unamortized debt discount and issuance costs. As of December 31, 2018, the carrying value of the equity component of $39.3 million was unchanged from the date of issuance. Refer to Note 7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year ended December 31, 2018.</w:t>
      </w:r>
    </w:p>
    <w:p>
      <w:pPr>
        <w:spacing w:after="0" w:line="13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sets forth the components of accumulated other comprehensive income (loss), net of tax for the years ended December 31, 2019, 2018, and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Available-for-</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Sale</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Cash Flow</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200" w:type="dxa"/>
            <w:vAlign w:val="bottom"/>
          </w:tcPr>
          <w:p>
            <w:pPr>
              <w:spacing w:after="0"/>
              <w:rPr>
                <w:sz w:val="22"/>
                <w:szCs w:val="2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 xml:space="preserve">Hedges </w:t>
            </w:r>
            <w:r>
              <w:rPr>
                <w:rFonts w:ascii="Arial" w:cs="Arial" w:eastAsia="Arial" w:hAnsi="Arial"/>
                <w:sz w:val="21"/>
                <w:szCs w:val="21"/>
                <w:b w:val="1"/>
                <w:bCs w:val="1"/>
                <w:color w:val="auto"/>
                <w:w w:val="84"/>
                <w:vertAlign w:val="superscript"/>
              </w:rPr>
              <w:t>(1)</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0"/>
              <w:spacing w:after="0"/>
              <w:rPr>
                <w:sz w:val="20"/>
                <w:szCs w:val="20"/>
                <w:color w:val="auto"/>
              </w:rPr>
            </w:pPr>
            <w:r>
              <w:rPr>
                <w:rFonts w:ascii="Arial" w:cs="Arial" w:eastAsia="Arial" w:hAnsi="Arial"/>
                <w:sz w:val="18"/>
                <w:szCs w:val="18"/>
                <w:color w:val="auto"/>
              </w:rPr>
              <w:t>Change in fair value, net of tax of $(998)</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4,231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Reclassification adjustment into retained earnings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$(106)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adjustment into earnings, net of tax of $(46)</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Reclassification adjustment into retained earnings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10,370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on investments: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$(2,753)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$(63)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adjustment into earnings, net of tax of $(10)</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 of $185</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 of $295</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into earnings, net of tax of $48</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15,882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14,936</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6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before tax amounts reclassified from accumulated other comprehensive income (loss) related to our cash flow hedges are recorded to interest expense, net of interest income.</w:t>
      </w:r>
    </w:p>
    <w:p>
      <w:pPr>
        <w:spacing w:after="0" w:line="116" w:lineRule="exact"/>
        <w:rPr>
          <w:rFonts w:ascii="Arial" w:cs="Arial" w:eastAsia="Arial" w:hAnsi="Arial"/>
          <w:sz w:val="18"/>
          <w:szCs w:val="18"/>
          <w:color w:val="auto"/>
        </w:rPr>
      </w:pPr>
    </w:p>
    <w:p>
      <w:pPr>
        <w:ind w:left="340" w:right="46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Upon adoption of ASU 2018-02, </w:t>
      </w:r>
      <w:r>
        <w:rPr>
          <w:rFonts w:ascii="Arial" w:cs="Arial" w:eastAsia="Arial" w:hAnsi="Arial"/>
          <w:sz w:val="18"/>
          <w:szCs w:val="18"/>
          <w:i w:val="1"/>
          <w:iCs w:val="1"/>
          <w:color w:val="auto"/>
        </w:rPr>
        <w:t>Income Statement - Reporting Comprehensive Income (Topic 220):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Accumulated Other Comprehensive Income, </w:t>
      </w:r>
      <w:r>
        <w:rPr>
          <w:rFonts w:ascii="Arial" w:cs="Arial" w:eastAsia="Arial" w:hAnsi="Arial"/>
          <w:sz w:val="18"/>
          <w:szCs w:val="18"/>
          <w:color w:val="auto"/>
        </w:rPr>
        <w:t>we reclassified $0.5 million of stranded tax effects, which resulted from the enactment of the 2017 Tax</w:t>
      </w:r>
      <w:r>
        <w:rPr>
          <w:rFonts w:ascii="Arial" w:cs="Arial" w:eastAsia="Arial" w:hAnsi="Arial"/>
          <w:sz w:val="18"/>
          <w:szCs w:val="18"/>
          <w:i w:val="1"/>
          <w:iCs w:val="1"/>
          <w:color w:val="auto"/>
        </w:rPr>
        <w:t xml:space="preserve"> </w:t>
      </w:r>
      <w:r>
        <w:rPr>
          <w:rFonts w:ascii="Arial" w:cs="Arial" w:eastAsia="Arial" w:hAnsi="Arial"/>
          <w:sz w:val="18"/>
          <w:szCs w:val="18"/>
          <w:color w:val="auto"/>
        </w:rPr>
        <w:t>Reform, from accumulated other comprehensive income to retained earnings.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and Deferred Compensation Plans</w:t>
      </w:r>
    </w:p>
    <w:p>
      <w:pPr>
        <w:spacing w:after="0" w:line="17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sponsor a qualified defined contribution 401(k) plan covering substantially all of our employees. Under the plan, employees are entitled to make pretax contributions and/or Roth post-tax contributions up to the annual maximums established by the Internal Revenue Service. We match an amount equal to the employees’ contributions up to 6% of the employees’ eligible earnings. Our matching contributions for the years ended December 31, 2019, 2018, and 2017 were $22.8 million, $20.8 million, and $20.0 million, respectively.</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2019 and 2018 was $27.5 million and $18.4 million, respectively. This deferred compensation liability is funded by the Plan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Incentive Plans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2012, Huron adopted the 2012 Omnibus Incentive Plan (the “2012 Plan”)which replaced, on a prospective basis, our 2004 Omnibus Stock Plan (the "2004 Plan") such that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The 2012 Plan permits the grant of stock options, stock appreciation rights, restricted stock, performance shares and other share-based or cash-based awards valued in whole or in part by reference to, or otherwise based on, our common stock. Subsequent to the initial approval of the 2012 Plan and through December 31, 2019, our shareholders approved amendments to the 2012 Plan to increase the number of shares reserved for issuance by 2,254,000, in the aggregate. As of December 31, 2019, approximately 1.1 million shares remain available for issuance under the 2012 Plan.</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1, 2015, we adopted the Stock Ownership Participation Program (the “SOPP”), which is available to Huron employees below the managing director level who do not receive equity-based awards as part of their normal compensation plan. Under the SOPP, eligible employees may elect to use after-tax payroll deductions, or cash contributions,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a requirement that the purchased shares be held for a specified period. The initial number of shares available for issuance under the SOPP was 300,000. Prior to the adoption of the SOPP, the matching share grants and the employee purchased shares under the stock ownership participation program were governed by the 2012 Plan. As of December 31, 2019, less than 0.1 million shares remain available for issuance under the SOPP.</w:t>
      </w:r>
    </w:p>
    <w:p>
      <w:pPr>
        <w:spacing w:after="0" w:line="11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It has been our practice to issue shares of common stock upon exercise of stock options and granting of restricted stock from authorized but unissued shares, with the exception of the SOPP under which shares are issued from treasury stock. Certain grants of restricted stock under the 2012 Plan may be issued from treasury stock at the direction of the Compensation Committee.</w:t>
      </w:r>
    </w:p>
    <w:p>
      <w:pPr>
        <w:spacing w:after="0" w:line="12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Share-based awards outstanding under our 2012 Plan and our 2004 Plan provide for a retirement eligibility provision, under which eligible employees who have reached 62 years of age and have completed seven years of employment with Huron will continue vesting in their share-based awards after retirement, subject to certain conditions. This retirement eligibility provision also applies to future awards granted to eligible employees under the 2012 Plan. The Compensation Committee of the board of directors has the responsibility of interpreting the 2012 Plan and SOPP and determining all of the terms and conditions of awards made under the plans, including when the awards will become exercisable or otherwise vest.</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share-based compensation cost recognized for the years ended December 31, 2019, 2018, and 2017 was $24.2 million, $18.8 million, and $14.8 million, respectively, with related income tax benefits of $5.3 million, $4.6 million, and $5.8 million, respectively. As of December 31, 2019, there was $26.2 million of total unrecognized compensation cost related to nonvested share-based awards. This cost is expected to be recognized over a weighted average period of 2.2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grant date fair values of our restricted stock awards are measured based on the fair value of our common stock at grant date and amortized into expense over the service period. Subject to acceleration under certain conditions, the majority of our restricted stock vests annually over four years.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125"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restricted stock activity for the year ended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32"/>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64"/>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 Ownership</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2012 Omnibus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Participation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Incentive Plan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Program</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dollars)</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Nonvested restricted stock at December 31, 2018</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Nonvested restricted stock at December 31, 2019</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aggregate fair value of restricted stock that vested during the years ended December 31, 2019, 2018, and 2017 was $14.5 million, $9.1 million, and $11.1 million, respectively. The weighted average grant date fair value per share of restricted stock granted during 2018 and 2017 was $38.45 and $42.11,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2019, 2018, and 2017, the Company granted performance-based stock awards to our named executive officers and certain managing directors. The total number of shares earned by recipients of these awards is contingent upon meeting practice specific and Company-wide performance goals. Following the performance period, certain awards are subject to the completion of a service period, which is generally an additional two years. These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 including the performance period.</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summarizes the performance-based stock activity for the year ended December 31, 2019. All nonvested performance-based stock outstanding at December 31, 2019 and 2018 was granted under the 2012 Omnibus Incentive Plan.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7640" w:type="dxa"/>
            <w:vAlign w:val="bottom"/>
          </w:tcPr>
          <w:p>
            <w:pPr>
              <w:spacing w:after="0"/>
              <w:rPr>
                <w:sz w:val="18"/>
                <w:szCs w:val="18"/>
                <w:color w:val="auto"/>
              </w:rPr>
            </w:pPr>
          </w:p>
        </w:tc>
        <w:tc>
          <w:tcPr>
            <w:tcW w:w="136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Number of</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7640" w:type="dxa"/>
            <w:vAlign w:val="bottom"/>
          </w:tcPr>
          <w:p>
            <w:pPr>
              <w:spacing w:after="0"/>
              <w:rPr>
                <w:sz w:val="20"/>
                <w:szCs w:val="20"/>
                <w:color w:val="auto"/>
              </w:rPr>
            </w:pPr>
          </w:p>
        </w:tc>
        <w:tc>
          <w:tcPr>
            <w:tcW w:w="1360" w:type="dxa"/>
            <w:vAlign w:val="bottom"/>
          </w:tcPr>
          <w:p>
            <w:pPr>
              <w:jc w:val="center"/>
              <w:ind w:left="370"/>
              <w:spacing w:after="0"/>
              <w:rPr>
                <w:sz w:val="20"/>
                <w:szCs w:val="20"/>
                <w:color w:val="auto"/>
              </w:rPr>
            </w:pPr>
            <w:r>
              <w:rPr>
                <w:rFonts w:ascii="Arial" w:cs="Arial" w:eastAsia="Arial" w:hAnsi="Arial"/>
                <w:sz w:val="18"/>
                <w:szCs w:val="18"/>
                <w:b w:val="1"/>
                <w:bCs w:val="1"/>
                <w:color w:val="auto"/>
                <w:w w:val="83"/>
              </w:rPr>
              <w:t>Shares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(in dollars)</w:t>
            </w:r>
          </w:p>
        </w:tc>
      </w:tr>
      <w:tr>
        <w:trPr>
          <w:trHeight w:val="27"/>
        </w:trPr>
        <w:tc>
          <w:tcPr>
            <w:tcW w:w="76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performance-based stock at December 31, 2018</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36.81</w:t>
            </w:r>
          </w:p>
        </w:tc>
      </w:tr>
      <w:tr>
        <w:trPr>
          <w:trHeight w:val="270"/>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1"/>
                <w:szCs w:val="21"/>
                <w:color w:val="auto"/>
                <w:vertAlign w:val="superscript"/>
              </w:rPr>
              <w:t>(1)</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47.93</w:t>
            </w: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40.69</w:t>
            </w:r>
          </w:p>
        </w:tc>
      </w:tr>
      <w:tr>
        <w:trPr>
          <w:trHeight w:val="270"/>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(144)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36.06</w:t>
            </w:r>
          </w:p>
        </w:tc>
      </w:tr>
      <w:tr>
        <w:trPr>
          <w:trHeight w:val="264"/>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Nonvested performance-based stock at December 31, 2019 </w:t>
            </w:r>
            <w:r>
              <w:rPr>
                <w:rFonts w:ascii="Arial" w:cs="Arial" w:eastAsia="Arial" w:hAnsi="Arial"/>
                <w:sz w:val="21"/>
                <w:szCs w:val="21"/>
                <w:color w:val="auto"/>
                <w:vertAlign w:val="superscript"/>
              </w:rPr>
              <w:t>(3)</w:t>
            </w:r>
          </w:p>
        </w:tc>
        <w:tc>
          <w:tcPr>
            <w:tcW w:w="1360" w:type="dxa"/>
            <w:vAlign w:val="bottom"/>
            <w:tcBorders>
              <w:top w:val="single" w:sz="8" w:color="auto"/>
              <w:bottom w:val="single" w:sz="8" w:color="auto"/>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40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42.72</w:t>
            </w:r>
          </w:p>
        </w:tc>
      </w:tr>
      <w:tr>
        <w:trPr>
          <w:trHeight w:val="20"/>
        </w:trPr>
        <w:tc>
          <w:tcPr>
            <w:tcW w:w="7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20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granted in 2019 are presented at the stated target, which represents the base number of shares that could be earned. Actual shares earned may be below or, for certain grants, above the target based on the achievement of specific financial goals.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Forfeited shares include shares forfeited as a result of not meeting the performance criteria of the award as well as shares forfeited upon termination.</w:t>
      </w:r>
    </w:p>
    <w:p>
      <w:pPr>
        <w:spacing w:after="0" w:line="194" w:lineRule="exact"/>
        <w:rPr>
          <w:rFonts w:ascii="Arial" w:cs="Arial" w:eastAsia="Arial" w:hAnsi="Arial"/>
          <w:sz w:val="16"/>
          <w:szCs w:val="16"/>
          <w:color w:val="auto"/>
        </w:rPr>
      </w:pPr>
    </w:p>
    <w:p>
      <w:pPr>
        <w:ind w:left="340" w:right="120" w:hanging="332"/>
        <w:spacing w:after="0" w:line="286"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Of the 500,000 nonvested performance-based shares outstanding as of December 31, 2019, 403,794 shares were unearned and subject to achievement of specific financial goals. Once earned, the awards will be subject to time-based vesting according to the terms of the award. Based on 2019 financial results, approximately 110,936 of the 403,794 unearned shares will be forfeited in the first quarter of 2020.</w:t>
      </w:r>
    </w:p>
    <w:p>
      <w:pPr>
        <w:spacing w:after="0" w:line="1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2019, 2018, and 2017 was $3.4 million, $1.5 million, and $3.6 million, respectively. The weighted average grant date fair value per share of performance-based stock granted during 2018 and 2017 was $35.25 and $42.75,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Prior to 2014, the Company granted stock option awards to certain named executive officers. No stock option awards were granted in 2019, 2018, or 2017. The exercise prices of stock options are equal to the fair value of a share of common stock on the date of grant. Subject to acceleration under certain conditions, our stock options vest annually over four years. All stock options have a 10-year contractual term.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w w:val="97"/>
              </w:rPr>
              <w:t>Stock option activity for the year ended December 31, 2019 was as follows: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Number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Options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 dollars)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millions)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Outstanding at December 31, 2019 </w:t>
            </w:r>
            <w:r>
              <w:rPr>
                <w:rFonts w:ascii="Arial" w:cs="Arial" w:eastAsia="Arial" w:hAnsi="Arial"/>
                <w:sz w:val="21"/>
                <w:szCs w:val="21"/>
                <w:color w:val="auto"/>
                <w:vertAlign w:val="superscript"/>
              </w:rPr>
              <w:t>(1)</w:t>
            </w:r>
          </w:p>
        </w:tc>
        <w:tc>
          <w:tcPr>
            <w:tcW w:w="11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2019</w:t>
            </w: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106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the 106,000 outstanding options, approximately 74,000 were granted under the 2004 Omnibus Stock Plan, and the remaining 32,000 options were granted under the 2012 Omnibus Incentive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options exercised during 2018 was $0.8 million. No options were exercised in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December 22, 2017, the President of the United States signed into law the Tax Cuts and Jobs Act (“2017 Tax Reform”), a tax reform bill which, among other items, reduced the corporate federal income tax rate from 35% to 21% and moved from a worldwide tax system to a territorial system. As a result of the enactment of this legislation during the fourth quarter of 2017, we estimated the remeasurement of our net deferred taxes based on the new lower tax rate, as well as provided for additional one-time income tax expense estimates primarily related to the transition tax on accumulated foreign earnings and elimination of foreign tax credits for dividends that are subject to the 100 percent exemption in our consolidated financial statements as of and for the year ended December 31, 2017. In 2017 and the first nine months of 2018, we recorded provisional amounts for certain enactment-date effects of 2017 Tax Reform by applying the guidance in Staff Accounting Bulletin (“SAB”) No. 118 because we had not yet completed our enactment-date accounting for these effects.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fourth quarter of 2018, we completed our accounting for all of the enactment-date income tax effects of 2017 Tax Reform.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we recorded tax expense of $2.2 million related to establishing a valuation allowance for foreign tax credits, a tax benefit of $0.6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U.S. federal return to provision adjustments for the remeasurement of our net deferred taxes based on the new lower rate and tax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related to withholding tax on outside basis differences due to our change in assertion for permanent reinvestment. These amounts are recorded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component of income tax expense from continuing operations.</w:t>
      </w:r>
    </w:p>
    <w:p>
      <w:pPr>
        <w:spacing w:after="0" w:line="1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2017 Tax Reform subjects a US shareholder to tax on Global Intangible Low-Taxed Income (GILTI) earned by certain foreign subsidiaries. The FASB Staff Q&amp;A, Topic 740, No. 5, </w:t>
      </w:r>
      <w:r>
        <w:rPr>
          <w:rFonts w:ascii="Arial" w:cs="Arial" w:eastAsia="Arial" w:hAnsi="Arial"/>
          <w:sz w:val="17"/>
          <w:szCs w:val="17"/>
          <w:i w:val="1"/>
          <w:iCs w:val="1"/>
          <w:color w:val="auto"/>
        </w:rPr>
        <w:t>Accounting for Global Intangible Low-Taxed Income</w:t>
      </w:r>
      <w:r>
        <w:rPr>
          <w:rFonts w:ascii="Arial" w:cs="Arial" w:eastAsia="Arial" w:hAnsi="Arial"/>
          <w:sz w:val="17"/>
          <w:szCs w:val="17"/>
          <w:color w:val="auto"/>
        </w:rPr>
        <w:t>, states that an entity can make an accounting policy election to either recognize deferred taxes for temporary basis differences expected to reverse as GILTI in future years or to provide for the tax expense related to GILTI in the year the tax is incurred. We have elected to recognize the tax on GILTI as a period expense in the period the tax is incurred.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for continuing operations for the years ended December 31, 2019, 2018, and 2017 consists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9"/>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125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9,742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(46,103)</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8,795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10,717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(53,949)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for continuing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10,512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11,277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The components of income from continuing operations before taxes were as follows:</w:t>
            </w: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gridSpan w:val="10"/>
          </w:tcPr>
          <w:p>
            <w:pPr>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2018</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53,898</w:t>
            </w:r>
          </w:p>
        </w:tc>
        <w:tc>
          <w:tcPr>
            <w:tcW w:w="7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17,025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(221,137)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52,491</w:t>
            </w:r>
          </w:p>
        </w:tc>
        <w:tc>
          <w:tcPr>
            <w:tcW w:w="7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25,221</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(222,504)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our effective tax rate for continuing operations is as follows:</w:t>
      </w:r>
    </w:p>
    <w:p>
      <w:pPr>
        <w:spacing w:after="0" w:line="329"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34290</wp:posOffset>
            </wp:positionV>
            <wp:extent cx="3302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ind w:left="6840"/>
              <w:spacing w:after="0"/>
              <w:rPr>
                <w:sz w:val="20"/>
                <w:szCs w:val="20"/>
                <w:color w:val="auto"/>
              </w:rPr>
            </w:pPr>
            <w:r>
              <w:rPr>
                <w:rFonts w:ascii="Arial" w:cs="Arial" w:eastAsia="Arial" w:hAnsi="Arial"/>
                <w:sz w:val="18"/>
                <w:szCs w:val="18"/>
                <w:b w:val="1"/>
                <w:bCs w:val="1"/>
                <w:color w:val="auto"/>
                <w:w w:val="99"/>
              </w:rPr>
              <w:t>2019</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6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of pretax income from continuing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At U.S. statutory tax rate</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21.0 %</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benefit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Disallowed executive compensation</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Meals and entertainment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Tax credits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Realized investment (gains) losses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0.4</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tax benefit related to “check-the-box” election</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source income</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contingent consideration liabilities</w:t>
            </w:r>
          </w:p>
        </w:tc>
        <w:tc>
          <w:tcPr>
            <w:tcW w:w="1760" w:type="dxa"/>
            <w:vAlign w:val="bottom"/>
            <w:gridSpan w:val="3"/>
          </w:tcPr>
          <w:p>
            <w:pPr>
              <w:jc w:val="right"/>
              <w:ind w:right="14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Global intangible low-taxed income</w:t>
            </w:r>
          </w:p>
        </w:tc>
        <w:tc>
          <w:tcPr>
            <w:tcW w:w="1760" w:type="dxa"/>
            <w:vAlign w:val="bottom"/>
            <w:tcBorders>
              <w:bottom w:val="single" w:sz="8" w:color="CCEEFF"/>
            </w:tcBorders>
            <w:gridSpan w:val="3"/>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Transition tax on accumulated foreign earnings, net of credits</w:t>
            </w:r>
          </w:p>
        </w:tc>
        <w:tc>
          <w:tcPr>
            <w:tcW w:w="1760" w:type="dxa"/>
            <w:vAlign w:val="bottom"/>
            <w:gridSpan w:val="3"/>
          </w:tcPr>
          <w:p>
            <w:pPr>
              <w:jc w:val="right"/>
              <w:ind w:right="14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federal rate change</w:t>
            </w:r>
          </w:p>
        </w:tc>
        <w:tc>
          <w:tcPr>
            <w:tcW w:w="1760" w:type="dxa"/>
            <w:vAlign w:val="bottom"/>
            <w:tcBorders>
              <w:bottom w:val="single" w:sz="8" w:color="CCEEFF"/>
            </w:tcBorders>
            <w:gridSpan w:val="3"/>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Goodwill impairment charges</w:t>
            </w:r>
          </w:p>
        </w:tc>
        <w:tc>
          <w:tcPr>
            <w:tcW w:w="1760" w:type="dxa"/>
            <w:vAlign w:val="bottom"/>
            <w:gridSpan w:val="3"/>
          </w:tcPr>
          <w:p>
            <w:pPr>
              <w:jc w:val="right"/>
              <w:ind w:right="1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(10.2)</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37"/>
        </w:trPr>
        <w:tc>
          <w:tcPr>
            <w:tcW w:w="6200" w:type="dxa"/>
            <w:vAlign w:val="bottom"/>
          </w:tcPr>
          <w:p>
            <w:pPr>
              <w:ind w:left="720"/>
              <w:spacing w:after="0"/>
              <w:rPr>
                <w:sz w:val="20"/>
                <w:szCs w:val="20"/>
                <w:color w:val="auto"/>
              </w:rPr>
            </w:pPr>
            <w:r>
              <w:rPr>
                <w:rFonts w:ascii="Arial" w:cs="Arial" w:eastAsia="Arial" w:hAnsi="Arial"/>
                <w:sz w:val="18"/>
                <w:szCs w:val="18"/>
                <w:color w:val="auto"/>
              </w:rPr>
              <w:t>Effective income tax rate for continuing operations</w:t>
            </w: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20.0 %</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44.7 %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23.4 %</w:t>
            </w:r>
          </w:p>
        </w:tc>
      </w:tr>
      <w:tr>
        <w:trPr>
          <w:trHeight w:val="27"/>
        </w:trPr>
        <w:tc>
          <w:tcPr>
            <w:tcW w:w="6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effective tax rate for discontinued operations in 2019 was 26.0%, based on a tax benefit of $0.1 million and pretax loss from discontinued operations of $0.3 million, and was higher than the statutory tax rate primarily due to state income taxes. The effective tax rate for discontinued operations in 2018 was 26.7%, based on tax expense of $0.1 million and a pretax loss from discontinued operations of $0.4 million, and was higher than the statutory tax rate primarily due to state income taxes. The effective tax rate for discontinued operations in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383"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2017 was 60.0%, based on tax expense of $0.6 million and a pretax income from discontinued operations of $1.0 million, and was higher than the statutory tax rate primarily due the settlement of foreign tax audits.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liabilities for continuing operations at December 31, 2019 and 2018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other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6,737</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6,150</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3,548</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2,247</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lease incentives</w:t>
            </w:r>
          </w:p>
        </w:tc>
        <w:tc>
          <w:tcPr>
            <w:tcW w:w="1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4,100</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Restructuring charge liability</w:t>
            </w:r>
          </w:p>
        </w:tc>
        <w:tc>
          <w:tcPr>
            <w:tcW w:w="11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639</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1,466</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41,996</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24,887</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Valuation allowance</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Net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40,980</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21,744</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Intangibles and goodwill</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(16,421)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(6,665)</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Convertible debt investment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(5,934)</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Software development costs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(3,604)</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(47,905)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(20,323)</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Net deferred tax asset (liability) for continuing operations</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1,421</w:t>
            </w: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2019 and 2018, we had valuation allowances of $1.0 million and $3.1 million, respectively, primarily due to uncertainties relating to the ability to realize deferred tax assets recorded for foreign losses and tax credits. The decrease in valuation allowances in 2019 primarily related to a decrease in the valuation allowance for foreign tax credits.</w:t>
      </w:r>
    </w:p>
    <w:p>
      <w:pPr>
        <w:spacing w:after="0" w:line="1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federal and state tax credit carryforwards of $0.5 million which will begin to expire in 2020, if not utilized. We also have foreign net operating losses of $0.3 million, which carryforward indefinitely. We have no federal or state net operating loss carryforwards as of December 31, 2019.</w:t>
      </w:r>
    </w:p>
    <w:p>
      <w:pPr>
        <w:spacing w:after="0" w:line="93"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tc>
        <w:tc>
          <w:tcPr>
            <w:tcW w:w="3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540"/>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Unrecognized Tax Benefits</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Decrease due to lapse of statute of limitations</w:t>
            </w:r>
          </w:p>
        </w:tc>
        <w:tc>
          <w:tcPr>
            <w:tcW w:w="36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based on tax positions related to prior years</w:t>
            </w:r>
          </w:p>
        </w:tc>
        <w:tc>
          <w:tcPr>
            <w:tcW w:w="36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3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based on tax positions related to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Decrease due to lapse of statute of limitations</w:t>
            </w:r>
          </w:p>
        </w:tc>
        <w:tc>
          <w:tcPr>
            <w:tcW w:w="36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6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Decrease due to settlements of prior year tax positions</w:t>
            </w:r>
          </w:p>
        </w:tc>
        <w:tc>
          <w:tcPr>
            <w:tcW w:w="36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due to lapse of statute of limitations</w:t>
            </w:r>
          </w:p>
        </w:tc>
        <w:tc>
          <w:tcPr>
            <w:tcW w:w="36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we had $0.1 million of unrecognized tax benefits which would affect the effective tax rate of continuing operations if recognized.</w:t>
      </w:r>
    </w:p>
    <w:p>
      <w:pPr>
        <w:spacing w:after="0" w:line="19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As of December 31, 2019 and 2018, we had less than $0.1 million and $0.1 million accrued for the potential payment of interest and penalties. Accrued interest and penalties are recorded as a component of provision for income taxes on our consolidated statement of operations.</w:t>
      </w:r>
    </w:p>
    <w:p>
      <w:pPr>
        <w:spacing w:after="0" w:line="9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file income tax returns with federal, state, local and foreign jurisdictions. Tax years 2016 through 2018 are subject to future examinations by federal tax authorities. Tax years 2013 through 2018 are subject to future examinations by state and local tax authorities. Our foreign income tax filings are subject to future examinations by the local foreign tax authorities for tax years 2014 through 2018. Currently, we are not under audit by any tax authority.</w:t>
      </w:r>
    </w:p>
    <w:p>
      <w:pPr>
        <w:spacing w:after="0" w:line="89" w:lineRule="exact"/>
        <w:rPr>
          <w:sz w:val="20"/>
          <w:szCs w:val="20"/>
          <w:color w:val="auto"/>
        </w:rPr>
      </w:pPr>
    </w:p>
    <w:p>
      <w:pPr>
        <w:ind w:right="7620" w:firstLine="8"/>
        <w:spacing w:after="0" w:line="440" w:lineRule="auto"/>
        <w:tabs>
          <w:tab w:leader="none" w:pos="27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lease office space, data centers and certain equipment under non-cancelable operating lease arrangements expiring on various dates through 2029, with various renewal options. Office facilities under operating leases include fixed payments plus, in some cases, scheduled base rent increases over the term of the lease. Certain leases require variable payments of real estate taxes, insurance and operating expenses. See Note 5 "Leases" for additional information on our leases, including the remaining expected lease payments under our operating leases as of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the year ended December 31, 2019, we recorded a $0.4 million litigation loss accrual related to a legal claim that was subsequently settled during the first quarter of 2020. During the year ended December 31, 2018, we reached a settlement agreement related to Huron's claim in a class action lawsuit, resulting in a gain of $2.5 million. These items are recorded in litigation and other losses (gains), net on our consolidated statement of operations.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Guarantees in the form of letters of credit totaling $1.7 million and $1.6 million were outstanding at December 31, 2019 and 2018, respectively, primarily to support certain office lease obligations.</w:t>
      </w:r>
    </w:p>
    <w:p>
      <w:pPr>
        <w:spacing w:after="0" w:line="116" w:lineRule="exact"/>
        <w:rPr>
          <w:sz w:val="20"/>
          <w:szCs w:val="20"/>
          <w:color w:val="auto"/>
        </w:rPr>
      </w:pPr>
    </w:p>
    <w:p>
      <w:pPr>
        <w:ind w:left="60" w:right="100"/>
        <w:spacing w:after="0" w:line="277"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2019,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estimated fair value of our outstanding contingent consideration liability was zero. As of December 31, 2018, the total estimated fair value of our contingent consideration liabilities was $11.4 million.</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1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color w:val="auto"/>
        </w:rPr>
      </w:pPr>
    </w:p>
    <w:p>
      <w:pPr>
        <w:ind w:left="660"/>
        <w:spacing w:after="0" w:line="276" w:lineRule="auto"/>
        <w:rPr>
          <w:rFonts w:ascii="Arial" w:cs="Arial" w:eastAsia="Arial" w:hAnsi="Arial"/>
          <w:sz w:val="18"/>
          <w:szCs w:val="18"/>
          <w:color w:val="auto"/>
        </w:rPr>
      </w:pPr>
      <w:r>
        <w:rPr>
          <w:rFonts w:ascii="Arial" w:cs="Arial" w:eastAsia="Arial" w:hAnsi="Arial"/>
          <w:sz w:val="17"/>
          <w:szCs w:val="17"/>
          <w:color w:val="auto"/>
        </w:rPr>
        <w:t>Our Healthcare segment has a depth of expertise in financial and operational improvement, care transformation, culture and organizational excellence, strategy, and technology and analytics. We serve national and regional hospitals,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18" w:lineRule="exact"/>
        <w:rPr>
          <w:rFonts w:ascii="Arial" w:cs="Arial" w:eastAsia="Arial" w:hAnsi="Arial"/>
          <w:sz w:val="18"/>
          <w:szCs w:val="18"/>
          <w:color w:val="auto"/>
        </w:rPr>
      </w:pPr>
    </w:p>
    <w:p>
      <w:pPr>
        <w:ind w:left="660"/>
        <w:spacing w:after="0" w:line="255" w:lineRule="auto"/>
        <w:rPr>
          <w:rFonts w:ascii="Arial" w:cs="Arial" w:eastAsia="Arial" w:hAnsi="Arial"/>
          <w:sz w:val="18"/>
          <w:szCs w:val="18"/>
          <w:color w:val="auto"/>
        </w:rPr>
      </w:pPr>
      <w:r>
        <w:rPr>
          <w:rFonts w:ascii="Arial" w:cs="Arial" w:eastAsia="Arial" w:hAnsi="Arial"/>
          <w:sz w:val="18"/>
          <w:szCs w:val="18"/>
          <w:color w:val="auto"/>
        </w:rPr>
        <w:t>We help organizations transform and innovate their delivery model to focus on patient wellness by improving quality outcomes, minimizing care variation and fundamentally improving patient and population health. Our consultants collaborate with clients to help build and sustain today’s business to invest in the future by reducing complexity, improving operational efficiency and growing market share. We enable the healthcare of the future by identifying, integrating and optimizing digital and technology investments to collect data that transforms care delivery and improves patient outcomes. We also develop future leaders capable of driving meaningful cultural and organizational change and who transform the consumer experience.</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color w:val="auto"/>
        </w:rPr>
      </w:pPr>
    </w:p>
    <w:p>
      <w:pPr>
        <w:ind w:left="660" w:right="180"/>
        <w:spacing w:after="0" w:line="288" w:lineRule="auto"/>
        <w:rPr>
          <w:rFonts w:ascii="Arial" w:cs="Arial" w:eastAsia="Arial" w:hAnsi="Arial"/>
          <w:sz w:val="18"/>
          <w:szCs w:val="18"/>
          <w:color w:val="auto"/>
        </w:rPr>
      </w:pPr>
      <w:r>
        <w:rPr>
          <w:rFonts w:ascii="Arial" w:cs="Arial" w:eastAsia="Arial" w:hAnsi="Arial"/>
          <w:sz w:val="16"/>
          <w:szCs w:val="16"/>
          <w:color w:val="auto"/>
        </w:rPr>
        <w:t>Our Business Advisory segment provides services to large and middle market organizations, lending institutions, law firms, investment banks, private equity firms, and not-for-profit organizations, including higher education and healthcare institutions. We assist clients in a broad range of industries and across the spectrum from healthy, well-capitalized companies to organizations in transition, as well as creditors, equity owners, and other key constituents. Our Enterprise Solutions and Analytics experts advise, deliver, and optimize technology and analytic solutions that enable organizations to manage and optimize their financial performance, operational efficiency, and client or stakeholder experience. Our Business Advisory experts resolve complex business issues and enhance client enterprise value 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b w:val="1"/>
          <w:bCs w:val="1"/>
          <w:color w:val="auto"/>
        </w:rPr>
      </w:pPr>
    </w:p>
    <w:p>
      <w:pPr>
        <w:ind w:left="6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Our Education segment provides consulting and technology solutions to higher education institutions and academic medical centers. We collaborate with clients to address challenges relating to business and technology strategy, financial and operational excellence, student success, research administration, and regulatory compliance. Our research enterprise solutions assist clients in identifying and implementing institutional research strategy, optimizing clinical research operations, improving financial management and cost reimbursement, improving service to faculty, and mitigating risk compliance. Our technology strategy, enterprise applications, and analytic solutions transform and optimize operations, deliver time and cost savings, and enhance the student experience. Our institutional strategy, budgeting and financial management, and business operations align missions with business priorities, improve quality, and reduce costs institution-wide. Our student solutions improve attraction, retention and graduation rates, increase student satisfaction and help generate quality outcomes.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40"/>
          </w:cols>
          <w:pgMar w:left="240" w:top="125" w:right="3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office facility costs, costs relating to accounting and finance, human resources, legal, marketing, information technology, and company-wide business development functions, as well as costs related to overall corporate management.</w:t>
      </w:r>
    </w:p>
    <w:p>
      <w:pPr>
        <w:spacing w:after="0" w:line="2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tables below set forth information about our operating segments for the years ended December 31, 2019, 2018, and 2017, along with the items necessary to reconcile the segment information to the totals reported in the accompanying consolidated financial statements. We do not present financial information by geographic area because our international operations are immaterial.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399,221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364,763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356,909</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125,724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118,761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252,508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236,185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207,753</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49,695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46,600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225,028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194,177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167,908</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55,741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40,318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876,757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795,125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732,570</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88,717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82,874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75,175</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965,474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877,999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807,745</w:t>
            </w:r>
          </w:p>
        </w:tc>
      </w:tr>
      <w:tr>
        <w:trPr>
          <w:trHeight w:val="67"/>
        </w:trPr>
        <w:tc>
          <w:tcPr>
            <w:tcW w:w="6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6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231,160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206,928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205,679</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140,285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122,276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120,718</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losses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1,111</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28,365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34,575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38,213</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253,093</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11,215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26,875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15,048</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52,491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(222,504)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right="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89"/>
              </w:rPr>
              <w:t>As of December 31,</w:t>
            </w:r>
          </w:p>
        </w:tc>
        <w:tc>
          <w:tcPr>
            <w:tcW w:w="960" w:type="dxa"/>
            <w:vAlign w:val="bottom"/>
          </w:tcPr>
          <w:p>
            <w:pPr>
              <w:spacing w:after="0"/>
              <w:rPr>
                <w:sz w:val="20"/>
                <w:szCs w:val="20"/>
                <w:color w:val="auto"/>
              </w:rPr>
            </w:pPr>
          </w:p>
        </w:tc>
      </w:tr>
      <w:tr>
        <w:trPr>
          <w:trHeight w:val="27"/>
        </w:trPr>
        <w:tc>
          <w:tcPr>
            <w:tcW w:w="72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Assets:</w:t>
            </w: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7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73,019</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70,097</w:t>
            </w:r>
          </w:p>
        </w:tc>
      </w:tr>
      <w:tr>
        <w:trPr>
          <w:trHeight w:val="24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58,217</w:t>
            </w:r>
          </w:p>
        </w:tc>
      </w:tr>
      <w:tr>
        <w:trPr>
          <w:trHeight w:val="27"/>
        </w:trPr>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31,367</w:t>
            </w:r>
          </w:p>
        </w:tc>
      </w:tr>
      <w:tr>
        <w:trPr>
          <w:trHeight w:val="270"/>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933,056</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898,392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877,247</w:t>
            </w:r>
          </w:p>
        </w:tc>
      </w:tr>
      <w:tr>
        <w:trPr>
          <w:trHeight w:val="269"/>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1,104,271</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1,049,532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1,036,928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28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Unallocated assets include goodwill and intangible assets and our long-term investments, as management does not evaluate these items at the segment level when assessing segment performance or allocating resources. Refer to Note 4 “Goodwill and Intangible Assets" and Note 13 "Fair Value of Financial Instruments" for further information on these assets.</w:t>
      </w:r>
    </w:p>
    <w:p>
      <w:pPr>
        <w:spacing w:after="0" w:line="127" w:lineRule="exact"/>
        <w:rPr>
          <w:sz w:val="20"/>
          <w:szCs w:val="20"/>
          <w:color w:val="auto"/>
        </w:rPr>
      </w:pPr>
    </w:p>
    <w:p>
      <w:pPr>
        <w:ind w:left="60" w:right="540"/>
        <w:spacing w:after="0" w:line="342" w:lineRule="auto"/>
        <w:rPr>
          <w:sz w:val="20"/>
          <w:szCs w:val="20"/>
          <w:color w:val="auto"/>
        </w:rPr>
      </w:pPr>
      <w:r>
        <w:rPr>
          <w:rFonts w:ascii="Arial" w:cs="Arial" w:eastAsia="Arial" w:hAnsi="Arial"/>
          <w:sz w:val="16"/>
          <w:szCs w:val="16"/>
          <w:color w:val="auto"/>
        </w:rPr>
        <w:t>The following table illustrates the disaggregation of revenues by billing arrangements, employee types, and timing of revenue recognition, including a reconciliation of the disaggregated revenues to revenues from our three operating segments for the year ended December 31, 2019 and 2018.</w:t>
      </w:r>
    </w:p>
    <w:p>
      <w:pPr>
        <w:spacing w:after="0" w:line="22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8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Year Ended December 31, 2019</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Healthcare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5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Fixed-fee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249,479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100,635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51,826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401,940</w:t>
            </w:r>
          </w:p>
        </w:tc>
      </w:tr>
      <w:tr>
        <w:trPr>
          <w:trHeight w:val="27"/>
        </w:trPr>
        <w:tc>
          <w:tcPr>
            <w:tcW w:w="4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154,893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349,707</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71,051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77,907</w:t>
            </w:r>
          </w:p>
        </w:tc>
      </w:tr>
      <w:tr>
        <w:trPr>
          <w:trHeight w:val="27"/>
        </w:trPr>
        <w:tc>
          <w:tcPr>
            <w:tcW w:w="4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8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47,203</w:t>
            </w: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8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399,221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225,028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876,757</w:t>
            </w:r>
          </w:p>
        </w:tc>
      </w:tr>
      <w:tr>
        <w:trPr>
          <w:trHeight w:val="27"/>
        </w:trPr>
        <w:tc>
          <w:tcPr>
            <w:tcW w:w="4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45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280,915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720,109</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118,306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156,648</w:t>
            </w:r>
          </w:p>
        </w:tc>
      </w:tr>
      <w:tr>
        <w:trPr>
          <w:trHeight w:val="27"/>
        </w:trPr>
        <w:tc>
          <w:tcPr>
            <w:tcW w:w="45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399,221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225,028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876,757</w:t>
            </w:r>
          </w:p>
        </w:tc>
      </w:tr>
      <w:tr>
        <w:trPr>
          <w:trHeight w:val="284"/>
        </w:trPr>
        <w:tc>
          <w:tcPr>
            <w:tcW w:w="4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390,884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223,673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867,065</w:t>
            </w:r>
          </w:p>
        </w:tc>
      </w:tr>
      <w:tr>
        <w:trPr>
          <w:trHeight w:val="27"/>
        </w:trPr>
        <w:tc>
          <w:tcPr>
            <w:tcW w:w="4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8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9,692</w:t>
            </w: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8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399,221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252,508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225,028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876,757</w:t>
            </w:r>
          </w:p>
        </w:tc>
      </w:tr>
      <w:tr>
        <w:trPr>
          <w:trHeight w:val="459"/>
        </w:trPr>
        <w:tc>
          <w:tcPr>
            <w:tcW w:w="4580" w:type="dxa"/>
            <w:vAlign w:val="bottom"/>
          </w:tcPr>
          <w:p>
            <w:pPr>
              <w:spacing w:after="0"/>
              <w:rPr>
                <w:sz w:val="24"/>
                <w:szCs w:val="24"/>
                <w:color w:val="auto"/>
              </w:rPr>
            </w:pPr>
          </w:p>
        </w:tc>
        <w:tc>
          <w:tcPr>
            <w:tcW w:w="2000" w:type="dxa"/>
            <w:vAlign w:val="bottom"/>
            <w:gridSpan w:val="2"/>
          </w:tcPr>
          <w:p>
            <w:pPr>
              <w:jc w:val="right"/>
              <w:ind w:right="690"/>
              <w:spacing w:after="0"/>
              <w:rPr>
                <w:sz w:val="20"/>
                <w:szCs w:val="20"/>
                <w:color w:val="auto"/>
              </w:rPr>
            </w:pPr>
            <w:r>
              <w:rPr>
                <w:rFonts w:ascii="Arial" w:cs="Arial" w:eastAsia="Arial" w:hAnsi="Arial"/>
                <w:sz w:val="18"/>
                <w:szCs w:val="18"/>
                <w:color w:val="auto"/>
              </w:rPr>
              <w:t>F-43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8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Year Ended December 31, 2018</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Healthcare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Fixed-fee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239,263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98,119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39,586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376,968</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327,784</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48,089</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42,284</w:t>
            </w:r>
          </w:p>
        </w:tc>
      </w:tr>
      <w:tr>
        <w:trPr>
          <w:trHeight w:val="237"/>
        </w:trPr>
        <w:tc>
          <w:tcPr>
            <w:tcW w:w="64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364,763</w:t>
            </w:r>
          </w:p>
        </w:tc>
        <w:tc>
          <w:tcPr>
            <w:tcW w:w="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236,185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194,177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795,125</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440" w:type="dxa"/>
            <w:vAlign w:val="bottom"/>
          </w:tcPr>
          <w:p>
            <w:pPr>
              <w:ind w:left="2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247,416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643,247</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117,347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23,681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151,878</w:t>
            </w:r>
          </w:p>
        </w:tc>
      </w:tr>
      <w:tr>
        <w:trPr>
          <w:trHeight w:val="27"/>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364,763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194,177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795,125</w:t>
            </w:r>
          </w:p>
        </w:tc>
      </w:tr>
      <w:tr>
        <w:trPr>
          <w:trHeight w:val="284"/>
        </w:trPr>
        <w:tc>
          <w:tcPr>
            <w:tcW w:w="6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356,826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236,185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190,526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783,537</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11,588</w:t>
            </w:r>
          </w:p>
        </w:tc>
      </w:tr>
      <w:tr>
        <w:trPr>
          <w:trHeight w:val="237"/>
        </w:trPr>
        <w:tc>
          <w:tcPr>
            <w:tcW w:w="64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364,763</w:t>
            </w:r>
          </w:p>
        </w:tc>
        <w:tc>
          <w:tcPr>
            <w:tcW w:w="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236,185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194,177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795,125</w:t>
            </w:r>
          </w:p>
        </w:tc>
      </w:tr>
    </w:tbl>
    <w:p>
      <w:pPr>
        <w:spacing w:after="0" w:line="121" w:lineRule="exact"/>
        <w:rPr>
          <w:sz w:val="20"/>
          <w:szCs w:val="20"/>
          <w:color w:val="auto"/>
        </w:rPr>
      </w:pPr>
    </w:p>
    <w:p>
      <w:pPr>
        <w:ind w:left="340" w:right="120" w:hanging="332"/>
        <w:spacing w:after="0" w:line="279"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Full-time billable consultants consist of our full-time professionals who provide consulting services to our clients and are billable to our clients based on the number of hours worked. Full-time equivalent professionals consist of our coaches and their support staff within our Culture and Organizational Excellence solution, consultants who work variable schedules as needed by our clients, employees who provide managed services in our Healthcare segment, and full-time employees who provide software support and maintenance services to our clients.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2019, 2018, and 2017, substantially all of our revenues and long-lived assets were attributed to or located in the United States.</w:t>
      </w:r>
    </w:p>
    <w:p>
      <w:pPr>
        <w:spacing w:after="0" w:line="1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At December 31, 2019 and 2018, no single client accounted for greater than 10% of our combined receivables and unbilled services balances. During the years ended December 31, 2019, 2018, and 2017, no single client generated greater than 10% of our consolidated revenues.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Valuation and Qualifying Accounts</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sets forth the changes in the carrying amount of our allowances for doubtful accounts and unbilled services and valuation allowance for deferred tax assets for the years ended December 31, 2019, 2018, and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Beginning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Ending</w:t>
            </w:r>
          </w:p>
        </w:tc>
      </w:tr>
      <w:tr>
        <w:trPr>
          <w:trHeight w:val="261"/>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21"/>
                <w:szCs w:val="21"/>
                <w:b w:val="1"/>
                <w:bCs w:val="1"/>
                <w:color w:val="auto"/>
                <w:vertAlign w:val="superscript"/>
              </w:rPr>
              <w:t>(1)</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balance</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21,259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24,499</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49,390</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51,648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22,241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Year ended December 31, 2019:</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22,241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69,979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1,016</w:t>
            </w:r>
          </w:p>
        </w:tc>
      </w:tr>
    </w:tbl>
    <w:p>
      <w:pPr>
        <w:spacing w:after="0" w:line="175" w:lineRule="exact"/>
        <w:rPr>
          <w:sz w:val="20"/>
          <w:szCs w:val="20"/>
          <w:color w:val="auto"/>
        </w:rPr>
      </w:pPr>
    </w:p>
    <w:p>
      <w:pPr>
        <w:ind w:left="340" w:right="16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receivables, the provision is charged to operating expenses. Additions also include allowances acquired in business acquisitions, which were not material in any period presented.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21. Selected Quarterly Financial Data (Unaudited)</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2019</w:t>
            </w:r>
          </w:p>
        </w:tc>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17"/>
                <w:szCs w:val="17"/>
                <w:color w:val="auto"/>
              </w:rPr>
            </w:pPr>
          </w:p>
        </w:tc>
        <w:tc>
          <w:tcPr>
            <w:tcW w:w="11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Sep. 30</w:t>
            </w:r>
          </w:p>
        </w:tc>
        <w:tc>
          <w:tcPr>
            <w:tcW w:w="24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219,289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232,269</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18,617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23,534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22,930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255,199</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65,496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77,832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77,315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18,499</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14,354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13,654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14,313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0.65</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diluted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0.63</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used in calculating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22,052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22,051</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22,676</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2018</w:t>
            </w:r>
          </w:p>
        </w:tc>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17"/>
                <w:szCs w:val="17"/>
                <w:color w:val="auto"/>
              </w:rPr>
            </w:pPr>
          </w:p>
        </w:tc>
        <w:tc>
          <w:tcPr>
            <w:tcW w:w="11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Sep. 30</w:t>
            </w:r>
          </w:p>
        </w:tc>
        <w:tc>
          <w:tcPr>
            <w:tcW w:w="24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205,454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23,226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228,680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59,745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71,834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17,075</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3,061</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per diluted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used in calculating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21,774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22,294</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type w:val="continuous"/>
        </w:sectPr>
      </w:pPr>
    </w:p>
    <w:bookmarkStart w:id="92" w:name="page93"/>
    <w:bookmarkEnd w:id="92"/>
    <w:p>
      <w:pPr>
        <w:ind w:left="10580"/>
        <w:spacing w:after="0"/>
        <w:rPr>
          <w:sz w:val="20"/>
          <w:szCs w:val="20"/>
          <w:color w:val="auto"/>
        </w:rPr>
      </w:pPr>
      <w:r>
        <w:rPr>
          <w:rFonts w:ascii="Arial" w:cs="Arial" w:eastAsia="Arial" w:hAnsi="Arial"/>
          <w:sz w:val="16"/>
          <w:szCs w:val="16"/>
          <w:b w:val="1"/>
          <w:bCs w:val="1"/>
          <w:color w:val="auto"/>
        </w:rPr>
        <w:t>Exhibit 4.2</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Description of Huron Consulting Group Inc.’s Securities Registered Pursuant To Section 12 of the Securities Exchange Act Of 1934</w:t>
      </w:r>
    </w:p>
    <w:p>
      <w:pPr>
        <w:spacing w:after="0" w:line="24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description sets forth certain material terms and provisions of the securities of Huron Consulting Group Inc. (“we,” “us” or “our”) that are registered under Section 12 of the Securities Exchange Act of 1934, as amended. This description also summarizes relevant provisions of Delaware law. The following summary does not purport to be complete and is subject to, and is qualified in its entirety by, the provisions of our certificate of incorporation and bylaws, copies of which are incorporated by reference as an exhibit to the Annual Report on Form 10-K of which this Exhibit 4.2 is a part, and by the applicable provisions of Delaware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authorized capital stock consists of 500,000,000 shares of common stock, par value $0.01 per share; and 50,000,000 shares of preferred stock.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Global Select Market under the symbol “HURN.”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holders of our common stock are entitled to one vote for each share held of record on each matter submitted to a vote of stockholders, including the election of directors, and do not have any right to cumulate votes in the election of directors.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Subject to the rights and preferences of the holders of any series of preferred stock which may at the time be outstanding, holders of our common stock are entitled to such dividends as our board of directors may declare out of funds legally available.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event of any liquidation, dissolution or winding-up of our affairs, after payment of all of our debts and liabilities and subject to the rights and preferences of the holders of any series of our preferred stock, the holders of our common stock will be entitled to receive the distribution of any of our remaining assets.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Holders of our common stock have no conversion, preemptive or other subscription rights and there are no redemption rights or sinking fund provisions with respect to the common stock. All outstanding shares of our common stock are validly issued, fully paid and non-assessable.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certificate of incorporation authorizes our board, without any further stockholder action or approval, to issue preferred stock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Our board may authorize the issuance of preferred stock with voting or conversion rights that could adversely affect the voting power or other rights of the holders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Our Certificate of Incorporation and Our Bylaws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Provisions of our certificate of incorporation and bylaws, which are summarized below, may be deemed to have an anti-takeover effect and may delay, defer or prevent a tender offer or takeover attempt that a stockholder might consider in such stockholder’s best interest, including those attempts that might result in a premium over the market price for the shares held by stockholders.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Classified Board of Directors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certificate of incorporation provides for a board of directors divided into three classes, with one class to be elected each year to serve for a three-year term. The provision for a classified board will have the effect of making it more difficult for stockholders to change the composition of our board.</w:t>
      </w:r>
    </w:p>
    <w:p>
      <w:pPr>
        <w:sectPr>
          <w:pgSz w:w="11900" w:h="16838" w:orient="portrait"/>
          <w:cols w:equalWidth="0" w:num="1">
            <w:col w:w="11420"/>
          </w:cols>
          <w:pgMar w:left="240" w:top="553" w:right="2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b w:val="1"/>
          <w:bCs w:val="1"/>
          <w:color w:val="auto"/>
        </w:rPr>
        <w:t>Number of Directors; Removal for Cause; Filling Vacancies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certificate of incorporation and our bylaws provide that our board of directors will consist of not less than five nor more than fifteen members, the exact number of which will be fixed from time to time by our board.</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Under the General Corporation Law of the State of Delaware, or the DGCL, unless otherwise provided in our certificate of incorporation, directors serving on a classified board may be removed by the stockholders only for cause. Our certificate of incorporation provides that directors may be removed from office at any time, but only for cause and only by the affirmative vote of the holders of at least two-thirds of the voting power of the issued and outstanding shares of our capital stock entitled to vote in an election of directors. Our certificate of incorporation and bylaws also provide that any newly created directorships on our board may be filled by a majority of the board then in office, provided that a quorum is present, and any other vacancy occurring on the board may be filled by a majority of the board then in office, even if less than a quorum, or by a sole remaining director. Any director elected in accordance with the preceding sentence will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have the effect of removing or shortening the term of any incumbent director.</w:t>
      </w:r>
    </w:p>
    <w:p>
      <w:pPr>
        <w:spacing w:after="0" w:line="18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director removal and vacancy provisions will make it more difficult for a stockholder to remove incumbent directors and simultaneously gain control of the board by filling vacancies created by such removal with its own nominees.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Special Meetings of Stockholders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certificate of incorporation and bylaws deny stockholders the right to call a special meeting of stockholders. Our certificate of incorporation and bylaws provide that a special meeting of stockholders may be called only by a majority of our entire board of directors, the chairman of our board or our President.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certificate of incorporation requires all stockholder actions to be taken by a vote of the stockholders at an annual or special meeting, and denies the ability of stockholders to act by written consent without a meeting.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Third Amended and Restated Certificate of Incorporation and Bylaws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is required to amend or repeal a corporation’s certificate of incorporation or bylaws, unless the certificate of incorporation requires a greater percentage. Our certificate of incorporation generally requires the approval of the holders of at least two-thirds of the voting power of the issued and outstanding shares of our capital stock entitled to vote in connection with the election of directors to amend any provisions of our certificate of incorporation. Our certificate of incorporation and bylaws provide that the holders of at least two-thirds of the voting power of the issued and outstanding shares of our capital stock entitled to vote in connection with the election of directors have the power to amend or repeal our bylaws. In addition, our certificate of incorporation grants our board of directors the authority to amend and repeal our bylaws without a stockholder vote in any manner not inconsistent with the laws of the State of Delaware or our certificate of incorporation.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adopted provisions in our certificate of incorporation that limit or eliminate the personal liability of our directors to the maximum extent permitted by the DGCL. The DGCL expressly permits a corporation to provide that its directors will not be liable for monetary damages for a breach of their fiduciary duties as directors, except for liability:</w:t>
      </w:r>
    </w:p>
    <w:p>
      <w:pPr>
        <w:spacing w:after="0" w:line="18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Section 174 of the DGCL (relating to unlawful stock repurchases, redemptions or other distributions or payment of dividends);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These limitations of liability do not generally affect the availability of equitable remedies such as injunctive relief or rescission. Our certificate of incorporation and bylaws also authorize us to indemnify our officers, directors and other agents to the fullest extent permitted under the DGCL and we may advance expenses to our directors, officers and employees in connection with a legal proceeding, subject to limited exceptions.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permitted by the DGCL, our certificate of incorporation and bylaws provide that:</w:t>
      </w:r>
    </w:p>
    <w:p>
      <w:pPr>
        <w:sectPr>
          <w:pgSz w:w="11900" w:h="16838" w:orient="portrait"/>
          <w:cols w:equalWidth="0" w:num="1">
            <w:col w:w="11360"/>
          </w:cols>
          <w:pgMar w:left="240" w:top="553" w:right="299" w:bottom="1440" w:gutter="0" w:footer="0" w:header="0"/>
        </w:sectPr>
      </w:pPr>
    </w:p>
    <w:bookmarkStart w:id="94" w:name="page95"/>
    <w:bookmarkEnd w:id="94"/>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must indemnify our board members and officers to the fullest extent permitted by the DGCL, subject to limited exceptions; and</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purchase and maintain insurance on behalf of our current or former board members, officers, employees or agents against any liability asserted against them and incurred by them in any such capacity, or arising out of their status as such.</w:t>
      </w:r>
    </w:p>
    <w:p>
      <w:pPr>
        <w:spacing w:after="0" w:line="18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may enter into separate indemnification agreements with each of our board members and officers that may be broader than the specific indemnification provisions contained in the DGCL. These indemnification agreements may require us, among other things, to indemnify our board members and officers against liabilities that may arise by reason of their status or service as board members and officers, other than liabilities arising from willful misconduct. These indemnification agreements may also require us to advance any expenses incurred by the board members and officers as a result of any proceeding against them as to which they could be indemnified and to obtain directors’ and officers’ insurance if available on reasonable terms.</w:t>
      </w:r>
    </w:p>
    <w:p>
      <w:pPr>
        <w:spacing w:after="0" w:line="15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limited liability and indemnification provisions in our certificate of incorporation and bylaws and in any indemnification agreements we enter into may discourage stockholders from bringing a lawsuit against our board members for breach of their fiduciary duties and may reduce the likelihood of derivative litigation against our board members and officers, even though a derivative action, if successful, might otherwise benefit us and our stockholders.</w:t>
      </w:r>
    </w:p>
    <w:p>
      <w:pPr>
        <w:sectPr>
          <w:pgSz w:w="11900" w:h="16838" w:orient="portrait"/>
          <w:cols w:equalWidth="0" w:num="1">
            <w:col w:w="11300"/>
          </w:cols>
          <w:pgMar w:left="240" w:top="773" w:right="3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10.13</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0"/>
          <w:szCs w:val="20"/>
          <w:b w:val="1"/>
          <w:bCs w:val="1"/>
          <w:u w:val="single" w:color="auto"/>
          <w:color w:val="auto"/>
        </w:rPr>
        <w:t>FIFTH AMENDMENT TO LEASE</w:t>
      </w:r>
    </w:p>
    <w:p>
      <w:pPr>
        <w:spacing w:after="0" w:line="207" w:lineRule="exact"/>
        <w:rPr>
          <w:sz w:val="20"/>
          <w:szCs w:val="20"/>
          <w:color w:val="auto"/>
        </w:rPr>
      </w:pPr>
    </w:p>
    <w:p>
      <w:pPr>
        <w:jc w:val="both"/>
        <w:ind w:left="300" w:firstLine="608"/>
        <w:spacing w:after="0" w:line="244"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FIFTH AMENDMENT TO LEASE</w:t>
      </w:r>
      <w:r>
        <w:rPr>
          <w:rFonts w:ascii="Arial" w:cs="Arial" w:eastAsia="Arial" w:hAnsi="Arial"/>
          <w:sz w:val="20"/>
          <w:szCs w:val="20"/>
          <w:color w:val="auto"/>
        </w:rPr>
        <w:t xml:space="preserve"> (this </w:t>
      </w:r>
      <w:r>
        <w:rPr>
          <w:rFonts w:ascii="Arial" w:cs="Arial" w:eastAsia="Arial" w:hAnsi="Arial"/>
          <w:sz w:val="20"/>
          <w:szCs w:val="20"/>
          <w:b w:val="1"/>
          <w:bCs w:val="1"/>
          <w:color w:val="auto"/>
        </w:rPr>
        <w:t>"Fifth Amendment")</w:t>
      </w:r>
      <w:r>
        <w:rPr>
          <w:rFonts w:ascii="Arial" w:cs="Arial" w:eastAsia="Arial" w:hAnsi="Arial"/>
          <w:sz w:val="20"/>
          <w:szCs w:val="20"/>
          <w:color w:val="auto"/>
        </w:rPr>
        <w:t xml:space="preserve"> is made effective as of December 1, 2013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UNION TOWER, LLC,</w:t>
      </w:r>
      <w:r>
        <w:rPr>
          <w:rFonts w:ascii="Arial" w:cs="Arial" w:eastAsia="Arial" w:hAnsi="Arial"/>
          <w:sz w:val="20"/>
          <w:szCs w:val="20"/>
          <w:color w:val="auto"/>
        </w:rPr>
        <w:t xml:space="preserve">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 xml:space="preserve">HURON CONSULTING SERVICES LLC, </w:t>
      </w:r>
      <w:r>
        <w:rPr>
          <w:rFonts w:ascii="Arial" w:cs="Arial" w:eastAsia="Arial" w:hAnsi="Arial"/>
          <w:sz w:val="20"/>
          <w:szCs w:val="20"/>
          <w:color w:val="auto"/>
        </w:rPr>
        <w:t>a Delaware limited liability company, successor by assignment to HURON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CONSULTING GROUP LLC </w:t>
      </w:r>
      <w:r>
        <w:rPr>
          <w:rFonts w:ascii="Arial" w:cs="Arial" w:eastAsia="Arial" w:hAnsi="Arial"/>
          <w:sz w:val="20"/>
          <w:szCs w:val="20"/>
          <w:b w:val="1"/>
          <w:bCs w:val="1"/>
          <w:color w:val="auto"/>
        </w:rPr>
        <w:t>("Tenant").</w:t>
      </w:r>
      <w:r>
        <w:rPr>
          <w:rFonts w:ascii="Arial" w:cs="Arial" w:eastAsia="Arial" w:hAnsi="Arial"/>
          <w:sz w:val="20"/>
          <w:szCs w:val="20"/>
          <w:color w:val="auto"/>
        </w:rPr>
        <w:t xml:space="preserve"> The 10th/11th Floor Premises (as defined herein) shall be deemed leased as of such Effective Date, but delivery shall only be required as provided herein.</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WITNESSETH</w:t>
      </w:r>
    </w:p>
    <w:p>
      <w:pPr>
        <w:spacing w:after="0" w:line="200" w:lineRule="exact"/>
        <w:rPr>
          <w:sz w:val="20"/>
          <w:szCs w:val="20"/>
          <w:color w:val="auto"/>
        </w:rPr>
      </w:pPr>
    </w:p>
    <w:p>
      <w:pPr>
        <w:jc w:val="both"/>
        <w:ind w:left="280"/>
        <w:spacing w:after="0" w:line="257" w:lineRule="auto"/>
        <w:tabs>
          <w:tab w:leader="none" w:pos="914" w:val="left"/>
        </w:tabs>
        <w:numPr>
          <w:ilvl w:val="0"/>
          <w:numId w:val="36"/>
        </w:numPr>
        <w:rPr>
          <w:rFonts w:ascii="Arial" w:cs="Arial" w:eastAsia="Arial" w:hAnsi="Arial"/>
          <w:sz w:val="16"/>
          <w:szCs w:val="16"/>
          <w:color w:val="auto"/>
        </w:rPr>
      </w:pPr>
      <w:r>
        <w:rPr>
          <w:rFonts w:ascii="Arial" w:cs="Arial" w:eastAsia="Arial" w:hAnsi="Arial"/>
          <w:sz w:val="18"/>
          <w:szCs w:val="18"/>
          <w:color w:val="auto"/>
        </w:rPr>
        <w:t xml:space="preserve">Landlord and Tenant's predecessor in interest entered into that certain Office Lease dated December, 2003 (the </w:t>
      </w:r>
      <w:r>
        <w:rPr>
          <w:rFonts w:ascii="Arial" w:cs="Arial" w:eastAsia="Arial" w:hAnsi="Arial"/>
          <w:sz w:val="18"/>
          <w:szCs w:val="18"/>
          <w:b w:val="1"/>
          <w:bCs w:val="1"/>
          <w:color w:val="auto"/>
        </w:rPr>
        <w:t xml:space="preserve">"Original Lease"), </w:t>
      </w:r>
      <w:r>
        <w:rPr>
          <w:rFonts w:ascii="Arial" w:cs="Arial" w:eastAsia="Arial" w:hAnsi="Arial"/>
          <w:sz w:val="18"/>
          <w:szCs w:val="18"/>
          <w:color w:val="auto"/>
        </w:rPr>
        <w:t>as amended by that certain First Amendment to Lease dated as of August 23, 2004 (the</w:t>
      </w:r>
      <w:r>
        <w:rPr>
          <w:rFonts w:ascii="Arial" w:cs="Arial" w:eastAsia="Arial" w:hAnsi="Arial"/>
          <w:sz w:val="18"/>
          <w:szCs w:val="18"/>
          <w:b w:val="1"/>
          <w:bCs w:val="1"/>
          <w:color w:val="auto"/>
        </w:rPr>
        <w:t xml:space="preserve"> "First Amendment"), </w:t>
      </w:r>
      <w:r>
        <w:rPr>
          <w:rFonts w:ascii="Arial" w:cs="Arial" w:eastAsia="Arial" w:hAnsi="Arial"/>
          <w:sz w:val="18"/>
          <w:szCs w:val="18"/>
          <w:color w:val="auto"/>
        </w:rPr>
        <w:t>and by that certain Second Amendment to Lease dated May 14, 2007 (the</w:t>
      </w:r>
      <w:r>
        <w:rPr>
          <w:rFonts w:ascii="Arial" w:cs="Arial" w:eastAsia="Arial" w:hAnsi="Arial"/>
          <w:sz w:val="18"/>
          <w:szCs w:val="18"/>
          <w:b w:val="1"/>
          <w:bCs w:val="1"/>
          <w:color w:val="auto"/>
        </w:rPr>
        <w:t xml:space="preserve"> "Second Amendment"), </w:t>
      </w:r>
      <w:r>
        <w:rPr>
          <w:rFonts w:ascii="Arial" w:cs="Arial" w:eastAsia="Arial" w:hAnsi="Arial"/>
          <w:sz w:val="18"/>
          <w:szCs w:val="18"/>
          <w:color w:val="auto"/>
        </w:rPr>
        <w:t>and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certain Third Amendment to Lease dated April 2, 2010 (the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and by that certain Fourth Amendment to Lease dated December 31, 2012 (the </w:t>
      </w:r>
      <w:r>
        <w:rPr>
          <w:rFonts w:ascii="Arial" w:cs="Arial" w:eastAsia="Arial" w:hAnsi="Arial"/>
          <w:sz w:val="18"/>
          <w:szCs w:val="18"/>
          <w:b w:val="1"/>
          <w:bCs w:val="1"/>
          <w:color w:val="auto"/>
        </w:rPr>
        <w:t>"Fourth Amendment")</w:t>
      </w:r>
      <w:r>
        <w:rPr>
          <w:rFonts w:ascii="Arial" w:cs="Arial" w:eastAsia="Arial" w:hAnsi="Arial"/>
          <w:sz w:val="18"/>
          <w:szCs w:val="18"/>
          <w:color w:val="auto"/>
        </w:rPr>
        <w:t xml:space="preserve"> together with the Original Lease, the First Amendment, the Second Amendment, the Third Amendment, and the Fourth Amendment, the </w:t>
      </w:r>
      <w:r>
        <w:rPr>
          <w:rFonts w:ascii="Arial" w:cs="Arial" w:eastAsia="Arial" w:hAnsi="Arial"/>
          <w:sz w:val="18"/>
          <w:szCs w:val="18"/>
          <w:b w:val="1"/>
          <w:bCs w:val="1"/>
          <w:color w:val="auto"/>
        </w:rPr>
        <w:t>"Amended Lease"),</w:t>
      </w:r>
      <w:r>
        <w:rPr>
          <w:rFonts w:ascii="Arial" w:cs="Arial" w:eastAsia="Arial" w:hAnsi="Arial"/>
          <w:sz w:val="18"/>
          <w:szCs w:val="18"/>
          <w:color w:val="auto"/>
        </w:rPr>
        <w:t xml:space="preserve"> whereby Landlord leased to Tenant certain premises consisting of a total of 129,395 square feet of rentable area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Premises"), </w:t>
      </w:r>
      <w:r>
        <w:rPr>
          <w:rFonts w:ascii="Arial" w:cs="Arial" w:eastAsia="Arial" w:hAnsi="Arial"/>
          <w:sz w:val="18"/>
          <w:szCs w:val="18"/>
          <w:color w:val="auto"/>
        </w:rPr>
        <w:t>consisting of the entire fourth, fifth, eighth, ninth, sixteenth, and seventeenth floors, each of which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20,667 square feet of rentable area, together with 5,393 square feet of rentable area on the third floor, all in that certain office building known as Union Tower, located at 550 West Van Buren Street, Chicago, Illinois (the </w:t>
      </w:r>
      <w:r>
        <w:rPr>
          <w:rFonts w:ascii="Arial" w:cs="Arial" w:eastAsia="Arial" w:hAnsi="Arial"/>
          <w:sz w:val="18"/>
          <w:szCs w:val="18"/>
          <w:b w:val="1"/>
          <w:bCs w:val="1"/>
          <w:color w:val="auto"/>
        </w:rPr>
        <w:t>"Building").</w:t>
      </w:r>
    </w:p>
    <w:p>
      <w:pPr>
        <w:spacing w:after="0" w:line="187" w:lineRule="exact"/>
        <w:rPr>
          <w:rFonts w:ascii="Arial" w:cs="Arial" w:eastAsia="Arial" w:hAnsi="Arial"/>
          <w:sz w:val="16"/>
          <w:szCs w:val="16"/>
          <w:color w:val="auto"/>
        </w:rPr>
      </w:pPr>
    </w:p>
    <w:p>
      <w:pPr>
        <w:ind w:left="280"/>
        <w:spacing w:after="0" w:line="260" w:lineRule="auto"/>
        <w:tabs>
          <w:tab w:leader="none" w:pos="695"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Landlord and Tenant now desire to amend the Amended Lease to modify the Premises and Rent, to further expand the Premises, and to amend the Amended Lease </w:t>
      </w:r>
      <w:r>
        <w:rPr>
          <w:rFonts w:ascii="Arial" w:cs="Arial" w:eastAsia="Arial" w:hAnsi="Arial"/>
          <w:sz w:val="20"/>
          <w:szCs w:val="20"/>
          <w:b w:val="1"/>
          <w:bCs w:val="1"/>
          <w:color w:val="auto"/>
        </w:rPr>
        <w:t>in</w:t>
      </w:r>
      <w:r>
        <w:rPr>
          <w:rFonts w:ascii="Arial" w:cs="Arial" w:eastAsia="Arial" w:hAnsi="Arial"/>
          <w:sz w:val="20"/>
          <w:szCs w:val="20"/>
          <w:color w:val="auto"/>
        </w:rPr>
        <w:t xml:space="preserve"> certain other respects.</w:t>
      </w:r>
    </w:p>
    <w:p>
      <w:pPr>
        <w:spacing w:after="0" w:line="177" w:lineRule="exact"/>
        <w:rPr>
          <w:sz w:val="20"/>
          <w:szCs w:val="20"/>
          <w:color w:val="auto"/>
        </w:rPr>
      </w:pPr>
    </w:p>
    <w:p>
      <w:pPr>
        <w:jc w:val="both"/>
        <w:ind w:left="300" w:firstLine="608"/>
        <w:spacing w:after="0" w:line="250" w:lineRule="auto"/>
        <w:rPr>
          <w:sz w:val="20"/>
          <w:szCs w:val="20"/>
          <w:color w:val="auto"/>
        </w:rPr>
      </w:pPr>
      <w:r>
        <w:rPr>
          <w:rFonts w:ascii="Arial" w:cs="Arial" w:eastAsia="Arial" w:hAnsi="Arial"/>
          <w:sz w:val="20"/>
          <w:szCs w:val="20"/>
          <w:color w:val="auto"/>
        </w:rPr>
        <w:t>NOW, THEREFORE, in consideration of the foregoing recitals, which are hereby incorporated into the Amended Lease, and for other good and valuable consideration, the receipt and legal sufficiency of which are hereby acknowledged, it is hereby agreed as follows:</w:t>
      </w:r>
    </w:p>
    <w:p>
      <w:pPr>
        <w:spacing w:after="0" w:line="180" w:lineRule="exact"/>
        <w:rPr>
          <w:sz w:val="20"/>
          <w:szCs w:val="20"/>
          <w:color w:val="auto"/>
        </w:rPr>
      </w:pPr>
    </w:p>
    <w:p>
      <w:pPr>
        <w:jc w:val="both"/>
        <w:ind w:left="280" w:firstLine="608"/>
        <w:spacing w:after="0" w:line="246" w:lineRule="auto"/>
        <w:tabs>
          <w:tab w:leader="none" w:pos="1522" w:val="left"/>
        </w:tabs>
        <w:numPr>
          <w:ilvl w:val="0"/>
          <w:numId w:val="37"/>
        </w:numPr>
        <w:rPr>
          <w:rFonts w:ascii="Arial" w:cs="Arial" w:eastAsia="Arial" w:hAnsi="Arial"/>
          <w:sz w:val="18"/>
          <w:szCs w:val="18"/>
          <w:color w:val="auto"/>
        </w:rPr>
      </w:pPr>
      <w:r>
        <w:rPr>
          <w:rFonts w:ascii="Arial" w:cs="Arial" w:eastAsia="Arial" w:hAnsi="Arial"/>
          <w:sz w:val="20"/>
          <w:szCs w:val="20"/>
          <w:b w:val="1"/>
          <w:bCs w:val="1"/>
          <w:u w:val="single" w:color="auto"/>
          <w:color w:val="auto"/>
        </w:rPr>
        <w:t>Defined Terms.</w:t>
      </w:r>
      <w:r>
        <w:rPr>
          <w:rFonts w:ascii="Arial" w:cs="Arial" w:eastAsia="Arial" w:hAnsi="Arial"/>
          <w:sz w:val="20"/>
          <w:szCs w:val="20"/>
          <w:b w:val="1"/>
          <w:bCs w:val="1"/>
          <w:color w:val="auto"/>
        </w:rPr>
        <w:t xml:space="preserve"> </w:t>
      </w:r>
      <w:r>
        <w:rPr>
          <w:rFonts w:ascii="Arial" w:cs="Arial" w:eastAsia="Arial" w:hAnsi="Arial"/>
          <w:sz w:val="20"/>
          <w:szCs w:val="20"/>
          <w:color w:val="auto"/>
        </w:rPr>
        <w:t>All defined terms used herein shall have the same meanings as are ascribed to such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terms in the Amended Lease, except as otherwise specifically provided herein. As used herein and in the Amended Lease the term </w:t>
      </w:r>
      <w:r>
        <w:rPr>
          <w:rFonts w:ascii="Arial" w:cs="Arial" w:eastAsia="Arial" w:hAnsi="Arial"/>
          <w:sz w:val="20"/>
          <w:szCs w:val="20"/>
          <w:b w:val="1"/>
          <w:bCs w:val="1"/>
          <w:color w:val="auto"/>
        </w:rPr>
        <w:t>"Lease"</w:t>
      </w:r>
      <w:r>
        <w:rPr>
          <w:rFonts w:ascii="Arial" w:cs="Arial" w:eastAsia="Arial" w:hAnsi="Arial"/>
          <w:sz w:val="20"/>
          <w:szCs w:val="20"/>
          <w:color w:val="auto"/>
        </w:rPr>
        <w:t xml:space="preserve"> shall mean the Amended Lease as modified by this Fifth Amendment.</w:t>
      </w:r>
    </w:p>
    <w:p>
      <w:pPr>
        <w:spacing w:after="0" w:line="184" w:lineRule="exact"/>
        <w:rPr>
          <w:rFonts w:ascii="Arial" w:cs="Arial" w:eastAsia="Arial" w:hAnsi="Arial"/>
          <w:sz w:val="18"/>
          <w:szCs w:val="18"/>
          <w:color w:val="auto"/>
        </w:rPr>
      </w:pPr>
    </w:p>
    <w:p>
      <w:pPr>
        <w:ind w:left="1540" w:hanging="652"/>
        <w:spacing w:after="0"/>
        <w:tabs>
          <w:tab w:leader="none" w:pos="1540" w:val="left"/>
        </w:tabs>
        <w:numPr>
          <w:ilvl w:val="0"/>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Modification of Premises and Tenant's Pro Rata Share.</w:t>
      </w:r>
    </w:p>
    <w:p>
      <w:pPr>
        <w:spacing w:after="0" w:line="215" w:lineRule="exact"/>
        <w:rPr>
          <w:rFonts w:ascii="Arial" w:cs="Arial" w:eastAsia="Arial" w:hAnsi="Arial"/>
          <w:sz w:val="20"/>
          <w:szCs w:val="20"/>
          <w:color w:val="auto"/>
        </w:rPr>
      </w:pPr>
    </w:p>
    <w:p>
      <w:pPr>
        <w:jc w:val="both"/>
        <w:ind w:left="920" w:firstLine="616"/>
        <w:spacing w:after="0" w:line="268" w:lineRule="auto"/>
        <w:tabs>
          <w:tab w:leader="none" w:pos="2241" w:val="left"/>
        </w:tabs>
        <w:numPr>
          <w:ilvl w:val="1"/>
          <w:numId w:val="37"/>
        </w:numPr>
        <w:rPr>
          <w:rFonts w:ascii="Arial" w:cs="Arial" w:eastAsia="Arial" w:hAnsi="Arial"/>
          <w:sz w:val="16"/>
          <w:szCs w:val="16"/>
          <w:color w:val="auto"/>
        </w:rPr>
      </w:pPr>
      <w:r>
        <w:rPr>
          <w:rFonts w:ascii="Arial" w:cs="Arial" w:eastAsia="Arial" w:hAnsi="Arial"/>
          <w:sz w:val="18"/>
          <w:szCs w:val="18"/>
          <w:u w:val="single" w:color="auto"/>
          <w:color w:val="auto"/>
        </w:rPr>
        <w:t>Addition of Tenth Floor Space to Premises.</w:t>
      </w:r>
      <w:r>
        <w:rPr>
          <w:rFonts w:ascii="Arial" w:cs="Arial" w:eastAsia="Arial" w:hAnsi="Arial"/>
          <w:sz w:val="18"/>
          <w:szCs w:val="18"/>
          <w:color w:val="auto"/>
        </w:rPr>
        <w:t xml:space="preserve"> Effective as of March 1, 2014 (the </w:t>
      </w:r>
      <w:r>
        <w:rPr>
          <w:rFonts w:ascii="Arial" w:cs="Arial" w:eastAsia="Arial" w:hAnsi="Arial"/>
          <w:sz w:val="18"/>
          <w:szCs w:val="18"/>
          <w:b w:val="1"/>
          <w:bCs w:val="1"/>
          <w:color w:val="auto"/>
        </w:rPr>
        <w:t>"10th Floor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Commencement Date"), </w:t>
      </w:r>
      <w:r>
        <w:rPr>
          <w:rFonts w:ascii="Arial" w:cs="Arial" w:eastAsia="Arial" w:hAnsi="Arial"/>
          <w:sz w:val="18"/>
          <w:szCs w:val="18"/>
          <w:color w:val="auto"/>
        </w:rPr>
        <w:t>(i) the tenth floor of the Building, containing 20,667 square feet of rentable area (the</w:t>
      </w:r>
      <w:r>
        <w:rPr>
          <w:rFonts w:ascii="Arial" w:cs="Arial" w:eastAsia="Arial" w:hAnsi="Arial"/>
          <w:sz w:val="18"/>
          <w:szCs w:val="18"/>
          <w:b w:val="1"/>
          <w:bCs w:val="1"/>
          <w:color w:val="auto"/>
        </w:rPr>
        <w:t xml:space="preserve"> "10th Floor Premises") </w:t>
      </w:r>
      <w:r>
        <w:rPr>
          <w:rFonts w:ascii="Arial" w:cs="Arial" w:eastAsia="Arial" w:hAnsi="Arial"/>
          <w:sz w:val="18"/>
          <w:szCs w:val="18"/>
          <w:color w:val="auto"/>
        </w:rPr>
        <w:t>shall be added to the Premises, as defined in the Lease, (ii) the Premises shall consist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150,062 square feet of rentable area in the aggregate, (iii) the 10th Floor Premises shall be deemed to be included in all references in the Lease to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and (iv) Tenant's Pro Rata Share shall be amended to be 45.1167%.</w:t>
      </w:r>
    </w:p>
    <w:p>
      <w:pPr>
        <w:sectPr>
          <w:pgSz w:w="11900" w:h="16838" w:orient="portrait"/>
          <w:cols w:equalWidth="0" w:num="1">
            <w:col w:w="10220"/>
          </w:cols>
          <w:pgMar w:left="1440" w:top="553" w:right="239" w:bottom="1440" w:gutter="0" w:footer="0" w:header="0"/>
        </w:sectPr>
      </w:pPr>
    </w:p>
    <w:bookmarkStart w:id="96" w:name="page97"/>
    <w:bookmarkEnd w:id="96"/>
    <w:p>
      <w:pPr>
        <w:jc w:val="both"/>
        <w:ind w:left="920" w:firstLine="616"/>
        <w:spacing w:after="0" w:line="262" w:lineRule="auto"/>
        <w:tabs>
          <w:tab w:leader="none" w:pos="227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Addition of Eleventh Floor Space to Premises.</w:t>
      </w:r>
      <w:r>
        <w:rPr>
          <w:rFonts w:ascii="Arial" w:cs="Arial" w:eastAsia="Arial" w:hAnsi="Arial"/>
          <w:sz w:val="18"/>
          <w:szCs w:val="18"/>
          <w:color w:val="auto"/>
        </w:rPr>
        <w:t xml:space="preserve"> Effective as of January 1, 2015 (the </w:t>
      </w:r>
      <w:r>
        <w:rPr>
          <w:rFonts w:ascii="Arial" w:cs="Arial" w:eastAsia="Arial" w:hAnsi="Arial"/>
          <w:sz w:val="18"/>
          <w:szCs w:val="18"/>
          <w:b w:val="1"/>
          <w:bCs w:val="1"/>
          <w:color w:val="auto"/>
        </w:rPr>
        <w:t>"11th Floor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Commencement Date"), </w:t>
      </w:r>
      <w:r>
        <w:rPr>
          <w:rFonts w:ascii="Arial" w:cs="Arial" w:eastAsia="Arial" w:hAnsi="Arial"/>
          <w:sz w:val="18"/>
          <w:szCs w:val="18"/>
          <w:color w:val="auto"/>
        </w:rPr>
        <w:t>(i) Suite 1100 on the 11th floor of the Premises, containing 9,850 square feet of rentable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area (the </w:t>
      </w:r>
      <w:r>
        <w:rPr>
          <w:rFonts w:ascii="Arial" w:cs="Arial" w:eastAsia="Arial" w:hAnsi="Arial"/>
          <w:sz w:val="18"/>
          <w:szCs w:val="18"/>
          <w:b w:val="1"/>
          <w:bCs w:val="1"/>
          <w:color w:val="auto"/>
        </w:rPr>
        <w:t>"11th Floor Premises"</w:t>
      </w:r>
      <w:r>
        <w:rPr>
          <w:rFonts w:ascii="Arial" w:cs="Arial" w:eastAsia="Arial" w:hAnsi="Arial"/>
          <w:sz w:val="18"/>
          <w:szCs w:val="18"/>
          <w:color w:val="auto"/>
        </w:rPr>
        <w:t xml:space="preserve"> and collectively, with the 10th floor Premises, the </w:t>
      </w:r>
      <w:r>
        <w:rPr>
          <w:rFonts w:ascii="Arial" w:cs="Arial" w:eastAsia="Arial" w:hAnsi="Arial"/>
          <w:sz w:val="18"/>
          <w:szCs w:val="18"/>
          <w:b w:val="1"/>
          <w:bCs w:val="1"/>
          <w:color w:val="auto"/>
        </w:rPr>
        <w:t>"10th/11th Floor Premises")</w:t>
      </w:r>
      <w:r>
        <w:rPr>
          <w:rFonts w:ascii="Arial" w:cs="Arial" w:eastAsia="Arial" w:hAnsi="Arial"/>
          <w:sz w:val="18"/>
          <w:szCs w:val="18"/>
          <w:color w:val="auto"/>
        </w:rPr>
        <w:t xml:space="preserve"> shall be added to the Premises, as defined in the Lease, (ii) the Premises shall consist of 159,912 square feet of rentable area in the aggregate, (iii) the 11th Floor Premises shall be deemed to be included in all references in the Lease to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and (iv)Tenant's Pro Rata Share shall be amended to be 48.0782%.</w:t>
      </w:r>
    </w:p>
    <w:p>
      <w:pPr>
        <w:spacing w:after="0" w:line="170" w:lineRule="exact"/>
        <w:rPr>
          <w:rFonts w:ascii="Arial" w:cs="Arial" w:eastAsia="Arial" w:hAnsi="Arial"/>
          <w:sz w:val="18"/>
          <w:szCs w:val="18"/>
          <w:color w:val="auto"/>
        </w:rPr>
      </w:pPr>
    </w:p>
    <w:p>
      <w:pPr>
        <w:ind w:left="2260" w:hanging="724"/>
        <w:spacing w:after="0"/>
        <w:tabs>
          <w:tab w:leader="none" w:pos="226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Replacement Exhibit A.</w:t>
      </w:r>
      <w:r>
        <w:rPr>
          <w:rFonts w:ascii="Arial" w:cs="Arial" w:eastAsia="Arial" w:hAnsi="Arial"/>
          <w:sz w:val="18"/>
          <w:szCs w:val="18"/>
          <w:color w:val="auto"/>
        </w:rPr>
        <w:t xml:space="preserve"> The 10th/11th Floor Premises are depicted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w:t>
      </w:r>
    </w:p>
    <w:p>
      <w:pPr>
        <w:spacing w:after="0" w:line="244" w:lineRule="exact"/>
        <w:rPr>
          <w:rFonts w:ascii="Arial" w:cs="Arial" w:eastAsia="Arial" w:hAnsi="Arial"/>
          <w:sz w:val="18"/>
          <w:szCs w:val="18"/>
          <w:color w:val="auto"/>
        </w:rPr>
      </w:pPr>
    </w:p>
    <w:p>
      <w:pPr>
        <w:jc w:val="both"/>
        <w:ind w:left="920" w:firstLine="616"/>
        <w:spacing w:after="0" w:line="261" w:lineRule="auto"/>
        <w:tabs>
          <w:tab w:leader="none" w:pos="2272"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Possession.</w:t>
      </w:r>
      <w:r>
        <w:rPr>
          <w:rFonts w:ascii="Arial" w:cs="Arial" w:eastAsia="Arial" w:hAnsi="Arial"/>
          <w:sz w:val="17"/>
          <w:szCs w:val="17"/>
          <w:color w:val="auto"/>
        </w:rPr>
        <w:t xml:space="preserve"> Landlord shall deliver possession of the 10th Floor Premises to Tenant in broom clean condition on the later of (i) December 1, 2013, or (ii) the date of Landlord's receipt of fully executed versions of this Fifth Amendment and the Consent of Guarantor attached hereto. Landlord shall deliver possession of the 11th Floor Premises to Tenant in broom clean condition on the 11th Floor Commencement Date, provided, however, at Tenant's option effective thirty (30) days after prior written notice to Landlord, Tenant may elect to take possession of the 11th Floor Premises at any time on or after September 1, 2014. Any possession of the 10th Floor Premises prior to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Commencement Date or of the 11th Floor Premises prior to the 11th Floor Commencement Date shall be deemed to be upon all the terms, covenants, conditions, and provisions of the Lease, subject to the provisions of Paragraph 7 below with respect to Abated Rent. In addition to the Abated Rent as provided in Paragraph 7 below, Tenant shall be entitled to an abatement of Base Rent and of Tenant's Pro Rata Share of Taxes and Operating Expenses for (a) any early possession of the 10th Floor Premises prior to the 10th Floor Commencement Date and</w:t>
      </w:r>
    </w:p>
    <w:p>
      <w:pPr>
        <w:spacing w:after="0" w:line="4" w:lineRule="exact"/>
        <w:rPr>
          <w:rFonts w:ascii="Arial" w:cs="Arial" w:eastAsia="Arial" w:hAnsi="Arial"/>
          <w:sz w:val="17"/>
          <w:szCs w:val="17"/>
          <w:color w:val="auto"/>
        </w:rPr>
      </w:pPr>
    </w:p>
    <w:p>
      <w:pPr>
        <w:ind w:left="920" w:hanging="5"/>
        <w:spacing w:after="0" w:line="282" w:lineRule="auto"/>
        <w:tabs>
          <w:tab w:leader="none" w:pos="12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early possession of the 11th Floor Premises prior to the 11th Floor Commencement Date, but all other costs and charges specified in the Lease shall remain as due and payable pursuant to the provisions of the Lease.</w:t>
      </w:r>
    </w:p>
    <w:p>
      <w:pPr>
        <w:spacing w:after="0" w:line="153" w:lineRule="exact"/>
        <w:rPr>
          <w:sz w:val="20"/>
          <w:szCs w:val="20"/>
          <w:color w:val="auto"/>
        </w:rPr>
      </w:pPr>
    </w:p>
    <w:p>
      <w:pPr>
        <w:jc w:val="both"/>
        <w:ind w:left="300" w:firstLine="615"/>
        <w:spacing w:after="0" w:line="239" w:lineRule="auto"/>
        <w:tabs>
          <w:tab w:leader="none" w:pos="1515" w:val="left"/>
        </w:tabs>
        <w:numPr>
          <w:ilvl w:val="0"/>
          <w:numId w:val="40"/>
        </w:numPr>
        <w:rPr>
          <w:rFonts w:ascii="Arial" w:cs="Arial" w:eastAsia="Arial" w:hAnsi="Arial"/>
          <w:sz w:val="18"/>
          <w:szCs w:val="18"/>
          <w:color w:val="auto"/>
        </w:rPr>
      </w:pPr>
      <w:r>
        <w:rPr>
          <w:rFonts w:ascii="Arial" w:cs="Arial" w:eastAsia="Arial" w:hAnsi="Arial"/>
          <w:sz w:val="20"/>
          <w:szCs w:val="20"/>
          <w:b w:val="1"/>
          <w:bCs w:val="1"/>
          <w:u w:val="single" w:color="auto"/>
          <w:color w:val="auto"/>
        </w:rPr>
        <w:t>Deletion of Expansion Option and Reaffirmation of Extension Option.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9 of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entitled "Expansion Option" is hereby deleted and shall have no further force or effect. The Extension Option set forth in the Fourth Amendment shall remain in full force and effect and shall apply to the Premises, as enlarged to include the 10th Floor Premises and the 11th Floor Premises.</w:t>
      </w:r>
    </w:p>
    <w:p>
      <w:pPr>
        <w:spacing w:after="0" w:line="191" w:lineRule="exact"/>
        <w:rPr>
          <w:rFonts w:ascii="Arial" w:cs="Arial" w:eastAsia="Arial" w:hAnsi="Arial"/>
          <w:sz w:val="18"/>
          <w:szCs w:val="18"/>
          <w:color w:val="auto"/>
        </w:rPr>
      </w:pPr>
    </w:p>
    <w:p>
      <w:pPr>
        <w:ind w:left="1520" w:hanging="605"/>
        <w:spacing w:after="0"/>
        <w:tabs>
          <w:tab w:leader="none" w:pos="1520"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Rent.</w:t>
      </w:r>
    </w:p>
    <w:p>
      <w:pPr>
        <w:spacing w:after="0" w:line="215" w:lineRule="exact"/>
        <w:rPr>
          <w:rFonts w:ascii="Arial" w:cs="Arial" w:eastAsia="Arial" w:hAnsi="Arial"/>
          <w:sz w:val="20"/>
          <w:szCs w:val="20"/>
          <w:color w:val="auto"/>
        </w:rPr>
      </w:pPr>
    </w:p>
    <w:p>
      <w:pPr>
        <w:jc w:val="both"/>
        <w:ind w:left="920" w:firstLine="616"/>
        <w:spacing w:after="0" w:line="266" w:lineRule="auto"/>
        <w:tabs>
          <w:tab w:leader="none" w:pos="1972" w:val="left"/>
        </w:tabs>
        <w:numPr>
          <w:ilvl w:val="1"/>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10th/11th Floor Space.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March 1, 2014, the Base Rent for the 10th Floor Premises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$16.50 per square foot of rentable area escalating by $.50 per square foot of rentable area on each January 1 thereafter. Effective January 1, 2015, the Base Rent for the 11th Floor Premises shall be $17.25 per square foot of rentable area escalating by $.50 per square foot of rentable area on each January 1 thereafter.</w:t>
      </w:r>
    </w:p>
    <w:p>
      <w:pPr>
        <w:spacing w:after="0" w:line="179" w:lineRule="exact"/>
        <w:rPr>
          <w:rFonts w:ascii="Arial" w:cs="Arial" w:eastAsia="Arial" w:hAnsi="Arial"/>
          <w:sz w:val="19"/>
          <w:szCs w:val="19"/>
          <w:color w:val="auto"/>
        </w:rPr>
      </w:pPr>
    </w:p>
    <w:p>
      <w:pPr>
        <w:ind w:left="920" w:firstLine="616"/>
        <w:spacing w:after="0" w:line="267" w:lineRule="auto"/>
        <w:tabs>
          <w:tab w:leader="none" w:pos="2100" w:val="left"/>
        </w:tabs>
        <w:numPr>
          <w:ilvl w:val="1"/>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Premises.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in the Lease to the contrary, the parties hereby confirm</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schedule of Base Rent</w:t>
      </w:r>
    </w:p>
    <w:p>
      <w:pPr>
        <w:sectPr>
          <w:pgSz w:w="11900" w:h="16838" w:orient="portrait"/>
          <w:cols w:equalWidth="0" w:num="1">
            <w:col w:w="10220"/>
          </w:cols>
          <w:pgMar w:left="1440" w:top="549" w:right="239" w:bottom="1440" w:gutter="0" w:footer="0" w:header="0"/>
        </w:sectPr>
      </w:pPr>
    </w:p>
    <w:bookmarkStart w:id="97" w:name="page98"/>
    <w:bookmarkEnd w:id="97"/>
    <w:p>
      <w:pPr>
        <w:jc w:val="both"/>
        <w:ind w:left="920"/>
        <w:spacing w:after="0" w:line="243" w:lineRule="auto"/>
        <w:rPr>
          <w:sz w:val="20"/>
          <w:szCs w:val="20"/>
          <w:color w:val="auto"/>
        </w:rPr>
      </w:pPr>
      <w:r>
        <w:rPr>
          <w:rFonts w:ascii="Arial" w:cs="Arial" w:eastAsia="Arial" w:hAnsi="Arial"/>
          <w:sz w:val="20"/>
          <w:szCs w:val="20"/>
          <w:color w:val="auto"/>
        </w:rPr>
        <w:t xml:space="preserve">payable with respect to the Premises, from and after the Effective Date through and including September 30, 2024, after all rent abatements set forth in Section 7 herein and in previous amendments to the Original Lease, but excluding any space added in the future in excess of the 159,912 square feet of rentable area described herein, shall be as provided in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hereto, provided, however, such Base Rent shall be subject to further adjustment if Tenant elects to apply certain amounts from the Existing Allowance (defined herein) to Base Rent as permitted by the terms of the Fourth Amendment.</w:t>
      </w:r>
    </w:p>
    <w:p>
      <w:pPr>
        <w:spacing w:after="0" w:line="204" w:lineRule="exact"/>
        <w:rPr>
          <w:sz w:val="20"/>
          <w:szCs w:val="20"/>
          <w:color w:val="auto"/>
        </w:rPr>
      </w:pPr>
    </w:p>
    <w:p>
      <w:pPr>
        <w:jc w:val="both"/>
        <w:ind w:left="300" w:firstLine="615"/>
        <w:spacing w:after="0" w:line="264" w:lineRule="auto"/>
        <w:tabs>
          <w:tab w:leader="none" w:pos="1529"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 of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accept the 0th Floor Premises in "as-is, where-is" condition on the 10th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Commencement Date. Tenant shall accept the 11th Floor Premises in "as-is, where-is" condition on the 11th Floor Commencement Date. No promise of Landlord to alter, remodel or improve the 10th/11th Floor Premises, the Premises or the Building and no representation respecting the condition of the 10th/11th Floor Premises, the Premises, or the Building has been made by Landlord to Tenant other than as expressly set forth in this Fifth Amendment.</w:t>
      </w:r>
    </w:p>
    <w:p>
      <w:pPr>
        <w:spacing w:after="0" w:line="171" w:lineRule="exact"/>
        <w:rPr>
          <w:rFonts w:ascii="Arial" w:cs="Arial" w:eastAsia="Arial" w:hAnsi="Arial"/>
          <w:sz w:val="18"/>
          <w:szCs w:val="18"/>
          <w:color w:val="auto"/>
        </w:rPr>
      </w:pPr>
    </w:p>
    <w:p>
      <w:pPr>
        <w:jc w:val="both"/>
        <w:ind w:left="300" w:firstLine="615"/>
        <w:spacing w:after="0" w:line="254" w:lineRule="auto"/>
        <w:tabs>
          <w:tab w:leader="none" w:pos="1529"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Allowance and Tenant 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give Tenant a total aggregate allowance (the</w:t>
      </w:r>
      <w:r>
        <w:rPr>
          <w:rFonts w:ascii="Arial" w:cs="Arial" w:eastAsia="Arial" w:hAnsi="Arial"/>
          <w:sz w:val="18"/>
          <w:szCs w:val="18"/>
          <w:b w:val="1"/>
          <w:bCs w:val="1"/>
          <w:color w:val="auto"/>
        </w:rPr>
        <w:t xml:space="preserve"> "10th/11th Floor Allowance") </w:t>
      </w:r>
      <w:r>
        <w:rPr>
          <w:rFonts w:ascii="Arial" w:cs="Arial" w:eastAsia="Arial" w:hAnsi="Arial"/>
          <w:sz w:val="18"/>
          <w:szCs w:val="18"/>
          <w:color w:val="auto"/>
        </w:rPr>
        <w:t>of $1,680,852.50 ($57.50/rsf for the 20,667 square feet of rentable area in the 10th Floor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and $50.00/rsf for the 9,850 square feet of rentable area in the 11th Floor Premises) as a credit towards the cost of performing certain improvements in the Premises and/or 10th/11th Floor Premises, including but not limited to hard construction costs, soft costs, permit fees, moving costs, telephone cabling costs, specialty consulting fees, the cost of architectural drawings, MEP drawings, general conditions, overhead and profit of the general contractor and subcontractors, and the cost of wiring, furniture, fixtures and equipment for the Premises, as more particularly described in that certain Work Letter (the </w:t>
      </w:r>
      <w:r>
        <w:rPr>
          <w:rFonts w:ascii="Arial" w:cs="Arial" w:eastAsia="Arial" w:hAnsi="Arial"/>
          <w:sz w:val="18"/>
          <w:szCs w:val="18"/>
          <w:b w:val="1"/>
          <w:bCs w:val="1"/>
          <w:color w:val="auto"/>
        </w:rPr>
        <w:t>"Work Letter")</w:t>
      </w:r>
      <w:r>
        <w:rPr>
          <w:rFonts w:ascii="Arial" w:cs="Arial" w:eastAsia="Arial" w:hAnsi="Arial"/>
          <w:sz w:val="18"/>
          <w:szCs w:val="18"/>
          <w:color w:val="auto"/>
        </w:rPr>
        <w:t xml:space="preserve"> attached hereto and made a part hereof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and defined therein as the </w:t>
      </w:r>
      <w:r>
        <w:rPr>
          <w:rFonts w:ascii="Arial" w:cs="Arial" w:eastAsia="Arial" w:hAnsi="Arial"/>
          <w:sz w:val="18"/>
          <w:szCs w:val="18"/>
          <w:b w:val="1"/>
          <w:bCs w:val="1"/>
          <w:color w:val="auto"/>
        </w:rPr>
        <w:t>"Work".</w:t>
      </w:r>
      <w:r>
        <w:rPr>
          <w:rFonts w:ascii="Arial" w:cs="Arial" w:eastAsia="Arial" w:hAnsi="Arial"/>
          <w:sz w:val="18"/>
          <w:szCs w:val="18"/>
          <w:color w:val="auto"/>
        </w:rPr>
        <w:t xml:space="preserve"> The 10th/11th Floor Allowance described in this Section 6 shall be in addition to and separate from the $3,958,220.00 Allowance described in Section 6 of the Fourth Amendment (sometimes referred to herein as the </w:t>
      </w:r>
      <w:r>
        <w:rPr>
          <w:rFonts w:ascii="Arial" w:cs="Arial" w:eastAsia="Arial" w:hAnsi="Arial"/>
          <w:sz w:val="18"/>
          <w:szCs w:val="18"/>
          <w:b w:val="1"/>
          <w:bCs w:val="1"/>
          <w:color w:val="auto"/>
        </w:rPr>
        <w:t>"Existing Allowance").</w:t>
      </w:r>
      <w:r>
        <w:rPr>
          <w:rFonts w:ascii="Arial" w:cs="Arial" w:eastAsia="Arial" w:hAnsi="Arial"/>
          <w:sz w:val="18"/>
          <w:szCs w:val="18"/>
          <w:color w:val="auto"/>
        </w:rPr>
        <w:t xml:space="preserve"> Landlord shall not be obligated to fund the 10th/11th Floor Allowance prior to the following dates: $1,188,352.50 no earlier than December 1, 2013, and the remaining $492,500.00 no earlier than September 1, 2014. The 1Oth/11th Floor Allowance shall be paid upon receipt of lien waivers, invoices and other documentation reasonably requested by Landlord, as provided in the Work Letter. All work to be performed by Tenant in the Premises shall be performed in a good and workmanlike manner in accordance with the Lease and the Work Letter. $1,188,352.50 of the 10th/11th Floor Allowance must be used on or before December 31, 2015, and the remaining $492,500.00 of the 10th/11th Floor Allowance must be used on or before December 31, 2016, or it will no longer be available to Tenant.</w:t>
      </w:r>
    </w:p>
    <w:p>
      <w:pPr>
        <w:spacing w:after="0" w:line="179" w:lineRule="exact"/>
        <w:rPr>
          <w:rFonts w:ascii="Arial" w:cs="Arial" w:eastAsia="Arial" w:hAnsi="Arial"/>
          <w:sz w:val="18"/>
          <w:szCs w:val="18"/>
          <w:color w:val="auto"/>
        </w:rPr>
      </w:pPr>
    </w:p>
    <w:p>
      <w:pPr>
        <w:jc w:val="both"/>
        <w:ind w:left="300" w:firstLine="615"/>
        <w:spacing w:after="0" w:line="247" w:lineRule="auto"/>
        <w:tabs>
          <w:tab w:leader="none" w:pos="1529"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Rent Abatement.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Section 4 or elsewhere to the contrary herein, so long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Tenant is not in default under the Lease after expiration of all applicable cure periods, Tenant shall be entitled to an abatement of Base Rent and of Tenant's Pro Rata Share of Taxes and Operating facpenses (collectively, the </w:t>
      </w:r>
      <w:r>
        <w:rPr>
          <w:rFonts w:ascii="Arial" w:cs="Arial" w:eastAsia="Arial" w:hAnsi="Arial"/>
          <w:sz w:val="19"/>
          <w:szCs w:val="19"/>
          <w:b w:val="1"/>
          <w:bCs w:val="1"/>
          <w:color w:val="auto"/>
        </w:rPr>
        <w:t>"Abated Rent")</w:t>
      </w:r>
      <w:r>
        <w:rPr>
          <w:rFonts w:ascii="Arial" w:cs="Arial" w:eastAsia="Arial" w:hAnsi="Arial"/>
          <w:sz w:val="19"/>
          <w:szCs w:val="19"/>
          <w:color w:val="auto"/>
        </w:rPr>
        <w:t xml:space="preserve"> as follows: (i) for the 10th Floor Premises, from the 10th Floor Commencement Date through and including December 31, 2014, and (ii) for the 11th Floor Premises, from the 11th Floor</w:t>
      </w:r>
    </w:p>
    <w:p>
      <w:pPr>
        <w:sectPr>
          <w:pgSz w:w="11900" w:h="16838" w:orient="portrait"/>
          <w:cols w:equalWidth="0" w:num="1">
            <w:col w:w="10220"/>
          </w:cols>
          <w:pgMar w:left="1440" w:top="555" w:right="239" w:bottom="1440" w:gutter="0" w:footer="0" w:header="0"/>
        </w:sectPr>
      </w:pPr>
    </w:p>
    <w:bookmarkStart w:id="98" w:name="page99"/>
    <w:bookmarkEnd w:id="98"/>
    <w:p>
      <w:pPr>
        <w:jc w:val="both"/>
        <w:ind w:left="300"/>
        <w:spacing w:after="0" w:line="279" w:lineRule="auto"/>
        <w:rPr>
          <w:sz w:val="20"/>
          <w:szCs w:val="20"/>
          <w:color w:val="auto"/>
        </w:rPr>
      </w:pPr>
      <w:r>
        <w:rPr>
          <w:rFonts w:ascii="Arial" w:cs="Arial" w:eastAsia="Arial" w:hAnsi="Arial"/>
          <w:sz w:val="18"/>
          <w:szCs w:val="18"/>
          <w:color w:val="auto"/>
        </w:rPr>
        <w:t xml:space="preserve">Commencement Date through and including September 30, 2015 (the </w:t>
      </w:r>
      <w:r>
        <w:rPr>
          <w:rFonts w:ascii="Arial" w:cs="Arial" w:eastAsia="Arial" w:hAnsi="Arial"/>
          <w:sz w:val="18"/>
          <w:szCs w:val="18"/>
          <w:b w:val="1"/>
          <w:bCs w:val="1"/>
          <w:color w:val="auto"/>
        </w:rPr>
        <w:t>"Rent Abatement Period").</w:t>
      </w:r>
      <w:r>
        <w:rPr>
          <w:rFonts w:ascii="Arial" w:cs="Arial" w:eastAsia="Arial" w:hAnsi="Arial"/>
          <w:sz w:val="18"/>
          <w:szCs w:val="18"/>
          <w:color w:val="auto"/>
        </w:rPr>
        <w:t xml:space="preserve"> During the Rent Abatement Period, only Base Rent and Tenant's Pro Rata Share of Taxes and Operating Expenses shall be abated, and all other costs and charges specified in the Lease shall remain as due and payable pursuant to the provisions of the Lease.</w:t>
      </w:r>
    </w:p>
    <w:p>
      <w:pPr>
        <w:spacing w:after="0" w:line="156" w:lineRule="exact"/>
        <w:rPr>
          <w:sz w:val="20"/>
          <w:szCs w:val="20"/>
          <w:color w:val="auto"/>
        </w:rPr>
      </w:pPr>
    </w:p>
    <w:p>
      <w:pPr>
        <w:jc w:val="both"/>
        <w:ind w:left="300" w:firstLine="615"/>
        <w:spacing w:after="0" w:line="242" w:lineRule="auto"/>
        <w:tabs>
          <w:tab w:leader="none" w:pos="1529"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of Right of First Offer.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8 of the Fourth Amendment is hereby amended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Effective Date to provide that </w:t>
      </w:r>
      <w:r>
        <w:rPr>
          <w:rFonts w:ascii="Arial" w:cs="Arial" w:eastAsia="Arial" w:hAnsi="Arial"/>
          <w:sz w:val="19"/>
          <w:szCs w:val="19"/>
          <w:b w:val="1"/>
          <w:bCs w:val="1"/>
          <w:color w:val="auto"/>
        </w:rPr>
        <w:t>"Offer Space"</w:t>
      </w:r>
      <w:r>
        <w:rPr>
          <w:rFonts w:ascii="Arial" w:cs="Arial" w:eastAsia="Arial" w:hAnsi="Arial"/>
          <w:sz w:val="19"/>
          <w:szCs w:val="19"/>
          <w:color w:val="auto"/>
        </w:rPr>
        <w:t xml:space="preserve"> as used in Section 8 shall include only space either on the eleventh floor, or space containing at least 8,000 square feet of contiguous rentable area on other floors, but excluding any lease, renewal, extension, option, and/or renewal with respect to the fifteenth floor or any portion thereof by or with Crump Insurance Services, Inc., CRC Insurance Services, Inc. and/or their respective affiliates,-successors and/or assigns (collectively, </w:t>
      </w:r>
      <w:r>
        <w:rPr>
          <w:rFonts w:ascii="Arial" w:cs="Arial" w:eastAsia="Arial" w:hAnsi="Arial"/>
          <w:sz w:val="19"/>
          <w:szCs w:val="19"/>
          <w:b w:val="1"/>
          <w:bCs w:val="1"/>
          <w:color w:val="auto"/>
        </w:rPr>
        <w:t xml:space="preserve">"Crump"), </w:t>
      </w:r>
      <w:r>
        <w:rPr>
          <w:rFonts w:ascii="Arial" w:cs="Arial" w:eastAsia="Arial" w:hAnsi="Arial"/>
          <w:sz w:val="19"/>
          <w:szCs w:val="19"/>
          <w:color w:val="auto"/>
        </w:rPr>
        <w:t>provided, however, if at any time the space occupied by Crump becomes available due to a 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expiration of the then-existing Crump lease or otherwise, Tenant's Right of First Offer shall be reinstated with respect to such space. Further, Tenant's Right of First Offer is subject to those existing tenant rights listed on updated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hereto, which shall replace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xml:space="preserve"> attached to the Fourth Amendment.</w:t>
      </w:r>
    </w:p>
    <w:p>
      <w:pPr>
        <w:spacing w:after="0" w:line="191" w:lineRule="exact"/>
        <w:rPr>
          <w:rFonts w:ascii="Arial" w:cs="Arial" w:eastAsia="Arial" w:hAnsi="Arial"/>
          <w:sz w:val="19"/>
          <w:szCs w:val="19"/>
          <w:color w:val="auto"/>
        </w:rPr>
      </w:pPr>
    </w:p>
    <w:p>
      <w:pPr>
        <w:ind w:left="300" w:firstLine="615"/>
        <w:spacing w:after="0" w:line="253" w:lineRule="auto"/>
        <w:tabs>
          <w:tab w:leader="none" w:pos="1529" w:val="left"/>
        </w:tabs>
        <w:numPr>
          <w:ilvl w:val="0"/>
          <w:numId w:val="42"/>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of Right To Terminate.</w:t>
      </w:r>
      <w:r>
        <w:rPr>
          <w:rFonts w:ascii="Arial" w:cs="Arial" w:eastAsia="Arial" w:hAnsi="Arial"/>
          <w:sz w:val="20"/>
          <w:szCs w:val="20"/>
          <w:b w:val="1"/>
          <w:bCs w:val="1"/>
          <w:color w:val="auto"/>
        </w:rPr>
        <w:t xml:space="preserve"> </w:t>
      </w:r>
      <w:r>
        <w:rPr>
          <w:rFonts w:ascii="Arial" w:cs="Arial" w:eastAsia="Arial" w:hAnsi="Arial"/>
          <w:sz w:val="20"/>
          <w:szCs w:val="20"/>
          <w:color w:val="auto"/>
        </w:rPr>
        <w:t>The definition of</w:t>
      </w:r>
      <w:r>
        <w:rPr>
          <w:rFonts w:ascii="Arial" w:cs="Arial" w:eastAsia="Arial" w:hAnsi="Arial"/>
          <w:sz w:val="20"/>
          <w:szCs w:val="20"/>
          <w:b w:val="1"/>
          <w:bCs w:val="1"/>
          <w:color w:val="auto"/>
        </w:rPr>
        <w:t xml:space="preserve"> "Lease Costs" </w:t>
      </w:r>
      <w:r>
        <w:rPr>
          <w:rFonts w:ascii="Arial" w:cs="Arial" w:eastAsia="Arial" w:hAnsi="Arial"/>
          <w:sz w:val="20"/>
          <w:szCs w:val="20"/>
          <w:color w:val="auto"/>
        </w:rPr>
        <w:t>in Section 10 of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is hereby amended to provide as follows:</w:t>
      </w:r>
    </w:p>
    <w:p>
      <w:pPr>
        <w:spacing w:after="0" w:line="177" w:lineRule="exact"/>
        <w:rPr>
          <w:sz w:val="20"/>
          <w:szCs w:val="20"/>
          <w:color w:val="auto"/>
        </w:rPr>
      </w:pPr>
    </w:p>
    <w:p>
      <w:pPr>
        <w:jc w:val="both"/>
        <w:ind w:left="760"/>
        <w:spacing w:after="0" w:line="270" w:lineRule="auto"/>
        <w:rPr>
          <w:sz w:val="20"/>
          <w:szCs w:val="20"/>
          <w:color w:val="auto"/>
        </w:rPr>
      </w:pPr>
      <w:r>
        <w:rPr>
          <w:rFonts w:ascii="Arial" w:cs="Arial" w:eastAsia="Arial" w:hAnsi="Arial"/>
          <w:sz w:val="18"/>
          <w:szCs w:val="18"/>
          <w:b w:val="1"/>
          <w:bCs w:val="1"/>
          <w:color w:val="auto"/>
        </w:rPr>
        <w:t xml:space="preserve">““Lease Costs” </w:t>
      </w:r>
      <w:r>
        <w:rPr>
          <w:rFonts w:ascii="Arial" w:cs="Arial" w:eastAsia="Arial" w:hAnsi="Arial"/>
          <w:sz w:val="18"/>
          <w:szCs w:val="18"/>
          <w:color w:val="auto"/>
        </w:rPr>
        <w:t>shall be the sum of all of the following amounts (i) all leasing commissions relatedto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this Fifth Amendment and any and all additional space now or hereafter added to the Premises after the Effective Date of the Fourth Amendment, including without limitation any Offer Space, (ii) the 10th/11th Floor Allowance, the Existing Allowance, and all other tenant improvement allowances paid after the Effective Date of the Fourth Amendment, including without limitation, those paid in connection with any Offer Space, and/or other space leased by Tenant hereunder (if any), (iii) the amount of all Abated Rent and other rent concessions granted pursuant to the terms of the Fourth Amendment (whether applicable to periods before or after the Effective Date of the Fourth Amendment), this Fifth Amendment and all further Lease amendments executed after the Effective Date, (iv) rent loss incurred (net of sublease income from CRC Insurance Services, Inc.) by Landlord's removal of Suite 1520 from the Premises when and as provided in the Fourth Amendment, and (v) Base Rent and of Tenant's Pro Rata Share of Taxes and Operating Expenses for the entire Premises for a two (2) month period, at the rate in effect as of the Termination Date. There shall be no duplication of costs included in Lease Costs, and Lease Costs shall be deemed to be "amortized" only to the extent of Base Rent actually received by Landlord with respect to the applicable space."”</w:t>
      </w:r>
    </w:p>
    <w:p>
      <w:pPr>
        <w:spacing w:after="0" w:line="187" w:lineRule="exact"/>
        <w:rPr>
          <w:sz w:val="20"/>
          <w:szCs w:val="20"/>
          <w:color w:val="auto"/>
        </w:rPr>
      </w:pPr>
    </w:p>
    <w:p>
      <w:pPr>
        <w:ind w:left="1620" w:hanging="705"/>
        <w:spacing w:after="0"/>
        <w:tabs>
          <w:tab w:leader="none" w:pos="1620" w:val="left"/>
        </w:tabs>
        <w:numPr>
          <w:ilvl w:val="0"/>
          <w:numId w:val="43"/>
        </w:numPr>
        <w:rPr>
          <w:rFonts w:ascii="Arial" w:cs="Arial" w:eastAsia="Arial" w:hAnsi="Arial"/>
          <w:sz w:val="20"/>
          <w:szCs w:val="20"/>
          <w:color w:val="auto"/>
        </w:rPr>
      </w:pPr>
      <w:r>
        <w:rPr>
          <w:rFonts w:ascii="Arial" w:cs="Arial" w:eastAsia="Arial" w:hAnsi="Arial"/>
          <w:sz w:val="20"/>
          <w:szCs w:val="20"/>
          <w:b w:val="1"/>
          <w:bCs w:val="1"/>
          <w:u w:val="single" w:color="auto"/>
          <w:color w:val="auto"/>
        </w:rPr>
        <w:t>Security Deposit.</w:t>
      </w:r>
    </w:p>
    <w:p>
      <w:pPr>
        <w:spacing w:after="0" w:line="215" w:lineRule="exact"/>
        <w:rPr>
          <w:rFonts w:ascii="Arial" w:cs="Arial" w:eastAsia="Arial" w:hAnsi="Arial"/>
          <w:sz w:val="20"/>
          <w:szCs w:val="20"/>
          <w:color w:val="auto"/>
        </w:rPr>
      </w:pPr>
    </w:p>
    <w:p>
      <w:pPr>
        <w:jc w:val="both"/>
        <w:ind w:left="920" w:firstLine="616"/>
        <w:spacing w:after="0" w:line="294" w:lineRule="auto"/>
        <w:tabs>
          <w:tab w:leader="none" w:pos="1999"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Amount.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contained in the Lease to the contrary, Landlord and Tenant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effective as of January 1, 2014, the Security Deposit described in Section 35 of the Lease shall be increased to Eight Hundred Thousand and 00/l00ths Dollars ($800,000.00), through the remainder of the Term, subject to further</w:t>
      </w:r>
    </w:p>
    <w:p>
      <w:pPr>
        <w:sectPr>
          <w:pgSz w:w="11900" w:h="16838" w:orient="portrait"/>
          <w:cols w:equalWidth="0" w:num="1">
            <w:col w:w="10220"/>
          </w:cols>
          <w:pgMar w:left="1440" w:top="549" w:right="239" w:bottom="1440" w:gutter="0" w:footer="0" w:header="0"/>
        </w:sectPr>
      </w:pPr>
    </w:p>
    <w:bookmarkStart w:id="99" w:name="page100"/>
    <w:bookmarkEnd w:id="99"/>
    <w:p>
      <w:pPr>
        <w:ind w:left="920"/>
        <w:spacing w:after="0" w:line="260" w:lineRule="auto"/>
        <w:rPr>
          <w:sz w:val="20"/>
          <w:szCs w:val="20"/>
          <w:color w:val="auto"/>
        </w:rPr>
      </w:pPr>
      <w:r>
        <w:rPr>
          <w:rFonts w:ascii="Arial" w:cs="Arial" w:eastAsia="Arial" w:hAnsi="Arial"/>
          <w:sz w:val="20"/>
          <w:szCs w:val="20"/>
          <w:color w:val="auto"/>
        </w:rPr>
        <w:t>increase if the size of the Premises is increased after the date hereof by exercise of Tenant's Right of First Offer, in accordance with the terms stated in the Offer Notice.</w:t>
      </w:r>
    </w:p>
    <w:p>
      <w:pPr>
        <w:spacing w:after="0" w:line="184" w:lineRule="exact"/>
        <w:rPr>
          <w:sz w:val="20"/>
          <w:szCs w:val="20"/>
          <w:color w:val="auto"/>
        </w:rPr>
      </w:pPr>
    </w:p>
    <w:p>
      <w:pPr>
        <w:jc w:val="both"/>
        <w:ind w:left="920" w:firstLine="616"/>
        <w:spacing w:after="0" w:line="271" w:lineRule="auto"/>
        <w:tabs>
          <w:tab w:leader="none" w:pos="2037" w:val="left"/>
        </w:tabs>
        <w:numPr>
          <w:ilvl w:val="2"/>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Solvency of Letter of Credit Issuer.</w:t>
      </w:r>
      <w:r>
        <w:rPr>
          <w:rFonts w:ascii="Arial" w:cs="Arial" w:eastAsia="Arial" w:hAnsi="Arial"/>
          <w:sz w:val="18"/>
          <w:szCs w:val="18"/>
          <w:b w:val="1"/>
          <w:bCs w:val="1"/>
          <w:color w:val="auto"/>
        </w:rPr>
        <w:t xml:space="preserve"> </w:t>
      </w:r>
      <w:r>
        <w:rPr>
          <w:rFonts w:ascii="Arial" w:cs="Arial" w:eastAsia="Arial" w:hAnsi="Arial"/>
          <w:sz w:val="18"/>
          <w:szCs w:val="18"/>
          <w:color w:val="auto"/>
        </w:rPr>
        <w:t>ff the Security Deposit is in the form of a letter of credit,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during the Term of this Lease, the issuer of the letter of credit either: (1) fails to maintain a rating of at least AA-S&amp;P or a Aa3 Moody's (the </w:t>
      </w:r>
      <w:r>
        <w:rPr>
          <w:rFonts w:ascii="Arial" w:cs="Arial" w:eastAsia="Arial" w:hAnsi="Arial"/>
          <w:sz w:val="18"/>
          <w:szCs w:val="18"/>
          <w:b w:val="1"/>
          <w:bCs w:val="1"/>
          <w:color w:val="auto"/>
        </w:rPr>
        <w:t>"Required Rating"),</w:t>
      </w:r>
      <w:r>
        <w:rPr>
          <w:rFonts w:ascii="Arial" w:cs="Arial" w:eastAsia="Arial" w:hAnsi="Arial"/>
          <w:sz w:val="18"/>
          <w:szCs w:val="18"/>
          <w:color w:val="auto"/>
        </w:rPr>
        <w:t xml:space="preserve"> or (2) is declared insolvent by the FDIC, then Landlord shall be entitled to require that the letter of credit be re-issued (within fifteen (15) business days following Landlord's delivery of a written demand for re-issuance, provided that in any event such re-issuance must occur prior to any declaration of insolvency) by a financial institution with the Required Rating and delivered to Landlord, or replaced with cash by Tenant; and if Tenant fails to do so within such fifteen (15) business day period after notice from Landlord, Landlord may immediately draw the full amount of the letter of credit. All costs for the issuance (or reissuance as required by Landlord in the event of Landlord's sale of the Property) of said letter of credit shall be paid by Tenant. In the event that the letter of credit is re-issued or Tenant replaces the letter of credit with cash, Landlord shall promptly return the original letter of credit to Tenant.</w:t>
      </w:r>
    </w:p>
    <w:p>
      <w:pPr>
        <w:spacing w:after="0" w:line="184" w:lineRule="exact"/>
        <w:rPr>
          <w:rFonts w:ascii="Arial" w:cs="Arial" w:eastAsia="Arial" w:hAnsi="Arial"/>
          <w:sz w:val="18"/>
          <w:szCs w:val="18"/>
          <w:color w:val="auto"/>
        </w:rPr>
      </w:pPr>
    </w:p>
    <w:p>
      <w:pPr>
        <w:jc w:val="both"/>
        <w:ind w:left="300" w:firstLine="615"/>
        <w:spacing w:after="0" w:line="285" w:lineRule="auto"/>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Broker.</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and Landlord each represents to the other party that except for U.S. Equities Asset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Jones Lang LaSalle Midwest, LLC (whose commissions, if any, shall be paid by Landlord, pursuant to separate agreement), Landlord and Tenant have not dealt with any real estate broker, salesperson or finder in connection with this Fifth Amendment, and no other such person initiated or participated in the negotiation of this Fifth Amendment or is entitled to any commission in connection herewith. Tenant hereby agrees to indemnify, defend and hold Landlord, its property manager and their respective employees harmless from and against any and all liabilities, claims, demands, actions, damages, costs and expenses (including attorneys' fees) arising from either (i) a claim for a fee or commission made by any broker, other than the Brokers, claiming to have acted by or on behalf of Tenant in connection with this Fifth Amendment, or</w:t>
      </w:r>
    </w:p>
    <w:p>
      <w:pPr>
        <w:spacing w:after="0" w:line="2" w:lineRule="exact"/>
        <w:rPr>
          <w:rFonts w:ascii="Arial" w:cs="Arial" w:eastAsia="Arial" w:hAnsi="Arial"/>
          <w:sz w:val="16"/>
          <w:szCs w:val="16"/>
          <w:color w:val="auto"/>
        </w:rPr>
      </w:pPr>
    </w:p>
    <w:p>
      <w:pPr>
        <w:jc w:val="both"/>
        <w:ind w:left="300" w:hanging="6"/>
        <w:spacing w:after="0" w:line="256" w:lineRule="auto"/>
        <w:tabs>
          <w:tab w:leader="none" w:pos="5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claim of, or right to, lien under the Statutes of Illinois relating to real estate broker liens with respect to any such broker retained by Tenant. Landlord hereby agrees to indemnify, defend, and hold Tenant and its employees harmless from and against any and all liabilities, claims, demands, actions, damages, costs, and expenses (including attorneys' fees) arising from either (i) a claim for a fee or commission made by any broker, other than the Brokers, claiming to have acted by or on behalf of Landlord in connection with this Fifth Amendment, or (ii) a claim of, or right to, lien under the Statutes of Illinois relating to real estate broker liens with respect to any such broker retained by Landlord.</w:t>
      </w:r>
    </w:p>
    <w:p>
      <w:pPr>
        <w:spacing w:after="0" w:line="179" w:lineRule="exact"/>
        <w:rPr>
          <w:rFonts w:ascii="Arial" w:cs="Arial" w:eastAsia="Arial" w:hAnsi="Arial"/>
          <w:sz w:val="18"/>
          <w:szCs w:val="18"/>
          <w:color w:val="auto"/>
        </w:rPr>
      </w:pPr>
    </w:p>
    <w:p>
      <w:pPr>
        <w:jc w:val="both"/>
        <w:ind w:left="300" w:firstLine="615"/>
        <w:spacing w:after="0" w:line="232" w:lineRule="auto"/>
        <w:tabs>
          <w:tab w:leader="none" w:pos="1628" w:val="left"/>
        </w:tabs>
        <w:numPr>
          <w:ilvl w:val="1"/>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Energy and Environmental Initiatives.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reasonably cooperate with Landlord in any</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commercially reasonable programs in which Landlord may elect to participate relating to the Building's (i) energy efficiency, management, and conservation; (ii) water conservation and management; (iii) environmental standards and efficiency; (iv) recycling and reduction programs; and/or (v) safety, which participation may include, without limitation, the Leadership in Energy and Environmental Design (LEED) program and related Green Building Rating System promoted by the U.S. Green Building Council, as</w:t>
      </w:r>
    </w:p>
    <w:p>
      <w:pPr>
        <w:sectPr>
          <w:pgSz w:w="11900" w:h="16838" w:orient="portrait"/>
          <w:cols w:equalWidth="0" w:num="1">
            <w:col w:w="10220"/>
          </w:cols>
          <w:pgMar w:left="1440" w:top="555" w:right="239" w:bottom="1440" w:gutter="0" w:footer="0" w:header="0"/>
        </w:sectPr>
      </w:pPr>
    </w:p>
    <w:bookmarkStart w:id="100" w:name="page101"/>
    <w:bookmarkEnd w:id="100"/>
    <w:p>
      <w:pPr>
        <w:ind w:left="300" w:right="20"/>
        <w:spacing w:after="0" w:line="300" w:lineRule="auto"/>
        <w:rPr>
          <w:sz w:val="20"/>
          <w:szCs w:val="20"/>
          <w:color w:val="auto"/>
        </w:rPr>
      </w:pPr>
      <w:r>
        <w:rPr>
          <w:rFonts w:ascii="Arial" w:cs="Arial" w:eastAsia="Arial" w:hAnsi="Arial"/>
          <w:sz w:val="18"/>
          <w:szCs w:val="18"/>
          <w:color w:val="auto"/>
        </w:rPr>
        <w:t>well as the Energy Star program promoted by the U.S. Environmental Protection Agency and the U.S. Department of Energy. All carbon tax credits and similar credits, offsets and deductions are the sole and exclusive property of Landlord.</w:t>
      </w:r>
    </w:p>
    <w:p>
      <w:pPr>
        <w:spacing w:after="0" w:line="138" w:lineRule="exact"/>
        <w:rPr>
          <w:sz w:val="20"/>
          <w:szCs w:val="20"/>
          <w:color w:val="auto"/>
        </w:rPr>
      </w:pPr>
    </w:p>
    <w:p>
      <w:pPr>
        <w:jc w:val="both"/>
        <w:ind w:left="300" w:firstLine="615"/>
        <w:spacing w:after="0" w:line="242" w:lineRule="auto"/>
        <w:tabs>
          <w:tab w:leader="none" w:pos="1628"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Submission.</w:t>
      </w:r>
      <w:r>
        <w:rPr>
          <w:rFonts w:ascii="Arial" w:cs="Arial" w:eastAsia="Arial" w:hAnsi="Arial"/>
          <w:sz w:val="19"/>
          <w:szCs w:val="19"/>
          <w:b w:val="1"/>
          <w:bCs w:val="1"/>
          <w:color w:val="auto"/>
        </w:rPr>
        <w:t xml:space="preserve"> </w:t>
      </w:r>
      <w:r>
        <w:rPr>
          <w:rFonts w:ascii="Arial" w:cs="Arial" w:eastAsia="Arial" w:hAnsi="Arial"/>
          <w:sz w:val="19"/>
          <w:szCs w:val="19"/>
          <w:color w:val="auto"/>
        </w:rPr>
        <w:t>Submission of this Fifth Amendment by Landlord or Landlord's agent, or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agents or representatives, to Tenant for examination and/or execution shall not in any manner bind Landlord and no obligations on Landlord shall arise under this Fifth Amendment unless and until this Fifth Amendment is fully signed and delivered by Landlord and Tenant. It is further understood that this Fifth Amendment is subject to: (i) review and approval by Landlord of Tenant's current financial condition; and (ii) review and approval of this proposed Fifth Amendment by Landlord's Investment Committee. provided, however, the execution and delivery by Tenant of this Fifth Amendment to Landlord or Landlord's agent, or their respective agents or representatives, shall constitute an irrevocable offer by Tenant to amend the Lease on the terms and conditions herein contained, which offer may not be revoked for five (5) business days after such delivery.</w:t>
      </w:r>
    </w:p>
    <w:p>
      <w:pPr>
        <w:spacing w:after="0" w:line="191" w:lineRule="exact"/>
        <w:rPr>
          <w:rFonts w:ascii="Arial" w:cs="Arial" w:eastAsia="Arial" w:hAnsi="Arial"/>
          <w:sz w:val="19"/>
          <w:szCs w:val="19"/>
          <w:color w:val="auto"/>
        </w:rPr>
      </w:pPr>
    </w:p>
    <w:p>
      <w:pPr>
        <w:jc w:val="both"/>
        <w:ind w:left="300" w:firstLine="615"/>
        <w:spacing w:after="0" w:line="239" w:lineRule="auto"/>
        <w:tabs>
          <w:tab w:leader="none" w:pos="1628"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b w:val="1"/>
          <w:bCs w:val="1"/>
          <w:color w:val="auto"/>
        </w:rPr>
        <w:t xml:space="preserve"> </w:t>
      </w:r>
      <w:r>
        <w:rPr>
          <w:rFonts w:ascii="Arial" w:cs="Arial" w:eastAsia="Arial" w:hAnsi="Arial"/>
          <w:sz w:val="20"/>
          <w:szCs w:val="20"/>
          <w:color w:val="auto"/>
        </w:rPr>
        <w:t>The Lease, as hereby amended, shall continue in full force and effect, subject to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and provisions thereof and hereof. This Fifth Amendment shall be binding upon and inure to the benefit of Landlord, Tenant and their respective successors and permitted assigns.</w:t>
      </w:r>
    </w:p>
    <w:p>
      <w:pPr>
        <w:spacing w:after="0" w:line="190" w:lineRule="exact"/>
        <w:rPr>
          <w:rFonts w:ascii="Arial" w:cs="Arial" w:eastAsia="Arial" w:hAnsi="Arial"/>
          <w:sz w:val="20"/>
          <w:szCs w:val="20"/>
          <w:color w:val="auto"/>
        </w:rPr>
      </w:pPr>
    </w:p>
    <w:p>
      <w:pPr>
        <w:ind w:left="1620" w:hanging="705"/>
        <w:spacing w:after="0"/>
        <w:tabs>
          <w:tab w:leader="none" w:pos="1620"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Exculpatory Clause.</w:t>
      </w:r>
    </w:p>
    <w:p>
      <w:pPr>
        <w:spacing w:after="0" w:line="208" w:lineRule="exact"/>
        <w:rPr>
          <w:rFonts w:ascii="Arial" w:cs="Arial" w:eastAsia="Arial" w:hAnsi="Arial"/>
          <w:sz w:val="20"/>
          <w:szCs w:val="20"/>
          <w:color w:val="auto"/>
        </w:rPr>
      </w:pPr>
    </w:p>
    <w:p>
      <w:pPr>
        <w:jc w:val="both"/>
        <w:ind w:left="920" w:firstLine="616"/>
        <w:spacing w:after="0"/>
        <w:tabs>
          <w:tab w:leader="none" w:pos="2261"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Landlord.</w:t>
      </w:r>
      <w:r>
        <w:rPr>
          <w:rFonts w:ascii="Arial" w:cs="Arial" w:eastAsia="Arial" w:hAnsi="Arial"/>
          <w:sz w:val="19"/>
          <w:szCs w:val="19"/>
          <w:color w:val="auto"/>
        </w:rPr>
        <w:t xml:space="preserve"> It is expressly understood and agreed by and between the parties hereto, anything in the contrary notwithstanding, that each and all of the representations, warranties, covenants, undertakings, indemnities and agreements herein made on the part of Landlord, are made and intended, not with the intention of binding Landlord personally or the assets of Landlord, but are made and intended for the purpose of subjecting only Landlord's interest in the Real Property, Premises and the Building, as the same may from time to time be encumbered, to the terms of the Lease and for no other purpose whatsoever. No personal liability shall at any time be asserted or enforceable against Landlord or its stockholders, officers, employees or partners or their respective heirs, legal representatives, successors and assigns on account of the Lease or on account of any representation, warranty, covenant, undertaking, indemnity or agreement of Landlord or Tenant, as applicable in the Lease. All such personal liability of Landlord, if any, is expressly waived and released by Tenant and by all persons claiming by, through or under Tenant.</w:t>
      </w:r>
    </w:p>
    <w:p>
      <w:pPr>
        <w:spacing w:after="0" w:line="197" w:lineRule="exact"/>
        <w:rPr>
          <w:rFonts w:ascii="Arial" w:cs="Arial" w:eastAsia="Arial" w:hAnsi="Arial"/>
          <w:sz w:val="19"/>
          <w:szCs w:val="19"/>
          <w:color w:val="auto"/>
        </w:rPr>
      </w:pPr>
    </w:p>
    <w:p>
      <w:pPr>
        <w:jc w:val="both"/>
        <w:ind w:left="920" w:firstLine="616"/>
        <w:spacing w:after="0" w:line="260" w:lineRule="auto"/>
        <w:tabs>
          <w:tab w:leader="none" w:pos="2272" w:val="left"/>
        </w:tabs>
        <w:numPr>
          <w:ilvl w:val="1"/>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 xml:space="preserve"> </w:t>
      </w:r>
      <w:r>
        <w:rPr>
          <w:rFonts w:ascii="Arial" w:cs="Arial" w:eastAsia="Arial" w:hAnsi="Arial"/>
          <w:sz w:val="18"/>
          <w:szCs w:val="18"/>
          <w:color w:val="auto"/>
        </w:rPr>
        <w:t>It is expressly understood and agreed by and between the parties hereto, anything herein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contrary notwithstanding, Tenant's individual stockholders, officers, employees and partners shall have no personal liability to Landlord on account of the Lease for the obligations of Tenant hereunder, except to the extent, if any, that such obligations may affect the value of any ownership interest such person may have in Tenant. Tenant's liabilities under the Lease shall be satisfied solely from Tenant's assets and any security deposit or other guaranty or collateral expressly provided by Tenant. Nothing herein is intended, however, to release any individual from liability for its own separate acts or omissions apart from the obligations of Tenant under the</w:t>
      </w:r>
    </w:p>
    <w:p>
      <w:pPr>
        <w:sectPr>
          <w:pgSz w:w="11900" w:h="16838" w:orient="portrait"/>
          <w:cols w:equalWidth="0" w:num="1">
            <w:col w:w="10220"/>
          </w:cols>
          <w:pgMar w:left="1440" w:top="555" w:right="239" w:bottom="1440" w:gutter="0" w:footer="0" w:header="0"/>
        </w:sectPr>
      </w:pPr>
    </w:p>
    <w:bookmarkStart w:id="101" w:name="page102"/>
    <w:bookmarkEnd w:id="101"/>
    <w:p>
      <w:pPr>
        <w:ind w:left="920"/>
        <w:spacing w:after="0"/>
        <w:rPr>
          <w:sz w:val="20"/>
          <w:szCs w:val="20"/>
          <w:color w:val="auto"/>
        </w:rPr>
      </w:pPr>
      <w:r>
        <w:rPr>
          <w:rFonts w:ascii="Arial" w:cs="Arial" w:eastAsia="Arial" w:hAnsi="Arial"/>
          <w:sz w:val="20"/>
          <w:szCs w:val="20"/>
          <w:color w:val="auto"/>
        </w:rPr>
        <w:t>Lease, and nothing shall be deemed to release Tenant from personal liability hereunder.</w:t>
      </w:r>
    </w:p>
    <w:p>
      <w:pPr>
        <w:spacing w:after="0" w:line="210" w:lineRule="exact"/>
        <w:rPr>
          <w:sz w:val="20"/>
          <w:szCs w:val="20"/>
          <w:color w:val="auto"/>
        </w:rPr>
      </w:pPr>
    </w:p>
    <w:p>
      <w:pPr>
        <w:ind w:left="300" w:right="20" w:firstLine="615"/>
        <w:spacing w:after="0" w:line="253" w:lineRule="auto"/>
        <w:tabs>
          <w:tab w:leader="none" w:pos="1628"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Conflict.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any conflict between the terms of the Amended Lease and the terms of this Fifth</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the terms of this Fifth Amendment shall control.</w:t>
      </w:r>
    </w:p>
    <w:p>
      <w:pPr>
        <w:spacing w:after="0" w:line="176" w:lineRule="exact"/>
        <w:rPr>
          <w:rFonts w:ascii="Arial" w:cs="Arial" w:eastAsia="Arial" w:hAnsi="Arial"/>
          <w:sz w:val="20"/>
          <w:szCs w:val="20"/>
          <w:color w:val="auto"/>
        </w:rPr>
      </w:pPr>
    </w:p>
    <w:p>
      <w:pPr>
        <w:ind w:left="1620" w:hanging="705"/>
        <w:spacing w:after="0"/>
        <w:tabs>
          <w:tab w:leader="none" w:pos="1620"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Interpretation of this Fifth Amendment shall be governed by the laws of the State of</w:t>
      </w:r>
    </w:p>
    <w:p>
      <w:pPr>
        <w:spacing w:after="0" w:line="19" w:lineRule="exact"/>
        <w:rPr>
          <w:rFonts w:ascii="Arial" w:cs="Arial" w:eastAsia="Arial" w:hAnsi="Arial"/>
          <w:sz w:val="19"/>
          <w:szCs w:val="19"/>
          <w:color w:val="auto"/>
        </w:rPr>
      </w:pPr>
    </w:p>
    <w:p>
      <w:pPr>
        <w:ind w:left="300"/>
        <w:spacing w:after="0"/>
        <w:rPr>
          <w:rFonts w:ascii="Arial" w:cs="Arial" w:eastAsia="Arial" w:hAnsi="Arial"/>
          <w:sz w:val="19"/>
          <w:szCs w:val="19"/>
          <w:color w:val="auto"/>
        </w:rPr>
      </w:pPr>
      <w:r>
        <w:rPr>
          <w:rFonts w:ascii="Arial" w:cs="Arial" w:eastAsia="Arial" w:hAnsi="Arial"/>
          <w:sz w:val="20"/>
          <w:szCs w:val="20"/>
          <w:color w:val="auto"/>
        </w:rPr>
        <w:t>Illinois.</w:t>
      </w:r>
    </w:p>
    <w:p>
      <w:pPr>
        <w:spacing w:after="0" w:line="193" w:lineRule="exact"/>
        <w:rPr>
          <w:rFonts w:ascii="Arial" w:cs="Arial" w:eastAsia="Arial" w:hAnsi="Arial"/>
          <w:sz w:val="19"/>
          <w:szCs w:val="19"/>
          <w:color w:val="auto"/>
        </w:rPr>
      </w:pPr>
    </w:p>
    <w:p>
      <w:pPr>
        <w:jc w:val="both"/>
        <w:ind w:left="300" w:firstLine="615"/>
        <w:spacing w:after="0" w:line="236" w:lineRule="auto"/>
        <w:tabs>
          <w:tab w:leader="none" w:pos="1628"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Guaranty.</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precedent to Landlord's execution of this Fifth Amendment, Huron Consulting</w:t>
      </w:r>
      <w:r>
        <w:rPr>
          <w:rFonts w:ascii="Arial" w:cs="Arial" w:eastAsia="Arial" w:hAnsi="Arial"/>
          <w:sz w:val="20"/>
          <w:szCs w:val="20"/>
          <w:b w:val="1"/>
          <w:bCs w:val="1"/>
          <w:color w:val="auto"/>
        </w:rPr>
        <w:t xml:space="preserve"> </w:t>
      </w:r>
      <w:r>
        <w:rPr>
          <w:rFonts w:ascii="Arial" w:cs="Arial" w:eastAsia="Arial" w:hAnsi="Arial"/>
          <w:sz w:val="20"/>
          <w:szCs w:val="20"/>
          <w:color w:val="auto"/>
        </w:rPr>
        <w:t>Group, Inc., a Delaware corporation, shall execute the Consent of Guarantor following the signature pages of the parties hereto, confirming that the Guaranty shall apply to the Lease as amended by this Fifth Amendment and shall remain in full force and effect throughout the Term.</w:t>
      </w:r>
    </w:p>
    <w:p>
      <w:pPr>
        <w:sectPr>
          <w:pgSz w:w="11900" w:h="16838" w:orient="portrait"/>
          <w:cols w:equalWidth="0" w:num="1">
            <w:col w:w="10220"/>
          </w:cols>
          <w:pgMar w:left="1440" w:top="555" w:right="239" w:bottom="1440" w:gutter="0" w:footer="0" w:header="0"/>
        </w:sectPr>
      </w:pPr>
    </w:p>
    <w:bookmarkStart w:id="102" w:name="page103"/>
    <w:bookmarkEnd w:id="102"/>
    <w:p>
      <w:pPr>
        <w:jc w:val="center"/>
        <w:ind w:right="2080"/>
        <w:spacing w:after="0"/>
        <w:rPr>
          <w:sz w:val="20"/>
          <w:szCs w:val="20"/>
          <w:color w:val="auto"/>
        </w:rPr>
      </w:pPr>
      <w:r>
        <w:rPr>
          <w:rFonts w:ascii="Arial" w:cs="Arial" w:eastAsia="Arial" w:hAnsi="Arial"/>
          <w:sz w:val="18"/>
          <w:szCs w:val="18"/>
          <w:color w:val="auto"/>
        </w:rPr>
        <w:t>IN WITNESS WHEREOF, this Fifth Amendment is executed as of the day and year aforesaid.</w:t>
      </w:r>
    </w:p>
    <w:p>
      <w:pPr>
        <w:spacing w:after="0" w:line="246"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UNION TOWER, LLC,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By: UNION TOWER II, LLC, a Delaware limited liability company, its sole member</w:t>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By: PRINCIPAL LIFE</w:t>
      </w:r>
    </w:p>
    <w:p>
      <w:pPr>
        <w:ind w:left="3340"/>
        <w:spacing w:after="0"/>
        <w:rPr>
          <w:sz w:val="20"/>
          <w:szCs w:val="20"/>
          <w:color w:val="auto"/>
        </w:rPr>
      </w:pPr>
      <w:r>
        <w:rPr>
          <w:rFonts w:ascii="Arial" w:cs="Arial" w:eastAsia="Arial" w:hAnsi="Arial"/>
          <w:sz w:val="19"/>
          <w:szCs w:val="19"/>
          <w:color w:val="auto"/>
        </w:rPr>
        <w:t>INSURANCE COMPANY, an Iowa corporation, its member, solely for its Principal</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U.S. Property Separate Account, formerly known as Principal Life Insurance</w:t>
      </w:r>
    </w:p>
    <w:p>
      <w:pPr>
        <w:ind w:left="3340"/>
        <w:spacing w:after="0"/>
        <w:rPr>
          <w:sz w:val="20"/>
          <w:szCs w:val="20"/>
          <w:color w:val="auto"/>
        </w:rPr>
      </w:pPr>
      <w:r>
        <w:rPr>
          <w:rFonts w:ascii="Arial" w:cs="Arial" w:eastAsia="Arial" w:hAnsi="Arial"/>
          <w:sz w:val="20"/>
          <w:szCs w:val="20"/>
          <w:color w:val="auto"/>
        </w:rPr>
        <w:t>Company, an Iowa corporation, for its Real Estate Separate Account</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PRINCIPAL REAL ESTATE</w:t>
      </w:r>
    </w:p>
    <w:p>
      <w:pPr>
        <w:spacing w:after="0" w:line="13"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7560" w:type="dxa"/>
            <w:vAlign w:val="bottom"/>
            <w:gridSpan w:val="2"/>
          </w:tcPr>
          <w:p>
            <w:pPr>
              <w:ind w:left="1340"/>
              <w:spacing w:after="0"/>
              <w:rPr>
                <w:sz w:val="20"/>
                <w:szCs w:val="20"/>
                <w:color w:val="auto"/>
              </w:rPr>
            </w:pPr>
            <w:r>
              <w:rPr>
                <w:rFonts w:ascii="Arial" w:cs="Arial" w:eastAsia="Arial" w:hAnsi="Arial"/>
                <w:sz w:val="20"/>
                <w:szCs w:val="20"/>
                <w:color w:val="auto"/>
                <w:w w:val="99"/>
              </w:rPr>
              <w:t>INVESTORS, LLC, a Delaware limited liability company, its authorized</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7560" w:type="dxa"/>
            <w:vAlign w:val="bottom"/>
            <w:gridSpan w:val="2"/>
          </w:tcPr>
          <w:p>
            <w:pPr>
              <w:ind w:left="1340"/>
              <w:spacing w:after="0"/>
              <w:rPr>
                <w:sz w:val="20"/>
                <w:szCs w:val="20"/>
                <w:color w:val="auto"/>
              </w:rPr>
            </w:pPr>
            <w:r>
              <w:rPr>
                <w:rFonts w:ascii="Arial" w:cs="Arial" w:eastAsia="Arial" w:hAnsi="Arial"/>
                <w:sz w:val="20"/>
                <w:szCs w:val="20"/>
                <w:color w:val="auto"/>
              </w:rPr>
              <w:t>signatory</w:t>
            </w:r>
          </w:p>
        </w:tc>
        <w:tc>
          <w:tcPr>
            <w:tcW w:w="0" w:type="dxa"/>
            <w:vAlign w:val="bottom"/>
          </w:tcPr>
          <w:p>
            <w:pPr>
              <w:spacing w:after="0"/>
              <w:rPr>
                <w:sz w:val="1"/>
                <w:szCs w:val="1"/>
                <w:color w:val="auto"/>
              </w:rPr>
            </w:pPr>
          </w:p>
        </w:tc>
      </w:tr>
      <w:tr>
        <w:trPr>
          <w:trHeight w:val="864"/>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7560" w:type="dxa"/>
            <w:vAlign w:val="bottom"/>
            <w:gridSpan w:val="2"/>
          </w:tcPr>
          <w:p>
            <w:pPr>
              <w:ind w:left="20"/>
              <w:spacing w:after="0"/>
              <w:rPr>
                <w:sz w:val="20"/>
                <w:szCs w:val="20"/>
                <w:color w:val="auto"/>
              </w:rPr>
            </w:pPr>
            <w:r>
              <w:rPr>
                <w:rFonts w:ascii="Arial" w:cs="Arial" w:eastAsia="Arial" w:hAnsi="Arial"/>
                <w:sz w:val="20"/>
                <w:szCs w:val="20"/>
                <w:color w:val="auto"/>
              </w:rPr>
              <w:t>/s/ Brian Sandfort</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tcPr>
          <w:p>
            <w:pPr>
              <w:spacing w:after="0"/>
              <w:rPr>
                <w:sz w:val="20"/>
                <w:szCs w:val="20"/>
                <w:color w:val="auto"/>
              </w:rPr>
            </w:pPr>
            <w:r>
              <w:rPr>
                <w:rFonts w:ascii="Arial" w:cs="Arial" w:eastAsia="Arial" w:hAnsi="Arial"/>
                <w:sz w:val="20"/>
                <w:szCs w:val="20"/>
                <w:color w:val="auto"/>
              </w:rPr>
              <w:t>Name:</w:t>
            </w:r>
          </w:p>
        </w:tc>
        <w:tc>
          <w:tcPr>
            <w:tcW w:w="7560" w:type="dxa"/>
            <w:vAlign w:val="bottom"/>
            <w:gridSpan w:val="2"/>
          </w:tcPr>
          <w:p>
            <w:pPr>
              <w:ind w:left="20"/>
              <w:spacing w:after="0"/>
              <w:rPr>
                <w:sz w:val="20"/>
                <w:szCs w:val="20"/>
                <w:color w:val="auto"/>
              </w:rPr>
            </w:pPr>
            <w:r>
              <w:rPr>
                <w:rFonts w:ascii="Arial" w:cs="Arial" w:eastAsia="Arial" w:hAnsi="Arial"/>
                <w:sz w:val="20"/>
                <w:szCs w:val="20"/>
                <w:color w:val="auto"/>
              </w:rPr>
              <w:t>Brian K. Sandfort</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7560" w:type="dxa"/>
            <w:vAlign w:val="bottom"/>
            <w:gridSpan w:val="2"/>
          </w:tcPr>
          <w:p>
            <w:pPr>
              <w:ind w:left="20"/>
              <w:spacing w:after="0"/>
              <w:rPr>
                <w:sz w:val="20"/>
                <w:szCs w:val="20"/>
                <w:color w:val="auto"/>
              </w:rPr>
            </w:pPr>
            <w:r>
              <w:rPr>
                <w:rFonts w:ascii="Arial" w:cs="Arial" w:eastAsia="Arial" w:hAnsi="Arial"/>
                <w:sz w:val="20"/>
                <w:szCs w:val="20"/>
                <w:color w:val="auto"/>
              </w:rPr>
              <w:t>Managing Director, Asset Management</w:t>
            </w:r>
          </w:p>
        </w:tc>
        <w:tc>
          <w:tcPr>
            <w:tcW w:w="0" w:type="dxa"/>
            <w:vAlign w:val="bottom"/>
          </w:tcPr>
          <w:p>
            <w:pPr>
              <w:spacing w:after="0"/>
              <w:rPr>
                <w:sz w:val="1"/>
                <w:szCs w:val="1"/>
                <w:color w:val="auto"/>
              </w:rPr>
            </w:pPr>
          </w:p>
        </w:tc>
      </w:tr>
      <w:tr>
        <w:trPr>
          <w:trHeight w:val="23"/>
        </w:trPr>
        <w:tc>
          <w:tcPr>
            <w:tcW w:w="860" w:type="dxa"/>
            <w:vAlign w:val="bottom"/>
            <w:vMerge w:val="restart"/>
          </w:tcPr>
          <w:p>
            <w:pPr>
              <w:spacing w:after="0"/>
              <w:rPr>
                <w:sz w:val="20"/>
                <w:szCs w:val="20"/>
                <w:color w:val="auto"/>
              </w:rPr>
            </w:pPr>
            <w:r>
              <w:rPr>
                <w:rFonts w:ascii="Arial" w:cs="Arial" w:eastAsia="Arial" w:hAnsi="Arial"/>
                <w:sz w:val="20"/>
                <w:szCs w:val="20"/>
                <w:color w:val="auto"/>
              </w:rPr>
              <w:t>Date:</w:t>
            </w: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60" w:type="dxa"/>
            <w:vAlign w:val="bottom"/>
            <w:vMerge w:val="continue"/>
          </w:tcPr>
          <w:p>
            <w:pPr>
              <w:spacing w:after="0"/>
              <w:rPr>
                <w:sz w:val="20"/>
                <w:szCs w:val="20"/>
                <w:color w:val="auto"/>
              </w:rPr>
            </w:pPr>
          </w:p>
        </w:tc>
        <w:tc>
          <w:tcPr>
            <w:tcW w:w="4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5"/>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7560" w:type="dxa"/>
            <w:vAlign w:val="bottom"/>
            <w:gridSpan w:val="2"/>
          </w:tcPr>
          <w:p>
            <w:pPr>
              <w:ind w:left="20"/>
              <w:spacing w:after="0"/>
              <w:rPr>
                <w:sz w:val="20"/>
                <w:szCs w:val="20"/>
                <w:color w:val="auto"/>
              </w:rPr>
            </w:pPr>
            <w:r>
              <w:rPr>
                <w:rFonts w:ascii="Arial" w:cs="Arial" w:eastAsia="Arial" w:hAnsi="Arial"/>
                <w:sz w:val="20"/>
                <w:szCs w:val="20"/>
                <w:color w:val="auto"/>
              </w:rPr>
              <w:t>/s/ Katherine Gibbons</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tcPr>
          <w:p>
            <w:pPr>
              <w:spacing w:after="0"/>
              <w:rPr>
                <w:sz w:val="20"/>
                <w:szCs w:val="20"/>
                <w:color w:val="auto"/>
              </w:rPr>
            </w:pPr>
            <w:r>
              <w:rPr>
                <w:rFonts w:ascii="Arial" w:cs="Arial" w:eastAsia="Arial" w:hAnsi="Arial"/>
                <w:sz w:val="20"/>
                <w:szCs w:val="20"/>
                <w:color w:val="auto"/>
              </w:rPr>
              <w:t>Name:</w:t>
            </w:r>
          </w:p>
        </w:tc>
        <w:tc>
          <w:tcPr>
            <w:tcW w:w="7560" w:type="dxa"/>
            <w:vAlign w:val="bottom"/>
            <w:gridSpan w:val="2"/>
          </w:tcPr>
          <w:p>
            <w:pPr>
              <w:ind w:left="20"/>
              <w:spacing w:after="0"/>
              <w:rPr>
                <w:sz w:val="20"/>
                <w:szCs w:val="20"/>
                <w:color w:val="auto"/>
              </w:rPr>
            </w:pPr>
            <w:r>
              <w:rPr>
                <w:rFonts w:ascii="Arial" w:cs="Arial" w:eastAsia="Arial" w:hAnsi="Arial"/>
                <w:sz w:val="20"/>
                <w:szCs w:val="20"/>
                <w:color w:val="auto"/>
              </w:rPr>
              <w:t>Katherine Gibbons</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7560" w:type="dxa"/>
            <w:vAlign w:val="bottom"/>
            <w:gridSpan w:val="2"/>
          </w:tcPr>
          <w:p>
            <w:pPr>
              <w:ind w:left="20"/>
              <w:spacing w:after="0"/>
              <w:rPr>
                <w:sz w:val="20"/>
                <w:szCs w:val="20"/>
                <w:color w:val="auto"/>
              </w:rPr>
            </w:pPr>
            <w:r>
              <w:rPr>
                <w:rFonts w:ascii="Arial" w:cs="Arial" w:eastAsia="Arial" w:hAnsi="Arial"/>
                <w:sz w:val="20"/>
                <w:szCs w:val="20"/>
                <w:color w:val="auto"/>
              </w:rPr>
              <w:t>Investment Director</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580" w:type="dxa"/>
            <w:vAlign w:val="bottom"/>
          </w:tcPr>
          <w:p>
            <w:pPr>
              <w:ind w:left="20"/>
              <w:spacing w:after="0"/>
              <w:rPr>
                <w:sz w:val="20"/>
                <w:szCs w:val="20"/>
                <w:color w:val="auto"/>
              </w:rPr>
            </w:pPr>
            <w:r>
              <w:rPr>
                <w:rFonts w:ascii="Arial" w:cs="Arial" w:eastAsia="Arial" w:hAnsi="Arial"/>
                <w:sz w:val="20"/>
                <w:szCs w:val="20"/>
                <w:color w:val="auto"/>
              </w:rPr>
              <w:t>12/10/13</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9"/>
        </w:trPr>
        <w:tc>
          <w:tcPr>
            <w:tcW w:w="860" w:type="dxa"/>
            <w:vAlign w:val="bottom"/>
          </w:tcPr>
          <w:p>
            <w:pPr>
              <w:spacing w:after="0"/>
              <w:rPr>
                <w:sz w:val="24"/>
                <w:szCs w:val="24"/>
                <w:color w:val="auto"/>
              </w:rPr>
            </w:pPr>
          </w:p>
        </w:tc>
        <w:tc>
          <w:tcPr>
            <w:tcW w:w="7560" w:type="dxa"/>
            <w:vAlign w:val="bottom"/>
            <w:gridSpan w:val="2"/>
          </w:tcPr>
          <w:p>
            <w:pPr>
              <w:ind w:left="680"/>
              <w:spacing w:after="0"/>
              <w:rPr>
                <w:sz w:val="20"/>
                <w:szCs w:val="20"/>
                <w:color w:val="auto"/>
              </w:rPr>
            </w:pPr>
            <w:r>
              <w:rPr>
                <w:rFonts w:ascii="Arial" w:cs="Arial" w:eastAsia="Arial" w:hAnsi="Arial"/>
                <w:sz w:val="20"/>
                <w:szCs w:val="20"/>
                <w:b w:val="1"/>
                <w:bCs w:val="1"/>
                <w:color w:val="auto"/>
              </w:rPr>
              <w:t>TENANT:</w:t>
            </w:r>
          </w:p>
        </w:tc>
        <w:tc>
          <w:tcPr>
            <w:tcW w:w="0" w:type="dxa"/>
            <w:vAlign w:val="bottom"/>
          </w:tcPr>
          <w:p>
            <w:pPr>
              <w:spacing w:after="0"/>
              <w:rPr>
                <w:sz w:val="1"/>
                <w:szCs w:val="1"/>
                <w:color w:val="auto"/>
              </w:rPr>
            </w:pPr>
          </w:p>
        </w:tc>
      </w:tr>
      <w:tr>
        <w:trPr>
          <w:trHeight w:val="425"/>
        </w:trPr>
        <w:tc>
          <w:tcPr>
            <w:tcW w:w="860" w:type="dxa"/>
            <w:vAlign w:val="bottom"/>
          </w:tcPr>
          <w:p>
            <w:pPr>
              <w:spacing w:after="0"/>
              <w:rPr>
                <w:sz w:val="24"/>
                <w:szCs w:val="24"/>
                <w:color w:val="auto"/>
              </w:rPr>
            </w:pPr>
          </w:p>
        </w:tc>
        <w:tc>
          <w:tcPr>
            <w:tcW w:w="7560" w:type="dxa"/>
            <w:vAlign w:val="bottom"/>
            <w:gridSpan w:val="2"/>
          </w:tcPr>
          <w:p>
            <w:pPr>
              <w:ind w:left="680"/>
              <w:spacing w:after="0"/>
              <w:rPr>
                <w:sz w:val="20"/>
                <w:szCs w:val="20"/>
                <w:color w:val="auto"/>
              </w:rPr>
            </w:pPr>
            <w:r>
              <w:rPr>
                <w:rFonts w:ascii="Arial" w:cs="Arial" w:eastAsia="Arial" w:hAnsi="Arial"/>
                <w:sz w:val="20"/>
                <w:szCs w:val="20"/>
                <w:b w:val="1"/>
                <w:bCs w:val="1"/>
                <w:color w:val="auto"/>
              </w:rPr>
              <w:t>HURON CONSUTLING SERVICES LLC,</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7560" w:type="dxa"/>
            <w:vAlign w:val="bottom"/>
            <w:gridSpan w:val="2"/>
          </w:tcPr>
          <w:p>
            <w:pPr>
              <w:ind w:left="680"/>
              <w:spacing w:after="0"/>
              <w:rPr>
                <w:sz w:val="20"/>
                <w:szCs w:val="20"/>
                <w:color w:val="auto"/>
              </w:rPr>
            </w:pPr>
            <w:r>
              <w:rPr>
                <w:rFonts w:ascii="Arial" w:cs="Arial" w:eastAsia="Arial" w:hAnsi="Arial"/>
                <w:sz w:val="20"/>
                <w:szCs w:val="20"/>
                <w:color w:val="auto"/>
              </w:rPr>
              <w:t>a Delaware limited liability company</w:t>
            </w:r>
          </w:p>
        </w:tc>
        <w:tc>
          <w:tcPr>
            <w:tcW w:w="0" w:type="dxa"/>
            <w:vAlign w:val="bottom"/>
          </w:tcPr>
          <w:p>
            <w:pPr>
              <w:spacing w:after="0"/>
              <w:rPr>
                <w:sz w:val="1"/>
                <w:szCs w:val="1"/>
                <w:color w:val="auto"/>
              </w:rPr>
            </w:pPr>
          </w:p>
        </w:tc>
      </w:tr>
      <w:tr>
        <w:trPr>
          <w:trHeight w:val="837"/>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7560" w:type="dxa"/>
            <w:vAlign w:val="bottom"/>
            <w:gridSpan w:val="2"/>
          </w:tcPr>
          <w:p>
            <w:pPr>
              <w:ind w:left="20"/>
              <w:spacing w:after="0"/>
              <w:rPr>
                <w:sz w:val="20"/>
                <w:szCs w:val="20"/>
                <w:color w:val="auto"/>
              </w:rPr>
            </w:pPr>
            <w:r>
              <w:rPr>
                <w:rFonts w:ascii="Arial" w:cs="Arial" w:eastAsia="Arial" w:hAnsi="Arial"/>
                <w:sz w:val="20"/>
                <w:szCs w:val="20"/>
                <w:color w:val="auto"/>
              </w:rPr>
              <w:t>/s/ C. Mark Hussey</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tcPr>
          <w:p>
            <w:pPr>
              <w:spacing w:after="0"/>
              <w:rPr>
                <w:sz w:val="20"/>
                <w:szCs w:val="20"/>
                <w:color w:val="auto"/>
              </w:rPr>
            </w:pPr>
            <w:r>
              <w:rPr>
                <w:rFonts w:ascii="Arial" w:cs="Arial" w:eastAsia="Arial" w:hAnsi="Arial"/>
                <w:sz w:val="20"/>
                <w:szCs w:val="20"/>
                <w:color w:val="auto"/>
              </w:rPr>
              <w:t>Name:</w:t>
            </w:r>
          </w:p>
        </w:tc>
        <w:tc>
          <w:tcPr>
            <w:tcW w:w="7560" w:type="dxa"/>
            <w:vAlign w:val="bottom"/>
            <w:gridSpan w:val="2"/>
          </w:tcPr>
          <w:p>
            <w:pPr>
              <w:ind w:left="20"/>
              <w:spacing w:after="0"/>
              <w:rPr>
                <w:sz w:val="20"/>
                <w:szCs w:val="20"/>
                <w:color w:val="auto"/>
              </w:rPr>
            </w:pPr>
            <w:r>
              <w:rPr>
                <w:rFonts w:ascii="Arial" w:cs="Arial" w:eastAsia="Arial" w:hAnsi="Arial"/>
                <w:sz w:val="20"/>
                <w:szCs w:val="20"/>
                <w:color w:val="auto"/>
              </w:rPr>
              <w:t>C. Mark Hussey</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7560" w:type="dxa"/>
            <w:vAlign w:val="bottom"/>
            <w:gridSpan w:val="2"/>
          </w:tcPr>
          <w:p>
            <w:pPr>
              <w:ind w:left="20"/>
              <w:spacing w:after="0"/>
              <w:rPr>
                <w:sz w:val="20"/>
                <w:szCs w:val="20"/>
                <w:color w:val="auto"/>
              </w:rPr>
            </w:pPr>
            <w:r>
              <w:rPr>
                <w:rFonts w:ascii="Arial" w:cs="Arial" w:eastAsia="Arial" w:hAnsi="Arial"/>
                <w:sz w:val="20"/>
                <w:szCs w:val="20"/>
                <w:color w:val="auto"/>
              </w:rPr>
              <w:t>EVP, CFO &amp; Treasurer</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703" w:right="239" w:bottom="1440" w:gutter="0" w:footer="0" w:header="0"/>
        </w:sectPr>
      </w:pPr>
    </w:p>
    <w:bookmarkStart w:id="103" w:name="page104"/>
    <w:bookmarkEnd w:id="103"/>
    <w:p>
      <w:pPr>
        <w:ind w:left="2320"/>
        <w:spacing w:after="0"/>
        <w:rPr>
          <w:sz w:val="20"/>
          <w:szCs w:val="20"/>
          <w:color w:val="auto"/>
        </w:rPr>
      </w:pPr>
      <w:r>
        <w:rPr>
          <w:rFonts w:ascii="Arial" w:cs="Arial" w:eastAsia="Arial" w:hAnsi="Arial"/>
          <w:sz w:val="20"/>
          <w:szCs w:val="20"/>
          <w:b w:val="1"/>
          <w:bCs w:val="1"/>
          <w:color w:val="0A0A0A"/>
        </w:rPr>
        <w:t>CONSENT AND AGREEMENT OF GUARANTOR</w:t>
      </w:r>
    </w:p>
    <w:p>
      <w:pPr>
        <w:spacing w:after="0" w:line="200" w:lineRule="exact"/>
        <w:rPr>
          <w:sz w:val="20"/>
          <w:szCs w:val="20"/>
          <w:color w:val="auto"/>
        </w:rPr>
      </w:pPr>
    </w:p>
    <w:p>
      <w:pPr>
        <w:spacing w:after="0" w:line="232" w:lineRule="exact"/>
        <w:rPr>
          <w:sz w:val="20"/>
          <w:szCs w:val="20"/>
          <w:color w:val="auto"/>
        </w:rPr>
      </w:pPr>
    </w:p>
    <w:p>
      <w:pPr>
        <w:jc w:val="both"/>
        <w:ind w:left="300" w:firstLine="608"/>
        <w:spacing w:after="0" w:line="245" w:lineRule="auto"/>
        <w:rPr>
          <w:sz w:val="20"/>
          <w:szCs w:val="20"/>
          <w:color w:val="auto"/>
        </w:rPr>
      </w:pPr>
      <w:r>
        <w:rPr>
          <w:rFonts w:ascii="Arial" w:cs="Arial" w:eastAsia="Arial" w:hAnsi="Arial"/>
          <w:sz w:val="20"/>
          <w:szCs w:val="20"/>
          <w:color w:val="0A0A0A"/>
        </w:rPr>
        <w:t xml:space="preserve">The undersigned Guarantor executed a Guaranty dated as of December 31, 2012 (the </w:t>
      </w:r>
      <w:r>
        <w:rPr>
          <w:rFonts w:ascii="Arial" w:cs="Arial" w:eastAsia="Arial" w:hAnsi="Arial"/>
          <w:sz w:val="20"/>
          <w:szCs w:val="20"/>
          <w:b w:val="1"/>
          <w:bCs w:val="1"/>
          <w:color w:val="0A0A0A"/>
        </w:rPr>
        <w:t>"Guaranty</w:t>
      </w:r>
      <w:r>
        <w:rPr>
          <w:rFonts w:ascii="Arial" w:cs="Arial" w:eastAsia="Arial" w:hAnsi="Arial"/>
          <w:sz w:val="20"/>
          <w:szCs w:val="20"/>
          <w:color w:val="0A0A0A"/>
        </w:rPr>
        <w:t xml:space="preserve"> ") </w:t>
      </w:r>
      <w:r>
        <w:rPr>
          <w:rFonts w:ascii="Arial" w:cs="Arial" w:eastAsia="Arial" w:hAnsi="Arial"/>
          <w:sz w:val="20"/>
          <w:szCs w:val="20"/>
          <w:color w:val="1C1C1C"/>
        </w:rPr>
        <w:t>guaranteeing</w:t>
      </w:r>
      <w:r>
        <w:rPr>
          <w:rFonts w:ascii="Arial" w:cs="Arial" w:eastAsia="Arial" w:hAnsi="Arial"/>
          <w:sz w:val="20"/>
          <w:szCs w:val="20"/>
          <w:color w:val="0A0A0A"/>
        </w:rPr>
        <w:t xml:space="preserve"> to Landlord, the payment </w:t>
      </w:r>
      <w:r>
        <w:rPr>
          <w:rFonts w:ascii="Arial" w:cs="Arial" w:eastAsia="Arial" w:hAnsi="Arial"/>
          <w:sz w:val="20"/>
          <w:szCs w:val="20"/>
          <w:color w:val="1C1C1C"/>
        </w:rPr>
        <w:t>and</w:t>
      </w:r>
      <w:r>
        <w:rPr>
          <w:rFonts w:ascii="Arial" w:cs="Arial" w:eastAsia="Arial" w:hAnsi="Arial"/>
          <w:sz w:val="20"/>
          <w:szCs w:val="20"/>
          <w:color w:val="0A0A0A"/>
        </w:rPr>
        <w:t xml:space="preserve"> performance of all obligations of Tenant under the Lease. Guarantor hereby consents and agrees to the modifications and all other matters contained in the forgoing Fifth Amendment. The Guaranty shall continue to be in full force and effect and shall remain unaffected and unchanged except as amended </w:t>
      </w:r>
      <w:r>
        <w:rPr>
          <w:rFonts w:ascii="Arial" w:cs="Arial" w:eastAsia="Arial" w:hAnsi="Arial"/>
          <w:sz w:val="20"/>
          <w:szCs w:val="20"/>
          <w:color w:val="1C1C1C"/>
        </w:rPr>
        <w:t>and</w:t>
      </w:r>
      <w:r>
        <w:rPr>
          <w:rFonts w:ascii="Arial" w:cs="Arial" w:eastAsia="Arial" w:hAnsi="Arial"/>
          <w:sz w:val="20"/>
          <w:szCs w:val="20"/>
          <w:color w:val="0A0A0A"/>
        </w:rPr>
        <w:t xml:space="preserve"> modified to include the Fifth Amendment. The Guaranty is hereby ratified and reaffirmed</w:t>
      </w:r>
      <w:r>
        <w:rPr>
          <w:rFonts w:ascii="Arial" w:cs="Arial" w:eastAsia="Arial" w:hAnsi="Arial"/>
          <w:sz w:val="20"/>
          <w:szCs w:val="20"/>
          <w:color w:val="2F2F2F"/>
        </w:rPr>
        <w:t>,</w:t>
      </w:r>
      <w:r>
        <w:rPr>
          <w:rFonts w:ascii="Arial" w:cs="Arial" w:eastAsia="Arial" w:hAnsi="Arial"/>
          <w:sz w:val="20"/>
          <w:szCs w:val="20"/>
          <w:color w:val="0A0A0A"/>
        </w:rPr>
        <w:t xml:space="preserve"> </w:t>
      </w:r>
      <w:r>
        <w:rPr>
          <w:rFonts w:ascii="Arial" w:cs="Arial" w:eastAsia="Arial" w:hAnsi="Arial"/>
          <w:sz w:val="20"/>
          <w:szCs w:val="20"/>
          <w:color w:val="1C1C1C"/>
        </w:rPr>
        <w:t>and</w:t>
      </w:r>
      <w:r>
        <w:rPr>
          <w:rFonts w:ascii="Arial" w:cs="Arial" w:eastAsia="Arial" w:hAnsi="Arial"/>
          <w:sz w:val="20"/>
          <w:szCs w:val="20"/>
          <w:color w:val="0A0A0A"/>
        </w:rPr>
        <w:t xml:space="preserve"> Guarantor specifically acknowledges the continuing validity and enforceability thereof.</w:t>
      </w:r>
    </w:p>
    <w:p>
      <w:pPr>
        <w:spacing w:after="0" w:line="361"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0A0A0A"/>
        </w:rPr>
        <w:t>GUARANTOR:</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0A0A0A"/>
        </w:rPr>
        <w:t>HURON CONSULTING GROUP, INC.,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0"/>
          <w:szCs w:val="20"/>
          <w:color w:val="0A0A0A"/>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74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2740" w:type="dxa"/>
            <w:vAlign w:val="bottom"/>
          </w:tcPr>
          <w:p>
            <w:pPr>
              <w:ind w:left="40"/>
              <w:spacing w:after="0"/>
              <w:rPr>
                <w:sz w:val="20"/>
                <w:szCs w:val="20"/>
                <w:color w:val="auto"/>
              </w:rPr>
            </w:pPr>
            <w:r>
              <w:rPr>
                <w:rFonts w:ascii="Arial" w:cs="Arial" w:eastAsia="Arial" w:hAnsi="Arial"/>
                <w:sz w:val="20"/>
                <w:szCs w:val="20"/>
                <w:color w:val="auto"/>
              </w:rPr>
              <w:t>/s/ C. Mark Hussey</w:t>
            </w:r>
          </w:p>
        </w:tc>
      </w:tr>
      <w:tr>
        <w:trPr>
          <w:trHeight w:val="23"/>
        </w:trPr>
        <w:tc>
          <w:tcPr>
            <w:tcW w:w="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54"/>
        </w:trPr>
        <w:tc>
          <w:tcPr>
            <w:tcW w:w="840" w:type="dxa"/>
            <w:vAlign w:val="bottom"/>
          </w:tcPr>
          <w:p>
            <w:pPr>
              <w:spacing w:after="0"/>
              <w:rPr>
                <w:sz w:val="20"/>
                <w:szCs w:val="20"/>
                <w:color w:val="auto"/>
              </w:rPr>
            </w:pPr>
            <w:r>
              <w:rPr>
                <w:rFonts w:ascii="Arial" w:cs="Arial" w:eastAsia="Arial" w:hAnsi="Arial"/>
                <w:sz w:val="20"/>
                <w:szCs w:val="20"/>
                <w:color w:val="auto"/>
              </w:rPr>
              <w:t>Its:</w:t>
            </w:r>
          </w:p>
        </w:tc>
        <w:tc>
          <w:tcPr>
            <w:tcW w:w="2740" w:type="dxa"/>
            <w:vAlign w:val="bottom"/>
          </w:tcPr>
          <w:p>
            <w:pPr>
              <w:ind w:left="40"/>
              <w:spacing w:after="0"/>
              <w:rPr>
                <w:sz w:val="20"/>
                <w:szCs w:val="20"/>
                <w:color w:val="auto"/>
              </w:rPr>
            </w:pPr>
            <w:r>
              <w:rPr>
                <w:rFonts w:ascii="Arial" w:cs="Arial" w:eastAsia="Arial" w:hAnsi="Arial"/>
                <w:sz w:val="20"/>
                <w:szCs w:val="20"/>
                <w:color w:val="auto"/>
              </w:rPr>
              <w:t>EVP, CFO &amp; Treasurer</w:t>
            </w:r>
          </w:p>
        </w:tc>
      </w:tr>
      <w:tr>
        <w:trPr>
          <w:trHeight w:val="23"/>
        </w:trPr>
        <w:tc>
          <w:tcPr>
            <w:tcW w:w="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bl>
    <w:p>
      <w:pPr>
        <w:sectPr>
          <w:pgSz w:w="11900" w:h="16838" w:orient="portrait"/>
          <w:cols w:equalWidth="0" w:num="1">
            <w:col w:w="10220"/>
          </w:cols>
          <w:pgMar w:left="1440" w:top="1143" w:right="239" w:bottom="1440" w:gutter="0" w:footer="0" w:header="0"/>
        </w:sectPr>
      </w:pPr>
    </w:p>
    <w:bookmarkStart w:id="104" w:name="page105"/>
    <w:bookmarkEnd w:id="104"/>
    <w:p>
      <w:pPr>
        <w:jc w:val="center"/>
        <w:ind w:right="-519"/>
        <w:spacing w:after="0"/>
        <w:rPr>
          <w:sz w:val="20"/>
          <w:szCs w:val="20"/>
          <w:color w:val="auto"/>
        </w:rPr>
      </w:pPr>
      <w:r>
        <w:rPr>
          <w:rFonts w:ascii="Arial" w:cs="Arial" w:eastAsia="Arial" w:hAnsi="Arial"/>
          <w:sz w:val="20"/>
          <w:szCs w:val="20"/>
          <w:u w:val="single" w:color="auto"/>
          <w:color w:val="auto"/>
        </w:rPr>
        <w:t>EXHIBIT A</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INFORMATION IN THIS EXHIBIT HAS BEEN OMITTED BECAUSE IT IS BOTH (I) NOT MATERIAL AND (II) WOULD BE COMPETITIVELY HARMFUL IF PUBLICLY DISCLOSED.</w:t>
      </w:r>
    </w:p>
    <w:p>
      <w:pPr>
        <w:sectPr>
          <w:pgSz w:w="11900" w:h="16838" w:orient="portrait"/>
          <w:cols w:equalWidth="0" w:num="1">
            <w:col w:w="10980"/>
          </w:cols>
          <w:pgMar w:left="240" w:top="1095" w:right="67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20"/>
          <w:szCs w:val="20"/>
          <w:u w:val="single" w:color="auto"/>
          <w:color w:val="auto"/>
        </w:rPr>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BASE RENT SCHEDULE FOR ENTIRE PREMISES FROM AND AFTER 12/1/2013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316865</wp:posOffset>
            </wp:positionV>
            <wp:extent cx="584898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ectPr>
          <w:pgSz w:w="11900" w:h="16838" w:orient="portrait"/>
          <w:cols w:equalWidth="0" w:num="1">
            <w:col w:w="9019"/>
          </w:cols>
          <w:pgMar w:left="1440" w:top="1014" w:right="1440" w:bottom="1440" w:gutter="0" w:footer="0" w:header="0"/>
        </w:sectPr>
      </w:pPr>
    </w:p>
    <w:bookmarkStart w:id="106" w:name="page107"/>
    <w:bookmarkEnd w:id="106"/>
    <w:p>
      <w:pPr>
        <w:jc w:val="center"/>
        <w:ind w:left="2120"/>
        <w:spacing w:after="0"/>
        <w:rPr>
          <w:sz w:val="20"/>
          <w:szCs w:val="20"/>
          <w:color w:val="auto"/>
        </w:rPr>
      </w:pPr>
      <w:r>
        <w:rPr>
          <w:rFonts w:ascii="Arial" w:cs="Arial" w:eastAsia="Arial" w:hAnsi="Arial"/>
          <w:sz w:val="20"/>
          <w:szCs w:val="20"/>
          <w:b w:val="1"/>
          <w:bCs w:val="1"/>
          <w:u w:val="single" w:color="auto"/>
          <w:color w:val="auto"/>
        </w:rPr>
        <w:t>EXHIBIT C</w:t>
      </w:r>
    </w:p>
    <w:p>
      <w:pPr>
        <w:spacing w:after="0" w:line="229" w:lineRule="exact"/>
        <w:rPr>
          <w:sz w:val="20"/>
          <w:szCs w:val="20"/>
          <w:color w:val="auto"/>
        </w:rPr>
      </w:pPr>
    </w:p>
    <w:p>
      <w:pPr>
        <w:jc w:val="center"/>
        <w:ind w:left="2120"/>
        <w:spacing w:after="0"/>
        <w:rPr>
          <w:sz w:val="20"/>
          <w:szCs w:val="20"/>
          <w:color w:val="auto"/>
        </w:rPr>
      </w:pPr>
      <w:r>
        <w:rPr>
          <w:rFonts w:ascii="Arial" w:cs="Arial" w:eastAsia="Arial" w:hAnsi="Arial"/>
          <w:sz w:val="20"/>
          <w:szCs w:val="20"/>
          <w:b w:val="1"/>
          <w:bCs w:val="1"/>
          <w:color w:val="auto"/>
        </w:rPr>
        <w:t>WORK LETTER</w:t>
      </w:r>
    </w:p>
    <w:p>
      <w:pPr>
        <w:spacing w:after="0" w:line="229" w:lineRule="exact"/>
        <w:rPr>
          <w:sz w:val="20"/>
          <w:szCs w:val="20"/>
          <w:color w:val="auto"/>
        </w:rPr>
      </w:pPr>
    </w:p>
    <w:p>
      <w:pPr>
        <w:jc w:val="both"/>
        <w:ind w:left="280" w:firstLine="608"/>
        <w:spacing w:after="0" w:line="27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Work Letter ("Work Letter")</w:t>
      </w:r>
      <w:r>
        <w:rPr>
          <w:rFonts w:ascii="Arial" w:cs="Arial" w:eastAsia="Arial" w:hAnsi="Arial"/>
          <w:sz w:val="18"/>
          <w:szCs w:val="18"/>
          <w:color w:val="auto"/>
        </w:rPr>
        <w:t xml:space="preserve"> is a part of that certain Fifth Amendment to Lease between </w:t>
      </w:r>
      <w:r>
        <w:rPr>
          <w:rFonts w:ascii="Arial" w:cs="Arial" w:eastAsia="Arial" w:hAnsi="Arial"/>
          <w:sz w:val="18"/>
          <w:szCs w:val="18"/>
          <w:b w:val="1"/>
          <w:bCs w:val="1"/>
          <w:color w:val="auto"/>
        </w:rPr>
        <w:t>HURON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CONSULTING SERVICES, LLC, </w:t>
      </w:r>
      <w:r>
        <w:rPr>
          <w:rFonts w:ascii="Arial" w:cs="Arial" w:eastAsia="Arial" w:hAnsi="Arial"/>
          <w:sz w:val="18"/>
          <w:szCs w:val="18"/>
          <w:color w:val="auto"/>
        </w:rPr>
        <w:t>a Delaware limited liability company, as successor by assignment to</w:t>
      </w:r>
      <w:r>
        <w:rPr>
          <w:rFonts w:ascii="Arial" w:cs="Arial" w:eastAsia="Arial" w:hAnsi="Arial"/>
          <w:sz w:val="18"/>
          <w:szCs w:val="18"/>
          <w:b w:val="1"/>
          <w:bCs w:val="1"/>
          <w:color w:val="auto"/>
        </w:rPr>
        <w:t xml:space="preserve"> HURON CONSULTING GROUP LLC, </w:t>
      </w:r>
      <w:r>
        <w:rPr>
          <w:rFonts w:ascii="Arial" w:cs="Arial" w:eastAsia="Arial" w:hAnsi="Arial"/>
          <w:sz w:val="18"/>
          <w:szCs w:val="18"/>
          <w:color w:val="auto"/>
        </w:rPr>
        <w:t>a Delaware limited liability company, as</w:t>
      </w:r>
      <w:r>
        <w:rPr>
          <w:rFonts w:ascii="Arial" w:cs="Arial" w:eastAsia="Arial" w:hAnsi="Arial"/>
          <w:sz w:val="18"/>
          <w:szCs w:val="18"/>
          <w:b w:val="1"/>
          <w:bCs w:val="1"/>
          <w:color w:val="auto"/>
        </w:rPr>
        <w:t xml:space="preserve"> “Tenant” </w:t>
      </w:r>
      <w:r>
        <w:rPr>
          <w:rFonts w:ascii="Arial" w:cs="Arial" w:eastAsia="Arial" w:hAnsi="Arial"/>
          <w:sz w:val="18"/>
          <w:szCs w:val="18"/>
          <w:color w:val="auto"/>
        </w:rPr>
        <w:t>and</w:t>
      </w:r>
      <w:r>
        <w:rPr>
          <w:rFonts w:ascii="Arial" w:cs="Arial" w:eastAsia="Arial" w:hAnsi="Arial"/>
          <w:sz w:val="18"/>
          <w:szCs w:val="18"/>
          <w:b w:val="1"/>
          <w:bCs w:val="1"/>
          <w:color w:val="auto"/>
        </w:rPr>
        <w:t xml:space="preserve"> UNION TOWER LLC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Delaware limited liability company, as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relating to certain Premises as defined and more fully identified at the building located at 550 West Van Buren Street, Chicago, Illinois (the </w:t>
      </w:r>
      <w:r>
        <w:rPr>
          <w:rFonts w:ascii="Arial" w:cs="Arial" w:eastAsia="Arial" w:hAnsi="Arial"/>
          <w:sz w:val="18"/>
          <w:szCs w:val="18"/>
          <w:b w:val="1"/>
          <w:bCs w:val="1"/>
          <w:color w:val="auto"/>
        </w:rPr>
        <w:t>"Building").</w:t>
      </w:r>
      <w:r>
        <w:rPr>
          <w:rFonts w:ascii="Arial" w:cs="Arial" w:eastAsia="Arial" w:hAnsi="Arial"/>
          <w:sz w:val="18"/>
          <w:szCs w:val="18"/>
          <w:color w:val="auto"/>
        </w:rPr>
        <w:t xml:space="preserve"> Capitalized terms used herein, unless otherwise defined in this Work Letter, shall have the respective meanings ascribed to them in the Lease, as amended by the Fifth Amendment. This Work Letter is incorporated by referenced into the Lease and made a part thereof.</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and in consideration of the agreement to lease the Premises and the mutual covenants contained herein and in the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Lease, Landlord and Tenant hereby agree as follows:</w:t>
      </w:r>
    </w:p>
    <w:p>
      <w:pPr>
        <w:spacing w:after="0" w:line="207" w:lineRule="exact"/>
        <w:rPr>
          <w:sz w:val="20"/>
          <w:szCs w:val="20"/>
          <w:color w:val="auto"/>
        </w:rPr>
      </w:pPr>
    </w:p>
    <w:p>
      <w:pPr>
        <w:ind w:left="280" w:firstLine="608"/>
        <w:spacing w:after="0" w:line="248" w:lineRule="auto"/>
        <w:tabs>
          <w:tab w:leader="none" w:pos="1085" w:val="left"/>
        </w:tabs>
        <w:numPr>
          <w:ilvl w:val="1"/>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WORK.</w:t>
      </w:r>
      <w:r>
        <w:rPr>
          <w:rFonts w:ascii="Arial" w:cs="Arial" w:eastAsia="Arial" w:hAnsi="Arial"/>
          <w:sz w:val="20"/>
          <w:szCs w:val="20"/>
          <w:b w:val="1"/>
          <w:bCs w:val="1"/>
          <w:color w:val="auto"/>
        </w:rPr>
        <w:t xml:space="preserve"> </w:t>
      </w:r>
      <w:r>
        <w:rPr>
          <w:rFonts w:ascii="Arial" w:cs="Arial" w:eastAsia="Arial" w:hAnsi="Arial"/>
          <w:sz w:val="20"/>
          <w:szCs w:val="20"/>
          <w:color w:val="auto"/>
        </w:rPr>
        <w:t>Tenant, at its sole cost and expense, shall perform, or cause to be performed, the work and all other tenant</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(collectively, the “Work”) in the Premises provided for in the Approved Plans and Budget (as defined in Paragraph 2 hereof). Subject to Tenant's satisfaction of the conditions specified in this Work Letter, Tenant shall be entitled to the 10th/11th Floor Allowance (as defined in the Fifth Amendment).</w:t>
      </w:r>
    </w:p>
    <w:p>
      <w:pPr>
        <w:spacing w:after="0" w:line="197" w:lineRule="exact"/>
        <w:rPr>
          <w:rFonts w:ascii="Arial" w:cs="Arial" w:eastAsia="Arial" w:hAnsi="Arial"/>
          <w:sz w:val="20"/>
          <w:szCs w:val="20"/>
          <w:color w:val="auto"/>
        </w:rPr>
      </w:pPr>
    </w:p>
    <w:p>
      <w:pPr>
        <w:ind w:left="960" w:hanging="207"/>
        <w:spacing w:after="0"/>
        <w:tabs>
          <w:tab w:leader="none" w:pos="960"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PRE-CONSTRUCTION ACTIVITIES.</w:t>
      </w:r>
    </w:p>
    <w:p>
      <w:pPr>
        <w:spacing w:after="0" w:line="235" w:lineRule="exact"/>
        <w:rPr>
          <w:rFonts w:ascii="Arial" w:cs="Arial" w:eastAsia="Arial" w:hAnsi="Arial"/>
          <w:sz w:val="20"/>
          <w:szCs w:val="20"/>
          <w:color w:val="auto"/>
        </w:rPr>
      </w:pPr>
    </w:p>
    <w:p>
      <w:pPr>
        <w:jc w:val="both"/>
        <w:ind w:left="920" w:firstLine="616"/>
        <w:spacing w:after="0" w:line="232" w:lineRule="auto"/>
        <w:tabs>
          <w:tab w:leader="none" w:pos="2261" w:val="left"/>
        </w:tabs>
        <w:numPr>
          <w:ilvl w:val="2"/>
          <w:numId w:val="50"/>
        </w:numPr>
        <w:rPr>
          <w:rFonts w:ascii="Arial" w:cs="Arial" w:eastAsia="Arial" w:hAnsi="Arial"/>
          <w:sz w:val="20"/>
          <w:szCs w:val="20"/>
          <w:color w:val="auto"/>
        </w:rPr>
      </w:pPr>
      <w:r>
        <w:rPr>
          <w:rFonts w:ascii="Arial" w:cs="Arial" w:eastAsia="Arial" w:hAnsi="Arial"/>
          <w:sz w:val="20"/>
          <w:szCs w:val="20"/>
          <w:color w:val="auto"/>
        </w:rPr>
        <w:t>On or before the commencement of the Work, Tenant shall submit the Plans (as hereinafter defined) for the Work, which Plans shall be subject to Landlord's approval which will not be unreasonably withheld, conditioned or delayed. Prior to commencement of the Work, Tenant shall submit the following information and items to Landlord for Landlord's review and approval, which will not be unreasonably withheld, conditioned or delayed:</w:t>
      </w:r>
    </w:p>
    <w:p>
      <w:pPr>
        <w:spacing w:after="0" w:line="192" w:lineRule="exact"/>
        <w:rPr>
          <w:rFonts w:ascii="Arial" w:cs="Arial" w:eastAsia="Arial" w:hAnsi="Arial"/>
          <w:sz w:val="20"/>
          <w:szCs w:val="20"/>
          <w:color w:val="auto"/>
        </w:rPr>
      </w:pPr>
    </w:p>
    <w:p>
      <w:pPr>
        <w:jc w:val="both"/>
        <w:ind w:left="1480" w:firstLine="623"/>
        <w:spacing w:after="0" w:line="236" w:lineRule="auto"/>
        <w:tabs>
          <w:tab w:leader="none" w:pos="2838" w:val="left"/>
        </w:tabs>
        <w:numPr>
          <w:ilvl w:val="3"/>
          <w:numId w:val="50"/>
        </w:numPr>
        <w:rPr>
          <w:rFonts w:ascii="Arial" w:cs="Arial" w:eastAsia="Arial" w:hAnsi="Arial"/>
          <w:sz w:val="18"/>
          <w:szCs w:val="18"/>
          <w:color w:val="auto"/>
        </w:rPr>
      </w:pPr>
      <w:r>
        <w:rPr>
          <w:rFonts w:ascii="Arial" w:cs="Arial" w:eastAsia="Arial" w:hAnsi="Arial"/>
          <w:sz w:val="20"/>
          <w:szCs w:val="20"/>
          <w:color w:val="auto"/>
        </w:rPr>
        <w:t xml:space="preserve">A budget (the </w:t>
      </w:r>
      <w:r>
        <w:rPr>
          <w:rFonts w:ascii="Arial" w:cs="Arial" w:eastAsia="Arial" w:hAnsi="Arial"/>
          <w:sz w:val="20"/>
          <w:szCs w:val="20"/>
          <w:b w:val="1"/>
          <w:bCs w:val="1"/>
          <w:color w:val="auto"/>
        </w:rPr>
        <w:t>"Budget")</w:t>
      </w:r>
      <w:r>
        <w:rPr>
          <w:rFonts w:ascii="Arial" w:cs="Arial" w:eastAsia="Arial" w:hAnsi="Arial"/>
          <w:sz w:val="20"/>
          <w:szCs w:val="20"/>
          <w:color w:val="auto"/>
        </w:rPr>
        <w:t xml:space="preserve"> and an itemized statement of estimated construction and other costs (as such figure may be revised from time to time, the </w:t>
      </w:r>
      <w:r>
        <w:rPr>
          <w:rFonts w:ascii="Arial" w:cs="Arial" w:eastAsia="Arial" w:hAnsi="Arial"/>
          <w:sz w:val="20"/>
          <w:szCs w:val="20"/>
          <w:b w:val="1"/>
          <w:bCs w:val="1"/>
          <w:color w:val="auto"/>
        </w:rPr>
        <w:t>"Cost"</w:t>
      </w:r>
      <w:r>
        <w:rPr>
          <w:rFonts w:ascii="Arial" w:cs="Arial" w:eastAsia="Arial" w:hAnsi="Arial"/>
          <w:sz w:val="20"/>
          <w:szCs w:val="20"/>
          <w:color w:val="auto"/>
        </w:rPr>
        <w:t xml:space="preserve"> or </w:t>
      </w:r>
      <w:r>
        <w:rPr>
          <w:rFonts w:ascii="Arial" w:cs="Arial" w:eastAsia="Arial" w:hAnsi="Arial"/>
          <w:sz w:val="20"/>
          <w:szCs w:val="20"/>
          <w:b w:val="1"/>
          <w:bCs w:val="1"/>
          <w:color w:val="auto"/>
        </w:rPr>
        <w:t>"Costs"),</w:t>
      </w:r>
      <w:r>
        <w:rPr>
          <w:rFonts w:ascii="Arial" w:cs="Arial" w:eastAsia="Arial" w:hAnsi="Arial"/>
          <w:sz w:val="20"/>
          <w:szCs w:val="20"/>
          <w:color w:val="auto"/>
        </w:rPr>
        <w:t xml:space="preserve"> including all fees for permits and architectural and engineering fees and a reasonable contingency reserve. Such Budget and Cost amounts shall be revised as is reasonably necessary to reflect actual costs due to change orders, as shown in contracts, or for other reasons during the progress of the Work.</w:t>
      </w:r>
    </w:p>
    <w:p>
      <w:pPr>
        <w:spacing w:after="0" w:line="198" w:lineRule="exact"/>
        <w:rPr>
          <w:rFonts w:ascii="Arial" w:cs="Arial" w:eastAsia="Arial" w:hAnsi="Arial"/>
          <w:sz w:val="18"/>
          <w:szCs w:val="18"/>
          <w:color w:val="auto"/>
        </w:rPr>
      </w:pPr>
    </w:p>
    <w:p>
      <w:pPr>
        <w:jc w:val="both"/>
        <w:ind w:left="1560" w:firstLine="624"/>
        <w:spacing w:after="0" w:line="234" w:lineRule="auto"/>
        <w:tabs>
          <w:tab w:leader="none" w:pos="2922" w:val="left"/>
        </w:tabs>
        <w:numPr>
          <w:ilvl w:val="4"/>
          <w:numId w:val="50"/>
        </w:numPr>
        <w:rPr>
          <w:rFonts w:ascii="Arial" w:cs="Arial" w:eastAsia="Arial" w:hAnsi="Arial"/>
          <w:sz w:val="20"/>
          <w:szCs w:val="20"/>
          <w:color w:val="auto"/>
        </w:rPr>
      </w:pPr>
      <w:r>
        <w:rPr>
          <w:rFonts w:ascii="Arial" w:cs="Arial" w:eastAsia="Arial" w:hAnsi="Arial"/>
          <w:sz w:val="20"/>
          <w:szCs w:val="20"/>
          <w:color w:val="auto"/>
        </w:rPr>
        <w:t xml:space="preserve">The names and addresses of Tenant's contractors (and said contractor's subcontractors) and materialmen to be engaged by Tenant for the Work (individually, a </w:t>
      </w:r>
      <w:r>
        <w:rPr>
          <w:rFonts w:ascii="Arial" w:cs="Arial" w:eastAsia="Arial" w:hAnsi="Arial"/>
          <w:sz w:val="20"/>
          <w:szCs w:val="20"/>
          <w:b w:val="1"/>
          <w:bCs w:val="1"/>
          <w:color w:val="auto"/>
        </w:rPr>
        <w:t>"Tenant Contractor,"</w:t>
      </w:r>
      <w:r>
        <w:rPr>
          <w:rFonts w:ascii="Arial" w:cs="Arial" w:eastAsia="Arial" w:hAnsi="Arial"/>
          <w:sz w:val="20"/>
          <w:szCs w:val="20"/>
          <w:color w:val="auto"/>
        </w:rPr>
        <w:t xml:space="preserve"> and collectively, </w:t>
      </w:r>
      <w:r>
        <w:rPr>
          <w:rFonts w:ascii="Arial" w:cs="Arial" w:eastAsia="Arial" w:hAnsi="Arial"/>
          <w:sz w:val="20"/>
          <w:szCs w:val="20"/>
          <w:b w:val="1"/>
          <w:bCs w:val="1"/>
          <w:color w:val="auto"/>
        </w:rPr>
        <w:t xml:space="preserve">"Tenant's Contractors"). </w:t>
      </w:r>
      <w:r>
        <w:rPr>
          <w:rFonts w:ascii="Arial" w:cs="Arial" w:eastAsia="Arial" w:hAnsi="Arial"/>
          <w:sz w:val="20"/>
          <w:szCs w:val="20"/>
          <w:color w:val="auto"/>
        </w:rPr>
        <w:t>Each of Tenant's Contractors shall be subject to the prior written approval of</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which approval shall not be unreasonably</w:t>
      </w:r>
    </w:p>
    <w:p>
      <w:pPr>
        <w:sectPr>
          <w:pgSz w:w="11900" w:h="16838" w:orient="portrait"/>
          <w:cols w:equalWidth="0" w:num="1">
            <w:col w:w="10220"/>
          </w:cols>
          <w:pgMar w:left="1440" w:top="778" w:right="239" w:bottom="1440" w:gutter="0" w:footer="0" w:header="0"/>
        </w:sectPr>
      </w:pPr>
    </w:p>
    <w:bookmarkStart w:id="107" w:name="page108"/>
    <w:bookmarkEnd w:id="107"/>
    <w:p>
      <w:pPr>
        <w:jc w:val="both"/>
        <w:ind w:left="1560"/>
        <w:spacing w:after="0" w:line="231" w:lineRule="auto"/>
        <w:rPr>
          <w:sz w:val="20"/>
          <w:szCs w:val="20"/>
          <w:color w:val="auto"/>
        </w:rPr>
      </w:pPr>
      <w:r>
        <w:rPr>
          <w:rFonts w:ascii="Arial" w:cs="Arial" w:eastAsia="Arial" w:hAnsi="Arial"/>
          <w:sz w:val="20"/>
          <w:szCs w:val="20"/>
          <w:color w:val="auto"/>
        </w:rPr>
        <w:t>withheld, conditioned or delayed. If such contractor complies with Landlord's reasonable criteria and is duly qualified to perform the Work, Landlord shall approve such contractor. Landlord may, at its election, provide a list of approved contractors for performance of those portions of work involving electrical, mechanical, plumbing, heating, air conditioning or life safety systems, from which Tenant may select its contractors or subcontractors for such designated portions of work and such contractors or subcontractors will be included in Tenant's bid process.</w:t>
      </w:r>
    </w:p>
    <w:p>
      <w:pPr>
        <w:spacing w:after="0" w:line="198" w:lineRule="exact"/>
        <w:rPr>
          <w:sz w:val="20"/>
          <w:szCs w:val="20"/>
          <w:color w:val="auto"/>
        </w:rPr>
      </w:pPr>
    </w:p>
    <w:p>
      <w:pPr>
        <w:jc w:val="both"/>
        <w:ind w:left="1560" w:firstLine="624"/>
        <w:spacing w:after="0" w:line="275" w:lineRule="auto"/>
        <w:tabs>
          <w:tab w:leader="none" w:pos="29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Certified copies of insurance policies or certificates of insurance as hereinafter described. Tenant shall not permit Tenant's Contractors to commence work until the required insurance has been obtained and certified copies of policies or certificates have been delivered to Landlord.</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Tenant will update such information and items by notice to Landlord of any changes thereto.</w:t>
      </w:r>
    </w:p>
    <w:p>
      <w:pPr>
        <w:spacing w:after="0" w:line="223" w:lineRule="exact"/>
        <w:rPr>
          <w:sz w:val="20"/>
          <w:szCs w:val="20"/>
          <w:color w:val="auto"/>
        </w:rPr>
      </w:pPr>
    </w:p>
    <w:p>
      <w:pPr>
        <w:jc w:val="both"/>
        <w:ind w:left="920" w:firstLine="643"/>
        <w:spacing w:after="0" w:line="268" w:lineRule="auto"/>
        <w:tabs>
          <w:tab w:leader="none" w:pos="20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As used herein the term </w:t>
      </w:r>
      <w:r>
        <w:rPr>
          <w:rFonts w:ascii="Arial" w:cs="Arial" w:eastAsia="Arial" w:hAnsi="Arial"/>
          <w:sz w:val="18"/>
          <w:szCs w:val="18"/>
          <w:b w:val="1"/>
          <w:bCs w:val="1"/>
          <w:color w:val="auto"/>
        </w:rPr>
        <w:t>"Approved Plans"</w:t>
      </w:r>
      <w:r>
        <w:rPr>
          <w:rFonts w:ascii="Arial" w:cs="Arial" w:eastAsia="Arial" w:hAnsi="Arial"/>
          <w:sz w:val="18"/>
          <w:szCs w:val="18"/>
          <w:color w:val="auto"/>
        </w:rPr>
        <w:t xml:space="preserve"> shall mean the Plans (as hereinafter defined), as and when approved in writing by Landlord. As used herein, the term </w:t>
      </w:r>
      <w:r>
        <w:rPr>
          <w:rFonts w:ascii="Arial" w:cs="Arial" w:eastAsia="Arial" w:hAnsi="Arial"/>
          <w:sz w:val="18"/>
          <w:szCs w:val="18"/>
          <w:b w:val="1"/>
          <w:bCs w:val="1"/>
          <w:color w:val="auto"/>
        </w:rPr>
        <w:t>"Plans"</w:t>
      </w:r>
      <w:r>
        <w:rPr>
          <w:rFonts w:ascii="Arial" w:cs="Arial" w:eastAsia="Arial" w:hAnsi="Arial"/>
          <w:sz w:val="18"/>
          <w:szCs w:val="18"/>
          <w:color w:val="auto"/>
        </w:rPr>
        <w:t xml:space="preserve"> shall mean the full and detailed architectural and engineering plans and specifications covering the Work (including, without limitation, architectural, structural, mechanical, electrical, plumbing, HVAC, and life safety work and all other items for which the 10th/11th Floor Allowance is to be used and all architectural, mechanical and electrical working drawings for such Work). The Plans shall be subject to Landlord's reasonable approval as provided herein, which approval shall not be unreasonably withheld, conditioned or delayed, and to the approval of all local governmental authorities requiring approval of the Work and/or the Approved Plans. Landlord shall respond to Tenant's submission of the Plans (giving detailed reasons in case of disapproval) within seven (7) business days after their delivery to Landlord. Landlord agrees not to unreasonably withhold, condition or delay its approval of said Plans; provided, however, that Landlord shall not be deemed to have acted unreasonably if it withholds it approval of the Plans because, in Landlord's reasonable opinion: the Work as shown in the Plans is substantially likely to adversely affect Building systems, the structure of the Building or the safety of the Building and/or its occupants; the Work as shown on the Plans is reasonably likely to impair Landlord's ability to furnish services to Tenant or other tenants; the Work would increase the cost of operating the Building; the Work would violate any Laws (or interpretations thereof); the Work is not in accordance with then-current Building standards; the Work contains or uses hazardous or toxic materials or substances; the Work would adversely affect the appearance of the Building outside of the Premises; or the Work has a reasonable likelihood of adversely affecting another tenant's premises. The foregoing reasons, however, shall not be exclusive of the reasons for which Landlord may withhold consent, whether or not such other reasons an similar or dissimilar to the foregoing. If Landlord notifies Tenant that changes are required to the final Plans submitted by Tenant, Tenant shall prior to commencement of any Work, submit to Landlord, for its approval, the Plans amended in accordance with the changes so required. Landlord</w:t>
      </w:r>
    </w:p>
    <w:p>
      <w:pPr>
        <w:sectPr>
          <w:pgSz w:w="11900" w:h="16838" w:orient="portrait"/>
          <w:cols w:equalWidth="0" w:num="1">
            <w:col w:w="10220"/>
          </w:cols>
          <w:pgMar w:left="1440" w:top="555" w:right="239" w:bottom="1440" w:gutter="0" w:footer="0" w:header="0"/>
        </w:sectPr>
      </w:pPr>
    </w:p>
    <w:bookmarkStart w:id="108" w:name="page109"/>
    <w:bookmarkEnd w:id="108"/>
    <w:p>
      <w:pPr>
        <w:jc w:val="both"/>
        <w:ind w:left="920"/>
        <w:spacing w:after="0" w:line="269" w:lineRule="auto"/>
        <w:rPr>
          <w:sz w:val="20"/>
          <w:szCs w:val="20"/>
          <w:color w:val="auto"/>
        </w:rPr>
      </w:pPr>
      <w:r>
        <w:rPr>
          <w:rFonts w:ascii="Arial" w:cs="Arial" w:eastAsia="Arial" w:hAnsi="Arial"/>
          <w:sz w:val="18"/>
          <w:szCs w:val="18"/>
          <w:color w:val="auto"/>
        </w:rPr>
        <w:t xml:space="preserve">shall respond to Tenant's submission of such amended Plans within three (3) business days of receipt, it being agreed that Landlord's approval thereto shall be limited to those items to which Landlord had objected pursuant to the prior submission of the Plans. Such procedure for review with respect to any further objections to the Plans by Landlord shall continue until the Plans are finally approved by Landlord. If Landlord fails to respond to any request for approval of Plans within the time period provided herein, Tenant shall send a further notice to Landlord with the following typed in bold face type in a clearly visible location on the outside of the notice: </w:t>
      </w:r>
      <w:r>
        <w:rPr>
          <w:rFonts w:ascii="Arial" w:cs="Arial" w:eastAsia="Arial" w:hAnsi="Arial"/>
          <w:sz w:val="18"/>
          <w:szCs w:val="18"/>
          <w:b w:val="1"/>
          <w:bCs w:val="1"/>
          <w:color w:val="auto"/>
        </w:rPr>
        <w:t>"THIS CONTAINS</w:t>
      </w:r>
    </w:p>
    <w:p>
      <w:pPr>
        <w:spacing w:after="0" w:line="2" w:lineRule="exact"/>
        <w:rPr>
          <w:sz w:val="20"/>
          <w:szCs w:val="20"/>
          <w:color w:val="auto"/>
        </w:rPr>
      </w:pPr>
    </w:p>
    <w:p>
      <w:pPr>
        <w:jc w:val="both"/>
        <w:ind w:left="920"/>
        <w:spacing w:after="0" w:line="270" w:lineRule="auto"/>
        <w:rPr>
          <w:sz w:val="20"/>
          <w:szCs w:val="20"/>
          <w:color w:val="auto"/>
        </w:rPr>
      </w:pPr>
      <w:r>
        <w:rPr>
          <w:rFonts w:ascii="Arial" w:cs="Arial" w:eastAsia="Arial" w:hAnsi="Arial"/>
          <w:sz w:val="18"/>
          <w:szCs w:val="18"/>
          <w:b w:val="1"/>
          <w:bCs w:val="1"/>
          <w:color w:val="auto"/>
        </w:rPr>
        <w:t xml:space="preserve">PLANS SUBMITTED TO LANDLORD PURSUANT TO A LEASE. LANDLORD'S FAILURE TO RESPOND IN WRITING WITHIN THREE (3) BUSINESS DAYS SHALL BE DEEMED TO CONSTITUTE LANDLORD'S APPROVAL OF SUCH PLANS." </w:t>
      </w:r>
      <w:r>
        <w:rPr>
          <w:rFonts w:ascii="Arial" w:cs="Arial" w:eastAsia="Arial" w:hAnsi="Arial"/>
          <w:sz w:val="18"/>
          <w:szCs w:val="18"/>
          <w:color w:val="auto"/>
        </w:rPr>
        <w:t>If Landlord fails to respond within three (3) business days after</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such second notice, Landlord shall be deemed to have approved the Plans as submitted. The Plans shall also be revised, the Work shall be changed, all at Tenant’s cost and expense (but payable from the 10th/11th Floor Allowance), to incorporate any work required in the Premises by any local governmental field inspector. Landlord's approval of the Plans shall in no way be deemed to be (i) an acceptance or approval of any element therein contained which is in violation of any applicable Laws, or (ii) an assurance that work done pursuant to the Approved Plans will comply with all applicable Laws (or with the interpretations thereof) or satisfy Tenant's objectives and needs.</w:t>
      </w:r>
    </w:p>
    <w:p>
      <w:pPr>
        <w:spacing w:after="0" w:line="184" w:lineRule="exact"/>
        <w:rPr>
          <w:sz w:val="20"/>
          <w:szCs w:val="20"/>
          <w:color w:val="auto"/>
        </w:rPr>
      </w:pPr>
    </w:p>
    <w:p>
      <w:pPr>
        <w:jc w:val="both"/>
        <w:ind w:left="920" w:firstLine="643"/>
        <w:spacing w:after="0" w:line="255" w:lineRule="auto"/>
        <w:tabs>
          <w:tab w:leader="none" w:pos="1986"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No demolition or Work shall be undertaken or commenced by Tenant in the Premises being delivered to Tenant until (i) Tenant has delivered, and Landlord has approved, all items set forth in Paragraph 2(a) above, and (ii) all necessary building permits have been applied for and obtained by Tenant, and copies of all of such permits have been delivered to Landlord. Notwithstanding the foregoing or anything to the contrary in this Work Letter, Tenant shall have the right to secure a separate permit for demolishing work (the </w:t>
      </w:r>
      <w:r>
        <w:rPr>
          <w:rFonts w:ascii="Arial" w:cs="Arial" w:eastAsia="Arial" w:hAnsi="Arial"/>
          <w:sz w:val="19"/>
          <w:szCs w:val="19"/>
          <w:b w:val="1"/>
          <w:bCs w:val="1"/>
          <w:color w:val="auto"/>
        </w:rPr>
        <w:t>"Demolishing Work")</w:t>
      </w:r>
      <w:r>
        <w:rPr>
          <w:rFonts w:ascii="Arial" w:cs="Arial" w:eastAsia="Arial" w:hAnsi="Arial"/>
          <w:sz w:val="19"/>
          <w:szCs w:val="19"/>
          <w:color w:val="auto"/>
        </w:rPr>
        <w:t xml:space="preserve"> prior to obtaining the applicable building permits and shall be entitled to commence such Demolishing Work upon receipt of the applicable permit (without waiting for such subsequent permits); provided, however, notwithstanding anything to the contrary contained herein, Tenant shall be required to submit full and detailed plans and drawings covering the Demolishing Work (the </w:t>
      </w:r>
      <w:r>
        <w:rPr>
          <w:rFonts w:ascii="Arial" w:cs="Arial" w:eastAsia="Arial" w:hAnsi="Arial"/>
          <w:sz w:val="19"/>
          <w:szCs w:val="19"/>
          <w:b w:val="1"/>
          <w:bCs w:val="1"/>
          <w:color w:val="auto"/>
        </w:rPr>
        <w:t>"Demolition Drawings")</w:t>
      </w:r>
      <w:r>
        <w:rPr>
          <w:rFonts w:ascii="Arial" w:cs="Arial" w:eastAsia="Arial" w:hAnsi="Arial"/>
          <w:sz w:val="19"/>
          <w:szCs w:val="19"/>
          <w:color w:val="auto"/>
        </w:rPr>
        <w:t xml:space="preserve"> to Landlord for Landlord's approval (which process for approval shall follow the procedure set forth in Section 2(b) herein for Approved Plans) prior to commencing any such Demolishing Work.</w:t>
      </w:r>
    </w:p>
    <w:p>
      <w:pPr>
        <w:spacing w:after="0" w:line="195" w:lineRule="exact"/>
        <w:rPr>
          <w:rFonts w:ascii="Arial" w:cs="Arial" w:eastAsia="Arial" w:hAnsi="Arial"/>
          <w:sz w:val="19"/>
          <w:szCs w:val="19"/>
          <w:color w:val="auto"/>
        </w:rPr>
      </w:pPr>
    </w:p>
    <w:p>
      <w:pPr>
        <w:ind w:left="280" w:right="20" w:firstLine="608"/>
        <w:spacing w:after="0" w:line="259" w:lineRule="auto"/>
        <w:tabs>
          <w:tab w:leader="none" w:pos="1086"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CHARGES AND FEES.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pay Landlord a supervisory fee in an amount equal to - 0 -- percent (0%)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total costs of the materials and labor for the Work (and all change orders with respect thereto), to defray Landlord's administrative and overhead expenses incurred to review the Plans and coordinate with Tenant's on-site project manager the staging and progress of the Work. Notwithstanding the forgoing, if the Work as described in the Plans would have any effect on Building systems or structure, Landlord shall be permitted to submit the Plans to the Building's MEP engineer or other third party consultant for review, and Tenant shall be responsible for the reasonable, out of pocket costs incurred by Landlord for such review (the </w:t>
      </w:r>
      <w:r>
        <w:rPr>
          <w:rFonts w:ascii="Arial" w:cs="Arial" w:eastAsia="Arial" w:hAnsi="Arial"/>
          <w:sz w:val="19"/>
          <w:szCs w:val="19"/>
          <w:b w:val="1"/>
          <w:bCs w:val="1"/>
          <w:color w:val="auto"/>
        </w:rPr>
        <w:t>"Consultant</w:t>
      </w:r>
    </w:p>
    <w:p>
      <w:pPr>
        <w:sectPr>
          <w:pgSz w:w="11900" w:h="16838" w:orient="portrait"/>
          <w:cols w:equalWidth="0" w:num="1">
            <w:col w:w="10220"/>
          </w:cols>
          <w:pgMar w:left="1440" w:top="555" w:right="239" w:bottom="1440" w:gutter="0" w:footer="0" w:header="0"/>
        </w:sectPr>
      </w:pPr>
    </w:p>
    <w:bookmarkStart w:id="109" w:name="page110"/>
    <w:bookmarkEnd w:id="109"/>
    <w:p>
      <w:pPr>
        <w:ind w:left="280"/>
        <w:spacing w:after="0"/>
        <w:rPr>
          <w:sz w:val="20"/>
          <w:szCs w:val="20"/>
          <w:color w:val="auto"/>
        </w:rPr>
      </w:pPr>
      <w:r>
        <w:rPr>
          <w:rFonts w:ascii="Arial" w:cs="Arial" w:eastAsia="Arial" w:hAnsi="Arial"/>
          <w:sz w:val="20"/>
          <w:szCs w:val="20"/>
          <w:b w:val="1"/>
          <w:bCs w:val="1"/>
          <w:color w:val="auto"/>
        </w:rPr>
        <w:t>Fee").</w:t>
      </w:r>
    </w:p>
    <w:p>
      <w:pPr>
        <w:spacing w:after="0" w:line="229" w:lineRule="exact"/>
        <w:rPr>
          <w:sz w:val="20"/>
          <w:szCs w:val="20"/>
          <w:color w:val="auto"/>
        </w:rPr>
      </w:pPr>
    </w:p>
    <w:p>
      <w:pPr>
        <w:ind w:left="280" w:right="40" w:firstLine="608"/>
        <w:spacing w:after="0" w:line="272" w:lineRule="auto"/>
        <w:tabs>
          <w:tab w:leader="none" w:pos="1086"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ORDERS.</w:t>
      </w:r>
      <w:r>
        <w:rPr>
          <w:rFonts w:ascii="Arial" w:cs="Arial" w:eastAsia="Arial" w:hAnsi="Arial"/>
          <w:sz w:val="18"/>
          <w:szCs w:val="18"/>
          <w:b w:val="1"/>
          <w:bCs w:val="1"/>
          <w:color w:val="auto"/>
        </w:rPr>
        <w:t xml:space="preserve"> </w:t>
      </w:r>
      <w:r>
        <w:rPr>
          <w:rFonts w:ascii="Arial" w:cs="Arial" w:eastAsia="Arial" w:hAnsi="Arial"/>
          <w:sz w:val="18"/>
          <w:szCs w:val="18"/>
          <w:color w:val="auto"/>
        </w:rPr>
        <w:t>All changes to the Approved Plans requested by Tenant must be approved by Landlord in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of the implementation of such changes as part of the Work which approval shall not be unreasonably withheld, conditioned or delayed. Landlord shall review all requested changes within two (2) business days after their delivery to Landlord, provided, however, in the event of extensive changes, such time period shall be extended to a length of time which is reasonable under the circumstances not to exceed five (5) business days. All delays caused by Tenant-initiated change orders, including, without limitation, any stoppage of work during the change order review process, are solely the responsibility of Tenant and shall cause no delay in the payment of Rent and other obligations therein set forth. All increases in the cost of the Work resulting from such change orders shall (subject to Paragraph 7 below) be borne by Tenant. Notwithstanding the foregoing, insubstantial and non-structural "field" changes of the type not customarily the subject of change orders and which do not affect any Building systems shall not require Landlord's prior written consent.</w:t>
      </w:r>
    </w:p>
    <w:p>
      <w:pPr>
        <w:spacing w:after="0" w:line="179" w:lineRule="exact"/>
        <w:rPr>
          <w:rFonts w:ascii="Arial" w:cs="Arial" w:eastAsia="Arial" w:hAnsi="Arial"/>
          <w:sz w:val="18"/>
          <w:szCs w:val="18"/>
          <w:color w:val="auto"/>
        </w:rPr>
      </w:pPr>
    </w:p>
    <w:p>
      <w:pPr>
        <w:ind w:left="280" w:right="260" w:firstLine="608"/>
        <w:spacing w:after="0" w:line="248" w:lineRule="auto"/>
        <w:tabs>
          <w:tab w:leader="none" w:pos="1086" w:val="left"/>
        </w:tabs>
        <w:numPr>
          <w:ilvl w:val="0"/>
          <w:numId w:val="55"/>
        </w:numPr>
        <w:rPr>
          <w:rFonts w:ascii="Arial" w:cs="Arial" w:eastAsia="Arial" w:hAnsi="Arial"/>
          <w:sz w:val="20"/>
          <w:szCs w:val="20"/>
          <w:color w:val="auto"/>
        </w:rPr>
      </w:pPr>
      <w:r>
        <w:rPr>
          <w:rFonts w:ascii="Arial" w:cs="Arial" w:eastAsia="Arial" w:hAnsi="Arial"/>
          <w:sz w:val="20"/>
          <w:szCs w:val="20"/>
          <w:b w:val="1"/>
          <w:bCs w:val="1"/>
          <w:u w:val="single" w:color="auto"/>
          <w:color w:val="auto"/>
        </w:rPr>
        <w:t>STANDARDS OF DESIGNAND CONSTRUCTION AND CONDITIONS OF TENANT'S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All work done in or upon the Premises by Tenant shall be done according to the standards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Paragraph 5, except as the same may be modified in the Approved Plans approved by or on behalf of Landlord and Tenant.</w:t>
      </w:r>
    </w:p>
    <w:p>
      <w:pPr>
        <w:spacing w:after="0" w:line="203" w:lineRule="exact"/>
        <w:rPr>
          <w:rFonts w:ascii="Arial" w:cs="Arial" w:eastAsia="Arial" w:hAnsi="Arial"/>
          <w:sz w:val="20"/>
          <w:szCs w:val="20"/>
          <w:color w:val="auto"/>
        </w:rPr>
      </w:pPr>
    </w:p>
    <w:p>
      <w:pPr>
        <w:jc w:val="both"/>
        <w:ind w:left="920" w:firstLine="616"/>
        <w:spacing w:after="0" w:line="237" w:lineRule="auto"/>
        <w:tabs>
          <w:tab w:leader="none" w:pos="2227" w:val="left"/>
        </w:tabs>
        <w:numPr>
          <w:ilvl w:val="1"/>
          <w:numId w:val="55"/>
        </w:numPr>
        <w:rPr>
          <w:rFonts w:ascii="Arial" w:cs="Arial" w:eastAsia="Arial" w:hAnsi="Arial"/>
          <w:sz w:val="18"/>
          <w:szCs w:val="18"/>
          <w:color w:val="auto"/>
        </w:rPr>
      </w:pPr>
      <w:r>
        <w:rPr>
          <w:rFonts w:ascii="Arial" w:cs="Arial" w:eastAsia="Arial" w:hAnsi="Arial"/>
          <w:sz w:val="20"/>
          <w:szCs w:val="20"/>
          <w:color w:val="auto"/>
        </w:rPr>
        <w:t>Tenant's Approved Plans and all design and construction of the Work shall comply with all applicable statutes, ordinances, regulations, laws, codes and industry standards, including, but not limited to, reasonable requirements of Landlord's fire insurance underwriters and the Americans with Disabilities Act of 1990 (42 U.S.C. §12101 et. seq.), as amended.</w:t>
      </w:r>
    </w:p>
    <w:p>
      <w:pPr>
        <w:spacing w:after="0" w:line="199" w:lineRule="exact"/>
        <w:rPr>
          <w:rFonts w:ascii="Arial" w:cs="Arial" w:eastAsia="Arial" w:hAnsi="Arial"/>
          <w:sz w:val="18"/>
          <w:szCs w:val="18"/>
          <w:color w:val="auto"/>
        </w:rPr>
      </w:pPr>
    </w:p>
    <w:p>
      <w:pPr>
        <w:jc w:val="both"/>
        <w:ind w:left="920" w:firstLine="616"/>
        <w:spacing w:after="0" w:line="254" w:lineRule="auto"/>
        <w:tabs>
          <w:tab w:leader="none" w:pos="2258" w:val="left"/>
        </w:tabs>
        <w:numPr>
          <w:ilvl w:val="1"/>
          <w:numId w:val="55"/>
        </w:numPr>
        <w:rPr>
          <w:rFonts w:ascii="Arial" w:cs="Arial" w:eastAsia="Arial" w:hAnsi="Arial"/>
          <w:sz w:val="19"/>
          <w:szCs w:val="19"/>
          <w:color w:val="auto"/>
        </w:rPr>
      </w:pPr>
      <w:r>
        <w:rPr>
          <w:rFonts w:ascii="Arial" w:cs="Arial" w:eastAsia="Arial" w:hAnsi="Arial"/>
          <w:sz w:val="19"/>
          <w:szCs w:val="19"/>
          <w:color w:val="auto"/>
        </w:rPr>
        <w:t>Tenant shall, at its own cost and expense (but payable from the 10th/11th Floor Allowance), obtain all required building permits and occupancy permits. Tenant's failure to obtain such permits shall not cause a delay in the obligation to pay Rent or any other obligations set forth in the Lease.</w:t>
      </w:r>
    </w:p>
    <w:p>
      <w:pPr>
        <w:spacing w:after="0" w:line="184" w:lineRule="exact"/>
        <w:rPr>
          <w:rFonts w:ascii="Arial" w:cs="Arial" w:eastAsia="Arial" w:hAnsi="Arial"/>
          <w:sz w:val="19"/>
          <w:szCs w:val="19"/>
          <w:color w:val="auto"/>
        </w:rPr>
      </w:pPr>
    </w:p>
    <w:p>
      <w:pPr>
        <w:jc w:val="both"/>
        <w:ind w:left="920" w:firstLine="616"/>
        <w:spacing w:after="0" w:line="254" w:lineRule="auto"/>
        <w:tabs>
          <w:tab w:leader="none" w:pos="2247" w:val="left"/>
        </w:tabs>
        <w:numPr>
          <w:ilvl w:val="1"/>
          <w:numId w:val="55"/>
        </w:numPr>
        <w:rPr>
          <w:rFonts w:ascii="Arial" w:cs="Arial" w:eastAsia="Arial" w:hAnsi="Arial"/>
          <w:sz w:val="19"/>
          <w:szCs w:val="19"/>
          <w:color w:val="auto"/>
        </w:rPr>
      </w:pPr>
      <w:r>
        <w:rPr>
          <w:rFonts w:ascii="Arial" w:cs="Arial" w:eastAsia="Arial" w:hAnsi="Arial"/>
          <w:sz w:val="19"/>
          <w:szCs w:val="19"/>
          <w:color w:val="auto"/>
        </w:rPr>
        <w:t>Tenant shall, at its own cost and expense (but payable from the 10th/11th Floor Allowance), obtain all required building permits and occupancy permits. Tenant's failure to obtain such permits shall not cause a delay in the obligation to pay Rent or any other obligations set forth in the Lease.</w:t>
      </w:r>
    </w:p>
    <w:p>
      <w:pPr>
        <w:spacing w:after="0" w:line="184" w:lineRule="exact"/>
        <w:rPr>
          <w:rFonts w:ascii="Arial" w:cs="Arial" w:eastAsia="Arial" w:hAnsi="Arial"/>
          <w:sz w:val="19"/>
          <w:szCs w:val="19"/>
          <w:color w:val="auto"/>
        </w:rPr>
      </w:pPr>
    </w:p>
    <w:p>
      <w:pPr>
        <w:jc w:val="both"/>
        <w:ind w:left="920" w:firstLine="616"/>
        <w:spacing w:after="0" w:line="244" w:lineRule="auto"/>
        <w:tabs>
          <w:tab w:leader="none" w:pos="2258" w:val="left"/>
        </w:tabs>
        <w:numPr>
          <w:ilvl w:val="1"/>
          <w:numId w:val="55"/>
        </w:numPr>
        <w:rPr>
          <w:rFonts w:ascii="Arial" w:cs="Arial" w:eastAsia="Arial" w:hAnsi="Arial"/>
          <w:sz w:val="19"/>
          <w:szCs w:val="19"/>
          <w:color w:val="auto"/>
        </w:rPr>
      </w:pPr>
      <w:r>
        <w:rPr>
          <w:rFonts w:ascii="Arial" w:cs="Arial" w:eastAsia="Arial" w:hAnsi="Arial"/>
          <w:sz w:val="19"/>
          <w:szCs w:val="19"/>
          <w:color w:val="auto"/>
        </w:rPr>
        <w:t>Tenant shall use only new, first-class material in the Work comparable to materials used in other tenant improvements in the Building, except where explicitly shown in the Approved Plans. The Work shall be performed in a good and workmanlike manner. Tenant shall obtain contractors' warranties of at least one (1) year duration from the completion of the Work against defects in workmanship and materials on all Work performed and equipment installed in the Premises unless such warranties are not customarily obtained for the type of work and/or material involved, in which event Tenant shall obtain customary</w:t>
      </w:r>
    </w:p>
    <w:p>
      <w:pPr>
        <w:sectPr>
          <w:pgSz w:w="11900" w:h="16838" w:orient="portrait"/>
          <w:cols w:equalWidth="0" w:num="1">
            <w:col w:w="10220"/>
          </w:cols>
          <w:pgMar w:left="1440" w:top="549" w:right="239" w:bottom="1440" w:gutter="0" w:footer="0" w:header="0"/>
        </w:sectPr>
      </w:pPr>
    </w:p>
    <w:bookmarkStart w:id="110" w:name="page111"/>
    <w:bookmarkEnd w:id="110"/>
    <w:p>
      <w:pPr>
        <w:ind w:left="920"/>
        <w:spacing w:after="0"/>
        <w:rPr>
          <w:sz w:val="20"/>
          <w:szCs w:val="20"/>
          <w:color w:val="auto"/>
        </w:rPr>
      </w:pPr>
      <w:r>
        <w:rPr>
          <w:rFonts w:ascii="Arial" w:cs="Arial" w:eastAsia="Arial" w:hAnsi="Arial"/>
          <w:sz w:val="20"/>
          <w:szCs w:val="20"/>
          <w:color w:val="auto"/>
        </w:rPr>
        <w:t>warranties. Tenant hereby assigns to Landlord all warranties and guaranties relating to the Work.</w:t>
      </w:r>
    </w:p>
    <w:p>
      <w:pPr>
        <w:spacing w:after="0" w:line="216" w:lineRule="exact"/>
        <w:rPr>
          <w:sz w:val="20"/>
          <w:szCs w:val="20"/>
          <w:color w:val="auto"/>
        </w:rPr>
      </w:pPr>
    </w:p>
    <w:p>
      <w:pPr>
        <w:jc w:val="both"/>
        <w:ind w:left="920" w:firstLine="616"/>
        <w:spacing w:after="0" w:line="254" w:lineRule="auto"/>
        <w:tabs>
          <w:tab w:leader="none" w:pos="22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and Tenant's Contractors shall make all commercially reasonable efforts and take all commercially reasonable steps appropriate to assure that all construction activities undertaken do not unreasonably interfere with the operation of the Building or with other tenants and occupants of the Building. In any event, Tenant shall during the performance of the Work and throughout the term of the Lease comply with all reasonable rules and regulations existing from time to time at the Building which have heretofore been provided to Tenant (provided Landlord shall provide reasonable prior notice in respect of any new rules and regulation or any modifications of existing rules and regulations). Tenant and Tenant's Contractors shall take all reasonable precautionary steps to minimize dust, noise and construction traffic, and to protect their facilities and the facilities of others affected by the Work and to properly police all personnel entering the Building in connection with the Work. Construction equipment and materials are to be kept within the Premises (subject to the limitations contained in the Fifth Amendment) and delivery and loading of equipment and materials shall be done at such locations and at such time as Landlord reasonably shall direct so as not to burden the constructions or operation of the Building, provided that Landlord shall use commercially reasonable efforts to coordinate the same.</w:t>
      </w:r>
    </w:p>
    <w:p>
      <w:pPr>
        <w:spacing w:after="0" w:line="190" w:lineRule="exact"/>
        <w:rPr>
          <w:rFonts w:ascii="Arial" w:cs="Arial" w:eastAsia="Arial" w:hAnsi="Arial"/>
          <w:sz w:val="18"/>
          <w:szCs w:val="18"/>
          <w:color w:val="auto"/>
        </w:rPr>
      </w:pPr>
    </w:p>
    <w:p>
      <w:pPr>
        <w:jc w:val="both"/>
        <w:ind w:left="920" w:firstLine="616"/>
        <w:spacing w:after="0"/>
        <w:tabs>
          <w:tab w:leader="none" w:pos="2225" w:val="left"/>
        </w:tabs>
        <w:numPr>
          <w:ilvl w:val="0"/>
          <w:numId w:val="56"/>
        </w:numPr>
        <w:rPr>
          <w:rFonts w:ascii="Arial" w:cs="Arial" w:eastAsia="Arial" w:hAnsi="Arial"/>
          <w:sz w:val="19"/>
          <w:szCs w:val="19"/>
          <w:color w:val="auto"/>
        </w:rPr>
      </w:pPr>
      <w:r>
        <w:rPr>
          <w:rFonts w:ascii="Arial" w:cs="Arial" w:eastAsia="Arial" w:hAnsi="Arial"/>
          <w:sz w:val="19"/>
          <w:szCs w:val="19"/>
          <w:color w:val="auto"/>
        </w:rPr>
        <w:t>Landlord shall have the right to order Tenant or any of Tenant's Contractors who violate the Union Tower General Rules and Regulations for Contractors (a copy of which Tenant has received) or the other requirements of the Lease imposed on Tenant or Tenant’s Contractors to cease work and remove its equipment and employees from the Building provided, however, prior to any such order (i) if the violation is of such a nature that it threatens in Landlord's reasonable discretion to create a hazardous condition or disrupt building operations or other tenants, then Landlord shall provide one (1) written notice and one (1) day right to cure, and (ii) if the violation is of any other type, then Landlord shall provide one (1) written notice and three (3) days right to cure; further provided, however, that Landlord shall have no obligation to provide any notice or cure rights as to either (i) or (ii) if a repeat violation of a substantially similar type occurs. In any event, Landlord may make the continuation of work contingent upon payment by Tenant or Tenant's Contractors of any damages or costs incurred by Landlord or other tenants as a result of such violation. No such action by Landlord shall delay the obligation to pay Rent or any other obligations set forth in the Lease.</w:t>
      </w:r>
    </w:p>
    <w:p>
      <w:pPr>
        <w:spacing w:after="0" w:line="200" w:lineRule="exact"/>
        <w:rPr>
          <w:rFonts w:ascii="Arial" w:cs="Arial" w:eastAsia="Arial" w:hAnsi="Arial"/>
          <w:sz w:val="19"/>
          <w:szCs w:val="19"/>
          <w:color w:val="auto"/>
        </w:rPr>
      </w:pPr>
    </w:p>
    <w:p>
      <w:pPr>
        <w:jc w:val="both"/>
        <w:ind w:left="920" w:firstLine="616"/>
        <w:spacing w:after="0" w:line="243" w:lineRule="auto"/>
        <w:tabs>
          <w:tab w:leader="none" w:pos="2258" w:val="left"/>
        </w:tabs>
        <w:numPr>
          <w:ilvl w:val="0"/>
          <w:numId w:val="56"/>
        </w:numPr>
        <w:rPr>
          <w:rFonts w:ascii="Arial" w:cs="Arial" w:eastAsia="Arial" w:hAnsi="Arial"/>
          <w:sz w:val="19"/>
          <w:szCs w:val="19"/>
          <w:color w:val="auto"/>
        </w:rPr>
      </w:pPr>
      <w:r>
        <w:rPr>
          <w:rFonts w:ascii="Arial" w:cs="Arial" w:eastAsia="Arial" w:hAnsi="Arial"/>
          <w:sz w:val="19"/>
          <w:szCs w:val="19"/>
          <w:color w:val="auto"/>
        </w:rPr>
        <w:t>Utility costs or charges for any service (including HVAC, hoisting and the like) to the Premises in connection with and during the performance of the Work shall be the responsibility of Tenant and shall be paid for by Tenant at Landlord's standard rates then in effect, provided, however, Landlord shall not charge for freight elevator usage unless an attendant or special operations are required, at Landlord's reasonable discretion. Tenant shall pay for all support services provided by Landlord's contractors at Tenant's written request or at Landlord's reasonable discretion resulting from breaches or defaults beyond applicable notice and cure periods by Tenant under this Work Letter. Tenant shall have the</w:t>
      </w:r>
    </w:p>
    <w:p>
      <w:pPr>
        <w:sectPr>
          <w:pgSz w:w="11900" w:h="16838" w:orient="portrait"/>
          <w:cols w:equalWidth="0" w:num="1">
            <w:col w:w="10220"/>
          </w:cols>
          <w:pgMar w:left="1440" w:top="555" w:right="239" w:bottom="1440" w:gutter="0" w:footer="0" w:header="0"/>
        </w:sectPr>
      </w:pPr>
    </w:p>
    <w:bookmarkStart w:id="111" w:name="page112"/>
    <w:bookmarkEnd w:id="111"/>
    <w:p>
      <w:pPr>
        <w:jc w:val="both"/>
        <w:ind w:left="920"/>
        <w:spacing w:after="0" w:line="231" w:lineRule="auto"/>
        <w:rPr>
          <w:sz w:val="20"/>
          <w:szCs w:val="20"/>
          <w:color w:val="auto"/>
        </w:rPr>
      </w:pPr>
      <w:r>
        <w:rPr>
          <w:rFonts w:ascii="Arial" w:cs="Arial" w:eastAsia="Arial" w:hAnsi="Arial"/>
          <w:sz w:val="20"/>
          <w:szCs w:val="20"/>
          <w:color w:val="auto"/>
        </w:rPr>
        <w:t>nonexclusive right to use the freight elevators during the business day on a first-come, first-serve basis without additional charges; all after-hours use shall be subject to scheduling by Landlord and to Tenant's payment of Landlord's out-ofpocket for such after-hours usage, including costs of necessary personnel. Tenant shall arrange and pay for removal of construction debris and shall not place debris in the Building's waste containers. If required by Landlord by the giving of notice, Tenant shall sort and separate its waste and debris for recycling and/or environmental law compliance purposes.</w:t>
      </w:r>
    </w:p>
    <w:p>
      <w:pPr>
        <w:spacing w:after="0" w:line="198" w:lineRule="exact"/>
        <w:rPr>
          <w:sz w:val="20"/>
          <w:szCs w:val="20"/>
          <w:color w:val="auto"/>
        </w:rPr>
      </w:pPr>
    </w:p>
    <w:p>
      <w:pPr>
        <w:jc w:val="both"/>
        <w:ind w:left="920" w:firstLine="616"/>
        <w:spacing w:after="0" w:line="232" w:lineRule="auto"/>
        <w:tabs>
          <w:tab w:leader="none" w:pos="2258" w:val="left"/>
        </w:tabs>
        <w:numPr>
          <w:ilvl w:val="0"/>
          <w:numId w:val="57"/>
        </w:numPr>
        <w:rPr>
          <w:rFonts w:ascii="Arial" w:cs="Arial" w:eastAsia="Arial" w:hAnsi="Arial"/>
          <w:sz w:val="20"/>
          <w:szCs w:val="20"/>
          <w:color w:val="auto"/>
        </w:rPr>
      </w:pPr>
      <w:r>
        <w:rPr>
          <w:rFonts w:ascii="Arial" w:cs="Arial" w:eastAsia="Arial" w:hAnsi="Arial"/>
          <w:sz w:val="20"/>
          <w:szCs w:val="20"/>
          <w:color w:val="auto"/>
        </w:rPr>
        <w:t>Tenant shall permit access to the Premises by Landlord upon reasonable prior notice to Tenant, and the Work shall be subject to inspection, by Landlord and Landlord's architects, engineers, contractors and other representatives, at all times during the period in which the Work is being constructed and installed and following completion of the Work, provided that Landlord shall use reasonable efforts to minimize its interference with the Work.</w:t>
      </w:r>
    </w:p>
    <w:p>
      <w:pPr>
        <w:spacing w:after="0" w:line="198" w:lineRule="exact"/>
        <w:rPr>
          <w:rFonts w:ascii="Arial" w:cs="Arial" w:eastAsia="Arial" w:hAnsi="Arial"/>
          <w:sz w:val="20"/>
          <w:szCs w:val="20"/>
          <w:color w:val="auto"/>
        </w:rPr>
      </w:pPr>
    </w:p>
    <w:p>
      <w:pPr>
        <w:jc w:val="both"/>
        <w:ind w:left="920" w:firstLine="616"/>
        <w:spacing w:after="0" w:line="254" w:lineRule="auto"/>
        <w:tabs>
          <w:tab w:leader="none" w:pos="2214" w:val="left"/>
        </w:tabs>
        <w:numPr>
          <w:ilvl w:val="0"/>
          <w:numId w:val="57"/>
        </w:numPr>
        <w:rPr>
          <w:rFonts w:ascii="Arial" w:cs="Arial" w:eastAsia="Arial" w:hAnsi="Arial"/>
          <w:sz w:val="19"/>
          <w:szCs w:val="19"/>
          <w:color w:val="auto"/>
        </w:rPr>
      </w:pPr>
      <w:r>
        <w:rPr>
          <w:rFonts w:ascii="Arial" w:cs="Arial" w:eastAsia="Arial" w:hAnsi="Arial"/>
          <w:sz w:val="19"/>
          <w:szCs w:val="19"/>
          <w:color w:val="auto"/>
        </w:rPr>
        <w:t>Tenant shall proceed with its work expeditiously, continuously and efficiently, and Tenant shall notify Landlord upon completion of the Work and shall furnish Landlord and Landlord’s title insurance company with such further documentation as may be reasonably necessary under the requirements herein.</w:t>
      </w:r>
    </w:p>
    <w:p>
      <w:pPr>
        <w:spacing w:after="0" w:line="184" w:lineRule="exact"/>
        <w:rPr>
          <w:rFonts w:ascii="Arial" w:cs="Arial" w:eastAsia="Arial" w:hAnsi="Arial"/>
          <w:sz w:val="19"/>
          <w:szCs w:val="19"/>
          <w:color w:val="auto"/>
        </w:rPr>
      </w:pPr>
    </w:p>
    <w:p>
      <w:pPr>
        <w:jc w:val="both"/>
        <w:ind w:left="920" w:firstLine="616"/>
        <w:spacing w:after="0" w:line="267" w:lineRule="auto"/>
        <w:tabs>
          <w:tab w:leader="none" w:pos="221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Tenant shall have no authority to deviate from the Approved Plans in performance of the Work (except for de minimis deviations of a type customarily not the subject of change orders), except as authorized by Landlord or its designated representative in writing in a change order approved in writing by Landlord. Tenant shall furnish to Landlord "as-built" drawings of the Work within thirty (30) days after completion of the Work.</w:t>
      </w:r>
    </w:p>
    <w:p>
      <w:pPr>
        <w:spacing w:after="0" w:line="172" w:lineRule="exact"/>
        <w:rPr>
          <w:rFonts w:ascii="Arial" w:cs="Arial" w:eastAsia="Arial" w:hAnsi="Arial"/>
          <w:sz w:val="18"/>
          <w:szCs w:val="18"/>
          <w:color w:val="auto"/>
        </w:rPr>
      </w:pPr>
    </w:p>
    <w:p>
      <w:pPr>
        <w:ind w:left="920" w:firstLine="616"/>
        <w:spacing w:after="0" w:line="246" w:lineRule="auto"/>
        <w:tabs>
          <w:tab w:leader="none" w:pos="2258" w:val="left"/>
        </w:tabs>
        <w:numPr>
          <w:ilvl w:val="0"/>
          <w:numId w:val="57"/>
        </w:numPr>
        <w:rPr>
          <w:rFonts w:ascii="Arial" w:cs="Arial" w:eastAsia="Arial" w:hAnsi="Arial"/>
          <w:sz w:val="20"/>
          <w:szCs w:val="20"/>
          <w:color w:val="auto"/>
        </w:rPr>
      </w:pPr>
      <w:r>
        <w:rPr>
          <w:rFonts w:ascii="Arial" w:cs="Arial" w:eastAsia="Arial" w:hAnsi="Arial"/>
          <w:sz w:val="20"/>
          <w:szCs w:val="20"/>
          <w:color w:val="auto"/>
        </w:rPr>
        <w:t>Tenant shall impose on and enforce all applicable terms of this Work Letter against Tenant's architect and Tenant's Contractors.</w:t>
      </w:r>
    </w:p>
    <w:p>
      <w:pPr>
        <w:spacing w:after="0" w:line="190" w:lineRule="exact"/>
        <w:rPr>
          <w:sz w:val="20"/>
          <w:szCs w:val="20"/>
          <w:color w:val="auto"/>
        </w:rPr>
      </w:pPr>
    </w:p>
    <w:p>
      <w:pPr>
        <w:ind w:left="880" w:right="200" w:firstLine="608"/>
        <w:spacing w:after="0" w:line="260" w:lineRule="auto"/>
        <w:rPr>
          <w:sz w:val="20"/>
          <w:szCs w:val="20"/>
          <w:color w:val="auto"/>
        </w:rPr>
      </w:pPr>
      <w:r>
        <w:rPr>
          <w:rFonts w:ascii="Arial" w:cs="Arial" w:eastAsia="Arial" w:hAnsi="Arial"/>
          <w:sz w:val="20"/>
          <w:szCs w:val="20"/>
          <w:color w:val="auto"/>
        </w:rPr>
        <w:t>Tenant acknowledges and agrees that the Work will include any work, both within and outside the Premises that may be necessary in order for Tenant to use and occupy the Premises.</w:t>
      </w:r>
    </w:p>
    <w:p>
      <w:pPr>
        <w:spacing w:after="0" w:line="184" w:lineRule="exact"/>
        <w:rPr>
          <w:sz w:val="20"/>
          <w:szCs w:val="20"/>
          <w:color w:val="auto"/>
        </w:rPr>
      </w:pPr>
    </w:p>
    <w:p>
      <w:pPr>
        <w:ind w:left="1080" w:hanging="192"/>
        <w:spacing w:after="0"/>
        <w:tabs>
          <w:tab w:leader="none" w:pos="1080" w:val="left"/>
        </w:tabs>
        <w:numPr>
          <w:ilvl w:val="0"/>
          <w:numId w:val="58"/>
        </w:numPr>
        <w:rPr>
          <w:rFonts w:ascii="Arial" w:cs="Arial" w:eastAsia="Arial" w:hAnsi="Arial"/>
          <w:sz w:val="20"/>
          <w:szCs w:val="20"/>
          <w:color w:val="auto"/>
        </w:rPr>
      </w:pPr>
      <w:r>
        <w:rPr>
          <w:rFonts w:ascii="Arial" w:cs="Arial" w:eastAsia="Arial" w:hAnsi="Arial"/>
          <w:sz w:val="20"/>
          <w:szCs w:val="20"/>
          <w:b w:val="1"/>
          <w:bCs w:val="1"/>
          <w:u w:val="single" w:color="auto"/>
          <w:color w:val="auto"/>
        </w:rPr>
        <w:t>INSURANCE.</w:t>
      </w:r>
    </w:p>
    <w:p>
      <w:pPr>
        <w:spacing w:after="0" w:line="235" w:lineRule="exact"/>
        <w:rPr>
          <w:sz w:val="20"/>
          <w:szCs w:val="20"/>
          <w:color w:val="auto"/>
        </w:rPr>
      </w:pPr>
    </w:p>
    <w:p>
      <w:pPr>
        <w:ind w:left="280" w:right="400" w:firstLine="648"/>
        <w:spacing w:after="0" w:line="250" w:lineRule="auto"/>
        <w:rPr>
          <w:sz w:val="20"/>
          <w:szCs w:val="20"/>
          <w:color w:val="auto"/>
        </w:rPr>
      </w:pPr>
      <w:r>
        <w:rPr>
          <w:rFonts w:ascii="Arial" w:cs="Arial" w:eastAsia="Arial" w:hAnsi="Arial"/>
          <w:sz w:val="20"/>
          <w:szCs w:val="20"/>
          <w:color w:val="auto"/>
        </w:rPr>
        <w:t>In addition to the insurance requirements set forth in the Lease, Tenant shall also secure, pay for and maintain or cause Tenant's Contractors to secure, pay for and maintain during the progress of the Work the following minimum coverages and limits of liability:</w:t>
      </w:r>
    </w:p>
    <w:p>
      <w:pPr>
        <w:spacing w:after="0" w:line="200" w:lineRule="exact"/>
        <w:rPr>
          <w:sz w:val="20"/>
          <w:szCs w:val="20"/>
          <w:color w:val="auto"/>
        </w:rPr>
      </w:pPr>
    </w:p>
    <w:p>
      <w:pPr>
        <w:ind w:left="920" w:firstLine="616"/>
        <w:spacing w:after="0" w:line="246" w:lineRule="auto"/>
        <w:tabs>
          <w:tab w:leader="none" w:pos="2247" w:val="left"/>
        </w:tabs>
        <w:numPr>
          <w:ilvl w:val="0"/>
          <w:numId w:val="59"/>
        </w:numPr>
        <w:rPr>
          <w:rFonts w:ascii="Arial" w:cs="Arial" w:eastAsia="Arial" w:hAnsi="Arial"/>
          <w:sz w:val="20"/>
          <w:szCs w:val="20"/>
          <w:color w:val="auto"/>
        </w:rPr>
      </w:pPr>
      <w:r>
        <w:rPr>
          <w:rFonts w:ascii="Arial" w:cs="Arial" w:eastAsia="Arial" w:hAnsi="Arial"/>
          <w:sz w:val="20"/>
          <w:szCs w:val="20"/>
          <w:color w:val="auto"/>
        </w:rPr>
        <w:t>worker's compensation in amounts required by state statutes and employer's liability insurance with limits of not less than $500,000;</w:t>
      </w:r>
    </w:p>
    <w:p>
      <w:pPr>
        <w:spacing w:after="0" w:line="190" w:lineRule="exact"/>
        <w:rPr>
          <w:rFonts w:ascii="Arial" w:cs="Arial" w:eastAsia="Arial" w:hAnsi="Arial"/>
          <w:sz w:val="20"/>
          <w:szCs w:val="20"/>
          <w:color w:val="auto"/>
        </w:rPr>
      </w:pPr>
    </w:p>
    <w:p>
      <w:pPr>
        <w:ind w:left="920" w:right="20" w:firstLine="616"/>
        <w:spacing w:after="0" w:line="300" w:lineRule="auto"/>
        <w:tabs>
          <w:tab w:leader="none" w:pos="22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comprehensive or commercial general liability insurance in an amount not less than $1,000,000 (One Million) per occurrence, whether involving bodily injury liability (or death resulting therefrom) or</w:t>
      </w:r>
    </w:p>
    <w:p>
      <w:pPr>
        <w:sectPr>
          <w:pgSz w:w="11900" w:h="16838" w:orient="portrait"/>
          <w:cols w:equalWidth="0" w:num="1">
            <w:col w:w="10220"/>
          </w:cols>
          <w:pgMar w:left="1440" w:top="555" w:right="239" w:bottom="1440" w:gutter="0" w:footer="0" w:header="0"/>
        </w:sectPr>
      </w:pPr>
    </w:p>
    <w:bookmarkStart w:id="112" w:name="page113"/>
    <w:bookmarkEnd w:id="112"/>
    <w:p>
      <w:pPr>
        <w:jc w:val="both"/>
        <w:ind w:left="920"/>
        <w:spacing w:after="0" w:line="246" w:lineRule="auto"/>
        <w:rPr>
          <w:sz w:val="20"/>
          <w:szCs w:val="20"/>
          <w:color w:val="auto"/>
        </w:rPr>
      </w:pPr>
      <w:r>
        <w:rPr>
          <w:rFonts w:ascii="Arial" w:cs="Arial" w:eastAsia="Arial" w:hAnsi="Arial"/>
          <w:sz w:val="19"/>
          <w:szCs w:val="19"/>
          <w:color w:val="auto"/>
        </w:rPr>
        <w:t>property damage liability or a combination thereof with a minimum aggregate limit of $2,000,000 (Two Million), and with umbrella coverage with limits not less than $2,000,000 (Two Million). Such insurance shall provide for explosion and collapse, completed operations coverage and broad form blanket contractual liability coverage and damage to the property of others and arising from its operations under the contract whether such operations are performed by Tenant's Contractors or by anyone directly or indirectly employed by any of them;</w:t>
      </w:r>
    </w:p>
    <w:p>
      <w:pPr>
        <w:spacing w:after="0" w:line="190" w:lineRule="exact"/>
        <w:rPr>
          <w:sz w:val="20"/>
          <w:szCs w:val="20"/>
          <w:color w:val="auto"/>
        </w:rPr>
      </w:pPr>
    </w:p>
    <w:p>
      <w:pPr>
        <w:jc w:val="both"/>
        <w:ind w:left="920" w:firstLine="616"/>
        <w:spacing w:after="0" w:line="237" w:lineRule="auto"/>
        <w:tabs>
          <w:tab w:leader="none" w:pos="2247"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comprehensive automobile liability insurance, including the ownership, maintenance and operation of any automotive equipment, owned, hired or nonowned, in an amount not less than $1,000,000 (One Million) combined single limit; and</w:t>
      </w:r>
    </w:p>
    <w:p>
      <w:pPr>
        <w:spacing w:after="0" w:line="196" w:lineRule="exact"/>
        <w:rPr>
          <w:rFonts w:ascii="Arial" w:cs="Arial" w:eastAsia="Arial" w:hAnsi="Arial"/>
          <w:sz w:val="20"/>
          <w:szCs w:val="20"/>
          <w:color w:val="auto"/>
        </w:rPr>
      </w:pPr>
    </w:p>
    <w:p>
      <w:pPr>
        <w:jc w:val="both"/>
        <w:ind w:left="920" w:firstLine="616"/>
        <w:spacing w:after="0" w:line="237" w:lineRule="auto"/>
        <w:tabs>
          <w:tab w:leader="none" w:pos="2258" w:val="left"/>
        </w:tabs>
        <w:numPr>
          <w:ilvl w:val="0"/>
          <w:numId w:val="60"/>
        </w:numPr>
        <w:rPr>
          <w:rFonts w:ascii="Arial" w:cs="Arial" w:eastAsia="Arial" w:hAnsi="Arial"/>
          <w:sz w:val="20"/>
          <w:szCs w:val="20"/>
          <w:color w:val="auto"/>
        </w:rPr>
      </w:pPr>
      <w:r>
        <w:rPr>
          <w:rFonts w:ascii="Arial" w:cs="Arial" w:eastAsia="Arial" w:hAnsi="Arial"/>
          <w:sz w:val="20"/>
          <w:szCs w:val="20"/>
          <w:color w:val="auto"/>
        </w:rPr>
        <w:t>"Builder's All Risk" insurance in an amount to cover the full insurable value of the work in the Premises, and shall insure against the perils of fire and extended coverage and shall include "all risk" builder's risk insurance for physical loss or damage including theft, vandalism and malicious mischief;</w:t>
      </w:r>
    </w:p>
    <w:p>
      <w:pPr>
        <w:spacing w:after="0" w:line="197" w:lineRule="exact"/>
        <w:rPr>
          <w:sz w:val="20"/>
          <w:szCs w:val="20"/>
          <w:color w:val="auto"/>
        </w:rPr>
      </w:pPr>
    </w:p>
    <w:p>
      <w:pPr>
        <w:ind w:left="280" w:firstLine="608"/>
        <w:spacing w:after="0" w:line="242" w:lineRule="auto"/>
        <w:rPr>
          <w:sz w:val="20"/>
          <w:szCs w:val="20"/>
          <w:color w:val="auto"/>
        </w:rPr>
      </w:pPr>
      <w:r>
        <w:rPr>
          <w:rFonts w:ascii="Arial" w:cs="Arial" w:eastAsia="Arial" w:hAnsi="Arial"/>
          <w:sz w:val="20"/>
          <w:szCs w:val="20"/>
          <w:color w:val="auto"/>
        </w:rPr>
        <w:t>The policies required to be maintained by Tenant shall be with companies rated Al0 or better in the most current issue of A.M. Best's Rating Guide. Insurers shall be licensed to do business in the state in which the Premises are located and domiciled in the USA. All policies (except the worker’s compensation policy) shall be endorsed to include Landlord as an additional insured party. The waiver of subrogation provisions contained in the Lease shall apply to all insurance policies (except the workers' compensation policy) to be obtained by Tenant. The insurance policy endorsements shall also provide that all additional insured parties shall be given thirty (30) days' prior written notice of any reduction, cancellation or nonrenewal of coverage. Tenant shall not permit Tenant's Contractors to commence work until the required insurance has been obtained, and copies of all applicable insurance certificates (including the general contractor's) have been delivered to Landlord.</w:t>
      </w:r>
    </w:p>
    <w:p>
      <w:pPr>
        <w:spacing w:after="0" w:line="203" w:lineRule="exact"/>
        <w:rPr>
          <w:sz w:val="20"/>
          <w:szCs w:val="20"/>
          <w:color w:val="auto"/>
        </w:rPr>
      </w:pPr>
    </w:p>
    <w:p>
      <w:pPr>
        <w:ind w:left="1080" w:hanging="192"/>
        <w:spacing w:after="0"/>
        <w:tabs>
          <w:tab w:leader="none" w:pos="1080" w:val="left"/>
        </w:tabs>
        <w:numPr>
          <w:ilvl w:val="0"/>
          <w:numId w:val="61"/>
        </w:numPr>
        <w:rPr>
          <w:rFonts w:ascii="Arial" w:cs="Arial" w:eastAsia="Arial" w:hAnsi="Arial"/>
          <w:sz w:val="20"/>
          <w:szCs w:val="20"/>
          <w:color w:val="auto"/>
        </w:rPr>
      </w:pPr>
      <w:r>
        <w:rPr>
          <w:rFonts w:ascii="Arial" w:cs="Arial" w:eastAsia="Arial" w:hAnsi="Arial"/>
          <w:sz w:val="20"/>
          <w:szCs w:val="20"/>
          <w:b w:val="1"/>
          <w:bCs w:val="1"/>
          <w:u w:val="single" w:color="auto"/>
          <w:color w:val="auto"/>
        </w:rPr>
        <w:t>ALLOWANCE; EXCESS AMOUNTS.</w:t>
      </w:r>
    </w:p>
    <w:p>
      <w:pPr>
        <w:spacing w:after="0" w:line="235" w:lineRule="exact"/>
        <w:rPr>
          <w:rFonts w:ascii="Arial" w:cs="Arial" w:eastAsia="Arial" w:hAnsi="Arial"/>
          <w:sz w:val="20"/>
          <w:szCs w:val="20"/>
          <w:color w:val="auto"/>
        </w:rPr>
      </w:pPr>
    </w:p>
    <w:p>
      <w:pPr>
        <w:jc w:val="both"/>
        <w:ind w:left="920" w:firstLine="616"/>
        <w:spacing w:after="0" w:line="249" w:lineRule="auto"/>
        <w:tabs>
          <w:tab w:leader="none" w:pos="2247" w:val="left"/>
        </w:tabs>
        <w:numPr>
          <w:ilvl w:val="1"/>
          <w:numId w:val="61"/>
        </w:numPr>
        <w:rPr>
          <w:rFonts w:ascii="Arial" w:cs="Arial" w:eastAsia="Arial" w:hAnsi="Arial"/>
          <w:sz w:val="19"/>
          <w:szCs w:val="19"/>
          <w:color w:val="auto"/>
        </w:rPr>
      </w:pPr>
      <w:r>
        <w:rPr>
          <w:rFonts w:ascii="Arial" w:cs="Arial" w:eastAsia="Arial" w:hAnsi="Arial"/>
          <w:sz w:val="19"/>
          <w:szCs w:val="19"/>
          <w:color w:val="auto"/>
        </w:rPr>
        <w:t>Upon Tenant's satisfaction of the requirements set forth in this Work Letter, Landlord shall make the 10th/11th Floor Allowance available to Tenant to pay the Costs of the Work (and after completion of the Work, for the purposes otherwise provided in the Fifth Amendment). The 10th/11th Floor Allowance shall be funded as the Tenant's Work is completed in accordance with the provisions of this Work Letter.</w:t>
      </w:r>
    </w:p>
    <w:p>
      <w:pPr>
        <w:spacing w:after="0" w:line="187" w:lineRule="exact"/>
        <w:rPr>
          <w:rFonts w:ascii="Arial" w:cs="Arial" w:eastAsia="Arial" w:hAnsi="Arial"/>
          <w:sz w:val="19"/>
          <w:szCs w:val="19"/>
          <w:color w:val="auto"/>
        </w:rPr>
      </w:pPr>
    </w:p>
    <w:p>
      <w:pPr>
        <w:jc w:val="both"/>
        <w:ind w:left="920" w:firstLine="616"/>
        <w:spacing w:after="0" w:line="230" w:lineRule="auto"/>
        <w:tabs>
          <w:tab w:leader="none" w:pos="2258" w:val="left"/>
        </w:tabs>
        <w:numPr>
          <w:ilvl w:val="1"/>
          <w:numId w:val="61"/>
        </w:numPr>
        <w:rPr>
          <w:rFonts w:ascii="Arial" w:cs="Arial" w:eastAsia="Arial" w:hAnsi="Arial"/>
          <w:sz w:val="20"/>
          <w:szCs w:val="20"/>
          <w:color w:val="auto"/>
        </w:rPr>
      </w:pPr>
      <w:r>
        <w:rPr>
          <w:rFonts w:ascii="Arial" w:cs="Arial" w:eastAsia="Arial" w:hAnsi="Arial"/>
          <w:sz w:val="20"/>
          <w:szCs w:val="20"/>
          <w:color w:val="auto"/>
        </w:rPr>
        <w:t xml:space="preserve">If the Costs of the Work based on the initial Budget (plus the Consultant Fee) exceed the 10th/11th Floor Allowance, Tenant shall pay the amount of any excess costs (the </w:t>
      </w:r>
      <w:r>
        <w:rPr>
          <w:rFonts w:ascii="Arial" w:cs="Arial" w:eastAsia="Arial" w:hAnsi="Arial"/>
          <w:sz w:val="20"/>
          <w:szCs w:val="20"/>
          <w:b w:val="1"/>
          <w:bCs w:val="1"/>
          <w:color w:val="auto"/>
        </w:rPr>
        <w:t>"Excess")</w:t>
      </w:r>
      <w:r>
        <w:rPr>
          <w:rFonts w:ascii="Arial" w:cs="Arial" w:eastAsia="Arial" w:hAnsi="Arial"/>
          <w:sz w:val="20"/>
          <w:szCs w:val="20"/>
          <w:color w:val="auto"/>
        </w:rPr>
        <w:t xml:space="preserve"> prior to funding by Landlord of any funds from the 10th/11th Floor Allowance. Further, if during the course of the Work the Budget is amended for any reason, or if Landlord reasonably estimates that the then-unfunded 10th/11th Floor Allowance is insufficient to complete the Work, Tenant shall pay Costs as necessary so that the remaining 10th/11th Floor Allowance is at least equal to the remaining Costs. Tenant shall provide Landlord with all documentation otherwise required for a Draw Request (defined below)</w:t>
      </w:r>
    </w:p>
    <w:p>
      <w:pPr>
        <w:sectPr>
          <w:pgSz w:w="11900" w:h="16838" w:orient="portrait"/>
          <w:cols w:equalWidth="0" w:num="1">
            <w:col w:w="10220"/>
          </w:cols>
          <w:pgMar w:left="1440" w:top="555" w:right="239" w:bottom="1440" w:gutter="0" w:footer="0" w:header="0"/>
        </w:sectPr>
      </w:pPr>
    </w:p>
    <w:bookmarkStart w:id="113" w:name="page114"/>
    <w:bookmarkEnd w:id="113"/>
    <w:p>
      <w:pPr>
        <w:jc w:val="both"/>
        <w:ind w:left="920"/>
        <w:spacing w:after="0" w:line="231" w:lineRule="auto"/>
        <w:rPr>
          <w:sz w:val="20"/>
          <w:szCs w:val="20"/>
          <w:color w:val="auto"/>
        </w:rPr>
      </w:pPr>
      <w:r>
        <w:rPr>
          <w:rFonts w:ascii="Arial" w:cs="Arial" w:eastAsia="Arial" w:hAnsi="Arial"/>
          <w:sz w:val="20"/>
          <w:szCs w:val="20"/>
          <w:color w:val="auto"/>
        </w:rPr>
        <w:t>to evidence Tenant's payment of any such Excess. In addition to the Excess, Tenant shall pay the costs of all work, if any, other than the Work which Tenant may elect to do in the Premises (subject to Landlord's approval as provided herein). If the Costs of the Work are less than the 10th/11th Floor Allowance, then after Landlord's receipt of evidence of lien-free completion of the Work in accordance with the provisions herein, Landlord shall make remaining amounts available to Tenant for improvements to the Premises (subject to the limitations in and as otherwise provided in the Fifth Amendment).</w:t>
      </w:r>
    </w:p>
    <w:p>
      <w:pPr>
        <w:spacing w:after="0" w:line="198" w:lineRule="exact"/>
        <w:rPr>
          <w:sz w:val="20"/>
          <w:szCs w:val="20"/>
          <w:color w:val="auto"/>
        </w:rPr>
      </w:pPr>
    </w:p>
    <w:p>
      <w:pPr>
        <w:jc w:val="both"/>
        <w:ind w:left="920" w:firstLine="616"/>
        <w:spacing w:after="0" w:line="249" w:lineRule="auto"/>
        <w:tabs>
          <w:tab w:leader="none" w:pos="2247" w:val="left"/>
        </w:tabs>
        <w:numPr>
          <w:ilvl w:val="2"/>
          <w:numId w:val="62"/>
        </w:numPr>
        <w:rPr>
          <w:rFonts w:ascii="Arial" w:cs="Arial" w:eastAsia="Arial" w:hAnsi="Arial"/>
          <w:sz w:val="18"/>
          <w:szCs w:val="18"/>
          <w:color w:val="auto"/>
        </w:rPr>
      </w:pPr>
      <w:r>
        <w:rPr>
          <w:rFonts w:ascii="Arial" w:cs="Arial" w:eastAsia="Arial" w:hAnsi="Arial"/>
          <w:sz w:val="18"/>
          <w:szCs w:val="18"/>
          <w:color w:val="auto"/>
        </w:rPr>
        <w:t xml:space="preserve">Subject to Tenant's payment of any Excess as required by Section 7(b), Landlord shall make progress payments from the 10th/11th Floor Allowance to Tenant on a monthly basis, for the portion of the Tenant's Work performed during the previous month, less a retainage of 10% of each progress payment </w:t>
      </w:r>
      <w:r>
        <w:rPr>
          <w:rFonts w:ascii="Arial" w:cs="Arial" w:eastAsia="Arial" w:hAnsi="Arial"/>
          <w:sz w:val="18"/>
          <w:szCs w:val="18"/>
          <w:b w:val="1"/>
          <w:bCs w:val="1"/>
          <w:color w:val="auto"/>
        </w:rPr>
        <w:t>("Retainage").</w:t>
      </w:r>
      <w:r>
        <w:rPr>
          <w:rFonts w:ascii="Arial" w:cs="Arial" w:eastAsia="Arial" w:hAnsi="Arial"/>
          <w:sz w:val="18"/>
          <w:szCs w:val="18"/>
          <w:color w:val="auto"/>
        </w:rPr>
        <w:t xml:space="preserve"> Each of Landlord's progress payments shall be limited to an amount equal to the aggregate amounts (reduced) by the Retainage) therefore paid by Tenant to Tenant's contractors, subcontractors and material suppliers which have not been subject to previous disbursements from the 10th/11th Floor Allowance. Provided that Tenant delivers requisitions to Landlord on or prior to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any month, such progress payments shall be made within 30 days next following the delivery to Landlord of requisitions therefor, which requisitions shall be in the form of AIA document G702 </w:t>
      </w:r>
      <w:r>
        <w:rPr>
          <w:rFonts w:ascii="Arial" w:cs="Arial" w:eastAsia="Arial" w:hAnsi="Arial"/>
          <w:sz w:val="18"/>
          <w:szCs w:val="18"/>
          <w:b w:val="1"/>
          <w:bCs w:val="1"/>
          <w:color w:val="auto"/>
        </w:rPr>
        <w:t>("Draw Requests"),</w:t>
      </w:r>
      <w:r>
        <w:rPr>
          <w:rFonts w:ascii="Arial" w:cs="Arial" w:eastAsia="Arial" w:hAnsi="Arial"/>
          <w:sz w:val="18"/>
          <w:szCs w:val="18"/>
          <w:color w:val="auto"/>
        </w:rPr>
        <w:t xml:space="preserve"> set forth the names of each contractor and subcontractor to whom payment is due, and the amount thereof, and shall be accompanied by (i) copies of trailing lien waivers from all contractors, subcontractors, and material suppliers whose payment exceeds $25,000, covering all work and materials which are the subject of the prior progress payment, (ii) the Tenant's Architect's certification on the pay application that the work for which the requisition is being made has been completed substantially in accordance with the plans and specifications approved by Landlord, and (iii) such other documents and information as Landlord may reasonably request, including any documents reasonably required by Landlord's title company in connection with title drawdowns and endorsements. Landlord shall disburse the Retainage upon submission by Tenant to Landlord of Tenant's requisition therefor accompanied by all documentation required under this paragraph together with (A) proof of the satisfactory completion of all required inspections and issuance of any required approvals, permits and sign-offs for the Tenant’s Work by governmental authorities having jurisdiction thereover, (B) issuance of final lien and unconditional waivers by all contractors and subcontractors covering all of the Tenant Work, (C) receipt of as-built plans for the Work, and (D) a copy of all warranties, guaranties, and operating manuals and information relating to the improvements, equipment, and systems affected by the Work.</w:t>
      </w:r>
    </w:p>
    <w:p>
      <w:pPr>
        <w:spacing w:after="0" w:line="193" w:lineRule="exact"/>
        <w:rPr>
          <w:rFonts w:ascii="Arial" w:cs="Arial" w:eastAsia="Arial" w:hAnsi="Arial"/>
          <w:sz w:val="18"/>
          <w:szCs w:val="18"/>
          <w:color w:val="auto"/>
        </w:rPr>
      </w:pPr>
    </w:p>
    <w:p>
      <w:pPr>
        <w:ind w:left="1080" w:hanging="192"/>
        <w:spacing w:after="0"/>
        <w:tabs>
          <w:tab w:leader="none" w:pos="1080" w:val="left"/>
        </w:tabs>
        <w:numPr>
          <w:ilvl w:val="0"/>
          <w:numId w:val="63"/>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p>
    <w:p>
      <w:pPr>
        <w:spacing w:after="0" w:line="235" w:lineRule="exact"/>
        <w:rPr>
          <w:rFonts w:ascii="Arial" w:cs="Arial" w:eastAsia="Arial" w:hAnsi="Arial"/>
          <w:sz w:val="20"/>
          <w:szCs w:val="20"/>
          <w:color w:val="auto"/>
        </w:rPr>
      </w:pPr>
    </w:p>
    <w:p>
      <w:pPr>
        <w:jc w:val="both"/>
        <w:ind w:left="880" w:firstLine="616"/>
        <w:spacing w:after="0" w:line="283" w:lineRule="auto"/>
        <w:tabs>
          <w:tab w:leader="none" w:pos="2228" w:val="left"/>
        </w:tabs>
        <w:numPr>
          <w:ilvl w:val="1"/>
          <w:numId w:val="63"/>
        </w:numPr>
        <w:rPr>
          <w:rFonts w:ascii="Arial" w:cs="Arial" w:eastAsia="Arial" w:hAnsi="Arial"/>
          <w:sz w:val="16"/>
          <w:szCs w:val="16"/>
          <w:color w:val="auto"/>
        </w:rPr>
      </w:pPr>
      <w:r>
        <w:rPr>
          <w:rFonts w:ascii="Arial" w:cs="Arial" w:eastAsia="Arial" w:hAnsi="Arial"/>
          <w:sz w:val="18"/>
          <w:szCs w:val="18"/>
          <w:color w:val="auto"/>
        </w:rPr>
        <w:t>If the Plans for the Work require the construction and installation of additional life safety or other systems, Tenant agrees to pay all reasonable costs and expenses arising from the construction and installation of such additional systems, provided that the 10th/11th Floor Allowance may be applied to all such costs and expenses.</w:t>
      </w:r>
    </w:p>
    <w:p>
      <w:pPr>
        <w:sectPr>
          <w:pgSz w:w="11900" w:h="16838" w:orient="portrait"/>
          <w:cols w:equalWidth="0" w:num="1">
            <w:col w:w="10220"/>
          </w:cols>
          <w:pgMar w:left="1440" w:top="555" w:right="239" w:bottom="1440" w:gutter="0" w:footer="0" w:header="0"/>
        </w:sectPr>
      </w:pPr>
    </w:p>
    <w:bookmarkStart w:id="114" w:name="page115"/>
    <w:bookmarkEnd w:id="114"/>
    <w:p>
      <w:pPr>
        <w:ind w:left="2260" w:hanging="764"/>
        <w:spacing w:after="0"/>
        <w:tabs>
          <w:tab w:leader="none" w:pos="226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Time is of the essence with respect to the express periods provided under this Work Letter.</w:t>
      </w:r>
    </w:p>
    <w:p>
      <w:pPr>
        <w:spacing w:after="0" w:line="227" w:lineRule="exact"/>
        <w:rPr>
          <w:rFonts w:ascii="Arial" w:cs="Arial" w:eastAsia="Arial" w:hAnsi="Arial"/>
          <w:sz w:val="19"/>
          <w:szCs w:val="19"/>
          <w:color w:val="auto"/>
        </w:rPr>
      </w:pPr>
    </w:p>
    <w:p>
      <w:pPr>
        <w:jc w:val="both"/>
        <w:ind w:left="880" w:firstLine="616"/>
        <w:spacing w:after="0" w:line="242" w:lineRule="auto"/>
        <w:tabs>
          <w:tab w:leader="none" w:pos="2248" w:val="left"/>
        </w:tabs>
        <w:numPr>
          <w:ilvl w:val="1"/>
          <w:numId w:val="64"/>
        </w:numPr>
        <w:rPr>
          <w:rFonts w:ascii="Arial" w:cs="Arial" w:eastAsia="Arial" w:hAnsi="Arial"/>
          <w:sz w:val="19"/>
          <w:szCs w:val="19"/>
          <w:color w:val="auto"/>
        </w:rPr>
      </w:pPr>
      <w:r>
        <w:rPr>
          <w:rFonts w:ascii="Arial" w:cs="Arial" w:eastAsia="Arial" w:hAnsi="Arial"/>
          <w:sz w:val="19"/>
          <w:szCs w:val="19"/>
          <w:color w:val="auto"/>
        </w:rPr>
        <w:t>Tenant hereby indemnifies Landlord for any loss, claims, damages or delays arising from the actions of Tenant, the Tenant Contractor or Tenant’s agents on the Premises or in the Building. Tenant shall keep the Premises and the Building free from any liens arising out of any work performed, material furnished or obligations incurred by or on behalf of Tenant. If Landlord determines that any Work does not comply with the Approved Plans, or that the Work has not been completed in accordance with this Work Letter. Landlord will notify Tenant and Tenant agrees to use commercially reasonable efforts to cause such work to be corrected. Landlord's payment of any payment request shall not be deemed to be Landlord's approval or acceptance of the work furnished or materials supplied as set forth in such payment request.</w:t>
      </w:r>
    </w:p>
    <w:p>
      <w:pPr>
        <w:spacing w:after="0" w:line="195" w:lineRule="exact"/>
        <w:rPr>
          <w:rFonts w:ascii="Arial" w:cs="Arial" w:eastAsia="Arial" w:hAnsi="Arial"/>
          <w:sz w:val="19"/>
          <w:szCs w:val="19"/>
          <w:color w:val="auto"/>
        </w:rPr>
      </w:pPr>
    </w:p>
    <w:p>
      <w:pPr>
        <w:jc w:val="both"/>
        <w:ind w:left="880" w:firstLine="616"/>
        <w:spacing w:after="0" w:line="239" w:lineRule="auto"/>
        <w:tabs>
          <w:tab w:leader="none" w:pos="2259" w:val="left"/>
        </w:tabs>
        <w:numPr>
          <w:ilvl w:val="1"/>
          <w:numId w:val="64"/>
        </w:numPr>
        <w:rPr>
          <w:rFonts w:ascii="Arial" w:cs="Arial" w:eastAsia="Arial" w:hAnsi="Arial"/>
          <w:sz w:val="19"/>
          <w:szCs w:val="19"/>
          <w:color w:val="auto"/>
        </w:rPr>
      </w:pPr>
      <w:r>
        <w:rPr>
          <w:rFonts w:ascii="Arial" w:cs="Arial" w:eastAsia="Arial" w:hAnsi="Arial"/>
          <w:sz w:val="19"/>
          <w:szCs w:val="19"/>
          <w:color w:val="auto"/>
        </w:rPr>
        <w:t>If Tenant fails to make any payment relating to all or any portion of the Work as required hereunder, and Tenant's failure to pay for such portion of the Work creates a safety risk, building code violation, or an unsightly condition, Landlord, at its option, may, after reasonable notice (unless the condition requires immediate cure) complete such portion of the Work pursuant to the Approved Plans necessary to cure such condition and continue to hold Tenant liable for the costs thereof and all other costs due to Landlord. Tenant's failure to pay any amounts owed by Tenant hereunder when due or Tenant's failure to perform its obligations hereunder shall also constitute a Default under the Lease, subject to applicable notice and cure periods, and Landlord shall have all the rights and remedies granted to Landlord under the Lease for nonpayment of any amounts owed therender or failure by Tenant to perform its obligations thereunder.</w:t>
      </w:r>
    </w:p>
    <w:p>
      <w:pPr>
        <w:spacing w:after="0" w:line="2" w:lineRule="exact"/>
        <w:rPr>
          <w:rFonts w:ascii="Arial" w:cs="Arial" w:eastAsia="Arial" w:hAnsi="Arial"/>
          <w:sz w:val="19"/>
          <w:szCs w:val="19"/>
          <w:color w:val="auto"/>
        </w:rPr>
      </w:pPr>
    </w:p>
    <w:p>
      <w:pPr>
        <w:ind w:left="2260" w:hanging="764"/>
        <w:spacing w:after="0"/>
        <w:tabs>
          <w:tab w:leader="none" w:pos="22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Notices under this Work Letter shall be given in the same manner as under the the Lease.</w:t>
      </w:r>
    </w:p>
    <w:p>
      <w:pPr>
        <w:spacing w:after="0" w:line="199" w:lineRule="exact"/>
        <w:rPr>
          <w:rFonts w:ascii="Arial" w:cs="Arial" w:eastAsia="Arial" w:hAnsi="Arial"/>
          <w:sz w:val="20"/>
          <w:szCs w:val="20"/>
          <w:color w:val="auto"/>
        </w:rPr>
      </w:pPr>
    </w:p>
    <w:p>
      <w:pPr>
        <w:ind w:left="2240" w:hanging="744"/>
        <w:spacing w:after="0"/>
        <w:tabs>
          <w:tab w:leader="none" w:pos="224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headings set forth herein are for convenience only.</w:t>
      </w:r>
    </w:p>
    <w:p>
      <w:pPr>
        <w:spacing w:after="0" w:line="215" w:lineRule="exact"/>
        <w:rPr>
          <w:rFonts w:ascii="Arial" w:cs="Arial" w:eastAsia="Arial" w:hAnsi="Arial"/>
          <w:sz w:val="20"/>
          <w:szCs w:val="20"/>
          <w:color w:val="auto"/>
        </w:rPr>
      </w:pPr>
    </w:p>
    <w:p>
      <w:pPr>
        <w:jc w:val="both"/>
        <w:ind w:left="880" w:firstLine="616"/>
        <w:spacing w:after="0" w:line="254" w:lineRule="auto"/>
        <w:tabs>
          <w:tab w:leader="none" w:pos="2259"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This Work Letter sets forth the entire agreement of Tenant and Landlord regarding the Work. This Work Letter may only be amended if in writing, duly executed by both Landlord and Tenant. This Work Letter is incorporated into the Lease by reference and made a part thereof to the extent applicable to the Work.</w:t>
      </w:r>
    </w:p>
    <w:p>
      <w:pPr>
        <w:spacing w:after="0" w:line="184" w:lineRule="exact"/>
        <w:rPr>
          <w:rFonts w:ascii="Arial" w:cs="Arial" w:eastAsia="Arial" w:hAnsi="Arial"/>
          <w:sz w:val="19"/>
          <w:szCs w:val="19"/>
          <w:color w:val="auto"/>
        </w:rPr>
      </w:pPr>
    </w:p>
    <w:p>
      <w:pPr>
        <w:jc w:val="both"/>
        <w:ind w:left="880" w:firstLine="616"/>
        <w:spacing w:after="0" w:line="260" w:lineRule="auto"/>
        <w:tabs>
          <w:tab w:leader="none" w:pos="2259"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amounts due from Tenant hereunder shall be deemed to be additional Rent due under the Lease. Notwithstanding any provision to the contrary contained in the Lease, if a Default under the Lease or a breach (after the expiration of any applicable notice and cure periods) by Tenant under this Work Letter occurs at any time on or before completion of the Work, then in addition to all other rights and remedies granted to Landlord pursuant to the Lease, Landlord shall have the right to withhold payment of all or any portion of the 10th/11th Floor Allowance and/or Landlord may cause the assignment of the construction contract to Landlord as set forth in this Work Letter.</w:t>
      </w:r>
    </w:p>
    <w:p>
      <w:pPr>
        <w:spacing w:after="0" w:line="174" w:lineRule="exact"/>
        <w:rPr>
          <w:rFonts w:ascii="Arial" w:cs="Arial" w:eastAsia="Arial" w:hAnsi="Arial"/>
          <w:sz w:val="18"/>
          <w:szCs w:val="18"/>
          <w:color w:val="auto"/>
        </w:rPr>
      </w:pPr>
    </w:p>
    <w:p>
      <w:pPr>
        <w:ind w:left="1080" w:hanging="192"/>
        <w:spacing w:after="0"/>
        <w:tabs>
          <w:tab w:leader="none" w:pos="1080"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 xml:space="preserve">LIMITATION OF LIABILITY. </w:t>
      </w:r>
      <w:r>
        <w:rPr>
          <w:rFonts w:ascii="Arial" w:cs="Arial" w:eastAsia="Arial" w:hAnsi="Arial"/>
          <w:sz w:val="20"/>
          <w:szCs w:val="20"/>
          <w:color w:val="auto"/>
        </w:rPr>
        <w:t>Any liability of Landlord and</w:t>
      </w:r>
    </w:p>
    <w:p>
      <w:pPr>
        <w:sectPr>
          <w:pgSz w:w="11900" w:h="16838" w:orient="portrait"/>
          <w:cols w:equalWidth="0" w:num="1">
            <w:col w:w="10220"/>
          </w:cols>
          <w:pgMar w:left="1440" w:top="555" w:right="239" w:bottom="1440" w:gutter="0" w:footer="0" w:header="0"/>
        </w:sectPr>
      </w:pPr>
    </w:p>
    <w:bookmarkStart w:id="115" w:name="page116"/>
    <w:bookmarkEnd w:id="115"/>
    <w:p>
      <w:pPr>
        <w:ind w:left="280"/>
        <w:spacing w:after="0"/>
        <w:rPr>
          <w:sz w:val="20"/>
          <w:szCs w:val="20"/>
          <w:color w:val="auto"/>
        </w:rPr>
      </w:pPr>
      <w:r>
        <w:rPr>
          <w:rFonts w:ascii="Arial" w:cs="Arial" w:eastAsia="Arial" w:hAnsi="Arial"/>
          <w:sz w:val="18"/>
          <w:szCs w:val="18"/>
          <w:color w:val="auto"/>
        </w:rPr>
        <w:t>Tenant under this Work Letter shall be limited as provided in Section 15 of the Fifth Amendment.</w:t>
      </w:r>
    </w:p>
    <w:p>
      <w:pPr>
        <w:sectPr>
          <w:pgSz w:w="11900" w:h="16838" w:orient="portrait"/>
          <w:cols w:equalWidth="0" w:num="1">
            <w:col w:w="9019"/>
          </w:cols>
          <w:pgMar w:left="1440" w:top="555" w:right="1440"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20"/>
          <w:szCs w:val="20"/>
          <w:b w:val="1"/>
          <w:bCs w:val="1"/>
          <w:u w:val="single" w:color="auto"/>
          <w:color w:val="auto"/>
        </w:rPr>
        <w:t>EXHIBIT D</w:t>
      </w:r>
    </w:p>
    <w:p>
      <w:pPr>
        <w:spacing w:after="0" w:line="303"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THE INFORMATION IN THIS EXHIBIT HAS BEEN OMITTED BECAUSE IT IS BOTH (I) NOT MATERIAL AND (II) WOULD BE COMPETITIVELY HARMFUL IF PUBLICLY DISCLOSED.</w:t>
      </w:r>
    </w:p>
    <w:p>
      <w:pPr>
        <w:sectPr>
          <w:pgSz w:w="11900" w:h="16838" w:orient="portrait"/>
          <w:cols w:equalWidth="0" w:num="1">
            <w:col w:w="10960"/>
          </w:cols>
          <w:pgMar w:left="500" w:top="630" w:right="4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10.34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OMNIBUS INCENTIVE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13, 2020)</w:t>
      </w:r>
    </w:p>
    <w:p>
      <w:pPr>
        <w:spacing w:after="0" w:line="171" w:lineRule="exact"/>
        <w:rPr>
          <w:sz w:val="20"/>
          <w:szCs w:val="20"/>
          <w:color w:val="auto"/>
        </w:rPr>
      </w:pPr>
    </w:p>
    <w:p>
      <w:pPr>
        <w:jc w:val="both"/>
        <w:ind w:left="660" w:hanging="652"/>
        <w:spacing w:after="0" w:line="255"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History and Purpose. </w:t>
      </w:r>
      <w:r>
        <w:rPr>
          <w:rFonts w:ascii="Arial" w:cs="Arial" w:eastAsia="Arial" w:hAnsi="Arial"/>
          <w:sz w:val="18"/>
          <w:szCs w:val="18"/>
          <w:color w:val="auto"/>
        </w:rPr>
        <w:t>Huron Consulting Group Inc., a Delaware corporation (“</w:t>
      </w:r>
      <w:r>
        <w:rPr>
          <w:rFonts w:ascii="Arial" w:cs="Arial" w:eastAsia="Arial" w:hAnsi="Arial"/>
          <w:sz w:val="18"/>
          <w:szCs w:val="18"/>
          <w:i w:val="1"/>
          <w:iCs w:val="1"/>
          <w:color w:val="auto"/>
        </w:rPr>
        <w:t>Huron</w:t>
      </w:r>
      <w:r>
        <w:rPr>
          <w:rFonts w:ascii="Arial" w:cs="Arial" w:eastAsia="Arial" w:hAnsi="Arial"/>
          <w:sz w:val="18"/>
          <w:szCs w:val="18"/>
          <w:color w:val="auto"/>
        </w:rPr>
        <w:t>”), previously established the Huron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Group Inc. 2012 Omnibus Incentive Plan, as amended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to attract and retain employees, non-employee directors and independent contractors providing services to Huron and/or the Affiliates (defined below), to motivate Participants (defined below) to achieve long-term goals of Huron and the Affiliates, to provide incentive compensation opportunities that are competitive with those of other corporations, and to further align Participants’ interests with those of Huron’s stockholders, and thereby to promote the long-term financial interest of Huron and the Affiliates, including growth in value of Huron’s equity and enhancement of long-term stockholder value. The Plan has been previously amended, and the following provisions constitute an amendment, restatement, and continuation of the Plan effective February 13, 2020.</w:t>
      </w:r>
    </w:p>
    <w:p>
      <w:pPr>
        <w:spacing w:after="0" w:line="131"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 the following definitions apply to the terms indicated below:</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“Administrative Actions” </w:t>
      </w:r>
      <w:r>
        <w:rPr>
          <w:rFonts w:ascii="Arial" w:cs="Arial" w:eastAsia="Arial" w:hAnsi="Arial"/>
          <w:sz w:val="18"/>
          <w:szCs w:val="18"/>
          <w:color w:val="auto"/>
        </w:rPr>
        <w:t>shall have the meaning set forth in Section 5(d).</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any corporation, partnership, joint venture or other entity during any period in which (i) Huron,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owns at least 50% of the combined voting power of all classes of stock of such entity or at least 50% of the ownership interests in such entity or (ii) such entity, directly or indirectly, owns at least 50% of the combined voting power of all classes of stock of Huron.</w:t>
      </w:r>
    </w:p>
    <w:p>
      <w:pPr>
        <w:spacing w:after="0" w:line="122"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an agreement between Huron and a Participant evidencing an Award or a notice of an Award, in a</w:t>
      </w:r>
      <w:r>
        <w:rPr>
          <w:rFonts w:ascii="Arial" w:cs="Arial" w:eastAsia="Arial" w:hAnsi="Arial"/>
          <w:sz w:val="18"/>
          <w:szCs w:val="18"/>
          <w:b w:val="1"/>
          <w:bCs w:val="1"/>
          <w:color w:val="auto"/>
        </w:rPr>
        <w:t xml:space="preserve"> </w:t>
      </w:r>
      <w:r>
        <w:rPr>
          <w:rFonts w:ascii="Arial" w:cs="Arial" w:eastAsia="Arial" w:hAnsi="Arial"/>
          <w:sz w:val="18"/>
          <w:szCs w:val="18"/>
          <w:color w:val="auto"/>
        </w:rPr>
        <w:t>form approved by the Committee.</w:t>
      </w:r>
    </w:p>
    <w:p>
      <w:pPr>
        <w:spacing w:after="0" w:line="99" w:lineRule="exact"/>
        <w:rPr>
          <w:rFonts w:ascii="Arial" w:cs="Arial" w:eastAsia="Arial" w:hAnsi="Arial"/>
          <w:sz w:val="18"/>
          <w:szCs w:val="18"/>
          <w:color w:val="auto"/>
        </w:rPr>
      </w:pPr>
    </w:p>
    <w:p>
      <w:pPr>
        <w:ind w:left="1300" w:right="20" w:hanging="644"/>
        <w:spacing w:after="0" w:line="28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“Alternative Agreement” </w:t>
      </w:r>
      <w:r>
        <w:rPr>
          <w:rFonts w:ascii="Arial" w:cs="Arial" w:eastAsia="Arial" w:hAnsi="Arial"/>
          <w:sz w:val="18"/>
          <w:szCs w:val="18"/>
          <w:color w:val="auto"/>
        </w:rPr>
        <w:t>shall mean, with respect to any Participant, an employment agreement, senior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 written agreement describing the Participant’s terms of employment with Huron or an Affiliate.</w:t>
      </w:r>
    </w:p>
    <w:p>
      <w:pPr>
        <w:spacing w:after="0" w:line="99"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shall mean any award described in Section 7 or 8 of the Plan.</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Huron.</w:t>
      </w:r>
    </w:p>
    <w:p>
      <w:pPr>
        <w:spacing w:after="0" w:line="171"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“Business Criteria” </w:t>
      </w:r>
      <w:r>
        <w:rPr>
          <w:rFonts w:ascii="Arial" w:cs="Arial" w:eastAsia="Arial" w:hAnsi="Arial"/>
          <w:sz w:val="18"/>
          <w:szCs w:val="18"/>
          <w:color w:val="auto"/>
        </w:rPr>
        <w:t>shall mean (i) return on total stockholder equity; (ii) earnings or book value per share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EPS</w:t>
      </w:r>
      <w:r>
        <w:rPr>
          <w:rFonts w:ascii="Arial" w:cs="Arial" w:eastAsia="Arial" w:hAnsi="Arial"/>
          <w:sz w:val="18"/>
          <w:szCs w:val="18"/>
          <w:color w:val="auto"/>
        </w:rPr>
        <w:t>”); (iii) adjusted EPS; (iv) net income (before or after taxes); (v) earnings before all or any interest, taxes, depreciation and/or amortization (“</w:t>
      </w:r>
      <w:r>
        <w:rPr>
          <w:rFonts w:ascii="Arial" w:cs="Arial" w:eastAsia="Arial" w:hAnsi="Arial"/>
          <w:sz w:val="18"/>
          <w:szCs w:val="18"/>
          <w:i w:val="1"/>
          <w:iCs w:val="1"/>
          <w:color w:val="auto"/>
        </w:rPr>
        <w:t>EBIT</w:t>
      </w:r>
      <w:r>
        <w:rPr>
          <w:rFonts w:ascii="Arial" w:cs="Arial" w:eastAsia="Arial" w:hAnsi="Arial"/>
          <w:sz w:val="18"/>
          <w:szCs w:val="18"/>
          <w:color w:val="auto"/>
        </w:rPr>
        <w:t>”, “</w:t>
      </w:r>
      <w:r>
        <w:rPr>
          <w:rFonts w:ascii="Arial" w:cs="Arial" w:eastAsia="Arial" w:hAnsi="Arial"/>
          <w:sz w:val="18"/>
          <w:szCs w:val="18"/>
          <w:i w:val="1"/>
          <w:iCs w:val="1"/>
          <w:color w:val="auto"/>
        </w:rPr>
        <w:t>EBITA</w:t>
      </w:r>
      <w:r>
        <w:rPr>
          <w:rFonts w:ascii="Arial" w:cs="Arial" w:eastAsia="Arial" w:hAnsi="Arial"/>
          <w:sz w:val="18"/>
          <w:szCs w:val="18"/>
          <w:color w:val="auto"/>
        </w:rPr>
        <w:t>” or “</w:t>
      </w:r>
      <w:r>
        <w:rPr>
          <w:rFonts w:ascii="Arial" w:cs="Arial" w:eastAsia="Arial" w:hAnsi="Arial"/>
          <w:sz w:val="18"/>
          <w:szCs w:val="18"/>
          <w:i w:val="1"/>
          <w:iCs w:val="1"/>
          <w:color w:val="auto"/>
        </w:rPr>
        <w:t>EBITDA</w:t>
      </w:r>
      <w:r>
        <w:rPr>
          <w:rFonts w:ascii="Arial" w:cs="Arial" w:eastAsia="Arial" w:hAnsi="Arial"/>
          <w:sz w:val="18"/>
          <w:szCs w:val="18"/>
          <w:color w:val="auto"/>
        </w:rPr>
        <w:t>”) measured as a dollar amount or a percentage of revenue; return on assets, capital or investment; (vii) market share; (viii) market capitalization; (ix) cost reduction goals; (x) levels of expense, costs or liabilities; (xi) department, division or business unit level performance; (xii) operating income; sales or revenues; (xiv) stock price appreciation; (xv) total stockholder return (</w:t>
      </w:r>
      <w:r>
        <w:rPr>
          <w:rFonts w:ascii="Arial" w:cs="Arial" w:eastAsia="Arial" w:hAnsi="Arial"/>
          <w:sz w:val="18"/>
          <w:szCs w:val="18"/>
          <w:i w:val="1"/>
          <w:iCs w:val="1"/>
          <w:color w:val="auto"/>
        </w:rPr>
        <w:t>TSR</w:t>
      </w:r>
      <w:r>
        <w:rPr>
          <w:rFonts w:ascii="Arial" w:cs="Arial" w:eastAsia="Arial" w:hAnsi="Arial"/>
          <w:sz w:val="18"/>
          <w:szCs w:val="18"/>
          <w:color w:val="auto"/>
        </w:rPr>
        <w:t>); (xvi) implementation or completion of critical projects or processes;</w:t>
      </w:r>
    </w:p>
    <w:p>
      <w:pPr>
        <w:spacing w:after="0" w:line="4" w:lineRule="exact"/>
        <w:rPr>
          <w:rFonts w:ascii="Arial" w:cs="Arial" w:eastAsia="Arial" w:hAnsi="Arial"/>
          <w:sz w:val="18"/>
          <w:szCs w:val="18"/>
          <w:color w:val="auto"/>
        </w:rPr>
      </w:pPr>
    </w:p>
    <w:p>
      <w:pPr>
        <w:ind w:left="1300" w:right="20" w:firstLine="5"/>
        <w:spacing w:after="0" w:line="262" w:lineRule="auto"/>
        <w:tabs>
          <w:tab w:leader="none" w:pos="1784" w:val="left"/>
        </w:tabs>
        <w:numPr>
          <w:ilvl w:val="2"/>
          <w:numId w:val="66"/>
        </w:numPr>
        <w:rPr>
          <w:rFonts w:ascii="Arial" w:cs="Arial" w:eastAsia="Arial" w:hAnsi="Arial"/>
          <w:sz w:val="18"/>
          <w:szCs w:val="18"/>
          <w:color w:val="auto"/>
        </w:rPr>
      </w:pPr>
      <w:r>
        <w:rPr>
          <w:rFonts w:ascii="Arial" w:cs="Arial" w:eastAsia="Arial" w:hAnsi="Arial"/>
          <w:sz w:val="18"/>
          <w:szCs w:val="18"/>
          <w:color w:val="auto"/>
        </w:rPr>
        <w:t>adjusted EBITDA; (xviii) days sales outstanding (</w:t>
      </w:r>
      <w:r>
        <w:rPr>
          <w:rFonts w:ascii="Arial" w:cs="Arial" w:eastAsia="Arial" w:hAnsi="Arial"/>
          <w:sz w:val="18"/>
          <w:szCs w:val="18"/>
          <w:i w:val="1"/>
          <w:iCs w:val="1"/>
          <w:color w:val="auto"/>
        </w:rPr>
        <w:t>DSO</w:t>
      </w:r>
      <w:r>
        <w:rPr>
          <w:rFonts w:ascii="Arial" w:cs="Arial" w:eastAsia="Arial" w:hAnsi="Arial"/>
          <w:sz w:val="18"/>
          <w:szCs w:val="18"/>
          <w:color w:val="auto"/>
        </w:rPr>
        <w:t>); (xix) financial coverage ratios; other non-GAAP financial measures, or (xxi) any combination of the foregoing.</w:t>
      </w:r>
    </w:p>
    <w:p>
      <w:pPr>
        <w:spacing w:after="0" w:line="142"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Where applicable, Business Criteria may be expressed in terms of attaining a specified level of the particular criteria or the attainment of a percentage increase or decrease in the particular criteria, and may be applied to one or more of Huron, an Affiliate, or a department, division or strategic business unit of Huron and/or one or more Affiliates, or may be applied to the performance of Huron and/or one or more Affiliates relative to a market index, a group of other companies or a combination thereof, all as determined by the Committee. The Business Criteria may be subject to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27" w:right="239" w:bottom="1440" w:gutter="0" w:footer="0" w:header="0"/>
        </w:sectPr>
      </w:pPr>
    </w:p>
    <w:bookmarkStart w:id="118" w:name="page119"/>
    <w:bookmarkEnd w:id="118"/>
    <w:p>
      <w:pPr>
        <w:jc w:val="both"/>
        <w:ind w:left="644"/>
        <w:spacing w:after="0" w:line="250" w:lineRule="auto"/>
        <w:rPr>
          <w:sz w:val="20"/>
          <w:szCs w:val="20"/>
          <w:color w:val="auto"/>
        </w:rPr>
      </w:pPr>
      <w:r>
        <w:rPr>
          <w:rFonts w:ascii="Arial" w:cs="Arial" w:eastAsia="Arial" w:hAnsi="Arial"/>
          <w:sz w:val="18"/>
          <w:szCs w:val="18"/>
          <w:color w:val="auto"/>
        </w:rPr>
        <w:t>Each of the Business Criteria shall be determined, where applicable, in accordance with generally accepted accounting principles and shall be subject to certification by the Committee; provided that the Committee shall have the authority to make equitable adjustments to the Business Criteria applicable to any Award in recognition of (1) special, unusual or non-recurring events affecting Huron or any Affiliate or the financial statements of Huron or any Affiliate; (2) changes in applicable laws or regulations (including tax laws, accounting principles or other laws or provisions affecting reported results); (3) gains, losses or expenses determined to be extraordinary or unusual in nature or infrequent in occurrence or related to the disposal of a segment of a business or related to a change in accounting principles; (4) asset write-downs or impairments; (5) litigation, claim judgments, settlements or restatement related expenses; (6) accruals for reorganization and restructuring programs;</w:t>
      </w:r>
    </w:p>
    <w:p>
      <w:pPr>
        <w:spacing w:after="0" w:line="4" w:lineRule="exact"/>
        <w:rPr>
          <w:sz w:val="20"/>
          <w:szCs w:val="20"/>
          <w:color w:val="auto"/>
        </w:rPr>
      </w:pPr>
    </w:p>
    <w:p>
      <w:pPr>
        <w:jc w:val="both"/>
        <w:ind w:left="644" w:firstLine="5"/>
        <w:spacing w:after="0" w:line="251" w:lineRule="auto"/>
        <w:tabs>
          <w:tab w:leader="none" w:pos="9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acquisitions or divestitures (including expenses related thereto), (8) foreign exchange gains and losses; (9) non-cash interest; and (10) an event either not directly related to the operations of Huron or not within the reasonable control of Huron’s management. To the extent that such inclusions or exclusions affect Awards to Covered Employees which are intended to qualify as “performance-based compensation” within the meaning of Section 162(m) of the Code and regulations thereunder, such adjustments shall be prescribed in a form that meets the requirements of Section 162(m) of the Code. However, notwithstanding the preceding sentence, unless the Committee determines otherwise prior to the end of the applicable time for establishing Business Criteria for an Award, to the extent any such item affects any Business Criteria applicable to an Award, then such shall be automatically excluded or included in determining the extent to which the Business Criteria has been achieved, whichever will produce the higher Award (subject to any exercise of “negative discretion” by the Committee).</w:t>
      </w:r>
    </w:p>
    <w:p>
      <w:pPr>
        <w:spacing w:after="0" w:line="136"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“Cash Incentive Award” </w:t>
      </w:r>
      <w:r>
        <w:rPr>
          <w:rFonts w:ascii="Arial" w:cs="Arial" w:eastAsia="Arial" w:hAnsi="Arial"/>
          <w:sz w:val="18"/>
          <w:szCs w:val="18"/>
          <w:color w:val="auto"/>
        </w:rPr>
        <w:t>shall mean the grant of a right to receive a payment of cash (or, in the discretion of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having value equivalent to the cash otherwise payable) that is contingent on achievement of performance objectives or other conditions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25"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mean, unless otherwise defined in a Participant’s Agreement or an Alternative Agreement, any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or failures by the Participant, as determined in the reasonable judgment of Huron: (i) engaging in conduct that violates written policies of Huron or any Affiliate; (ii) failure to perform the essential functions of his or her job (except for a failure resulting from a bona fide illness or incapacity); (iii) failure to carry out the reasonable directions of Huron or any Affiliate, issued through Huron’s Chief Executive Officer, the Board of Directors, other appropriate senior employee responsible for the</w:t>
      </w:r>
    </w:p>
    <w:p>
      <w:pPr>
        <w:spacing w:after="0" w:line="3" w:lineRule="exact"/>
        <w:rPr>
          <w:sz w:val="20"/>
          <w:szCs w:val="20"/>
          <w:color w:val="auto"/>
        </w:rPr>
      </w:pPr>
    </w:p>
    <w:p>
      <w:pPr>
        <w:ind w:left="644"/>
        <w:spacing w:after="0"/>
        <w:tabs>
          <w:tab w:leader="none" w:pos="1743" w:val="left"/>
          <w:tab w:leader="none" w:pos="2603" w:val="left"/>
          <w:tab w:leader="none" w:pos="3043" w:val="left"/>
          <w:tab w:leader="none" w:pos="3343" w:val="left"/>
          <w:tab w:leader="none" w:pos="3903" w:val="left"/>
          <w:tab w:leader="none" w:pos="4283" w:val="left"/>
          <w:tab w:leader="none" w:pos="5403" w:val="left"/>
          <w:tab w:leader="none" w:pos="6423" w:val="left"/>
          <w:tab w:leader="none" w:pos="6723" w:val="left"/>
          <w:tab w:leader="none" w:pos="7123" w:val="left"/>
          <w:tab w:leader="none" w:pos="7823" w:val="left"/>
          <w:tab w:leader="none" w:pos="8103" w:val="left"/>
          <w:tab w:leader="none" w:pos="8723" w:val="left"/>
          <w:tab w:leader="none" w:pos="9123" w:val="left"/>
          <w:tab w:leader="none" w:pos="10123" w:val="left"/>
        </w:tabs>
        <w:rPr>
          <w:sz w:val="20"/>
          <w:szCs w:val="20"/>
          <w:color w:val="auto"/>
        </w:rPr>
      </w:pPr>
      <w:r>
        <w:rPr>
          <w:rFonts w:ascii="Arial" w:cs="Arial" w:eastAsia="Arial" w:hAnsi="Arial"/>
          <w:sz w:val="18"/>
          <w:szCs w:val="18"/>
          <w:color w:val="auto"/>
        </w:rPr>
        <w:t>Participant’s</w:t>
        <w:tab/>
        <w:t>business</w:t>
        <w:tab/>
        <w:t>unit</w:t>
        <w:tab/>
        <w:t>or</w:t>
        <w:tab/>
        <w:t>area,</w:t>
        <w:tab/>
        <w:t>the</w:t>
        <w:tab/>
        <w:t>Participant’s</w:t>
        <w:tab/>
        <w:t>supervisor,</w:t>
        <w:tab/>
        <w:t>or</w:t>
        <w:tab/>
        <w:t>the</w:t>
        <w:tab/>
        <w:t>person</w:t>
        <w:tab/>
        <w:t>to</w:t>
        <w:tab/>
        <w:t>whom</w:t>
        <w:tab/>
        <w:t>the</w:t>
        <w:tab/>
        <w:t>Participant</w:t>
      </w:r>
      <w:r>
        <w:rPr>
          <w:sz w:val="20"/>
          <w:szCs w:val="20"/>
          <w:color w:val="auto"/>
        </w:rPr>
        <w:tab/>
      </w:r>
      <w:r>
        <w:rPr>
          <w:rFonts w:ascii="Arial" w:cs="Arial" w:eastAsia="Arial" w:hAnsi="Arial"/>
          <w:sz w:val="17"/>
          <w:szCs w:val="17"/>
          <w:color w:val="auto"/>
        </w:rPr>
        <w:t>reports;</w:t>
      </w:r>
    </w:p>
    <w:p>
      <w:pPr>
        <w:spacing w:after="0" w:line="9" w:lineRule="exact"/>
        <w:rPr>
          <w:sz w:val="20"/>
          <w:szCs w:val="20"/>
          <w:color w:val="auto"/>
        </w:rPr>
      </w:pPr>
    </w:p>
    <w:p>
      <w:pPr>
        <w:jc w:val="both"/>
        <w:ind w:left="644" w:firstLine="5"/>
        <w:spacing w:after="0" w:line="250" w:lineRule="auto"/>
        <w:tabs>
          <w:tab w:leader="none" w:pos="962" w:val="left"/>
        </w:tabs>
        <w:numPr>
          <w:ilvl w:val="1"/>
          <w:numId w:val="69"/>
        </w:numPr>
        <w:rPr>
          <w:rFonts w:ascii="Arial" w:cs="Arial" w:eastAsia="Arial" w:hAnsi="Arial"/>
          <w:sz w:val="18"/>
          <w:szCs w:val="18"/>
          <w:color w:val="auto"/>
        </w:rPr>
      </w:pPr>
      <w:r>
        <w:rPr>
          <w:rFonts w:ascii="Arial" w:cs="Arial" w:eastAsia="Arial" w:hAnsi="Arial"/>
          <w:sz w:val="18"/>
          <w:szCs w:val="18"/>
          <w:color w:val="auto"/>
        </w:rPr>
        <w:t>embezzlement, misappropriation of corporate funds, any act of fraud, dishonesty or self-dealing, or the commission of a felony or any significant violation of any statutory or common law duty of loyalty to Huron or any Affiliate; an act or omission that could adversely and materially affect the business or reputation of Huron or any Affiliate or involves moral turpitude; or</w:t>
      </w:r>
    </w:p>
    <w:p>
      <w:pPr>
        <w:spacing w:after="0" w:line="1" w:lineRule="exact"/>
        <w:rPr>
          <w:rFonts w:ascii="Arial" w:cs="Arial" w:eastAsia="Arial" w:hAnsi="Arial"/>
          <w:sz w:val="18"/>
          <w:szCs w:val="18"/>
          <w:color w:val="auto"/>
        </w:rPr>
      </w:pPr>
    </w:p>
    <w:p>
      <w:pPr>
        <w:ind w:left="944" w:hanging="295"/>
        <w:spacing w:after="0"/>
        <w:tabs>
          <w:tab w:leader="none" w:pos="9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breach of a material provision of this Plan, the Agreement evidencing an Award or an Alternate Agreement.</w:t>
      </w:r>
    </w:p>
    <w:p>
      <w:pPr>
        <w:spacing w:after="0" w:line="149" w:lineRule="exact"/>
        <w:rPr>
          <w:rFonts w:ascii="Arial" w:cs="Arial" w:eastAsia="Arial" w:hAnsi="Arial"/>
          <w:sz w:val="18"/>
          <w:szCs w:val="18"/>
          <w:color w:val="auto"/>
        </w:rPr>
      </w:pPr>
    </w:p>
    <w:p>
      <w:pPr>
        <w:ind w:left="644" w:hanging="644"/>
        <w:spacing w:after="0"/>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mean the first to occur of the following events:</w:t>
      </w:r>
    </w:p>
    <w:p>
      <w:pPr>
        <w:spacing w:after="0" w:line="193" w:lineRule="exact"/>
        <w:rPr>
          <w:rFonts w:ascii="Arial" w:cs="Arial" w:eastAsia="Arial" w:hAnsi="Arial"/>
          <w:sz w:val="18"/>
          <w:szCs w:val="18"/>
          <w:color w:val="auto"/>
        </w:rPr>
      </w:pPr>
    </w:p>
    <w:p>
      <w:pPr>
        <w:jc w:val="both"/>
        <w:ind w:left="1304" w:hanging="655"/>
        <w:spacing w:after="0" w:line="254" w:lineRule="auto"/>
        <w:tabs>
          <w:tab w:leader="none" w:pos="1304"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Person becomes the Beneficial Owner, directly or indirectly, of Common Stock or voting securities of Huron (not including in the amounts beneficially owned by such Person any Common Stock or voting securities acquired directly from Huron or the Affiliates) representing 40% or more of the combined voting power of Huron’s then outstanding securities;</w:t>
      </w:r>
    </w:p>
    <w:p>
      <w:pPr>
        <w:spacing w:after="0" w:line="150" w:lineRule="exact"/>
        <w:rPr>
          <w:rFonts w:ascii="Arial" w:cs="Arial" w:eastAsia="Arial" w:hAnsi="Arial"/>
          <w:sz w:val="18"/>
          <w:szCs w:val="18"/>
          <w:color w:val="auto"/>
        </w:rPr>
      </w:pPr>
    </w:p>
    <w:p>
      <w:pPr>
        <w:jc w:val="both"/>
        <w:ind w:left="1304" w:hanging="655"/>
        <w:spacing w:after="0" w:line="252" w:lineRule="auto"/>
        <w:tabs>
          <w:tab w:leader="none" w:pos="130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Huron or any direct or indirect subsidiary of Huron with any Person, other than (A) a merger or consolidation which would result in the voting securities of Huron outstanding immediately prior to such merger or consolidation continuing to represent (either by remaining outstanding or by being converted into voting securities of the surviving entity or any parent thereof) at least 50% of the combined voting power of the securities of Huron or such surviving entity or any parent thereof outstanding immediately after such merger or consolidation; (B) a merger or consolidation effected to implement a recapitalization of Huron (or similar transaction) in which no Person other than existing security holders is or becomes the Beneficial Owner, directly or indirectly, of securities</w:t>
      </w:r>
    </w:p>
    <w:p>
      <w:pPr>
        <w:spacing w:after="0" w:line="36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571" w:right="239" w:bottom="1440" w:gutter="0" w:footer="0" w:header="0"/>
        </w:sectPr>
      </w:pPr>
    </w:p>
    <w:bookmarkStart w:id="119" w:name="page120"/>
    <w:bookmarkEnd w:id="119"/>
    <w:p>
      <w:pPr>
        <w:jc w:val="both"/>
        <w:ind w:left="1304"/>
        <w:spacing w:after="0" w:line="254" w:lineRule="auto"/>
        <w:rPr>
          <w:sz w:val="20"/>
          <w:szCs w:val="20"/>
          <w:color w:val="auto"/>
        </w:rPr>
      </w:pPr>
      <w:r>
        <w:rPr>
          <w:rFonts w:ascii="Arial" w:cs="Arial" w:eastAsia="Arial" w:hAnsi="Arial"/>
          <w:sz w:val="18"/>
          <w:szCs w:val="18"/>
          <w:color w:val="auto"/>
        </w:rPr>
        <w:t>of Huron (not including in the amount Beneficially Owned by such Person any Common Stock or voting securities acquired directly from Huron or any Affiliate) representing 50% or more of the combined voting power of Huron’s then outstanding securities; or (C) a merger or consolidation of a subsidiary of Huron that does not represent a sale of all or substantially all of the assets of Huron;</w:t>
      </w:r>
    </w:p>
    <w:p>
      <w:pPr>
        <w:spacing w:after="0" w:line="150" w:lineRule="exact"/>
        <w:rPr>
          <w:sz w:val="20"/>
          <w:szCs w:val="20"/>
          <w:color w:val="auto"/>
        </w:rPr>
      </w:pPr>
    </w:p>
    <w:p>
      <w:pPr>
        <w:ind w:left="1304" w:hanging="655"/>
        <w:spacing w:after="0" w:line="262" w:lineRule="auto"/>
        <w:tabs>
          <w:tab w:leader="none" w:pos="13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stockholders of Huron approve a plan of complete liquidation or dissolution of Huron (except for a plan of liquidation or dissolution effected to implement a recapitalization of Huron addressed in paragraph (ii) above); or</w:t>
      </w:r>
    </w:p>
    <w:p>
      <w:pPr>
        <w:spacing w:after="0" w:line="142" w:lineRule="exact"/>
        <w:rPr>
          <w:rFonts w:ascii="Arial" w:cs="Arial" w:eastAsia="Arial" w:hAnsi="Arial"/>
          <w:sz w:val="18"/>
          <w:szCs w:val="18"/>
          <w:color w:val="auto"/>
        </w:rPr>
      </w:pPr>
    </w:p>
    <w:p>
      <w:pPr>
        <w:jc w:val="both"/>
        <w:ind w:left="1304" w:hanging="655"/>
        <w:spacing w:after="0" w:line="256" w:lineRule="auto"/>
        <w:tabs>
          <w:tab w:leader="none" w:pos="13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is consummated an agreement for the sale or disposition of all or substantially all of the assets of Huron to a Person, other than a sale or disposition by Huron of all or substantially all of the assets of Huron to an entity, at least 50% of the combined voting power of the voting securities of which are owned by stockholders of Huron.</w:t>
      </w:r>
    </w:p>
    <w:p>
      <w:pPr>
        <w:spacing w:after="0" w:line="148" w:lineRule="exact"/>
        <w:rPr>
          <w:sz w:val="20"/>
          <w:szCs w:val="20"/>
          <w:color w:val="auto"/>
        </w:rPr>
      </w:pPr>
    </w:p>
    <w:p>
      <w:pPr>
        <w:jc w:val="both"/>
        <w:ind w:left="644"/>
        <w:spacing w:after="0" w:line="253" w:lineRule="auto"/>
        <w:rPr>
          <w:sz w:val="20"/>
          <w:szCs w:val="20"/>
          <w:color w:val="auto"/>
        </w:rPr>
      </w:pPr>
      <w:r>
        <w:rPr>
          <w:rFonts w:ascii="Arial" w:cs="Arial" w:eastAsia="Arial" w:hAnsi="Arial"/>
          <w:sz w:val="18"/>
          <w:szCs w:val="18"/>
          <w:color w:val="auto"/>
        </w:rPr>
        <w:t>Notwithstanding the foregoing, a “Change of Control” 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spacing w:after="0" w:line="134" w:lineRule="exact"/>
        <w:rPr>
          <w:sz w:val="20"/>
          <w:szCs w:val="20"/>
          <w:color w:val="auto"/>
        </w:rPr>
      </w:pPr>
    </w:p>
    <w:p>
      <w:pPr>
        <w:jc w:val="both"/>
        <w:ind w:left="644"/>
        <w:spacing w:after="0" w:line="255" w:lineRule="auto"/>
        <w:rPr>
          <w:sz w:val="20"/>
          <w:szCs w:val="20"/>
          <w:color w:val="auto"/>
        </w:rPr>
      </w:pPr>
      <w:r>
        <w:rPr>
          <w:rFonts w:ascii="Arial" w:cs="Arial" w:eastAsia="Arial" w:hAnsi="Arial"/>
          <w:sz w:val="18"/>
          <w:szCs w:val="18"/>
          <w:color w:val="auto"/>
        </w:rPr>
        <w:t>For purposes of this Change of Control definition, (I) “</w:t>
      </w:r>
      <w:r>
        <w:rPr>
          <w:rFonts w:ascii="Arial" w:cs="Arial" w:eastAsia="Arial" w:hAnsi="Arial"/>
          <w:sz w:val="18"/>
          <w:szCs w:val="18"/>
          <w:i w:val="1"/>
          <w:iCs w:val="1"/>
          <w:color w:val="auto"/>
        </w:rPr>
        <w:t>Beneficial Owner</w:t>
      </w:r>
      <w:r>
        <w:rPr>
          <w:rFonts w:ascii="Arial" w:cs="Arial" w:eastAsia="Arial" w:hAnsi="Arial"/>
          <w:sz w:val="18"/>
          <w:szCs w:val="18"/>
          <w:color w:val="auto"/>
        </w:rPr>
        <w:t>” shall have the meaning set forth in Rule 13d-3 under the Exchange Act; (II) “</w:t>
      </w:r>
      <w:r>
        <w:rPr>
          <w:rFonts w:ascii="Arial" w:cs="Arial" w:eastAsia="Arial" w:hAnsi="Arial"/>
          <w:sz w:val="18"/>
          <w:szCs w:val="18"/>
          <w:i w:val="1"/>
          <w:iCs w:val="1"/>
          <w:color w:val="auto"/>
        </w:rPr>
        <w:t>Person</w:t>
      </w:r>
      <w:r>
        <w:rPr>
          <w:rFonts w:ascii="Arial" w:cs="Arial" w:eastAsia="Arial" w:hAnsi="Arial"/>
          <w:sz w:val="18"/>
          <w:szCs w:val="18"/>
          <w:color w:val="auto"/>
        </w:rPr>
        <w:t>” shall have the meaning given in Section 3(a)(9) of the Exchange Act, as modified and used in Sections 13(d) and 14(d) thereof, except that such term shall not include (w) Huron or any of Huron’s direct or indirect subsidiaries; (x) a trustee or other fiduciary holding securities under an employee benefit plan of Huron or any of the Affiliates;</w:t>
      </w:r>
    </w:p>
    <w:p>
      <w:pPr>
        <w:spacing w:after="0" w:line="3" w:lineRule="exact"/>
        <w:rPr>
          <w:sz w:val="20"/>
          <w:szCs w:val="20"/>
          <w:color w:val="auto"/>
        </w:rPr>
      </w:pPr>
    </w:p>
    <w:p>
      <w:pPr>
        <w:jc w:val="both"/>
        <w:ind w:left="644"/>
        <w:spacing w:after="0" w:line="256" w:lineRule="auto"/>
        <w:rPr>
          <w:sz w:val="20"/>
          <w:szCs w:val="20"/>
          <w:color w:val="auto"/>
        </w:rPr>
      </w:pPr>
      <w:r>
        <w:rPr>
          <w:rFonts w:ascii="Arial" w:cs="Arial" w:eastAsia="Arial" w:hAnsi="Arial"/>
          <w:sz w:val="18"/>
          <w:szCs w:val="18"/>
          <w:color w:val="auto"/>
        </w:rPr>
        <w:t>(y) an underwriter temporarily holding securities pursuant to an offering of such securities; or (z) a corporation owned, directly or indirectly, by the stockholders of Huron in substantially the same proportions as their ownership of stock of Huron; and (III) “</w:t>
      </w:r>
      <w:r>
        <w:rPr>
          <w:rFonts w:ascii="Arial" w:cs="Arial" w:eastAsia="Arial" w:hAnsi="Arial"/>
          <w:sz w:val="18"/>
          <w:szCs w:val="18"/>
          <w:i w:val="1"/>
          <w:iCs w:val="1"/>
          <w:color w:val="auto"/>
        </w:rPr>
        <w:t>Affiliate</w:t>
      </w:r>
      <w:r>
        <w:rPr>
          <w:rFonts w:ascii="Arial" w:cs="Arial" w:eastAsia="Arial" w:hAnsi="Arial"/>
          <w:sz w:val="18"/>
          <w:szCs w:val="18"/>
          <w:color w:val="auto"/>
        </w:rPr>
        <w:t>” shall have the meaning set forth in Rule 12b-2 promulgated under Section 12 of the Exchange Act.</w:t>
      </w:r>
    </w:p>
    <w:p>
      <w:pPr>
        <w:spacing w:after="0" w:line="125" w:lineRule="exact"/>
        <w:rPr>
          <w:sz w:val="20"/>
          <w:szCs w:val="20"/>
          <w:color w:val="auto"/>
        </w:rPr>
      </w:pPr>
    </w:p>
    <w:p>
      <w:pPr>
        <w:ind w:left="644" w:right="20" w:hanging="644"/>
        <w:spacing w:after="0" w:line="287"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 from time to time, and any regulations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w:t>
      </w:r>
    </w:p>
    <w:p>
      <w:pPr>
        <w:spacing w:after="0" w:line="99" w:lineRule="exact"/>
        <w:rPr>
          <w:rFonts w:ascii="Arial" w:cs="Arial" w:eastAsia="Arial" w:hAnsi="Arial"/>
          <w:sz w:val="18"/>
          <w:szCs w:val="18"/>
          <w:color w:val="auto"/>
        </w:rPr>
      </w:pPr>
    </w:p>
    <w:p>
      <w:pPr>
        <w:jc w:val="both"/>
        <w:ind w:left="644" w:hanging="644"/>
        <w:spacing w:after="0" w:line="262"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a committee of the Board of Directors consisting of two or more persons each of whom shall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as an “outside director” within the meaning of Section 162(m) of the Code, a “nonemployee director” within the meaning of Rule 16b-3 promulgated under the Exchange Act, as amended from time to time, and an “independent director” within the meaning of the NASD Rule 4350(c)(1).</w:t>
      </w:r>
    </w:p>
    <w:p>
      <w:pPr>
        <w:spacing w:after="0" w:line="122" w:lineRule="exact"/>
        <w:rPr>
          <w:rFonts w:ascii="Arial" w:cs="Arial" w:eastAsia="Arial" w:hAnsi="Arial"/>
          <w:sz w:val="18"/>
          <w:szCs w:val="18"/>
          <w:color w:val="auto"/>
        </w:rPr>
      </w:pPr>
    </w:p>
    <w:p>
      <w:pPr>
        <w:ind w:left="644" w:hanging="644"/>
        <w:spacing w:after="0"/>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shall mean the common stock of Huron, par value $.01 per share.</w:t>
      </w:r>
    </w:p>
    <w:p>
      <w:pPr>
        <w:spacing w:after="0" w:line="171" w:lineRule="exact"/>
        <w:rPr>
          <w:rFonts w:ascii="Arial" w:cs="Arial" w:eastAsia="Arial" w:hAnsi="Arial"/>
          <w:sz w:val="18"/>
          <w:szCs w:val="18"/>
          <w:color w:val="auto"/>
        </w:rPr>
      </w:pPr>
    </w:p>
    <w:p>
      <w:pPr>
        <w:ind w:left="644" w:hanging="644"/>
        <w:spacing w:after="0"/>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“Covered Employee” </w:t>
      </w:r>
      <w:r>
        <w:rPr>
          <w:rFonts w:ascii="Arial" w:cs="Arial" w:eastAsia="Arial" w:hAnsi="Arial"/>
          <w:sz w:val="18"/>
          <w:szCs w:val="18"/>
          <w:color w:val="auto"/>
        </w:rPr>
        <w:t>shall have the meaning set forth in Section 162(m) of the Code.</w:t>
      </w:r>
    </w:p>
    <w:p>
      <w:pPr>
        <w:spacing w:after="0" w:line="171" w:lineRule="exact"/>
        <w:rPr>
          <w:rFonts w:ascii="Arial" w:cs="Arial" w:eastAsia="Arial" w:hAnsi="Arial"/>
          <w:sz w:val="18"/>
          <w:szCs w:val="18"/>
          <w:color w:val="auto"/>
        </w:rPr>
      </w:pPr>
    </w:p>
    <w:p>
      <w:pPr>
        <w:ind w:left="644" w:hanging="644"/>
        <w:spacing w:after="0"/>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“Disabled” </w:t>
      </w:r>
      <w:r>
        <w:rPr>
          <w:rFonts w:ascii="Arial" w:cs="Arial" w:eastAsia="Arial" w:hAnsi="Arial"/>
          <w:sz w:val="18"/>
          <w:szCs w:val="18"/>
          <w:color w:val="auto"/>
        </w:rPr>
        <w:t>shall mean permanently and totally disabled within the meaning of Section 22(e)(3) of the Code.</w:t>
      </w:r>
    </w:p>
    <w:p>
      <w:pPr>
        <w:spacing w:after="0" w:line="171" w:lineRule="exact"/>
        <w:rPr>
          <w:rFonts w:ascii="Arial" w:cs="Arial" w:eastAsia="Arial" w:hAnsi="Arial"/>
          <w:sz w:val="18"/>
          <w:szCs w:val="18"/>
          <w:color w:val="auto"/>
        </w:rPr>
      </w:pPr>
    </w:p>
    <w:p>
      <w:pPr>
        <w:ind w:left="644" w:hanging="644"/>
        <w:spacing w:after="0"/>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Section 3.</w:t>
      </w:r>
    </w:p>
    <w:p>
      <w:pPr>
        <w:spacing w:after="0" w:line="171"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“Eligible Individuals” </w:t>
      </w:r>
      <w:r>
        <w:rPr>
          <w:rFonts w:ascii="Arial" w:cs="Arial" w:eastAsia="Arial" w:hAnsi="Arial"/>
          <w:sz w:val="18"/>
          <w:szCs w:val="18"/>
          <w:color w:val="auto"/>
        </w:rPr>
        <w:t>shall mean employees of Huron or any of the Affiliates (including officers, whether or not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Huron or any Affiliate), independent contractors providing services to Huron or any Affiliate and non-employee directors of Huron or any Affiliate.</w:t>
      </w:r>
    </w:p>
    <w:p>
      <w:pPr>
        <w:spacing w:after="0" w:line="114" w:lineRule="exact"/>
        <w:rPr>
          <w:rFonts w:ascii="Arial" w:cs="Arial" w:eastAsia="Arial" w:hAnsi="Arial"/>
          <w:sz w:val="18"/>
          <w:szCs w:val="18"/>
          <w:color w:val="auto"/>
        </w:rPr>
      </w:pPr>
    </w:p>
    <w:p>
      <w:pPr>
        <w:ind w:left="644" w:hanging="644"/>
        <w:spacing w:after="0"/>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amended from time to time.</w:t>
      </w:r>
    </w:p>
    <w:p>
      <w:pPr>
        <w:spacing w:after="0" w:line="171" w:lineRule="exact"/>
        <w:rPr>
          <w:rFonts w:ascii="Arial" w:cs="Arial" w:eastAsia="Arial" w:hAnsi="Arial"/>
          <w:sz w:val="18"/>
          <w:szCs w:val="18"/>
          <w:color w:val="auto"/>
        </w:rPr>
      </w:pPr>
    </w:p>
    <w:p>
      <w:pPr>
        <w:ind w:left="644" w:hanging="644"/>
        <w:spacing w:after="0"/>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have the meaning set forth in Section 7(c).</w:t>
      </w:r>
    </w:p>
    <w:p>
      <w:pPr>
        <w:spacing w:after="0" w:line="171" w:lineRule="exact"/>
        <w:rPr>
          <w:rFonts w:ascii="Arial" w:cs="Arial" w:eastAsia="Arial" w:hAnsi="Arial"/>
          <w:sz w:val="18"/>
          <w:szCs w:val="18"/>
          <w:color w:val="auto"/>
        </w:rPr>
      </w:pPr>
    </w:p>
    <w:p>
      <w:pPr>
        <w:ind w:left="644" w:hanging="644"/>
        <w:spacing w:after="0" w:line="287"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of a share of Common Stock as of any date shall mean the value determined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rules:</w:t>
      </w:r>
    </w:p>
    <w:p>
      <w:pPr>
        <w:spacing w:after="0" w:line="33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71" w:right="239" w:bottom="1440" w:gutter="0" w:footer="0" w:header="0"/>
        </w:sectPr>
      </w:pPr>
    </w:p>
    <w:bookmarkStart w:id="120" w:name="page121"/>
    <w:bookmarkEnd w:id="120"/>
    <w:p>
      <w:pPr>
        <w:jc w:val="both"/>
        <w:ind w:left="1304" w:hanging="655"/>
        <w:spacing w:after="0" w:line="254" w:lineRule="auto"/>
        <w:tabs>
          <w:tab w:leader="none" w:pos="13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the Common Stock is at the time listed or admitted to trading on any stock exchange, then the Fair Market Value shall be the closing price per share of Common Stock on such date on the principal exchange on which the Common Stock is then listed or admitted to trading or, if no such sale is reported on such date, on the last preceding date on which a sale was so reported.</w:t>
      </w:r>
    </w:p>
    <w:p>
      <w:pPr>
        <w:spacing w:after="0" w:line="150" w:lineRule="exact"/>
        <w:rPr>
          <w:rFonts w:ascii="Arial" w:cs="Arial" w:eastAsia="Arial" w:hAnsi="Arial"/>
          <w:sz w:val="18"/>
          <w:szCs w:val="18"/>
          <w:color w:val="auto"/>
        </w:rPr>
      </w:pPr>
    </w:p>
    <w:p>
      <w:pPr>
        <w:jc w:val="both"/>
        <w:ind w:left="1304" w:hanging="655"/>
        <w:spacing w:after="0" w:line="253" w:lineRule="auto"/>
        <w:tabs>
          <w:tab w:leader="none" w:pos="13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the Common Stock is not at the time listed or admitted to trading on a stock exchange but bid and asked prices for the Common Stock are regularly reported, then the Fair Market Value shall be the arithmetic mean between the closing or last bid and asked prices for the Common Stock on such date or, if no bid and asked prices for Common Stock are reported on such date, on the most recent day immediately prior thereto on which bid and asked prices were so reported.</w:t>
      </w:r>
    </w:p>
    <w:p>
      <w:pPr>
        <w:spacing w:after="0" w:line="151" w:lineRule="exact"/>
        <w:rPr>
          <w:rFonts w:ascii="Arial" w:cs="Arial" w:eastAsia="Arial" w:hAnsi="Arial"/>
          <w:sz w:val="18"/>
          <w:szCs w:val="18"/>
          <w:color w:val="auto"/>
        </w:rPr>
      </w:pPr>
    </w:p>
    <w:p>
      <w:pPr>
        <w:jc w:val="both"/>
        <w:ind w:left="1304" w:hanging="655"/>
        <w:spacing w:after="0" w:line="254" w:lineRule="auto"/>
        <w:tabs>
          <w:tab w:leader="none" w:pos="13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the Common Stock is not listed or admitted to trading on any stock exchange and if prices are not regularly reported for the Common Stock as described in paragraph (ii), the Fair Market Value shall be as determined by the Committee in good faith in its sole discretion or under procedures established by the Committee, whose determination shall be conclusive and binding.</w:t>
      </w:r>
    </w:p>
    <w:p>
      <w:pPr>
        <w:spacing w:after="0" w:line="150" w:lineRule="exact"/>
        <w:rPr>
          <w:rFonts w:ascii="Arial" w:cs="Arial" w:eastAsia="Arial" w:hAnsi="Arial"/>
          <w:sz w:val="18"/>
          <w:szCs w:val="18"/>
          <w:color w:val="auto"/>
        </w:rPr>
      </w:pPr>
    </w:p>
    <w:p>
      <w:pPr>
        <w:ind w:left="1304" w:hanging="655"/>
        <w:spacing w:after="0" w:line="262" w:lineRule="auto"/>
        <w:tabs>
          <w:tab w:leader="none" w:pos="13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For purposes of determining the Fair Market Value of shares of Common Stock that are sold pursuant to a broker-assisted cashless exercise program, Fair Market Value shall be the price at which such shares are sold.</w:t>
      </w:r>
    </w:p>
    <w:p>
      <w:pPr>
        <w:spacing w:after="0" w:line="120"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“Full Value Award” </w:t>
      </w:r>
      <w:r>
        <w:rPr>
          <w:rFonts w:ascii="Arial" w:cs="Arial" w:eastAsia="Arial" w:hAnsi="Arial"/>
          <w:sz w:val="18"/>
          <w:szCs w:val="18"/>
          <w:color w:val="auto"/>
        </w:rPr>
        <w:t>shall mean an Award that is granted pursuant to Section 8 hereof and that is the grant of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or a right to receive one or more shares of Common Stock in the future, which grant may be subject to one or more of the following, as determined by the Committee:</w:t>
      </w:r>
    </w:p>
    <w:p>
      <w:pPr>
        <w:spacing w:after="0" w:line="136" w:lineRule="exact"/>
        <w:rPr>
          <w:rFonts w:ascii="Arial" w:cs="Arial" w:eastAsia="Arial" w:hAnsi="Arial"/>
          <w:sz w:val="18"/>
          <w:szCs w:val="18"/>
          <w:color w:val="auto"/>
        </w:rPr>
      </w:pPr>
    </w:p>
    <w:p>
      <w:pPr>
        <w:ind w:left="1304" w:right="20" w:hanging="655"/>
        <w:spacing w:after="0" w:line="262" w:lineRule="auto"/>
        <w:tabs>
          <w:tab w:leader="none" w:pos="13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grant may be in consideration of a Participant’s previously performed services or surrender of other compensation that may be due.</w:t>
      </w:r>
    </w:p>
    <w:p>
      <w:pPr>
        <w:spacing w:after="0" w:line="142" w:lineRule="exact"/>
        <w:rPr>
          <w:rFonts w:ascii="Arial" w:cs="Arial" w:eastAsia="Arial" w:hAnsi="Arial"/>
          <w:sz w:val="18"/>
          <w:szCs w:val="18"/>
          <w:color w:val="auto"/>
        </w:rPr>
      </w:pPr>
    </w:p>
    <w:p>
      <w:pPr>
        <w:ind w:left="1304" w:hanging="655"/>
        <w:spacing w:after="0"/>
        <w:tabs>
          <w:tab w:leader="none" w:pos="13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grant may be contingent on the achievement of performance or other objectives during a specified period.</w:t>
      </w:r>
    </w:p>
    <w:p>
      <w:pPr>
        <w:spacing w:after="0" w:line="171" w:lineRule="exact"/>
        <w:rPr>
          <w:rFonts w:ascii="Arial" w:cs="Arial" w:eastAsia="Arial" w:hAnsi="Arial"/>
          <w:sz w:val="18"/>
          <w:szCs w:val="18"/>
          <w:color w:val="auto"/>
        </w:rPr>
      </w:pPr>
    </w:p>
    <w:p>
      <w:pPr>
        <w:ind w:left="1304" w:hanging="655"/>
        <w:spacing w:after="0" w:line="262" w:lineRule="auto"/>
        <w:tabs>
          <w:tab w:leader="none" w:pos="13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grant may be subject to a risk of forfeiture or other restrictions that will lapse upon the achievement of one or more goals relating to completion of service by the Participant or achievement of performance or other objectives.</w:t>
      </w:r>
    </w:p>
    <w:p>
      <w:pPr>
        <w:spacing w:after="0" w:line="142" w:lineRule="exact"/>
        <w:rPr>
          <w:sz w:val="20"/>
          <w:szCs w:val="20"/>
          <w:color w:val="auto"/>
        </w:rPr>
      </w:pPr>
    </w:p>
    <w:p>
      <w:pPr>
        <w:jc w:val="both"/>
        <w:ind w:left="644"/>
        <w:spacing w:after="0" w:line="253" w:lineRule="auto"/>
        <w:rPr>
          <w:sz w:val="20"/>
          <w:szCs w:val="20"/>
          <w:color w:val="auto"/>
        </w:rPr>
      </w:pPr>
      <w:r>
        <w:rPr>
          <w:rFonts w:ascii="Arial" w:cs="Arial" w:eastAsia="Arial" w:hAnsi="Arial"/>
          <w:sz w:val="18"/>
          <w:szCs w:val="18"/>
          <w:color w:val="auto"/>
        </w:rPr>
        <w:t>The grant of Full Value Awards may also be subject to such other conditions, restrictions, and contingencies, as determined by the Committee, including provisions relating to dividend or dividend equivalent rights, deferred payment or settlement and purchase in the open market (including with a Participant’s own funds); provided, however, that dividends may be accrued but shall not be paid unless and until the Participant has vested in the underlying Award. Full Value Awards may include, but are not limited to, restricted stock, stock units, performance stock units, and bonus stock.</w:t>
      </w:r>
    </w:p>
    <w:p>
      <w:pPr>
        <w:spacing w:after="0" w:line="130" w:lineRule="exact"/>
        <w:rPr>
          <w:sz w:val="20"/>
          <w:szCs w:val="20"/>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“Huron” </w:t>
      </w:r>
      <w:r>
        <w:rPr>
          <w:rFonts w:ascii="Arial" w:cs="Arial" w:eastAsia="Arial" w:hAnsi="Arial"/>
          <w:sz w:val="18"/>
          <w:szCs w:val="18"/>
          <w:color w:val="auto"/>
        </w:rPr>
        <w:t>shall have the meaning set forth in Section 1.</w:t>
      </w:r>
    </w:p>
    <w:p>
      <w:pPr>
        <w:spacing w:after="0" w:line="171" w:lineRule="exact"/>
        <w:rPr>
          <w:rFonts w:ascii="Arial" w:cs="Arial" w:eastAsia="Arial" w:hAnsi="Arial"/>
          <w:sz w:val="18"/>
          <w:szCs w:val="18"/>
          <w:color w:val="auto"/>
        </w:rPr>
      </w:pPr>
    </w:p>
    <w:p>
      <w:pPr>
        <w:ind w:left="644" w:hanging="644"/>
        <w:spacing w:after="0" w:line="28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shall mean an Option that qualifies as an “incentive stock option” within the meaning of Section 422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Code, or any successor provision, and which is designated by the Committee as an Incentive Stock Option.</w:t>
      </w:r>
    </w:p>
    <w:p>
      <w:pPr>
        <w:spacing w:after="0" w:line="99"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“Nonqualified Stock Option” </w:t>
      </w:r>
      <w:r>
        <w:rPr>
          <w:rFonts w:ascii="Arial" w:cs="Arial" w:eastAsia="Arial" w:hAnsi="Arial"/>
          <w:sz w:val="18"/>
          <w:szCs w:val="18"/>
          <w:color w:val="auto"/>
        </w:rPr>
        <w:t>shall mean an Option other than an Incentive Stock Option.</w:t>
      </w:r>
    </w:p>
    <w:p>
      <w:pPr>
        <w:spacing w:after="0" w:line="171" w:lineRule="exact"/>
        <w:rPr>
          <w:rFonts w:ascii="Arial" w:cs="Arial" w:eastAsia="Arial" w:hAnsi="Arial"/>
          <w:sz w:val="18"/>
          <w:szCs w:val="18"/>
          <w:color w:val="auto"/>
        </w:rPr>
      </w:pPr>
    </w:p>
    <w:p>
      <w:pPr>
        <w:ind w:left="644" w:right="20" w:hanging="644"/>
        <w:spacing w:after="0" w:line="28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shall mean an Award that is granted pursuant to Section 7 hereof that entitles a Participant to purchase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at the applicable Exercise Price established by the Committee.</w:t>
      </w:r>
    </w:p>
    <w:p>
      <w:pPr>
        <w:spacing w:after="0" w:line="99"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Eligible Individual to whom an Award is granted pursuant to the Plan.</w:t>
      </w:r>
    </w:p>
    <w:p>
      <w:pPr>
        <w:spacing w:after="0" w:line="171" w:lineRule="exact"/>
        <w:rPr>
          <w:sz w:val="20"/>
          <w:szCs w:val="20"/>
          <w:color w:val="auto"/>
        </w:rPr>
      </w:pPr>
    </w:p>
    <w:p>
      <w:pPr>
        <w:ind w:left="644" w:hanging="644"/>
        <w:spacing w:after="0"/>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“Performance-Based Compensation” </w:t>
      </w:r>
      <w:r>
        <w:rPr>
          <w:rFonts w:ascii="Arial" w:cs="Arial" w:eastAsia="Arial" w:hAnsi="Arial"/>
          <w:sz w:val="18"/>
          <w:szCs w:val="18"/>
          <w:color w:val="auto"/>
        </w:rPr>
        <w:t>shall have the meaning set forth in Section 9.</w:t>
      </w:r>
    </w:p>
    <w:p>
      <w:pPr>
        <w:spacing w:after="0" w:line="171" w:lineRule="exact"/>
        <w:rPr>
          <w:rFonts w:ascii="Arial" w:cs="Arial" w:eastAsia="Arial" w:hAnsi="Arial"/>
          <w:sz w:val="18"/>
          <w:szCs w:val="18"/>
          <w:color w:val="auto"/>
        </w:rPr>
      </w:pPr>
    </w:p>
    <w:p>
      <w:pPr>
        <w:ind w:left="524" w:hanging="524"/>
        <w:spacing w:after="0"/>
        <w:tabs>
          <w:tab w:leader="none" w:pos="524"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w:t>
      </w:r>
    </w:p>
    <w:p>
      <w:pPr>
        <w:spacing w:after="0" w:line="200" w:lineRule="exact"/>
        <w:rPr>
          <w:sz w:val="20"/>
          <w:szCs w:val="20"/>
          <w:color w:val="auto"/>
        </w:rPr>
      </w:pPr>
    </w:p>
    <w:p>
      <w:pPr>
        <w:spacing w:after="0" w:line="20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571" w:right="239" w:bottom="1440" w:gutter="0" w:footer="0" w:header="0"/>
        </w:sectPr>
      </w:pPr>
    </w:p>
    <w:bookmarkStart w:id="121" w:name="page122"/>
    <w:bookmarkEnd w:id="121"/>
    <w:p>
      <w:pPr>
        <w:jc w:val="both"/>
        <w:ind w:left="1300" w:hanging="644"/>
        <w:spacing w:after="0" w:line="25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shall mean the voluntary termination with Huron and the Affiliates of a Participant who is in the position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vice president, managing director or executive officer and (i) such termination occurs on or after the date on which he or she has attained age 62 and completed at least seven years of employment with Huron and (ii) in conjunction with such termination such Participant has executed a non-competition and non-solicitation agreement provided by Huron. A Participant’s termination of employment shall not be considered to be on account of Retirement if the employment is terminated by Huron or any Affiliate for any reason.</w:t>
      </w:r>
    </w:p>
    <w:p>
      <w:pPr>
        <w:spacing w:after="0" w:line="128" w:lineRule="exact"/>
        <w:rPr>
          <w:rFonts w:ascii="Arial" w:cs="Arial" w:eastAsia="Arial" w:hAnsi="Arial"/>
          <w:sz w:val="18"/>
          <w:szCs w:val="18"/>
          <w:color w:val="auto"/>
        </w:rPr>
      </w:pPr>
    </w:p>
    <w:p>
      <w:pPr>
        <w:jc w:val="both"/>
        <w:ind w:left="1220" w:hanging="564"/>
        <w:spacing w:after="0" w:line="262" w:lineRule="auto"/>
        <w:tabs>
          <w:tab w:leader="none" w:pos="1220"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“Stock Appreciation Right” </w:t>
      </w:r>
      <w:r>
        <w:rPr>
          <w:rFonts w:ascii="Arial" w:cs="Arial" w:eastAsia="Arial" w:hAnsi="Arial"/>
          <w:sz w:val="18"/>
          <w:szCs w:val="18"/>
          <w:color w:val="auto"/>
        </w:rPr>
        <w:t>shall mean an Award is granted pursuant to Section 7 hereof that entitles a Participant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upon exercise of the Award, an amount of cash or shares of Common Stock (as determined in accordance with the terms of the Plan and the Award) having a value equal to the excess of: (i) the value, determined at the time of exercise, of a specified number of shares of Common Stock; over (ii) the applicable Exercise Price.</w:t>
      </w:r>
    </w:p>
    <w:p>
      <w:pPr>
        <w:spacing w:after="0" w:line="122" w:lineRule="exact"/>
        <w:rPr>
          <w:rFonts w:ascii="Arial" w:cs="Arial" w:eastAsia="Arial" w:hAnsi="Arial"/>
          <w:sz w:val="18"/>
          <w:szCs w:val="18"/>
          <w:color w:val="auto"/>
        </w:rPr>
      </w:pPr>
    </w:p>
    <w:p>
      <w:pPr>
        <w:ind w:left="1220" w:hanging="564"/>
        <w:spacing w:after="0"/>
        <w:tabs>
          <w:tab w:leader="none" w:pos="1220"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mean a “subsidiary corporation” of Huron within the meaning of Section 424(f) of the Code.</w:t>
      </w:r>
    </w:p>
    <w:p>
      <w:pPr>
        <w:spacing w:after="0" w:line="171"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and Duration of Plan. </w:t>
      </w:r>
      <w:r>
        <w:rPr>
          <w:rFonts w:ascii="Arial" w:cs="Arial" w:eastAsia="Arial" w:hAnsi="Arial"/>
          <w:sz w:val="18"/>
          <w:szCs w:val="18"/>
          <w:color w:val="auto"/>
        </w:rPr>
        <w:t>The Plan, as amended and restated, will be effective February 13, 2020 (the “</w:t>
      </w:r>
      <w:r>
        <w:rPr>
          <w:rFonts w:ascii="Arial" w:cs="Arial" w:eastAsia="Arial" w:hAnsi="Arial"/>
          <w:sz w:val="18"/>
          <w:szCs w:val="18"/>
          <w:i w:val="1"/>
          <w:iCs w:val="1"/>
          <w:color w:val="auto"/>
        </w:rPr>
        <w:t>Effective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approval by Huron’s stockholders. The Plan shall be unlimited in duration; however, in the event of Plan termination, the Plan shall remain in effect as long as any shares of Common Stock awarded under it are outstanding and not fully vested. No new Awards will be made under the Plan on or after the tenth anniversary of the Effective Date or, if earlier, on or after termination of the Plan.</w:t>
      </w:r>
    </w:p>
    <w:p>
      <w:pPr>
        <w:spacing w:after="0" w:line="122" w:lineRule="exact"/>
        <w:rPr>
          <w:rFonts w:ascii="Arial" w:cs="Arial" w:eastAsia="Arial" w:hAnsi="Arial"/>
          <w:sz w:val="18"/>
          <w:szCs w:val="18"/>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Shares Reserved and Other Limitations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Shares of Common Stock reserved for issuance under the Plan may be authorized but unissued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or authorized and issued shares of Common Stock held in Huron’s treasury, including shares purchased in the open market or in private transactions.</w:t>
      </w:r>
    </w:p>
    <w:p>
      <w:pPr>
        <w:spacing w:after="0" w:line="114"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Shares Available for Awards</w:t>
      </w:r>
      <w:r>
        <w:rPr>
          <w:rFonts w:ascii="Arial" w:cs="Arial" w:eastAsia="Arial" w:hAnsi="Arial"/>
          <w:sz w:val="18"/>
          <w:szCs w:val="18"/>
          <w:color w:val="auto"/>
        </w:rPr>
        <w:t>. Subject to the terms and conditions of the Plan, the number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reserved for issuance under the Plan shall be 3,652,204 shares (comprised of: (i) the 1,398,204 shares of Common Stock authorized under the Plan as originally adopted, (ii) an additional 850,000 shares of Common Stock authorized in the amendment and restatement of the Plan effective May 2, 2014, (iii) an additional 804,000 shares of Common Stock authorized in the amendment and restatement of the Plan effective May 1, 2017, and (iv) an additional 600,000 shares of Common Stock authorized in the amendment of the Plan effective May 3, 2019), subject to adjustment as provided herein.</w:t>
      </w:r>
    </w:p>
    <w:p>
      <w:pPr>
        <w:spacing w:after="0" w:line="150" w:lineRule="exact"/>
        <w:rPr>
          <w:rFonts w:ascii="Arial" w:cs="Arial" w:eastAsia="Arial" w:hAnsi="Arial"/>
          <w:sz w:val="18"/>
          <w:szCs w:val="18"/>
          <w:color w:val="auto"/>
        </w:rPr>
      </w:pPr>
    </w:p>
    <w:p>
      <w:pPr>
        <w:jc w:val="both"/>
        <w:ind w:left="1300"/>
        <w:spacing w:after="0" w:line="251" w:lineRule="auto"/>
        <w:rPr>
          <w:rFonts w:ascii="Arial" w:cs="Arial" w:eastAsia="Arial" w:hAnsi="Arial"/>
          <w:sz w:val="18"/>
          <w:szCs w:val="18"/>
          <w:color w:val="auto"/>
        </w:rPr>
      </w:pPr>
      <w:r>
        <w:rPr>
          <w:rFonts w:ascii="Arial" w:cs="Arial" w:eastAsia="Arial" w:hAnsi="Arial"/>
          <w:sz w:val="18"/>
          <w:szCs w:val="18"/>
          <w:color w:val="auto"/>
        </w:rPr>
        <w:t>Additionally, in the event that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Huron or any subsidiary prior to such acquisition or combination. Notwithstanding the foregoing, such shares shall not increase the number of shares available for Awards of Incentive Stock Options unless such additional share limit is approved by the stockholders in accordance with Section 422 of the Code.</w:t>
      </w:r>
    </w:p>
    <w:p>
      <w:pPr>
        <w:spacing w:after="0" w:line="135"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Individual Limitations on Awards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1960" w:hanging="655"/>
        <w:spacing w:after="0" w:line="256" w:lineRule="auto"/>
        <w:tabs>
          <w:tab w:leader="none" w:pos="196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granted to any Participant during any calendar-year period with respect to Full Value Awards that are intended to be Performance-Based Compensation shall not exceed 500,000 shares in the aggregate (subject to adjustment as provided herein).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49" w:right="239" w:bottom="1440" w:gutter="0" w:footer="0" w:header="0"/>
        </w:sectPr>
      </w:pPr>
    </w:p>
    <w:bookmarkStart w:id="122" w:name="page123"/>
    <w:bookmarkEnd w:id="122"/>
    <w:p>
      <w:pPr>
        <w:jc w:val="both"/>
        <w:ind w:left="1944" w:hanging="647"/>
        <w:spacing w:after="0" w:line="256" w:lineRule="auto"/>
        <w:tabs>
          <w:tab w:leader="none" w:pos="1944" w:val="left"/>
        </w:tabs>
        <w:numPr>
          <w:ilvl w:val="2"/>
          <w:numId w:val="80"/>
        </w:numPr>
        <w:rPr>
          <w:rFonts w:ascii="Arial" w:cs="Arial" w:eastAsia="Arial" w:hAnsi="Arial"/>
          <w:sz w:val="18"/>
          <w:szCs w:val="18"/>
          <w:color w:val="auto"/>
        </w:rPr>
      </w:pPr>
      <w:r>
        <w:rPr>
          <w:rFonts w:ascii="Arial" w:cs="Arial" w:eastAsia="Arial" w:hAnsi="Arial"/>
          <w:sz w:val="18"/>
          <w:szCs w:val="18"/>
          <w:color w:val="auto"/>
        </w:rPr>
        <w:t>If Awards are denominated in shares of Common Stock but an equivalent amount of cash is delivered in lieu of shares of Common Stock, the foregoing limit shall be applied based on the methodology used by the Committee to convert the number of shares into cash.</w:t>
      </w:r>
    </w:p>
    <w:p>
      <w:pPr>
        <w:spacing w:after="0" w:line="147" w:lineRule="exact"/>
        <w:rPr>
          <w:rFonts w:ascii="Arial" w:cs="Arial" w:eastAsia="Arial" w:hAnsi="Arial"/>
          <w:sz w:val="18"/>
          <w:szCs w:val="18"/>
          <w:color w:val="auto"/>
        </w:rPr>
      </w:pPr>
    </w:p>
    <w:p>
      <w:pPr>
        <w:jc w:val="both"/>
        <w:ind w:left="1944" w:hanging="647"/>
        <w:spacing w:after="0" w:line="256" w:lineRule="auto"/>
        <w:tabs>
          <w:tab w:leader="none" w:pos="1944" w:val="left"/>
        </w:tabs>
        <w:numPr>
          <w:ilvl w:val="2"/>
          <w:numId w:val="80"/>
        </w:numPr>
        <w:rPr>
          <w:rFonts w:ascii="Arial" w:cs="Arial" w:eastAsia="Arial" w:hAnsi="Arial"/>
          <w:sz w:val="18"/>
          <w:szCs w:val="18"/>
          <w:color w:val="auto"/>
        </w:rPr>
      </w:pPr>
      <w:r>
        <w:rPr>
          <w:rFonts w:ascii="Arial" w:cs="Arial" w:eastAsia="Arial" w:hAnsi="Arial"/>
          <w:sz w:val="18"/>
          <w:szCs w:val="18"/>
          <w:color w:val="auto"/>
        </w:rPr>
        <w:t>If delivery of shares of Common Stock or cash is deferred until after shares of Common Stock have been earned, any adjustment in the amount delivered to reflect actual or deemed investment experience after the date the shares are earned shall be disregarded.</w:t>
      </w:r>
    </w:p>
    <w:p>
      <w:pPr>
        <w:spacing w:after="0" w:line="147" w:lineRule="exact"/>
        <w:rPr>
          <w:rFonts w:ascii="Arial" w:cs="Arial" w:eastAsia="Arial" w:hAnsi="Arial"/>
          <w:sz w:val="18"/>
          <w:szCs w:val="18"/>
          <w:color w:val="auto"/>
        </w:rPr>
      </w:pPr>
    </w:p>
    <w:p>
      <w:pPr>
        <w:jc w:val="both"/>
        <w:ind w:left="1304" w:hanging="655"/>
        <w:spacing w:after="0" w:line="253" w:lineRule="auto"/>
        <w:tabs>
          <w:tab w:leader="none" w:pos="1304"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any participant who is an outside director of Huron, the aggregate grant date fair value of Awards granted to such individual during any calendar year, along with any regular cash retainer or meeting fees paid to such participant during such calendar year shall not exceed $1,500,000; provided, however, that if an individual employee becomes an outside director (or vice versa) during a calendar year, the limit in this sentence shall not apply to Awards granted to the individual in the individual’s capacity as an employee.</w:t>
      </w:r>
    </w:p>
    <w:p>
      <w:pPr>
        <w:spacing w:after="0" w:line="129" w:lineRule="exact"/>
        <w:rPr>
          <w:rFonts w:ascii="Arial" w:cs="Arial" w:eastAsia="Arial" w:hAnsi="Arial"/>
          <w:sz w:val="18"/>
          <w:szCs w:val="18"/>
          <w:color w:val="auto"/>
        </w:rPr>
      </w:pPr>
    </w:p>
    <w:p>
      <w:pPr>
        <w:ind w:left="644" w:hanging="644"/>
        <w:spacing w:after="0" w:line="287" w:lineRule="auto"/>
        <w:tabs>
          <w:tab w:leader="none" w:pos="64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Limits on Incentive Stock Options</w:t>
      </w:r>
      <w:r>
        <w:rPr>
          <w:rFonts w:ascii="Arial" w:cs="Arial" w:eastAsia="Arial" w:hAnsi="Arial"/>
          <w:sz w:val="18"/>
          <w:szCs w:val="18"/>
          <w:color w:val="auto"/>
        </w:rPr>
        <w:t>. The maximum number of shares of Common Stock to which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relate that may be granted under the Plan shall be 325,000 (subject to adjustment as provided herein).</w:t>
      </w:r>
    </w:p>
    <w:p>
      <w:pPr>
        <w:spacing w:after="0" w:line="99" w:lineRule="exact"/>
        <w:rPr>
          <w:rFonts w:ascii="Arial" w:cs="Arial" w:eastAsia="Arial" w:hAnsi="Arial"/>
          <w:sz w:val="18"/>
          <w:szCs w:val="18"/>
          <w:color w:val="auto"/>
        </w:rPr>
      </w:pPr>
    </w:p>
    <w:p>
      <w:pPr>
        <w:jc w:val="both"/>
        <w:ind w:left="644" w:hanging="644"/>
        <w:spacing w:after="0" w:line="262" w:lineRule="auto"/>
        <w:tabs>
          <w:tab w:leader="none" w:pos="64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Individual Limitations on Cash Incentive Awards</w:t>
      </w:r>
      <w:r>
        <w:rPr>
          <w:rFonts w:ascii="Arial" w:cs="Arial" w:eastAsia="Arial" w:hAnsi="Arial"/>
          <w:sz w:val="18"/>
          <w:szCs w:val="18"/>
          <w:color w:val="auto"/>
        </w:rPr>
        <w:t>. The maximum amount payable to any Participant for any 12-month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with respect to a Cash Incentive Award granted under the Plan that is intended to be Performance- Based Compensation shall be $10,000,000 (prorated for performance periods that are greater or lesser than 12 months). For purposes of this Section 4(e):</w:t>
      </w:r>
    </w:p>
    <w:p>
      <w:pPr>
        <w:spacing w:after="0" w:line="144" w:lineRule="exact"/>
        <w:rPr>
          <w:rFonts w:ascii="Arial" w:cs="Arial" w:eastAsia="Arial" w:hAnsi="Arial"/>
          <w:sz w:val="18"/>
          <w:szCs w:val="18"/>
          <w:color w:val="auto"/>
        </w:rPr>
      </w:pPr>
    </w:p>
    <w:p>
      <w:pPr>
        <w:jc w:val="both"/>
        <w:ind w:left="1304" w:hanging="655"/>
        <w:spacing w:after="0" w:line="256" w:lineRule="auto"/>
        <w:tabs>
          <w:tab w:leader="none" w:pos="1304"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the Award is denominated in cash but an equivalent amount of Common Stock is delivered in lieu of delivery of cash, the foregoing limit shall be applied to the cash based on the methodology used by the Committee to convert the cash into shares.</w:t>
      </w:r>
    </w:p>
    <w:p>
      <w:pPr>
        <w:spacing w:after="0" w:line="148" w:lineRule="exact"/>
        <w:rPr>
          <w:sz w:val="20"/>
          <w:szCs w:val="20"/>
          <w:color w:val="auto"/>
        </w:rPr>
      </w:pPr>
    </w:p>
    <w:p>
      <w:pPr>
        <w:jc w:val="both"/>
        <w:ind w:left="1304" w:hanging="655"/>
        <w:spacing w:after="0" w:line="256"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delivery of shares of Common Stock or cash is deferred until after cash has been earned, any adjustment in the amount delivered to reflect actual or deemed investment experience after the date the cash is earned shall be disregarded.</w:t>
      </w:r>
    </w:p>
    <w:p>
      <w:pPr>
        <w:spacing w:after="0" w:line="125" w:lineRule="exact"/>
        <w:rPr>
          <w:rFonts w:ascii="Arial" w:cs="Arial" w:eastAsia="Arial" w:hAnsi="Arial"/>
          <w:sz w:val="18"/>
          <w:szCs w:val="18"/>
          <w:color w:val="auto"/>
        </w:rPr>
      </w:pPr>
    </w:p>
    <w:p>
      <w:pPr>
        <w:jc w:val="both"/>
        <w:ind w:left="644" w:hanging="644"/>
        <w:spacing w:after="0" w:line="253" w:lineRule="auto"/>
        <w:tabs>
          <w:tab w:leader="none" w:pos="64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Adjustments for Change in Capitalization</w:t>
      </w:r>
      <w:r>
        <w:rPr>
          <w:rFonts w:ascii="Arial" w:cs="Arial" w:eastAsia="Arial" w:hAnsi="Arial"/>
          <w:sz w:val="18"/>
          <w:szCs w:val="18"/>
          <w:color w:val="auto"/>
        </w:rPr>
        <w:t>. In the event that any dividend or other distribution is declared (whether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cash, Common Stock, or other property), or there occurs any recapitalization, stock split, reverse stock split, reorganization, merger, consolidation, spin-off, combination, repurchase, share exchange or other similar corporate transaction or event, the Committee shall equitably adjust, in its sole and absolute discretion, (i) the number and kind of shares of stock which may thereafter be issued in connection with Awards; (ii) the number and kind of shares of stock or other property issued or issuable in respect of outstanding Awards; (iii) the exercise price, grant price or purchase price relating to any Award; (iv) the limitations set forth in Sections 4(b), 4(c), 4(d), and 4(e) (provided that, with respect to Incentive Stock Options, such adjustment shall be made in accordance with Section 424 of the Code and any regulations thereunder and provided further that, to the extent applicable, such adjustment shall comply with Section 409A of the Code); and (v) any other adjustments that the Committee determines to be equitable (which may include, without limitation, replacement of Awards with other Awards which the Committee determines have comparable value and which are based on stock of a company resulting from the transaction and (2) cancellation of the Award in return for cash payment of the current value of the Award, determined as though the Award is fully vested at the time of payment, provided that in the case of an Option or Stock Appreciation Right, the amount of such payment may be the excess of value of the shares of Common Stock subject to the Option or Stock Appreciation Right at the time of the transaction over the Exercise Price).</w:t>
      </w:r>
    </w:p>
    <w:p>
      <w:pPr>
        <w:spacing w:after="0" w:line="130" w:lineRule="exact"/>
        <w:rPr>
          <w:rFonts w:ascii="Arial" w:cs="Arial" w:eastAsia="Arial" w:hAnsi="Arial"/>
          <w:sz w:val="18"/>
          <w:szCs w:val="18"/>
          <w:color w:val="auto"/>
        </w:rPr>
      </w:pPr>
    </w:p>
    <w:p>
      <w:pPr>
        <w:ind w:left="644" w:hanging="644"/>
        <w:spacing w:after="0" w:line="287" w:lineRule="auto"/>
        <w:tabs>
          <w:tab w:leader="none" w:pos="64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Reuse of Shares</w:t>
      </w:r>
      <w:r>
        <w:rPr>
          <w:rFonts w:ascii="Arial" w:cs="Arial" w:eastAsia="Arial" w:hAnsi="Arial"/>
          <w:sz w:val="18"/>
          <w:szCs w:val="18"/>
          <w:color w:val="auto"/>
        </w:rPr>
        <w:t>. Except to the extent that to do so would prevent the grant of Incentive Stock Options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shares of Common Stock shall again become available for Awards:</w:t>
      </w:r>
    </w:p>
    <w:p>
      <w:pPr>
        <w:spacing w:after="0" w:line="121" w:lineRule="exact"/>
        <w:rPr>
          <w:rFonts w:ascii="Arial" w:cs="Arial" w:eastAsia="Arial" w:hAnsi="Arial"/>
          <w:sz w:val="18"/>
          <w:szCs w:val="18"/>
          <w:color w:val="auto"/>
        </w:rPr>
      </w:pPr>
    </w:p>
    <w:p>
      <w:pPr>
        <w:ind w:left="1304" w:hanging="655"/>
        <w:spacing w:after="0" w:line="262" w:lineRule="auto"/>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shares subject to an Award that remain unissued upon the cancellation, surrender, exchange, forfeiture or termination of such Award without having been exercised or settled; and</w:t>
      </w:r>
    </w:p>
    <w:p>
      <w:pPr>
        <w:spacing w:after="0" w:line="35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4"/>
          </w:cols>
          <w:pgMar w:left="896" w:top="571" w:right="239" w:bottom="1440" w:gutter="0" w:footer="0" w:header="0"/>
        </w:sectPr>
      </w:pPr>
    </w:p>
    <w:bookmarkStart w:id="123" w:name="page124"/>
    <w:bookmarkEnd w:id="123"/>
    <w:p>
      <w:pPr>
        <w:ind w:left="1960" w:right="20" w:hanging="655"/>
        <w:spacing w:after="0" w:line="262" w:lineRule="auto"/>
        <w:tabs>
          <w:tab w:leader="none" w:pos="1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extent an Award is paid or settled in cash, the number of shares of Common Stock with respect to which such payment or settlement is made.</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shares of Common Stock shall not again be made available for grants pursuant to the Plan:</w:t>
      </w:r>
    </w:p>
    <w:p>
      <w:pPr>
        <w:spacing w:after="0" w:line="171" w:lineRule="exact"/>
        <w:rPr>
          <w:sz w:val="20"/>
          <w:szCs w:val="20"/>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shares subject to an Award that are retained as payment of the exercise price of an Option;</w:t>
      </w:r>
    </w:p>
    <w:p>
      <w:pPr>
        <w:spacing w:after="0" w:line="171" w:lineRule="exact"/>
        <w:rPr>
          <w:rFonts w:ascii="Arial" w:cs="Arial" w:eastAsia="Arial" w:hAnsi="Arial"/>
          <w:sz w:val="18"/>
          <w:szCs w:val="18"/>
          <w:color w:val="auto"/>
        </w:rPr>
      </w:pPr>
    </w:p>
    <w:p>
      <w:pPr>
        <w:jc w:val="both"/>
        <w:ind w:left="1960" w:hanging="655"/>
        <w:spacing w:after="0" w:line="256" w:lineRule="auto"/>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shares retained to satisfy: (A) all tax withholding obligations with respect to an Option or Stock Appreciation Right, or (B) tax withholding obligations in excess of the minimum required withholding amount with respect to a Full Value Award; and</w:t>
      </w:r>
    </w:p>
    <w:p>
      <w:pPr>
        <w:spacing w:after="0" w:line="147" w:lineRule="exact"/>
        <w:rPr>
          <w:rFonts w:ascii="Arial" w:cs="Arial" w:eastAsia="Arial" w:hAnsi="Arial"/>
          <w:sz w:val="18"/>
          <w:szCs w:val="18"/>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shares repurchased by Huron using stock option exercise proceeds.</w:t>
      </w:r>
    </w:p>
    <w:p>
      <w:pPr>
        <w:spacing w:after="0" w:line="171" w:lineRule="exact"/>
        <w:rPr>
          <w:sz w:val="20"/>
          <w:szCs w:val="20"/>
          <w:color w:val="auto"/>
        </w:rPr>
      </w:pPr>
    </w:p>
    <w:p>
      <w:pPr>
        <w:ind w:left="1300"/>
        <w:spacing w:after="0" w:line="262" w:lineRule="auto"/>
        <w:rPr>
          <w:sz w:val="20"/>
          <w:szCs w:val="20"/>
          <w:color w:val="auto"/>
        </w:rPr>
      </w:pPr>
      <w:r>
        <w:rPr>
          <w:rFonts w:ascii="Arial" w:cs="Arial" w:eastAsia="Arial" w:hAnsi="Arial"/>
          <w:sz w:val="18"/>
          <w:szCs w:val="18"/>
          <w:color w:val="auto"/>
        </w:rPr>
        <w:t>For stock-settled Stock Appreciation Rights, the shares subject to the Award shall be counted against the Plan reserve, regardless of the number of shares issued.</w:t>
      </w:r>
    </w:p>
    <w:p>
      <w:pPr>
        <w:spacing w:after="0" w:line="120" w:lineRule="exact"/>
        <w:rPr>
          <w:sz w:val="20"/>
          <w:szCs w:val="20"/>
          <w:color w:val="auto"/>
        </w:rPr>
      </w:pPr>
    </w:p>
    <w:p>
      <w:pPr>
        <w:jc w:val="both"/>
        <w:ind w:left="1300" w:hanging="644"/>
        <w:spacing w:after="0" w:line="262"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Special Vesting Rules for All Awards</w:t>
      </w:r>
      <w:r>
        <w:rPr>
          <w:rFonts w:ascii="Arial" w:cs="Arial" w:eastAsia="Arial" w:hAnsi="Arial"/>
          <w:sz w:val="18"/>
          <w:szCs w:val="18"/>
          <w:color w:val="auto"/>
        </w:rPr>
        <w:t>. Except for Awards (when aggregated with all other Awards under the Plan) which do</w:t>
      </w:r>
      <w:r>
        <w:rPr>
          <w:rFonts w:ascii="Arial" w:cs="Arial" w:eastAsia="Arial" w:hAnsi="Arial"/>
          <w:sz w:val="18"/>
          <w:szCs w:val="18"/>
          <w:b w:val="1"/>
          <w:bCs w:val="1"/>
          <w:color w:val="auto"/>
        </w:rPr>
        <w:t xml:space="preserve"> </w:t>
      </w:r>
      <w:r>
        <w:rPr>
          <w:rFonts w:ascii="Arial" w:cs="Arial" w:eastAsia="Arial" w:hAnsi="Arial"/>
          <w:sz w:val="18"/>
          <w:szCs w:val="18"/>
          <w:color w:val="auto"/>
        </w:rPr>
        <w:t>not exceed 5% of the total number of shares of Common Stock reserved for issuance under the Plan in the aggregate, in no event shall the required period of service for full vesting be less than one year (subject, to the extent provided by the Committee, to acceleration of vesting in the event of the Participant’s death, Disability, or Change of Control).</w:t>
      </w:r>
    </w:p>
    <w:p>
      <w:pPr>
        <w:spacing w:after="0" w:line="122"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Dividends may be accrued but shall not be paid with respect to any Award unless and until the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vested in the underlying Award.</w:t>
      </w:r>
    </w:p>
    <w:p>
      <w:pPr>
        <w:spacing w:after="0" w:line="99" w:lineRule="exact"/>
        <w:rPr>
          <w:rFonts w:ascii="Arial" w:cs="Arial" w:eastAsia="Arial" w:hAnsi="Arial"/>
          <w:sz w:val="18"/>
          <w:szCs w:val="18"/>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The Plan shall be administered by the Committee. The Committee shall have the authority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(i) grant Awards; (ii) determine the Eligible Individuals to whom, and the time or times at which, Awards shall be granted; (iii) determine the type and number of Awards to be granted; the number of shares of Common Stock or cash or other property to which an Award may relate and the terms, conditions, restrictions and performance criteria relating to any Award; (iv) determine whether, to what extent, and under what circumstances an Award may be settled, cancelled, forfeited, exchanged, or surrendered; (v) conclusively construe and interpret the Plan and all Awards; (vi) prescribe, amend and rescind rules and regulations relating to the Plan; (vii) determine the terms and provisions of Agreements; and</w:t>
      </w:r>
    </w:p>
    <w:p>
      <w:pPr>
        <w:spacing w:after="0" w:line="2" w:lineRule="exact"/>
        <w:rPr>
          <w:rFonts w:ascii="Arial" w:cs="Arial" w:eastAsia="Arial" w:hAnsi="Arial"/>
          <w:sz w:val="18"/>
          <w:szCs w:val="18"/>
          <w:color w:val="auto"/>
        </w:rPr>
      </w:pPr>
    </w:p>
    <w:p>
      <w:pPr>
        <w:jc w:val="both"/>
        <w:ind w:left="1300" w:firstLine="5"/>
        <w:spacing w:after="0" w:line="252" w:lineRule="auto"/>
        <w:tabs>
          <w:tab w:leader="none" w:pos="1714" w:val="left"/>
        </w:tabs>
        <w:numPr>
          <w:ilvl w:val="2"/>
          <w:numId w:val="88"/>
        </w:numPr>
        <w:rPr>
          <w:rFonts w:ascii="Arial" w:cs="Arial" w:eastAsia="Arial" w:hAnsi="Arial"/>
          <w:sz w:val="18"/>
          <w:szCs w:val="18"/>
          <w:color w:val="auto"/>
        </w:rPr>
      </w:pPr>
      <w:r>
        <w:rPr>
          <w:rFonts w:ascii="Arial" w:cs="Arial" w:eastAsia="Arial" w:hAnsi="Arial"/>
          <w:sz w:val="18"/>
          <w:szCs w:val="18"/>
          <w:color w:val="auto"/>
        </w:rPr>
        <w:t>make all other determinations deemed necessary or advisable for the operation and administration of the Plan. The Committee may, in its sole and absolute discretion, without amendment to the Plan (but subject to the terms and conditions of the Plan), (w) accelerate the date on which any Option or Stock Appreciation Right becomes exercisable; (x) waive or amend the operation of Plan provisions respecting exercise after termination of employment (provided that the term of an Option or Stock Appreciation Right may not be extended beyond ten years from the date of grant); (y) accelerate the vesting date, or waive any condition imposed hereunder, with respect to any Full Value Award; and (z) otherwise adjust any of the terms applicable to any such Award in a manner consistent with the terms of the Plan.</w:t>
      </w:r>
    </w:p>
    <w:p>
      <w:pPr>
        <w:spacing w:after="0" w:line="131"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Decisions Binding</w:t>
      </w:r>
      <w:r>
        <w:rPr>
          <w:rFonts w:ascii="Arial" w:cs="Arial" w:eastAsia="Arial" w:hAnsi="Arial"/>
          <w:sz w:val="18"/>
          <w:szCs w:val="18"/>
          <w:color w:val="auto"/>
        </w:rPr>
        <w:t>. Any interpretations of the Plan by the Committee and any decisions made by it under the Plan are final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binding on all persons.</w:t>
      </w:r>
    </w:p>
    <w:p>
      <w:pPr>
        <w:spacing w:after="0" w:line="99"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Delegation</w:t>
      </w:r>
      <w:r>
        <w:rPr>
          <w:rFonts w:ascii="Arial" w:cs="Arial" w:eastAsia="Arial" w:hAnsi="Arial"/>
          <w:sz w:val="18"/>
          <w:szCs w:val="18"/>
          <w:color w:val="auto"/>
        </w:rPr>
        <w:t>. Except to the extent prohibited by the applicable rules of any stock exchange or applicable law,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Huron or any of its Affiliates the authority to act on behalf of the Committee with respect to any matter, right, obligation, or election that is the responsibility of or that is allocated to the Committee herein, and that may be so delegated as a matter of law, except for grants of Awards to persons (i) who are non-employee members of the Board or otherwise are subject to Section 16 of the Exchange Act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1" w:right="239" w:bottom="1440" w:gutter="0" w:footer="0" w:header="0"/>
        </w:sectPr>
      </w:pPr>
    </w:p>
    <w:bookmarkStart w:id="124" w:name="page125"/>
    <w:bookmarkEnd w:id="124"/>
    <w:p>
      <w:pPr>
        <w:ind w:left="1300"/>
        <w:spacing w:after="0"/>
        <w:rPr>
          <w:sz w:val="20"/>
          <w:szCs w:val="20"/>
          <w:color w:val="auto"/>
        </w:rPr>
      </w:pPr>
      <w:r>
        <w:rPr>
          <w:rFonts w:ascii="Arial" w:cs="Arial" w:eastAsia="Arial" w:hAnsi="Arial"/>
          <w:sz w:val="18"/>
          <w:szCs w:val="18"/>
          <w:color w:val="auto"/>
        </w:rPr>
        <w:t>or (ii) who are, or who are reasonably expected to be, “covered employees” for purposes of Section 162(m) of the Code.</w:t>
      </w:r>
    </w:p>
    <w:p>
      <w:pPr>
        <w:spacing w:after="0" w:line="149" w:lineRule="exact"/>
        <w:rPr>
          <w:sz w:val="20"/>
          <w:szCs w:val="20"/>
          <w:color w:val="auto"/>
        </w:rPr>
      </w:pPr>
    </w:p>
    <w:p>
      <w:pPr>
        <w:jc w:val="both"/>
        <w:ind w:left="1300" w:hanging="644"/>
        <w:spacing w:after="0" w:line="255"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No member of the Committee (or an authorized delegate of the Committee), and no officer of Huron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Affiliates, shall be liable for any action taken or omitted to be taken by such individual or by any other member of the Committee or officer of Huron or any Affiliate in connection with the performance of duties under this Plan, except for such individual’s own willful misconduct or as expressly provided by law (the “</w:t>
      </w:r>
      <w:r>
        <w:rPr>
          <w:rFonts w:ascii="Arial" w:cs="Arial" w:eastAsia="Arial" w:hAnsi="Arial"/>
          <w:sz w:val="18"/>
          <w:szCs w:val="18"/>
          <w:i w:val="1"/>
          <w:iCs w:val="1"/>
          <w:color w:val="auto"/>
        </w:rPr>
        <w:t>Administrative Actions</w:t>
      </w:r>
      <w:r>
        <w:rPr>
          <w:rFonts w:ascii="Arial" w:cs="Arial" w:eastAsia="Arial" w:hAnsi="Arial"/>
          <w:sz w:val="18"/>
          <w:szCs w:val="18"/>
          <w:color w:val="auto"/>
        </w:rPr>
        <w:t>”). Further, the Committee (and all delegates of the Committee), in addition to such other rights of indemnification as they may have as members of the Board of Directors or officers of Huron or an Affiliate, any individual serving as a Committee member (and any authorized delegate) shall be indemnified and held harmless by Huron to the fullest extent allowed by law against all costs and expenses reasonably incurred by them in connection with any action, suit or proceeding to which they or any of them may be party by reason of any Administrative Action.</w:t>
      </w:r>
    </w:p>
    <w:p>
      <w:pPr>
        <w:spacing w:after="0" w:line="127"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Participation. </w:t>
      </w:r>
      <w:r>
        <w:rPr>
          <w:rFonts w:ascii="Arial" w:cs="Arial" w:eastAsia="Arial" w:hAnsi="Arial"/>
          <w:sz w:val="18"/>
          <w:szCs w:val="18"/>
          <w:color w:val="auto"/>
        </w:rPr>
        <w:t>Subject to the terms and conditions of the Plan, the Committee shall determine and designate, from time to time, from</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Eligible 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between Huron and the Participant, or except as otherwise provided in the Plan, an Award under the Plan shall not affect any previous Award under the Plan or an award under any other plan maintained by Huron or any of the Affiliates. No Participant or other person shall have any claim to be granted any Award, and there is no obligation for uniformity of treatment of Participants, or holders or beneficiaries of Awards, or of multiple Awards granted to a Participant. The terms and conditions of Awards and the Committee’s determinations and interpretations with respect thereto need not be the same with respect to each Participant (whether or not such Participants are similarly situated).</w:t>
      </w:r>
    </w:p>
    <w:p>
      <w:pPr>
        <w:spacing w:after="0" w:line="127"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Options and Stock Appreciation Rights.</w:t>
      </w:r>
    </w:p>
    <w:p>
      <w:pPr>
        <w:spacing w:after="0" w:line="171" w:lineRule="exact"/>
        <w:rPr>
          <w:rFonts w:ascii="Arial" w:cs="Arial" w:eastAsia="Arial" w:hAnsi="Arial"/>
          <w:sz w:val="18"/>
          <w:szCs w:val="18"/>
          <w:color w:val="auto"/>
        </w:rPr>
      </w:pPr>
    </w:p>
    <w:p>
      <w:pPr>
        <w:ind w:left="1300" w:right="20" w:hanging="644"/>
        <w:spacing w:after="0" w:line="287"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Grant of Awards</w:t>
      </w:r>
      <w:r>
        <w:rPr>
          <w:rFonts w:ascii="Arial" w:cs="Arial" w:eastAsia="Arial" w:hAnsi="Arial"/>
          <w:sz w:val="18"/>
          <w:szCs w:val="18"/>
          <w:color w:val="auto"/>
        </w:rPr>
        <w:t>. The Committee may grant Options and/or Stock Appreciation Rights to Eligible Individuals,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Plan.</w:t>
      </w:r>
    </w:p>
    <w:p>
      <w:pPr>
        <w:spacing w:after="0" w:line="99"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Identification of Options</w:t>
      </w:r>
      <w:r>
        <w:rPr>
          <w:rFonts w:ascii="Arial" w:cs="Arial" w:eastAsia="Arial" w:hAnsi="Arial"/>
          <w:sz w:val="18"/>
          <w:szCs w:val="18"/>
          <w:color w:val="auto"/>
        </w:rPr>
        <w:t>. Each Option shall be clearly identified as either an Incentive Stock Option or a Nonqualified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w:t>
      </w:r>
    </w:p>
    <w:p>
      <w:pPr>
        <w:spacing w:after="0" w:line="99" w:lineRule="exact"/>
        <w:rPr>
          <w:rFonts w:ascii="Arial" w:cs="Arial" w:eastAsia="Arial" w:hAnsi="Arial"/>
          <w:sz w:val="18"/>
          <w:szCs w:val="18"/>
          <w:color w:val="auto"/>
        </w:rPr>
      </w:pPr>
    </w:p>
    <w:p>
      <w:pPr>
        <w:jc w:val="both"/>
        <w:ind w:left="1300" w:hanging="644"/>
        <w:spacing w:after="0" w:line="262"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The “</w:t>
      </w:r>
      <w:r>
        <w:rPr>
          <w:rFonts w:ascii="Arial" w:cs="Arial" w:eastAsia="Arial" w:hAnsi="Arial"/>
          <w:sz w:val="18"/>
          <w:szCs w:val="18"/>
          <w:i w:val="1"/>
          <w:iCs w:val="1"/>
          <w:color w:val="auto"/>
        </w:rPr>
        <w:t>Exercise Price</w:t>
      </w:r>
      <w:r>
        <w:rPr>
          <w:rFonts w:ascii="Arial" w:cs="Arial" w:eastAsia="Arial" w:hAnsi="Arial"/>
          <w:sz w:val="18"/>
          <w:szCs w:val="18"/>
          <w:color w:val="auto"/>
        </w:rPr>
        <w:t>” of an Option or Stock Appreciation Right shall be established by the Committee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Option or Stock Appreciation Right is granted; provided, however, that in no event shall the Exercise Price be less than 100% of the Fair Market Value of a share of Common Stock on the date of grant (or, if greater, the par value of a share of Common Stock on the date of grant).</w:t>
      </w:r>
    </w:p>
    <w:p>
      <w:pPr>
        <w:spacing w:after="0" w:line="122"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No Repricing/Prohibition on Buy-Back</w:t>
      </w:r>
      <w:r>
        <w:rPr>
          <w:rFonts w:ascii="Arial" w:cs="Arial" w:eastAsia="Arial" w:hAnsi="Arial"/>
          <w:sz w:val="18"/>
          <w:szCs w:val="18"/>
          <w:color w:val="auto"/>
        </w:rPr>
        <w:t>. Except for either adjustments pursuant to Section 4(f) or reductions of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approved by Huron’s stockholders, the Exercise Price for any outstanding Option or Stock Appreciation Right may not be decreased after the date of grant nor may an outstanding Option or Stock Appreciation Right granted under the Plan be surrendered to Huron as consideration for the grant of a replacement Option or Stock Appreciation Right with a lower Exercise Price. Except as approved by Huron’s stockholders, in no event shall any Option or Stock Appreciation Right granted under the Plan be surrendered to Huron in consideration for a cash payment if, at the time of such surrender, the Exercise Price of the Option or Stock Appreciation Right is greater than the then current Fair Market Value of a share of Common Stock. In addition, no repricing of an Option shall be permitted without the approval of Huron’s stockholders if such approval is required under the rules of any stock exchange on which Common Stock is listed.</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Term and Exercise.</w:t>
      </w:r>
    </w:p>
    <w:p>
      <w:pPr>
        <w:spacing w:after="0" w:line="193" w:lineRule="exact"/>
        <w:rPr>
          <w:rFonts w:ascii="Arial" w:cs="Arial" w:eastAsia="Arial" w:hAnsi="Arial"/>
          <w:sz w:val="18"/>
          <w:szCs w:val="18"/>
          <w:color w:val="auto"/>
        </w:rPr>
      </w:pPr>
    </w:p>
    <w:p>
      <w:pPr>
        <w:jc w:val="both"/>
        <w:ind w:left="1960" w:hanging="655"/>
        <w:spacing w:after="0" w:line="253" w:lineRule="auto"/>
        <w:tabs>
          <w:tab w:leader="none" w:pos="19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Each Option or Stock Appreciation Right shall become exercisable at the time determined by the Committee at the date of grant, subject to the terms and conditions of the Plan. At the time of grant of an Option or Stock Appreciation Right, as applicable, the Committee may impose such restrictions or conditions of the exercisability of the Award as it, in its absolute discretion, deems appropriate, including, but not limited to, achievement of performance goals based on one or more Business Criteria or conditions relating to the completion of a specified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1" w:right="239" w:bottom="1440" w:gutter="0" w:footer="0" w:header="0"/>
        </w:sectPr>
      </w:pPr>
    </w:p>
    <w:bookmarkStart w:id="125" w:name="page126"/>
    <w:bookmarkEnd w:id="125"/>
    <w:p>
      <w:pPr>
        <w:jc w:val="both"/>
        <w:ind w:left="1304"/>
        <w:spacing w:after="0" w:line="251" w:lineRule="auto"/>
        <w:rPr>
          <w:sz w:val="20"/>
          <w:szCs w:val="20"/>
          <w:color w:val="auto"/>
        </w:rPr>
      </w:pPr>
      <w:r>
        <w:rPr>
          <w:rFonts w:ascii="Arial" w:cs="Arial" w:eastAsia="Arial" w:hAnsi="Arial"/>
          <w:sz w:val="18"/>
          <w:szCs w:val="18"/>
          <w:color w:val="auto"/>
        </w:rPr>
        <w:t>period of service. Subject to Section 7(g) hereof, the Committee shall determine the expiration date of each Option and Stock Appreciation Right, as applicable, which shall be no later than the tenth anniversary of the date of grant of the Award. No Option or Stock Appreciation Right, as applicable, may be exercised after the expiration date applicable thereto. If an Option (other than an Incentive Stock Option) has an expiration date during or within three days of a Blackout Period (defined as any period of time when, pursuant to any policies of Huron, any securities of the Corporation may not be traded by certain persons as designated by the Corporation), then the expiration date of such Option shall be extended for a period of 30 days following the end of the Blackout Period or such longer period as permitted by the Committee. Notwithstanding the foregoing, no extension of the exercise period may occur if it would cause the Option to become subject to and in violation of the requirements of Section 409A(a) of the Code.</w:t>
      </w:r>
    </w:p>
    <w:p>
      <w:pPr>
        <w:spacing w:after="0" w:line="159" w:lineRule="exact"/>
        <w:rPr>
          <w:sz w:val="20"/>
          <w:szCs w:val="20"/>
          <w:color w:val="auto"/>
        </w:rPr>
      </w:pPr>
    </w:p>
    <w:p>
      <w:pPr>
        <w:jc w:val="both"/>
        <w:ind w:left="1304" w:hanging="655"/>
        <w:spacing w:after="0" w:line="254" w:lineRule="auto"/>
        <w:tabs>
          <w:tab w:leader="none" w:pos="13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 Option or Stock Appreciation Right shall be exercised by delivering the form of notice of exercise provided by Huron. Unless otherwise provided in the Award Agreement, an Option will be automatically exercised via a broker-assisted cashless exercise upon the expiration date of the Option if the value of a share of Common Stock on the expiration date exceeds the Exercise Price for such Option.</w:t>
      </w:r>
    </w:p>
    <w:p>
      <w:pPr>
        <w:spacing w:after="0" w:line="150" w:lineRule="exact"/>
        <w:rPr>
          <w:rFonts w:ascii="Arial" w:cs="Arial" w:eastAsia="Arial" w:hAnsi="Arial"/>
          <w:sz w:val="18"/>
          <w:szCs w:val="18"/>
          <w:color w:val="auto"/>
        </w:rPr>
      </w:pPr>
    </w:p>
    <w:p>
      <w:pPr>
        <w:jc w:val="both"/>
        <w:ind w:left="1304" w:hanging="655"/>
        <w:spacing w:after="0" w:line="252" w:lineRule="auto"/>
        <w:tabs>
          <w:tab w:leader="none" w:pos="13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Payment for shares of Common Stock purchased upon the exercise of the Option shall be made on the effective date of such exercise by one or a combination of the following means (except that in the case of exercise using a broker-assisted cashless exercise, payment may be made as soon as practicable after exercise): (1) in cash or cash equivalents; (2) by tendering, by actual delivery or attestation, shares of Common Stock owned by the Participant for at least six months prior to the date of exercise and valued on the effective date of such exercise; or (3) by any such other methods (including broker-assisted cashless exercise via a broker selected by the Committee) as the Committee may from time to time authorize; provided, however, that in all cases, the method of making such payment shall be in compliance with applicable law.</w:t>
      </w:r>
    </w:p>
    <w:p>
      <w:pPr>
        <w:spacing w:after="0" w:line="152" w:lineRule="exact"/>
        <w:rPr>
          <w:rFonts w:ascii="Arial" w:cs="Arial" w:eastAsia="Arial" w:hAnsi="Arial"/>
          <w:sz w:val="18"/>
          <w:szCs w:val="18"/>
          <w:color w:val="auto"/>
        </w:rPr>
      </w:pPr>
    </w:p>
    <w:p>
      <w:pPr>
        <w:jc w:val="both"/>
        <w:ind w:left="1304" w:hanging="655"/>
        <w:spacing w:after="0" w:line="254" w:lineRule="auto"/>
        <w:tabs>
          <w:tab w:leader="none" w:pos="13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Payment in settlement of a Stock Appreciation Right may be made solely in whole shares of Common Stock valued on the date of exercise of the Stock Appreciation Right or alternatively, in the sole discretion of the Committee, solely in cash or a combination of cash and shares. If the Committee decides that payment will be made in shares of Common Stock, and the amount payable results in a fractional share, payment for the fractional share will be made in cash.</w:t>
      </w:r>
    </w:p>
    <w:p>
      <w:pPr>
        <w:spacing w:after="0" w:line="150" w:lineRule="exact"/>
        <w:rPr>
          <w:rFonts w:ascii="Arial" w:cs="Arial" w:eastAsia="Arial" w:hAnsi="Arial"/>
          <w:sz w:val="18"/>
          <w:szCs w:val="18"/>
          <w:color w:val="auto"/>
        </w:rPr>
      </w:pPr>
    </w:p>
    <w:p>
      <w:pPr>
        <w:jc w:val="both"/>
        <w:ind w:left="1304" w:hanging="655"/>
        <w:spacing w:after="0" w:line="252" w:lineRule="auto"/>
        <w:tabs>
          <w:tab w:leader="none" w:pos="13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Upon the exercise of an Option or settlement of a Stock Appreciation Right in shares of Common Stock, in a manner determined by the Committee, either (1) certificates for shares of Common Stock shall be issued in the name of or for the account of the Participant or other person entitled to receive such shares or (2) shares of Common Stock shall be credited to such person’s account via book-entry transfer and shall be registered in such person’s name solely on the records of Huron’s transfer agent, in each case, as soon as practicable following the effective date on which the Option or Stock Appreciation Right, as applicable, is exercised.</w:t>
      </w:r>
    </w:p>
    <w:p>
      <w:pPr>
        <w:spacing w:after="0" w:line="132" w:lineRule="exact"/>
        <w:rPr>
          <w:rFonts w:ascii="Arial" w:cs="Arial" w:eastAsia="Arial" w:hAnsi="Arial"/>
          <w:sz w:val="18"/>
          <w:szCs w:val="18"/>
          <w:color w:val="auto"/>
        </w:rPr>
      </w:pPr>
    </w:p>
    <w:p>
      <w:pPr>
        <w:jc w:val="both"/>
        <w:ind w:left="644" w:hanging="644"/>
        <w:spacing w:after="0" w:line="253" w:lineRule="auto"/>
        <w:tabs>
          <w:tab w:leader="none" w:pos="64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Provisions Relating to Incentive Stock Options</w:t>
      </w:r>
      <w:r>
        <w:rPr>
          <w:rFonts w:ascii="Arial" w:cs="Arial" w:eastAsia="Arial" w:hAnsi="Arial"/>
          <w:sz w:val="18"/>
          <w:szCs w:val="18"/>
          <w:color w:val="auto"/>
        </w:rPr>
        <w:t>. Incentive Stock Options may only be granted to employees of Huron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Subsidiaries, in accordance with the provisions of Section 422 of the Code. To the extent that the aggregate Fair Market Value of shares of Common </w:t>
      </w:r>
      <w:r>
        <w:rPr>
          <w:rFonts w:ascii="Arial" w:cs="Arial" w:eastAsia="Arial" w:hAnsi="Arial"/>
          <w:sz w:val="18"/>
          <w:szCs w:val="18"/>
          <w:b w:val="1"/>
          <w:bCs w:val="1"/>
          <w:color w:val="auto"/>
        </w:rPr>
        <w:t>Stock</w:t>
      </w:r>
      <w:r>
        <w:rPr>
          <w:rFonts w:ascii="Arial" w:cs="Arial" w:eastAsia="Arial" w:hAnsi="Arial"/>
          <w:sz w:val="18"/>
          <w:szCs w:val="18"/>
          <w:color w:val="auto"/>
        </w:rPr>
        <w:t xml:space="preserve"> with respect to which Incentive Stock Options are exercisable for the first time by a Participant during any calendar year under the Plan and any other stock option plan of Huron or any of its Subsidiaries shall exceed $100,000, such Options shall be treated as Nonqualified Stock Options. For purposes of the preceding sentence, Fair Market Value shall be determined as of the date on which each such Incentive Stock Option is granted. No Incentive Stock Option may be granted to an individual if, at the time of the proposed grant, such individual owns (or is deemed to own under the Code) stock possessing more than ten percent of the total combined voting power of all classes of stock of Huron and its Subsidiaries unless (i) the exercise price of such Incentive Stock Option is at least 110% of the Fair Market Value of a share of Common Stock at the time such Incentive Stock Option is granted and (ii) such Incentive Stock Option is not exercisable after the expiration of five years from the date such Incentive Stock Option is granted. A Participant shall be required to notify Huron of any disposition of shares of Common Stock issued pursuant to the exercise of an Incentive Stock Option under the circumstances</w:t>
      </w:r>
    </w:p>
    <w:p>
      <w:pPr>
        <w:spacing w:after="0" w:line="37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4"/>
          </w:cols>
          <w:pgMar w:left="896" w:top="571" w:right="239" w:bottom="1440" w:gutter="0" w:footer="0" w:header="0"/>
        </w:sectPr>
      </w:pPr>
    </w:p>
    <w:bookmarkStart w:id="126" w:name="page127"/>
    <w:bookmarkEnd w:id="126"/>
    <w:p>
      <w:pPr>
        <w:ind w:left="644"/>
        <w:spacing w:after="0"/>
        <w:rPr>
          <w:sz w:val="20"/>
          <w:szCs w:val="20"/>
          <w:color w:val="auto"/>
        </w:rPr>
      </w:pPr>
      <w:r>
        <w:rPr>
          <w:rFonts w:ascii="Arial" w:cs="Arial" w:eastAsia="Arial" w:hAnsi="Arial"/>
          <w:sz w:val="18"/>
          <w:szCs w:val="18"/>
          <w:color w:val="auto"/>
        </w:rPr>
        <w:t>described in Section 421(b) of the Code (relating to certain disqualifying dispositions), within 10 days of such disposition.</w:t>
      </w:r>
    </w:p>
    <w:p>
      <w:pPr>
        <w:spacing w:after="0" w:line="149" w:lineRule="exact"/>
        <w:rPr>
          <w:sz w:val="20"/>
          <w:szCs w:val="20"/>
          <w:color w:val="auto"/>
        </w:rPr>
      </w:pPr>
    </w:p>
    <w:p>
      <w:pPr>
        <w:jc w:val="both"/>
        <w:ind w:left="644" w:hanging="644"/>
        <w:spacing w:after="0" w:line="269" w:lineRule="auto"/>
        <w:tabs>
          <w:tab w:leader="none" w:pos="644"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 or Provision of Services on Options and Stock Appreciation Rights</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determine the effect of termination of employment or termination of service on each Option and Stock Appreciation Right, subject to the terms and conditions of the Plan. Unless otherwise provided by the Committee:</w:t>
      </w:r>
    </w:p>
    <w:p>
      <w:pPr>
        <w:spacing w:after="0" w:line="136" w:lineRule="exact"/>
        <w:rPr>
          <w:rFonts w:ascii="Arial" w:cs="Arial" w:eastAsia="Arial" w:hAnsi="Arial"/>
          <w:sz w:val="18"/>
          <w:szCs w:val="18"/>
          <w:color w:val="auto"/>
        </w:rPr>
      </w:pPr>
    </w:p>
    <w:p>
      <w:pPr>
        <w:jc w:val="both"/>
        <w:ind w:left="1304" w:hanging="655"/>
        <w:spacing w:after="0" w:line="254" w:lineRule="auto"/>
        <w:tabs>
          <w:tab w:leader="none" w:pos="130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Option or Stock Appreciation Right that is outstanding on the date on which a Participant’s employment or service with Huron and the Affiliates terminates due to death or as a result of the Participant’s being Disabled shall become fully vested and exercisable on the date on which the Participant’s employment or service terminates due to the Participant’s death or as a result of the Participant’s being Disabled;</w:t>
      </w:r>
    </w:p>
    <w:p>
      <w:pPr>
        <w:spacing w:after="0" w:line="150" w:lineRule="exact"/>
        <w:rPr>
          <w:rFonts w:ascii="Arial" w:cs="Arial" w:eastAsia="Arial" w:hAnsi="Arial"/>
          <w:sz w:val="18"/>
          <w:szCs w:val="18"/>
          <w:color w:val="auto"/>
        </w:rPr>
      </w:pPr>
    </w:p>
    <w:p>
      <w:pPr>
        <w:jc w:val="both"/>
        <w:ind w:left="1304" w:right="20" w:hanging="655"/>
        <w:spacing w:after="0" w:line="256" w:lineRule="auto"/>
        <w:tabs>
          <w:tab w:leader="none" w:pos="130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Option or Stock Appreciation Right that is outstanding on the date on which a Participant’s employment or service with Huron and the Affiliates terminates for Cause, whether or not then exercisable, shall be terminated effective as of the day immediately prior to the date of termination;</w:t>
      </w:r>
    </w:p>
    <w:p>
      <w:pPr>
        <w:spacing w:after="0" w:line="147" w:lineRule="exact"/>
        <w:rPr>
          <w:rFonts w:ascii="Arial" w:cs="Arial" w:eastAsia="Arial" w:hAnsi="Arial"/>
          <w:sz w:val="18"/>
          <w:szCs w:val="18"/>
          <w:color w:val="auto"/>
        </w:rPr>
      </w:pPr>
    </w:p>
    <w:p>
      <w:pPr>
        <w:jc w:val="both"/>
        <w:ind w:left="1304" w:hanging="655"/>
        <w:spacing w:after="0" w:line="252" w:lineRule="auto"/>
        <w:tabs>
          <w:tab w:leader="none" w:pos="130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Option or Stock Appreciation Right that is outstanding on the date that a Participant’s employment or service with Huron and the Affiliates terminates for any reason other than Cause, death, or the Participant’s being Disabled or Retirement, (1) shall remain exercisable for the 90-day period following such termination to the extent that it is exercisable at the time of such termination, but in no event following the expiration of its term and (2) shall be terminated effective as of the date of termination to the extent it remains unexercisable as of the date of termination; and</w:t>
      </w:r>
    </w:p>
    <w:p>
      <w:pPr>
        <w:spacing w:after="0" w:line="154" w:lineRule="exact"/>
        <w:rPr>
          <w:rFonts w:ascii="Arial" w:cs="Arial" w:eastAsia="Arial" w:hAnsi="Arial"/>
          <w:sz w:val="18"/>
          <w:szCs w:val="18"/>
          <w:color w:val="auto"/>
        </w:rPr>
      </w:pPr>
    </w:p>
    <w:p>
      <w:pPr>
        <w:jc w:val="both"/>
        <w:ind w:left="1304" w:hanging="655"/>
        <w:spacing w:after="0" w:line="251" w:lineRule="auto"/>
        <w:tabs>
          <w:tab w:leader="none" w:pos="1304" w:val="left"/>
        </w:tabs>
        <w:numPr>
          <w:ilvl w:val="1"/>
          <w:numId w:val="93"/>
        </w:numPr>
        <w:rPr>
          <w:rFonts w:ascii="Arial" w:cs="Arial" w:eastAsia="Arial" w:hAnsi="Arial"/>
          <w:sz w:val="18"/>
          <w:szCs w:val="18"/>
          <w:color w:val="auto"/>
        </w:rPr>
      </w:pPr>
      <w:r>
        <w:rPr>
          <w:rFonts w:ascii="Arial" w:cs="Arial" w:eastAsia="Arial" w:hAnsi="Arial"/>
          <w:sz w:val="18"/>
          <w:szCs w:val="18"/>
          <w:color w:val="auto"/>
        </w:rPr>
        <w:t>with respect to any Participant who is an employee of Huron or any Affiliate and who is in a position of corporate vice president, managing director or executive officer, any Option or Stock Appreciation Right that is outstanding on the date on which such Participant’s employment with Huron and the Affiliates terminates due to Retirement shall continue to vest and be exercisable in accordance with its terms as though the Participant had remained in the employ of Huron and its Affiliates, provided that the Participant complies with the terms of the non-competition agreement and non-solicitation agreement in the form determined by Huron and signed by the Participant; provided further, however, that the foregoing provisions of this paragraph (iv) shall not apply with respect to any Option or Stock Appreciation Right that is subject to Section 409A of the Code. Notwithstanding the foregoing, if a Participant dies following Retirement, any Option or Stock Appreciation Right that is still outstanding on the date of such Participant’s death shall become fully vested and exercisable on the date of such Participant’s death, and shall expire on the earlier of such Award’s expiration date and the one-year anniversary of the Participant’s death.</w:t>
      </w:r>
    </w:p>
    <w:p>
      <w:pPr>
        <w:spacing w:after="0" w:line="135" w:lineRule="exact"/>
        <w:rPr>
          <w:rFonts w:ascii="Arial" w:cs="Arial" w:eastAsia="Arial" w:hAnsi="Arial"/>
          <w:sz w:val="18"/>
          <w:szCs w:val="18"/>
          <w:color w:val="auto"/>
        </w:rPr>
      </w:pPr>
    </w:p>
    <w:p>
      <w:pPr>
        <w:jc w:val="both"/>
        <w:ind w:left="644" w:hanging="644"/>
        <w:spacing w:after="0" w:line="256" w:lineRule="auto"/>
        <w:tabs>
          <w:tab w:leader="none" w:pos="644"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Leaves of Absence</w:t>
      </w:r>
      <w:r>
        <w:rPr>
          <w:rFonts w:ascii="Arial" w:cs="Arial" w:eastAsia="Arial" w:hAnsi="Arial"/>
          <w:sz w:val="18"/>
          <w:szCs w:val="18"/>
          <w:color w:val="auto"/>
        </w:rPr>
        <w:t>. Unless otherwise provided by the Committee and, with respect to Incentive Stock Options,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under Section 422 of the Code, subject in all cases to the terms and conditions of the Award, in the case of any Participant who takes an approved unpaid leave of absence (i) the Participant’s employment or service shall not be deemed to be terminated solely because of such leave of absence; (ii) the Participant shall continue to vest in his or her outstanding Options and Stock Appreciation Rights under the Plan during the first 30 days of such leave of absence; and the Participant shall cease to vest in his or her outstanding Options and Stock Appreciation Rights under the Plan during any period of such leave of absence which exceeds 30 days.</w:t>
      </w:r>
    </w:p>
    <w:p>
      <w:pPr>
        <w:spacing w:after="0" w:line="129"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Post-Exercise Limitations</w:t>
      </w:r>
      <w:r>
        <w:rPr>
          <w:rFonts w:ascii="Arial" w:cs="Arial" w:eastAsia="Arial" w:hAnsi="Arial"/>
          <w:sz w:val="18"/>
          <w:szCs w:val="18"/>
          <w:color w:val="auto"/>
        </w:rPr>
        <w:t>. Without otherwise limiting the Committee’s authority under the Plan, the Committee,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may impose such restrictions on shares of Common Stock acquired pursuant to the exercise of an Option or received in settlement of a Stock Appreciation Right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4"/>
          </w:cols>
          <w:pgMar w:left="896" w:top="571" w:right="239" w:bottom="1440" w:gutter="0" w:footer="0" w:header="0"/>
        </w:sectPr>
      </w:pPr>
    </w:p>
    <w:bookmarkStart w:id="127" w:name="page128"/>
    <w:bookmarkEnd w:id="127"/>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Full Value Awards and Cash Incentive Awards.</w:t>
      </w:r>
    </w:p>
    <w:p>
      <w:pPr>
        <w:spacing w:after="0" w:line="171"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Grant of Awards</w:t>
      </w:r>
      <w:r>
        <w:rPr>
          <w:rFonts w:ascii="Arial" w:cs="Arial" w:eastAsia="Arial" w:hAnsi="Arial"/>
          <w:sz w:val="18"/>
          <w:szCs w:val="18"/>
          <w:color w:val="auto"/>
        </w:rPr>
        <w:t>. The Committee may grant Full Value Awards and/or Cash Incentive Awards to Eligible Individuals,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the Plan.</w:t>
      </w:r>
    </w:p>
    <w:p>
      <w:pPr>
        <w:spacing w:after="0" w:line="99"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 or Provision of Services on Full Value Awards</w:t>
      </w:r>
      <w:r>
        <w:rPr>
          <w:rFonts w:ascii="Arial" w:cs="Arial" w:eastAsia="Arial" w:hAnsi="Arial"/>
          <w:sz w:val="18"/>
          <w:szCs w:val="18"/>
          <w:color w:val="auto"/>
        </w:rPr>
        <w:t>. The Committee shall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of termination of employment or termination of service on each Full Value Award, subject to the terms and conditions of the Plan. Unless otherwise provided by the Committee:</w:t>
      </w:r>
    </w:p>
    <w:p>
      <w:pPr>
        <w:spacing w:after="0" w:line="136" w:lineRule="exact"/>
        <w:rPr>
          <w:rFonts w:ascii="Arial" w:cs="Arial" w:eastAsia="Arial" w:hAnsi="Arial"/>
          <w:sz w:val="18"/>
          <w:szCs w:val="18"/>
          <w:color w:val="auto"/>
        </w:rPr>
      </w:pPr>
    </w:p>
    <w:p>
      <w:pPr>
        <w:jc w:val="both"/>
        <w:ind w:left="1960" w:hanging="655"/>
        <w:spacing w:after="0" w:line="254" w:lineRule="auto"/>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Full Value Award that is outstanding on the date on which a Participant’s employment or service with Huron and the Affiliates terminates due to death or as a result of the Participant’s being Disabled shall become fully vested (and exercisable, if applicable) on the date on which the Participant’s employment or service terminates due to the Participant’s death or as a result of the Participant’s being Disabled;</w:t>
      </w:r>
    </w:p>
    <w:p>
      <w:pPr>
        <w:spacing w:after="0" w:line="150" w:lineRule="exact"/>
        <w:rPr>
          <w:rFonts w:ascii="Arial" w:cs="Arial" w:eastAsia="Arial" w:hAnsi="Arial"/>
          <w:sz w:val="18"/>
          <w:szCs w:val="18"/>
          <w:color w:val="auto"/>
        </w:rPr>
      </w:pPr>
    </w:p>
    <w:p>
      <w:pPr>
        <w:jc w:val="both"/>
        <w:ind w:left="1960" w:hanging="655"/>
        <w:spacing w:after="0" w:line="254" w:lineRule="auto"/>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 Full Value Award that is outstanding on the date on which a Participant’s employment or service with Huron and the Affiliates terminates for Cause shall be terminated effective as of the day immediately prior to the date of termination and all shares subject to the Full Value Award (whether or not then vested or distributable) shall be terminated effective as of the day immediately prior to the date of termination;</w:t>
      </w:r>
    </w:p>
    <w:p>
      <w:pPr>
        <w:spacing w:after="0" w:line="150" w:lineRule="exact"/>
        <w:rPr>
          <w:rFonts w:ascii="Arial" w:cs="Arial" w:eastAsia="Arial" w:hAnsi="Arial"/>
          <w:sz w:val="18"/>
          <w:szCs w:val="18"/>
          <w:color w:val="auto"/>
        </w:rPr>
      </w:pPr>
    </w:p>
    <w:p>
      <w:pPr>
        <w:jc w:val="both"/>
        <w:ind w:left="1960" w:hanging="655"/>
        <w:spacing w:after="0" w:line="254" w:lineRule="auto"/>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Full Value Award that is outstanding on the date that a Participant’s employment or service with Huron and the Affiliates terminates for any reason other than Cause, death, the Participant’s being Disabled or Retirement and that has not vested on the date of termination (and all rights with respect thereto, such as dividends or dividend equivalents) shall be terminated effective as of the date of termination; and</w:t>
      </w:r>
    </w:p>
    <w:p>
      <w:pPr>
        <w:spacing w:after="0" w:line="150" w:lineRule="exact"/>
        <w:rPr>
          <w:rFonts w:ascii="Arial" w:cs="Arial" w:eastAsia="Arial" w:hAnsi="Arial"/>
          <w:sz w:val="18"/>
          <w:szCs w:val="18"/>
          <w:color w:val="auto"/>
        </w:rPr>
      </w:pPr>
    </w:p>
    <w:p>
      <w:pPr>
        <w:jc w:val="both"/>
        <w:ind w:left="1960" w:hanging="655"/>
        <w:spacing w:after="0" w:line="252" w:lineRule="auto"/>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with respect to any Participant who is an employee of Huron or any Affiliate and who is in a position of corporate vice president, managing director or executive officer, any Full Value Award that is outstanding on the date on which such Participant’s employment with Huron and the Affiliates terminates due to Retirement shall continue to vest and be distributable in accordance with its terms as though the Participant had remained in the employ of Huron and the Affiliates; provided that the Participant complies with the terms of the non-competition agreement and non-solicitation agreement in the form determined by Huron and signed by the Participant. Notwithstanding the foregoing, if a Participant dies following Retirement, any Full Value Award that is still outstanding on the date of such Participant's death shall become fully vested on the date of such Participant's death.</w:t>
      </w:r>
    </w:p>
    <w:p>
      <w:pPr>
        <w:spacing w:after="0" w:line="13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Leaves of Absence</w:t>
      </w:r>
      <w:r>
        <w:rPr>
          <w:rFonts w:ascii="Arial" w:cs="Arial" w:eastAsia="Arial" w:hAnsi="Arial"/>
          <w:sz w:val="18"/>
          <w:szCs w:val="18"/>
          <w:color w:val="auto"/>
        </w:rPr>
        <w:t>. Unless otherwise provided by the Committee, subject in all cases to the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in the case of any Participant who takes an approved unpaid leave of absence (i) the Participant’s employment or service shall not be deemed to be terminated solely because of such leave of absence; (ii) the Participant shall continue to vest in his or her outstanding Full Value Awards under the Plan during the first 30 days of such leave of absence; and the Participant shall cease to vest in his or her outstanding Full Value Awards under the Plan during any period of such leave of absence which exceeds 30 days.</w:t>
      </w:r>
    </w:p>
    <w:p>
      <w:pPr>
        <w:spacing w:after="0" w:line="128"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Without otherwise limiting the Committee’s authority under the Plan, the Committee, in its discretion,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impose such restrictions on shares of Common Stock acquired pursuant to the grant or settlement of a Full Value Award or the payment or retention of a Cash Incentive Award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128"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Performance-Based Compensation. </w:t>
      </w:r>
      <w:r>
        <w:rPr>
          <w:rFonts w:ascii="Arial" w:cs="Arial" w:eastAsia="Arial" w:hAnsi="Arial"/>
          <w:sz w:val="18"/>
          <w:szCs w:val="18"/>
          <w:color w:val="auto"/>
        </w:rPr>
        <w:t>The Committee may designate any Full Value Award or a Cash Incentive Award granted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under the Plan as “Performance-Based Compensation” within the meaning of Section 162(m) of the Code and regulations thereunder. To the extent required by Section162(m) of the Code, any such Award so designated shall be conditioned on the achievement of one or more performance targets as determined by the Committee and the following shall apply: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49" w:right="239" w:bottom="1440" w:gutter="0" w:footer="0" w:header="0"/>
        </w:sectPr>
      </w:pPr>
    </w:p>
    <w:bookmarkStart w:id="128" w:name="page129"/>
    <w:bookmarkEnd w:id="128"/>
    <w:p>
      <w:pPr>
        <w:jc w:val="both"/>
        <w:ind w:left="1300" w:hanging="644"/>
        <w:spacing w:after="0" w:line="256"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Establishment of Performance Criteria</w:t>
      </w:r>
      <w:r>
        <w:rPr>
          <w:rFonts w:ascii="Arial" w:cs="Arial" w:eastAsia="Arial" w:hAnsi="Arial"/>
          <w:sz w:val="18"/>
          <w:szCs w:val="18"/>
          <w:color w:val="auto"/>
        </w:rPr>
        <w:t>. The performance targets established for the performance period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objective (as that term is described in regulations under Section 162(m) of the Code), and shall be established in writing by the Committee not later than 90 days after the beginning of the performance period (but in no event after 25% of the performance period has elapsed), and while the outcome as to the performance targets is substantially uncertain. The performance targets established by the Committee may be with respect to corporate performance, operating group or sub-group performance, individual performance, other group or individual performance, or division performance, and shall be based on one or more of the Business Criteria.</w:t>
      </w:r>
    </w:p>
    <w:p>
      <w:pPr>
        <w:spacing w:after="0" w:line="129"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Certification of Targets</w:t>
      </w:r>
      <w:r>
        <w:rPr>
          <w:rFonts w:ascii="Arial" w:cs="Arial" w:eastAsia="Arial" w:hAnsi="Arial"/>
          <w:sz w:val="18"/>
          <w:szCs w:val="18"/>
          <w:color w:val="auto"/>
        </w:rPr>
        <w:t>. A Participant otherwise entitled to receive a Performance-Based Compensation Award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shall not receive a settlement or payment of the Award until the Committee has determined that the applicable performance target(s) have been attained. To the extent that the Committee exercises discretion in making the determination required by this Section 9(b), such exercise of discretion may not result in an increase in the amount of the payment.</w:t>
      </w:r>
    </w:p>
    <w:p>
      <w:pPr>
        <w:spacing w:after="0" w:line="1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Special Termination Rules</w:t>
      </w:r>
      <w:r>
        <w:rPr>
          <w:rFonts w:ascii="Arial" w:cs="Arial" w:eastAsia="Arial" w:hAnsi="Arial"/>
          <w:sz w:val="18"/>
          <w:szCs w:val="18"/>
          <w:color w:val="auto"/>
        </w:rPr>
        <w:t>. Subject to the other terms and conditions of the Plan, if an Award is intended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Compensation, the Committee may provide that if a Participant’s employment with Huron and the Affiliates terminates because of death or the Participant’s being Disabled, or if a Change of Control occurs prior to the Participant’s termination date, the Participant’s Performance-Based Compensation may become vested without regard to whether the Award would continue to constitute Performance-Based Compensation, subject to the terms of Section 10 below.</w:t>
      </w:r>
    </w:p>
    <w:p>
      <w:pPr>
        <w:spacing w:after="0" w:line="147" w:lineRule="exact"/>
        <w:rPr>
          <w:rFonts w:ascii="Arial" w:cs="Arial" w:eastAsia="Arial" w:hAnsi="Arial"/>
          <w:sz w:val="18"/>
          <w:szCs w:val="18"/>
          <w:color w:val="auto"/>
        </w:rPr>
      </w:pPr>
    </w:p>
    <w:p>
      <w:pPr>
        <w:jc w:val="both"/>
        <w:ind w:left="1300"/>
        <w:spacing w:after="0" w:line="252" w:lineRule="auto"/>
        <w:rPr>
          <w:rFonts w:ascii="Arial" w:cs="Arial" w:eastAsia="Arial" w:hAnsi="Arial"/>
          <w:sz w:val="18"/>
          <w:szCs w:val="18"/>
          <w:color w:val="auto"/>
        </w:rPr>
      </w:pPr>
      <w:r>
        <w:rPr>
          <w:rFonts w:ascii="Arial" w:cs="Arial" w:eastAsia="Arial" w:hAnsi="Arial"/>
          <w:sz w:val="18"/>
          <w:szCs w:val="18"/>
          <w:color w:val="auto"/>
        </w:rPr>
        <w:t>Nothing in this Section 9 shall preclude the Committee from granting Awards under the Plan, or the Committee, Huron or any Affiliate from granting any cash awards outside of the Plan, that are not intended to be Performance-Based Compensation; provided, however, that, at the time of grant of Awards by the Committee (other than a Stock Option or Stock Appreciation Right), the Committee shall designate whether such Awards are intended to constitute Performance-Based Compensation. To the extent that the provisions of this Section 9 reflect the requirements applicable to Performance-Based Compensation, such provisions shall not apply to the portion of an Award, if any, that is not intended to constitute Performance-Based Compensation.</w:t>
      </w:r>
    </w:p>
    <w:p>
      <w:pPr>
        <w:spacing w:after="0" w:line="131" w:lineRule="exact"/>
        <w:rPr>
          <w:rFonts w:ascii="Arial" w:cs="Arial" w:eastAsia="Arial" w:hAnsi="Arial"/>
          <w:sz w:val="18"/>
          <w:szCs w:val="18"/>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without Cause; Termination of Plan without Substitution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1960" w:hanging="655"/>
        <w:spacing w:after="0" w:line="252" w:lineRule="auto"/>
        <w:tabs>
          <w:tab w:leader="none" w:pos="19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Except as otherwise provided in an Agreement or an Alternative Agreement, in the event that (A) a Participant is employed, or performs services as a director or independent contractor, on the date of a Change of Control and the Participant's employment or service, as applicable, is terminated by Huron or the successor to Huron (or a Related Company which is his or her employer) for reasons other than Cause within 12 months following the Change of Control, or (B) the Plan is terminated by Huron or its successor following a Change of Control without provision for the continuation of outstanding Awards hereunder, then (i) all Options and Stock Appreciation Rights which are then outstanding shall become immediately exercisable, and (ii) all other Awards shall become fully vested.</w:t>
      </w:r>
    </w:p>
    <w:p>
      <w:pPr>
        <w:spacing w:after="0" w:line="153" w:lineRule="exact"/>
        <w:rPr>
          <w:rFonts w:ascii="Arial" w:cs="Arial" w:eastAsia="Arial" w:hAnsi="Arial"/>
          <w:sz w:val="18"/>
          <w:szCs w:val="18"/>
          <w:color w:val="auto"/>
        </w:rPr>
      </w:pPr>
    </w:p>
    <w:p>
      <w:pPr>
        <w:jc w:val="both"/>
        <w:ind w:left="1960" w:hanging="655"/>
        <w:spacing w:after="0" w:line="252" w:lineRule="auto"/>
        <w:tabs>
          <w:tab w:leader="none" w:pos="19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In the case of an award constituting Performance-Based Compensation, the phrase "fully vested" in the immediately prior sentence shall mean the greater of (x) vesting at target (or, if target is not defined in the award, vesting at 100% of the number of units granted), or (y) vesting in the award based on the extent, as determined by the Committee, to which the applicable performance metrics have been met during the applicable performance period up through and including the effective date of the Change of Control. If an Agreement or Alternative Agreement contains a vesting provision for a Performance-Based Compensation award that would result in lesser vesting than per this subsection (ii), then the terms of the Agreement or Alternate Agreement, as applicable, shall govern.</w:t>
      </w:r>
    </w:p>
    <w:p>
      <w:pPr>
        <w:spacing w:after="0" w:line="153" w:lineRule="exact"/>
        <w:rPr>
          <w:rFonts w:ascii="Arial" w:cs="Arial" w:eastAsia="Arial" w:hAnsi="Arial"/>
          <w:sz w:val="18"/>
          <w:szCs w:val="18"/>
          <w:color w:val="auto"/>
        </w:rPr>
      </w:pPr>
    </w:p>
    <w:p>
      <w:pPr>
        <w:jc w:val="both"/>
        <w:ind w:left="1960" w:hanging="655"/>
        <w:spacing w:after="0" w:line="254" w:lineRule="auto"/>
        <w:tabs>
          <w:tab w:leader="none" w:pos="19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In addition, to the extent any accelerated exercisability and/or vesting pursuant to clause (B) of Section 10(a)(i) above applies to an award that is deferred compensation subject to, and not exempt from, the provisions of Internal Revenue Code Section 409A, then the definition of "Change of Control" for purposes of accelerated exercisability and/or vesting under clause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49" w:right="239" w:bottom="1440" w:gutter="0" w:footer="0" w:header="0"/>
        </w:sectPr>
      </w:pPr>
    </w:p>
    <w:bookmarkStart w:id="129" w:name="page130"/>
    <w:bookmarkEnd w:id="129"/>
    <w:p>
      <w:pPr>
        <w:ind w:left="2240" w:hanging="287"/>
        <w:spacing w:after="0"/>
        <w:tabs>
          <w:tab w:leader="none" w:pos="2240" w:val="left"/>
        </w:tabs>
        <w:numPr>
          <w:ilvl w:val="2"/>
          <w:numId w:val="97"/>
        </w:numPr>
        <w:rPr>
          <w:rFonts w:ascii="Arial" w:cs="Arial" w:eastAsia="Arial" w:hAnsi="Arial"/>
          <w:sz w:val="18"/>
          <w:szCs w:val="18"/>
          <w:color w:val="auto"/>
        </w:rPr>
      </w:pPr>
      <w:r>
        <w:rPr>
          <w:rFonts w:ascii="Arial" w:cs="Arial" w:eastAsia="Arial" w:hAnsi="Arial"/>
          <w:sz w:val="18"/>
          <w:szCs w:val="18"/>
          <w:color w:val="auto"/>
        </w:rPr>
        <w:t>shall be no broader than the definition allowed by Treasury Regulations Section 1.409A-(3)(i)(5).</w:t>
      </w:r>
    </w:p>
    <w:p>
      <w:pPr>
        <w:spacing w:after="0" w:line="171" w:lineRule="exact"/>
        <w:rPr>
          <w:rFonts w:ascii="Arial" w:cs="Arial" w:eastAsia="Arial" w:hAnsi="Arial"/>
          <w:sz w:val="18"/>
          <w:szCs w:val="18"/>
          <w:color w:val="auto"/>
        </w:rPr>
      </w:pPr>
    </w:p>
    <w:p>
      <w:pPr>
        <w:jc w:val="both"/>
        <w:ind w:left="1300" w:hanging="644"/>
        <w:spacing w:after="0" w:line="252"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Substitution and Continued Employment</w:t>
      </w:r>
      <w:r>
        <w:rPr>
          <w:rFonts w:ascii="Arial" w:cs="Arial" w:eastAsia="Arial" w:hAnsi="Arial"/>
          <w:sz w:val="18"/>
          <w:szCs w:val="18"/>
          <w:color w:val="auto"/>
        </w:rPr>
        <w:t>. If, upon a Change of Control, awards in other shares or securities are substituted for outstanding Awards under the Plan and, immediately following the Change of Control, the Participant becomes employed (if the Participant was an employee immediately prior to the Change of Control) or remains in continued service (as a director or independent contractor if the Participant was a director or independent contractor immediately prior to the Change of Control) of the entity into which Huron merged, or the purchaser of substantially all of the assets of Huron or a successor to such entity or purchaser, then the Participant shall not be treated as having terminated employment or service for purposes of this Section 10 until such time as the Participant terminates employment or service with the merged entity or purchaser (or successor), as applicable.</w:t>
      </w:r>
    </w:p>
    <w:p>
      <w:pPr>
        <w:spacing w:after="0" w:line="152" w:lineRule="exact"/>
        <w:rPr>
          <w:rFonts w:ascii="Arial" w:cs="Arial" w:eastAsia="Arial" w:hAnsi="Arial"/>
          <w:sz w:val="18"/>
          <w:szCs w:val="18"/>
          <w:color w:val="auto"/>
        </w:rPr>
      </w:pPr>
    </w:p>
    <w:p>
      <w:pPr>
        <w:jc w:val="both"/>
        <w:ind w:left="1300" w:hanging="644"/>
        <w:spacing w:after="0" w:line="252"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Failure to Take Comparable Job not Termination. If, as described in subsection 10(b) above, awards in other shares or securities are substituted for outstanding Awards under the Plan in connection with a Change of Control, in the event a Participant is offered employment with a successor to Huron (or an Affiliate) for which the Participant is reasonably qualified and on financial terms and conditions which are comparable to the financial terms and conditions that applied to the Participant's employment immediately prior to the Change of Control, then, if the Participant does not accept the offer of employment and, as a result, the Participant's employment with Huron, the Affiliates and their respective successors is terminated, such Participant shall not be treated as having a termination of employment for purposes of this Section 10.</w:t>
      </w:r>
    </w:p>
    <w:p>
      <w:pPr>
        <w:spacing w:after="0" w:line="13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No person shall have any rights as a stockholder with respect to any shares of Common Stock covered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or relating to any Award until the date of issuance of a stock certificate with respect to such shares or the date of crediting such shares to such person’s account via book-entry transfer. Except for adjustments pursuant to Section 4(f), no adjustment to any Award shall be made for dividends or other rights for which the record date occurs prior to the date such stock certificate is issued or credit via book-entry transfer is made.</w:t>
      </w:r>
    </w:p>
    <w:p>
      <w:pPr>
        <w:spacing w:after="0" w:line="125" w:lineRule="exact"/>
        <w:rPr>
          <w:rFonts w:ascii="Arial" w:cs="Arial" w:eastAsia="Arial" w:hAnsi="Arial"/>
          <w:sz w:val="18"/>
          <w:szCs w:val="18"/>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Limitations of Implied Rights.</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No Right to Employment or Continued Service</w:t>
      </w:r>
      <w:r>
        <w:rPr>
          <w:rFonts w:ascii="Arial" w:cs="Arial" w:eastAsia="Arial" w:hAnsi="Arial"/>
          <w:sz w:val="18"/>
          <w:szCs w:val="18"/>
          <w:color w:val="auto"/>
        </w:rPr>
        <w:t>. Nothing contained in the Plan or any Agreement shall confer upon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any right with respect to the continuation of employment by or provision of services to Huron and the Affiliates or interfere in any way with the right of Huron and the Affiliates, subject to the terms of any separate agreement to the contrary, at any time to terminate such employment or service or to increase or decrease the compensation of any Participant.</w:t>
      </w:r>
    </w:p>
    <w:p>
      <w:pPr>
        <w:spacing w:after="0" w:line="122"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No Claim to Award</w:t>
      </w:r>
      <w:r>
        <w:rPr>
          <w:rFonts w:ascii="Arial" w:cs="Arial" w:eastAsia="Arial" w:hAnsi="Arial"/>
          <w:sz w:val="18"/>
          <w:szCs w:val="18"/>
          <w:color w:val="auto"/>
        </w:rPr>
        <w:t>. No person shall have any claim or right to receive an Award hereunder. The grant of an Award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at any time shall neither require the Committee to grant any other Award to such Participant or other person at any time nor preclude the Committee from making subsequent grants to such Participant or any other person.</w:t>
      </w:r>
    </w:p>
    <w:p>
      <w:pPr>
        <w:spacing w:after="0" w:line="114"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No Right to Assets or Property</w:t>
      </w:r>
      <w:r>
        <w:rPr>
          <w:rFonts w:ascii="Arial" w:cs="Arial" w:eastAsia="Arial" w:hAnsi="Arial"/>
          <w:sz w:val="18"/>
          <w:szCs w:val="18"/>
          <w:color w:val="auto"/>
        </w:rPr>
        <w:t>. Neither a Participant nor any other person shall, by reason of the Plan, acquire any right in</w:t>
      </w:r>
      <w:r>
        <w:rPr>
          <w:rFonts w:ascii="Arial" w:cs="Arial" w:eastAsia="Arial" w:hAnsi="Arial"/>
          <w:sz w:val="18"/>
          <w:szCs w:val="18"/>
          <w:b w:val="1"/>
          <w:bCs w:val="1"/>
          <w:color w:val="auto"/>
        </w:rPr>
        <w:t xml:space="preserve"> </w:t>
      </w:r>
      <w:r>
        <w:rPr>
          <w:rFonts w:ascii="Arial" w:cs="Arial" w:eastAsia="Arial" w:hAnsi="Arial"/>
          <w:sz w:val="18"/>
          <w:szCs w:val="18"/>
          <w:color w:val="auto"/>
        </w:rPr>
        <w:t>or title to any assets, funds or property of Huron or any Affiliate whatsoever, including, without limitation, any specific funds, assets, or other property which Huron or any Affiliate, in its sole discretion, may set aside in anticipation of a liability under the Plan. A Participant shall have only a contractual right to the amounts, if any, payable under the Plan, unsecured by any assets of Huron and any Affiliate. Nothing contained in the Plan shall constitute a guarantee by Huron or any Affiliate that the assets of such companies shall be sufficient to pay any benefits to any person.</w:t>
      </w:r>
    </w:p>
    <w:p>
      <w:pPr>
        <w:spacing w:after="0" w:line="128" w:lineRule="exact"/>
        <w:rPr>
          <w:rFonts w:ascii="Arial" w:cs="Arial" w:eastAsia="Arial" w:hAnsi="Arial"/>
          <w:sz w:val="18"/>
          <w:szCs w:val="18"/>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Securities Matters.</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Compliance with Law</w:t>
      </w:r>
      <w:r>
        <w:rPr>
          <w:rFonts w:ascii="Arial" w:cs="Arial" w:eastAsia="Arial" w:hAnsi="Arial"/>
          <w:sz w:val="18"/>
          <w:szCs w:val="18"/>
          <w:color w:val="auto"/>
        </w:rPr>
        <w:t>. Notwithstanding anything herein to the contrary, Huron shall not be obligated to cause to be issued 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any certificates evidencing shares of Common Stock pursuant to the Plan (or any crediting of shares to a person’s account via book-entry transfer) unless and until Huron is advised by its counsel (which may be Huron’s in-house counsel) that the issuance and delivery of such certificates (or crediting of such shares to an account) is in compliance with all applicable laws, regulations of governmental authority and the requirements of any securities exchange on which shares of Common Stock are traded. The Committee may require, as a condition of the issuance and delivery of certificates (or crediting to an account) pursuant to the terms hereof, that the recipient 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71" w:right="239" w:bottom="1440" w:gutter="0" w:footer="0" w:header="0"/>
        </w:sectPr>
      </w:pPr>
    </w:p>
    <w:bookmarkStart w:id="130" w:name="page131"/>
    <w:bookmarkEnd w:id="130"/>
    <w:p>
      <w:pPr>
        <w:ind w:left="1300"/>
        <w:spacing w:after="0" w:line="262" w:lineRule="auto"/>
        <w:rPr>
          <w:sz w:val="20"/>
          <w:szCs w:val="20"/>
          <w:color w:val="auto"/>
        </w:rPr>
      </w:pPr>
      <w:r>
        <w:rPr>
          <w:rFonts w:ascii="Arial" w:cs="Arial" w:eastAsia="Arial" w:hAnsi="Arial"/>
          <w:sz w:val="18"/>
          <w:szCs w:val="18"/>
          <w:color w:val="auto"/>
        </w:rPr>
        <w:t>such shares make such agreements and representations, and that, if applicable, such certificates bear such legends, as the Committee, in its sole discretion, deems necessary or advisable.</w:t>
      </w:r>
    </w:p>
    <w:p>
      <w:pPr>
        <w:spacing w:after="0" w:line="120" w:lineRule="exact"/>
        <w:rPr>
          <w:sz w:val="20"/>
          <w:szCs w:val="20"/>
          <w:color w:val="auto"/>
        </w:rPr>
      </w:pPr>
    </w:p>
    <w:p>
      <w:pPr>
        <w:jc w:val="both"/>
        <w:ind w:left="1300" w:hanging="644"/>
        <w:spacing w:after="0" w:line="255" w:lineRule="auto"/>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Transfer of Shares</w:t>
      </w:r>
      <w:r>
        <w:rPr>
          <w:rFonts w:ascii="Arial" w:cs="Arial" w:eastAsia="Arial" w:hAnsi="Arial"/>
          <w:sz w:val="18"/>
          <w:szCs w:val="18"/>
          <w:color w:val="auto"/>
        </w:rPr>
        <w:t>. The transfer of any shares of Common Stock hereunder shall be effective only at such time as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Huron (which may be Huron’s in-house counsel) shall have determined that the issuance and delivery of such shares is in compliance with all applicable laws, regulations of governmental authority and the requirements of any securities exchange on which shares of Common Stock are traded. The Committee may, in its sole discretion, defer the effectiveness of any transfer of shares of Common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27"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All Awards and other payments under the Plan are subject to withholding of all applicable taxes. Whenever cash</w:t>
      </w:r>
      <w:r>
        <w:rPr>
          <w:rFonts w:ascii="Arial" w:cs="Arial" w:eastAsia="Arial" w:hAnsi="Arial"/>
          <w:sz w:val="18"/>
          <w:szCs w:val="18"/>
          <w:b w:val="1"/>
          <w:bCs w:val="1"/>
          <w:color w:val="auto"/>
        </w:rPr>
        <w:t xml:space="preserve"> </w:t>
      </w:r>
      <w:r>
        <w:rPr>
          <w:rFonts w:ascii="Arial" w:cs="Arial" w:eastAsia="Arial" w:hAnsi="Arial"/>
          <w:sz w:val="18"/>
          <w:szCs w:val="18"/>
          <w:color w:val="auto"/>
        </w:rPr>
        <w:t>is to be paid pursuant to an Award, Huron and the Affiliates shall have the right to deduct therefrom an amount sufficient to satisfy any federal, state and local withholding tax requirements related thereto. Whenever shares of Common Stock are to be delivered pursuant to an Award, Huron and the Affiliates shall have the right to require the Participant to remit to Huron and the Affiliates in cash an amount sufficient to satisfy any federal, state and local withholding tax requirements related thereto. With the approval of the Committee, a Participant may satisfy the foregoing requirement by electing to have Huron and the Affiliates withhold from delivery shares of Common Stock having a value equal to the amount of tax required to be withheld, as determined by the Committee or through the surrender of shares of Common Stock which the Participant already owns. As determined solely by Huron and the Affiliates, the number of shares used for withholding may exceed the number needed to satisfy the required withholding but shall not exceed the number of shares of Common Stock needed for the maximum tax withholding under applicable law (or other rates that will not have a negative accounting impact). Such a withholding election may be made by the Participant with respect to all or any portion of the shares to be delivered pursuant to an Award.</w:t>
      </w:r>
    </w:p>
    <w:p>
      <w:pPr>
        <w:spacing w:after="0" w:line="136"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Notification of Election Under Section 83(b) of the Code. </w:t>
      </w:r>
      <w:r>
        <w:rPr>
          <w:rFonts w:ascii="Arial" w:cs="Arial" w:eastAsia="Arial" w:hAnsi="Arial"/>
          <w:sz w:val="18"/>
          <w:szCs w:val="18"/>
          <w:color w:val="auto"/>
        </w:rPr>
        <w:t>If any Participant shall, in connection with the acquisition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Plan, make the election permitted under Section 83(b) of the Code, such Participant shall notify Huron of such election within 10 days of filing notice of the election with the Internal Revenue Service.</w:t>
      </w:r>
    </w:p>
    <w:p>
      <w:pPr>
        <w:spacing w:after="0" w:line="114"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Amendment or Termination of the Plan. </w:t>
      </w:r>
      <w:r>
        <w:rPr>
          <w:rFonts w:ascii="Arial" w:cs="Arial" w:eastAsia="Arial" w:hAnsi="Arial"/>
          <w:sz w:val="18"/>
          <w:szCs w:val="18"/>
          <w:color w:val="auto"/>
        </w:rPr>
        <w:t>The Board of Directors may, at any time, suspend or terminate the Plan or revise or amend</w:t>
      </w:r>
      <w:r>
        <w:rPr>
          <w:rFonts w:ascii="Arial" w:cs="Arial" w:eastAsia="Arial" w:hAnsi="Arial"/>
          <w:sz w:val="18"/>
          <w:szCs w:val="18"/>
          <w:b w:val="1"/>
          <w:bCs w:val="1"/>
          <w:color w:val="auto"/>
        </w:rPr>
        <w:t xml:space="preserve"> </w:t>
      </w:r>
      <w:r>
        <w:rPr>
          <w:rFonts w:ascii="Arial" w:cs="Arial" w:eastAsia="Arial" w:hAnsi="Arial"/>
          <w:sz w:val="18"/>
          <w:szCs w:val="18"/>
          <w:color w:val="auto"/>
        </w:rPr>
        <w:t>it in any respect whatsoever; provided, however, that approval of Huron’s stockholders shall be required for any such amendment if and to the extent such approval is required in order to comply with applicable law (including, but not limited to, the Incentive Stock Option regulations and any amendments thereto), or stock exchange or automated quotation system listing requirement. Without limiting the generality of the foregoing, no amendment of the Plan will be made without the approval of Huron’s stockholders if such amendment would (a) materially increase the benefits accruing to a Participant under the Plan; increase the aggregate number of shares of Common Stock that may be issued under the Plan; (c) modify the requirements as to eligibility for participation in the Plan; or (d) be required under Section 7(d) of the Plan (relating to prohibitions on repricing and buy-backs).</w:t>
      </w:r>
    </w:p>
    <w:p>
      <w:pPr>
        <w:spacing w:after="0" w:line="153"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Nothing in this Section 16 shall restrict the Committee’s ability to exercise its discretionary authority pursuant to Sections 4 and 5, which discretion may be exercised without amendment to the Plan. No action hereunder may, without the consent of a Participant, reduce the Participant’s rights under any outstanding Award.</w:t>
      </w:r>
    </w:p>
    <w:p>
      <w:pPr>
        <w:spacing w:after="0" w:line="125" w:lineRule="exact"/>
        <w:rPr>
          <w:rFonts w:ascii="Arial" w:cs="Arial" w:eastAsia="Arial" w:hAnsi="Arial"/>
          <w:sz w:val="18"/>
          <w:szCs w:val="18"/>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Awards under the Plan are not transferable except as designated by the Participant by will or by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Huron unless the Committee shall have been furnished with (i) written notice thereof and with a copy of the will and/or such evidence as the Committee may deem necessary to establish the validity of the transfer and (ii) an agreement by the transferee to comply with all the terms and conditions 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71" w:right="239" w:bottom="1440" w:gutter="0" w:footer="0" w:header="0"/>
        </w:sectPr>
      </w:pPr>
    </w:p>
    <w:bookmarkStart w:id="131" w:name="page132"/>
    <w:bookmarkEnd w:id="131"/>
    <w:p>
      <w:pPr>
        <w:ind w:left="1300"/>
        <w:spacing w:after="0" w:line="262" w:lineRule="auto"/>
        <w:rPr>
          <w:sz w:val="20"/>
          <w:szCs w:val="20"/>
          <w:color w:val="auto"/>
        </w:rPr>
      </w:pPr>
      <w:r>
        <w:rPr>
          <w:rFonts w:ascii="Arial" w:cs="Arial" w:eastAsia="Arial" w:hAnsi="Arial"/>
          <w:sz w:val="18"/>
          <w:szCs w:val="18"/>
          <w:color w:val="auto"/>
        </w:rPr>
        <w:t>the Award that are or would have been applicable to the Participant and to be bound by the acknowledgments made by the Participant in connection with the grant of the Award.</w:t>
      </w:r>
    </w:p>
    <w:p>
      <w:pPr>
        <w:spacing w:after="0" w:line="120" w:lineRule="exact"/>
        <w:rPr>
          <w:sz w:val="20"/>
          <w:szCs w:val="20"/>
          <w:color w:val="auto"/>
        </w:rPr>
      </w:pPr>
    </w:p>
    <w:p>
      <w:pPr>
        <w:jc w:val="both"/>
        <w:ind w:left="1300" w:hanging="644"/>
        <w:spacing w:after="0" w:line="255" w:lineRule="auto"/>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Family Members</w:t>
      </w:r>
      <w:r>
        <w:rPr>
          <w:rFonts w:ascii="Arial" w:cs="Arial" w:eastAsia="Arial" w:hAnsi="Arial"/>
          <w:sz w:val="18"/>
          <w:szCs w:val="18"/>
          <w:color w:val="auto"/>
        </w:rPr>
        <w:t>. Notwithstanding Section 17(a), during a Participant’s lifetime, the Committee may,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provisions set forth in this Section 17(b), permit the transfer, assignment or other encumbrance of an outstanding Option, unless such Option is an Incentive Stock Option and the Committee and the Participant intend that it shall retain such status. Subject to the approval of the Committee and to any conditions that the Committee may prescribe, a Participant may, upon providing written notice to Huron,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provided, however, that no such transfer by any Participant may be made in exchange for consideration. Any such transferee must agree, in writing, to be bound by all terms and conditions of the Plan.</w:t>
      </w:r>
    </w:p>
    <w:p>
      <w:pPr>
        <w:spacing w:after="0" w:line="127" w:lineRule="exact"/>
        <w:rPr>
          <w:rFonts w:ascii="Arial" w:cs="Arial" w:eastAsia="Arial" w:hAnsi="Arial"/>
          <w:sz w:val="18"/>
          <w:szCs w:val="18"/>
          <w:color w:val="auto"/>
        </w:rPr>
      </w:pPr>
    </w:p>
    <w:p>
      <w:pPr>
        <w:jc w:val="both"/>
        <w:ind w:left="1300" w:hanging="644"/>
        <w:spacing w:after="0" w:line="262" w:lineRule="auto"/>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Beneficiary</w:t>
      </w:r>
      <w:r>
        <w:rPr>
          <w:rFonts w:ascii="Arial" w:cs="Arial" w:eastAsia="Arial" w:hAnsi="Arial"/>
          <w:sz w:val="18"/>
          <w:szCs w:val="18"/>
          <w:color w:val="auto"/>
        </w:rPr>
        <w:t>. A Participant may file with the Committee a written designation of a beneficiary on such form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22" w:lineRule="exact"/>
        <w:rPr>
          <w:rFonts w:ascii="Arial" w:cs="Arial" w:eastAsia="Arial" w:hAnsi="Arial"/>
          <w:sz w:val="18"/>
          <w:szCs w:val="18"/>
          <w:color w:val="auto"/>
        </w:rPr>
      </w:pPr>
    </w:p>
    <w:p>
      <w:pPr>
        <w:ind w:left="660" w:hanging="65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or document required to be filed with the Committee under the Plan will be properly filed if delivered or</w:t>
      </w:r>
      <w:r>
        <w:rPr>
          <w:rFonts w:ascii="Arial" w:cs="Arial" w:eastAsia="Arial" w:hAnsi="Arial"/>
          <w:sz w:val="18"/>
          <w:szCs w:val="18"/>
          <w:b w:val="1"/>
          <w:bCs w:val="1"/>
          <w:color w:val="auto"/>
        </w:rPr>
        <w:t xml:space="preserve"> </w:t>
      </w:r>
      <w:r>
        <w:rPr>
          <w:rFonts w:ascii="Arial" w:cs="Arial" w:eastAsia="Arial" w:hAnsi="Arial"/>
          <w:sz w:val="18"/>
          <w:szCs w:val="18"/>
          <w:color w:val="auto"/>
        </w:rPr>
        <w:t>mailed by registered mail, postage prepaid, to the Committee, in care of Huron at its principal executive offices. The Committee may, by advance written notice to affected persons, revise such notice procedure from time to time. Any notice required under the Plan (other than exercise notice) may be waived by the person entitled to notice.</w:t>
      </w:r>
    </w:p>
    <w:p>
      <w:pPr>
        <w:spacing w:after="0" w:line="122" w:lineRule="exact"/>
        <w:rPr>
          <w:rFonts w:ascii="Arial" w:cs="Arial" w:eastAsia="Arial" w:hAnsi="Arial"/>
          <w:sz w:val="18"/>
          <w:szCs w:val="18"/>
          <w:color w:val="auto"/>
        </w:rPr>
      </w:pPr>
    </w:p>
    <w:p>
      <w:pPr>
        <w:jc w:val="both"/>
        <w:ind w:left="1300" w:hanging="644"/>
        <w:spacing w:after="0" w:line="262"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Form and Time of Elections</w:t>
      </w:r>
      <w:r>
        <w:rPr>
          <w:rFonts w:ascii="Arial" w:cs="Arial" w:eastAsia="Arial" w:hAnsi="Arial"/>
          <w:sz w:val="18"/>
          <w:szCs w:val="18"/>
          <w:color w:val="auto"/>
        </w:rPr>
        <w:t>. Unless otherwise specified herein, each election required or permitted to be made by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122"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The Committee may require a Participant to enter into an Agreement evidencing the Award, which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contain such terms and conditions, not inconsistent with the Plan, as the Committee determines in its discretion.</w:t>
      </w:r>
    </w:p>
    <w:p>
      <w:pPr>
        <w:spacing w:after="0" w:line="99" w:lineRule="exact"/>
        <w:rPr>
          <w:rFonts w:ascii="Arial" w:cs="Arial" w:eastAsia="Arial" w:hAnsi="Arial"/>
          <w:sz w:val="18"/>
          <w:szCs w:val="18"/>
          <w:color w:val="auto"/>
        </w:rPr>
      </w:pPr>
    </w:p>
    <w:p>
      <w:pPr>
        <w:jc w:val="both"/>
        <w:ind w:left="1300" w:hanging="644"/>
        <w:spacing w:after="0" w:line="262"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Liability for Cash Payments</w:t>
      </w:r>
      <w:r>
        <w:rPr>
          <w:rFonts w:ascii="Arial" w:cs="Arial" w:eastAsia="Arial" w:hAnsi="Arial"/>
          <w:sz w:val="18"/>
          <w:szCs w:val="18"/>
          <w:color w:val="auto"/>
        </w:rPr>
        <w:t>. Subject to the terms and conditions of the Plan, Huron and each Affiliate shall be liable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cash due under the Plan with respect to any Participant to the extent that such benefits are attributable to the service rendered for Huron or the Affiliate, as applicable, by the Participant. Any disputes relating to the liability of Huron or an Affiliate for cash payments shall be resolved by the Committee.</w:t>
      </w:r>
    </w:p>
    <w:p>
      <w:pPr>
        <w:spacing w:after="0" w:line="122"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Evidence</w:t>
      </w:r>
      <w:r>
        <w:rPr>
          <w:rFonts w:ascii="Arial" w:cs="Arial" w:eastAsia="Arial" w:hAnsi="Arial"/>
          <w:sz w:val="18"/>
          <w:szCs w:val="18"/>
          <w:color w:val="auto"/>
        </w:rPr>
        <w:t>. Evidence required of anyone under the Plan may be by certificate, affidavit, document or other information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acting on it considers pertinent and reliable, and signed, made or presented by the proper party or parties.</w:t>
      </w:r>
    </w:p>
    <w:p>
      <w:pPr>
        <w:spacing w:after="0" w:line="99"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Gender and Number</w:t>
      </w:r>
      <w:r>
        <w:rPr>
          <w:rFonts w:ascii="Arial" w:cs="Arial" w:eastAsia="Arial" w:hAnsi="Arial"/>
          <w:sz w:val="18"/>
          <w:szCs w:val="18"/>
          <w:color w:val="auto"/>
        </w:rPr>
        <w:t>. Where the context admits, words in any gender shall include any other gender, words in the singular</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plural and the plural shall include the singular.</w:t>
      </w:r>
    </w:p>
    <w:p>
      <w:pPr>
        <w:spacing w:after="0" w:line="99"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Expenses and Receipts</w:t>
      </w:r>
      <w:r>
        <w:rPr>
          <w:rFonts w:ascii="Arial" w:cs="Arial" w:eastAsia="Arial" w:hAnsi="Arial"/>
          <w:sz w:val="18"/>
          <w:szCs w:val="18"/>
          <w:color w:val="auto"/>
        </w:rPr>
        <w:t>. The expenses of the Plan shall be paid by Huron. Any proceeds received by Huron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Award may be used for general corporate purposes.</w:t>
      </w:r>
    </w:p>
    <w:p>
      <w:pPr>
        <w:spacing w:after="0" w:line="99"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Applicable Law, Venue</w:t>
      </w:r>
      <w:r>
        <w:rPr>
          <w:rFonts w:ascii="Arial" w:cs="Arial" w:eastAsia="Arial" w:hAnsi="Arial"/>
          <w:sz w:val="18"/>
          <w:szCs w:val="18"/>
          <w:color w:val="auto"/>
        </w:rPr>
        <w:t>. Except to the extent preempted by any applicable federal law, the Plan shall be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in accordance with the laws of the State of Delaware without reference to its principles of conflicts of law. Any legal action related to this Plan shall be brought only in a federal or state court located in Chicago, Illinois.</w:t>
      </w:r>
    </w:p>
    <w:p>
      <w:pPr>
        <w:spacing w:after="0" w:line="114"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No Fractional Shares</w:t>
      </w:r>
      <w:r>
        <w:rPr>
          <w:rFonts w:ascii="Arial" w:cs="Arial" w:eastAsia="Arial" w:hAnsi="Arial"/>
          <w:sz w:val="18"/>
          <w:szCs w:val="18"/>
          <w:color w:val="auto"/>
        </w:rPr>
        <w:t>. No fractional shares of Common Stock shall be issued or delivered pursuant to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determine whether cash, other Awards, or other property shall be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71" w:right="239" w:bottom="1440" w:gutter="0" w:footer="0" w:header="0"/>
        </w:sectPr>
      </w:pPr>
    </w:p>
    <w:bookmarkStart w:id="132" w:name="page133"/>
    <w:bookmarkEnd w:id="132"/>
    <w:p>
      <w:pPr>
        <w:ind w:left="1300"/>
        <w:spacing w:after="0" w:line="262" w:lineRule="auto"/>
        <w:rPr>
          <w:sz w:val="20"/>
          <w:szCs w:val="20"/>
          <w:color w:val="auto"/>
        </w:rPr>
      </w:pPr>
      <w:r>
        <w:rPr>
          <w:rFonts w:ascii="Arial" w:cs="Arial" w:eastAsia="Arial" w:hAnsi="Arial"/>
          <w:sz w:val="18"/>
          <w:szCs w:val="18"/>
          <w:color w:val="auto"/>
        </w:rPr>
        <w:t>issued or paid in lieu of such fractional shares or whether such fractional shares or any rights thereto shall be forfeited or otherwise eliminated.</w:t>
      </w:r>
    </w:p>
    <w:p>
      <w:pPr>
        <w:spacing w:after="0" w:line="120" w:lineRule="exact"/>
        <w:rPr>
          <w:sz w:val="20"/>
          <w:szCs w:val="20"/>
          <w:color w:val="auto"/>
        </w:rPr>
      </w:pPr>
    </w:p>
    <w:p>
      <w:pPr>
        <w:ind w:left="660" w:right="20" w:hanging="652"/>
        <w:spacing w:after="0" w:line="28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the Plan is held to be invalid or unenforceable, the other provisions of the Plan shall not be affected but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applied as if the invalid or unenforceable provision had not been included in the Plan.</w:t>
      </w:r>
    </w:p>
    <w:p>
      <w:pPr>
        <w:spacing w:after="0" w:line="99"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Foreign Employees. </w:t>
      </w:r>
      <w:r>
        <w:rPr>
          <w:rFonts w:ascii="Arial" w:cs="Arial" w:eastAsia="Arial" w:hAnsi="Arial"/>
          <w:sz w:val="18"/>
          <w:szCs w:val="18"/>
          <w:color w:val="auto"/>
        </w:rPr>
        <w:t>Notwithstanding any other provision of the Plan to the contrary, the Committee may grant Awards to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who are foreign 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Huron or an Affiliate operates or has employees.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(as of December 31,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Name</w:t>
            </w: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7"/>
        </w:trPr>
        <w:tc>
          <w:tcPr>
            <w:tcW w:w="45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Consulting Group Holdings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Huron Consulting Services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Huron Consulting South East Asia PTE. LTD.</w:t>
            </w:r>
          </w:p>
        </w:tc>
        <w:tc>
          <w:tcPr>
            <w:tcW w:w="4620" w:type="dxa"/>
            <w:vAlign w:val="bottom"/>
          </w:tcPr>
          <w:p>
            <w:pPr>
              <w:jc w:val="center"/>
              <w:spacing w:after="0"/>
              <w:rPr>
                <w:sz w:val="20"/>
                <w:szCs w:val="20"/>
                <w:color w:val="auto"/>
              </w:rPr>
            </w:pPr>
            <w:r>
              <w:rPr>
                <w:rFonts w:ascii="Arial" w:cs="Arial" w:eastAsia="Arial" w:hAnsi="Arial"/>
                <w:sz w:val="18"/>
                <w:szCs w:val="18"/>
                <w:color w:val="auto"/>
                <w:w w:val="90"/>
              </w:rPr>
              <w:t>Singapore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Consulting Saudi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1"/>
              </w:rPr>
              <w:t>Saudi Arabia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Saudi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1"/>
              </w:rPr>
              <w:t>Saudi Arabia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Huron Management Services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Huron Demand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Conseillers Huron Canada Limitée</w:t>
            </w:r>
          </w:p>
        </w:tc>
        <w:tc>
          <w:tcPr>
            <w:tcW w:w="462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Huron Technologies Inc.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Transaction Advisory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Studer Holdings, Inc.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The Studer Group,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Eurasia India Private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Pope Woodhead and Associates</w:t>
            </w:r>
          </w:p>
        </w:tc>
        <w:tc>
          <w:tcPr>
            <w:tcW w:w="4620" w:type="dxa"/>
            <w:vAlign w:val="bottom"/>
          </w:tcPr>
          <w:p>
            <w:pPr>
              <w:jc w:val="center"/>
              <w:spacing w:after="0"/>
              <w:rPr>
                <w:sz w:val="20"/>
                <w:szCs w:val="20"/>
                <w:color w:val="auto"/>
              </w:rPr>
            </w:pPr>
            <w:r>
              <w:rPr>
                <w:rFonts w:ascii="Arial" w:cs="Arial" w:eastAsia="Arial" w:hAnsi="Arial"/>
                <w:sz w:val="18"/>
                <w:szCs w:val="18"/>
                <w:color w:val="auto"/>
                <w:w w:val="88"/>
              </w:rPr>
              <w:t>England and Wales</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Innosight Holdings,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Innosight International,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Innosight Consulting Asia Pacific PTE. LTD.</w:t>
            </w:r>
          </w:p>
        </w:tc>
        <w:tc>
          <w:tcPr>
            <w:tcW w:w="4620" w:type="dxa"/>
            <w:vAlign w:val="bottom"/>
          </w:tcPr>
          <w:p>
            <w:pPr>
              <w:jc w:val="center"/>
              <w:spacing w:after="0"/>
              <w:rPr>
                <w:sz w:val="20"/>
                <w:szCs w:val="20"/>
                <w:color w:val="auto"/>
              </w:rPr>
            </w:pPr>
            <w:r>
              <w:rPr>
                <w:rFonts w:ascii="Arial" w:cs="Arial" w:eastAsia="Arial" w:hAnsi="Arial"/>
                <w:sz w:val="18"/>
                <w:szCs w:val="18"/>
                <w:color w:val="auto"/>
                <w:w w:val="90"/>
              </w:rPr>
              <w:t>Singapore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Innosight Consulting SARL</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Innosight Consulting,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Huron Aviation One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6"/>
              </w:rPr>
              <w:t>Huron Aviation Two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Huron Managed Services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520"/>
          </w:cols>
          <w:pgMar w:left="1140" w:top="553"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333-119697, 333-137107, 333-166542, 333-181445, 333-196397, 333-204353, 333-218108, and 333-231566) of Huron Consulting Group Inc. of our report dated February 25, 2020 relating to the financial statements and the effectiveness of internal control over financial reporting, which appears in this Form 10-K.</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Illinois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553"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30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30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53"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 2019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27" w:lineRule="exact"/>
        <w:rPr>
          <w:sz w:val="20"/>
          <w:szCs w:val="20"/>
          <w:color w:val="auto"/>
        </w:rPr>
      </w:pPr>
    </w:p>
    <w:p>
      <w:pPr>
        <w:ind w:left="820" w:hanging="326"/>
        <w:spacing w:after="0"/>
        <w:tabs>
          <w:tab w:leader="none" w:pos="8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30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420"/>
          </w:cols>
          <w:pgMar w:left="240" w:top="553"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In connection with the Annual Report of Huron Consulting Group Inc. (the "Company") on Form 10-K for the year ended December 31, 2019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30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lvl w:ilvl="1">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1)"/>
      <w:numFmt w:val="decimal"/>
      <w:start w:val="1"/>
    </w:lvl>
  </w:abstractNum>
  <w:abstractNum w:abstractNumId="12">
    <w:nsid w:val="D34B6A8"/>
    <w:multiLevelType w:val="hybridMultilevel"/>
    <w:lvl w:ilvl="0">
      <w:lvlJc w:val="left"/>
      <w:lvlText w:val="(%1)"/>
      <w:numFmt w:val="decimal"/>
      <w:start w:val="1"/>
    </w:lvl>
  </w:abstractNum>
  <w:abstractNum w:abstractNumId="13">
    <w:nsid w:val="10233C99"/>
    <w:multiLevelType w:val="hybridMultilevel"/>
    <w:lvl w:ilvl="0">
      <w:lvlJc w:val="left"/>
      <w:lvlText w:val="(%1)"/>
      <w:numFmt w:val="lowerRoman"/>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1."/>
      <w:numFmt w:val="decimal"/>
      <w:start w:val="2"/>
    </w:lvl>
  </w:abstractNum>
  <w:abstractNum w:abstractNumId="17">
    <w:nsid w:val="77AE35EB"/>
    <w:multiLevelType w:val="hybridMultilevel"/>
    <w:lvl w:ilvl="0">
      <w:lvlJc w:val="left"/>
      <w:lvlText w:val="&amp;"/>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1."/>
      <w:numFmt w:val="decimal"/>
      <w:start w:val="8"/>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1)"/>
      <w:numFmt w:val="decimal"/>
      <w:start w:val="1"/>
    </w:lvl>
  </w:abstractNum>
  <w:abstractNum w:abstractNumId="27">
    <w:nsid w:val="5DB70AE5"/>
    <w:multiLevelType w:val="hybridMultilevel"/>
    <w:lvl w:ilvl="0">
      <w:lvlJc w:val="left"/>
      <w:lvlText w:val="%1."/>
      <w:numFmt w:val="decimal"/>
      <w:start w:val="18"/>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decimal"/>
      <w:start w:val="1"/>
    </w:lvl>
  </w:abstractNum>
  <w:abstractNum w:abstractNumId="31">
    <w:nsid w:val="5F5E7FD0"/>
    <w:multiLevelType w:val="hybridMultilevel"/>
    <w:lvl w:ilvl="0">
      <w:lvlJc w:val="left"/>
      <w:lvlText w:val="(%1)"/>
      <w:numFmt w:val="decimal"/>
      <w:start w:val="1"/>
    </w:lvl>
  </w:abstractNum>
  <w:abstractNum w:abstractNumId="32">
    <w:nsid w:val="98A3148"/>
    <w:multiLevelType w:val="hybridMultilevel"/>
    <w:lvl w:ilvl="0">
      <w:lvlJc w:val="left"/>
      <w:lvlText w:val="(%1)"/>
      <w:numFmt w:val="decimal"/>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1."/>
      <w:numFmt w:val="upperLetter"/>
      <w:start w:val="1"/>
    </w:lvl>
  </w:abstractNum>
  <w:abstractNum w:abstractNumId="36">
    <w:nsid w:val="168E121F"/>
    <w:multiLevelType w:val="hybridMultilevel"/>
    <w:lvl w:ilvl="0">
      <w:lvlJc w:val="left"/>
      <w:lvlText w:val="%1."/>
      <w:numFmt w:val="decimal"/>
      <w:start w:val="1"/>
    </w:lvl>
    <w:lvl w:ilvl="1">
      <w:lvlJc w:val="left"/>
      <w:lvlText w:val="(%2)"/>
      <w:numFmt w:val="lowerLetter"/>
      <w:start w:val="1"/>
    </w:lvl>
  </w:abstractNum>
  <w:abstractNum w:abstractNumId="37">
    <w:nsid w:val="1EBA5D23"/>
    <w:multiLevelType w:val="hybridMultilevel"/>
    <w:lvl w:ilvl="0">
      <w:lvlJc w:val="left"/>
      <w:lvlText w:val="%1"/>
      <w:numFmt w:val="lowerLetter"/>
      <w:start w:val="1"/>
    </w:lvl>
    <w:lvl w:ilvl="1">
      <w:lvlJc w:val="left"/>
      <w:lvlText w:val="(%2)"/>
      <w:numFmt w:val="lowerLetter"/>
      <w:start w:val="2"/>
    </w:lvl>
  </w:abstractNum>
  <w:abstractNum w:abstractNumId="38">
    <w:nsid w:val="661E3F1E"/>
    <w:multiLevelType w:val="hybridMultilevel"/>
    <w:lvl w:ilvl="0">
      <w:lvlJc w:val="left"/>
      <w:lvlText w:val="(%1)"/>
      <w:numFmt w:val="lowerLetter"/>
      <w:start w:val="2"/>
    </w:lvl>
    <w:lvl w:ilvl="1">
      <w:lvlJc w:val="left"/>
      <w:lvlText w:val="%2"/>
      <w:numFmt w:val="lowerLetter"/>
      <w:start w:val="1"/>
    </w:lvl>
  </w:abstractNum>
  <w:abstractNum w:abstractNumId="39">
    <w:nsid w:val="5DC79EA8"/>
    <w:multiLevelType w:val="hybridMultilevel"/>
    <w:lvl w:ilvl="0">
      <w:lvlJc w:val="left"/>
      <w:lvlText w:val="%1."/>
      <w:numFmt w:val="decimal"/>
      <w:start w:val="3"/>
    </w:lvl>
    <w:lvl w:ilvl="1">
      <w:lvlJc w:val="left"/>
      <w:lvlText w:val="(%2)"/>
      <w:numFmt w:val="lowerLetter"/>
      <w:start w:val="1"/>
    </w:lvl>
  </w:abstractNum>
  <w:abstractNum w:abstractNumId="40">
    <w:nsid w:val="540A471C"/>
    <w:multiLevelType w:val="hybridMultilevel"/>
    <w:lvl w:ilvl="0">
      <w:lvlJc w:val="left"/>
      <w:lvlText w:val="%1."/>
      <w:numFmt w:val="decimal"/>
      <w:start w:val="5"/>
    </w:lvl>
  </w:abstractNum>
  <w:abstractNum w:abstractNumId="41">
    <w:nsid w:val="7BD3EE7B"/>
    <w:multiLevelType w:val="hybridMultilevel"/>
    <w:lvl w:ilvl="0">
      <w:lvlJc w:val="left"/>
      <w:lvlText w:val="%1."/>
      <w:numFmt w:val="decimal"/>
      <w:start w:val="8"/>
    </w:lvl>
  </w:abstractNum>
  <w:abstractNum w:abstractNumId="42">
    <w:nsid w:val="51D9C564"/>
    <w:multiLevelType w:val="hybridMultilevel"/>
    <w:lvl w:ilvl="0">
      <w:lvlJc w:val="left"/>
      <w:lvlText w:val="%1."/>
      <w:numFmt w:val="decimal"/>
      <w:start w:val="10"/>
    </w:lvl>
    <w:lvl w:ilvl="1">
      <w:lvlJc w:val="left"/>
      <w:lvlText w:val="(%2)"/>
      <w:numFmt w:val="lowerLetter"/>
      <w:start w:val="1"/>
    </w:lvl>
  </w:abstractNum>
  <w:abstractNum w:abstractNumId="43">
    <w:nsid w:val="613EFDC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4">
    <w:nsid w:val="BF72B14"/>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45">
    <w:nsid w:val="11447B73"/>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46">
    <w:nsid w:val="42963E5A"/>
    <w:multiLevelType w:val="hybridMultilevel"/>
    <w:lvl w:ilvl="0">
      <w:lvlJc w:val="left"/>
      <w:lvlText w:val="%1."/>
      <w:numFmt w:val="decimal"/>
      <w:start w:val="13"/>
    </w:lvl>
    <w:lvl w:ilvl="1">
      <w:lvlJc w:val="left"/>
      <w:lvlText w:val="(%2)"/>
      <w:numFmt w:val="lowerLetter"/>
      <w:start w:val="1"/>
    </w:lvl>
  </w:abstractNum>
  <w:abstractNum w:abstractNumId="47">
    <w:nsid w:val="A0382C5"/>
    <w:multiLevelType w:val="hybridMultilevel"/>
    <w:lvl w:ilvl="0">
      <w:lvlJc w:val="left"/>
      <w:lvlText w:val="%1."/>
      <w:numFmt w:val="decimal"/>
      <w:start w:val="16"/>
    </w:lvl>
  </w:abstractNum>
  <w:abstractNum w:abstractNumId="48">
    <w:nsid w:val="8F2B1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Letter"/>
      <w:start w:val="1"/>
    </w:lvl>
  </w:abstractNum>
  <w:abstractNum w:abstractNumId="49">
    <w:nsid w:val="1A32234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Letter"/>
      <w:start w:val="35"/>
    </w:lvl>
  </w:abstractNum>
  <w:abstractNum w:abstractNumId="50">
    <w:nsid w:val="3B0FD379"/>
    <w:multiLevelType w:val="hybridMultilevel"/>
    <w:lvl w:ilvl="0">
      <w:lvlJc w:val="left"/>
      <w:lvlText w:val="(%1)"/>
      <w:numFmt w:val="lowerRoman"/>
      <w:start w:val="3"/>
    </w:lvl>
  </w:abstractNum>
  <w:abstractNum w:abstractNumId="51">
    <w:nsid w:val="68EB2F63"/>
    <w:multiLevelType w:val="hybridMultilevel"/>
    <w:lvl w:ilvl="0">
      <w:lvlJc w:val="left"/>
      <w:lvlText w:val="(%1)"/>
      <w:numFmt w:val="lowerLetter"/>
      <w:start w:val="2"/>
    </w:lvl>
  </w:abstractNum>
  <w:abstractNum w:abstractNumId="52">
    <w:nsid w:val="4962813B"/>
    <w:multiLevelType w:val="hybridMultilevel"/>
    <w:lvl w:ilvl="0">
      <w:lvlJc w:val="left"/>
      <w:lvlText w:val="%1"/>
      <w:numFmt w:val="decimal"/>
      <w:start w:val="1"/>
    </w:lvl>
    <w:lvl w:ilvl="1">
      <w:lvlJc w:val="left"/>
      <w:lvlText w:val="(%2)"/>
      <w:numFmt w:val="lowerLetter"/>
      <w:start w:val="3"/>
    </w:lvl>
  </w:abstractNum>
  <w:abstractNum w:abstractNumId="53">
    <w:nsid w:val="60B6DF70"/>
    <w:multiLevelType w:val="hybridMultilevel"/>
    <w:lvl w:ilvl="0">
      <w:lvlJc w:val="left"/>
      <w:lvlText w:val="%1."/>
      <w:numFmt w:val="decimal"/>
      <w:start w:val="3"/>
    </w:lvl>
    <w:lvl w:ilvl="1">
      <w:lvlJc w:val="left"/>
      <w:lvlText w:val="%2"/>
      <w:numFmt w:val="lowerLetter"/>
      <w:start w:val="1"/>
    </w:lvl>
  </w:abstractNum>
  <w:abstractNum w:abstractNumId="54">
    <w:nsid w:val="6A5EE64"/>
    <w:multiLevelType w:val="hybridMultilevel"/>
    <w:lvl w:ilvl="0">
      <w:lvlJc w:val="left"/>
      <w:lvlText w:val="%1."/>
      <w:numFmt w:val="decimal"/>
      <w:start w:val="4"/>
    </w:lvl>
    <w:lvl w:ilvl="1">
      <w:lvlJc w:val="left"/>
      <w:lvlText w:val="(%2)"/>
      <w:numFmt w:val="lowerLetter"/>
      <w:start w:val="1"/>
    </w:lvl>
  </w:abstractNum>
  <w:abstractNum w:abstractNumId="55">
    <w:nsid w:val="14330624"/>
    <w:multiLevelType w:val="hybridMultilevel"/>
    <w:lvl w:ilvl="0">
      <w:lvlJc w:val="left"/>
      <w:lvlText w:val="(%1)"/>
      <w:numFmt w:val="lowerLetter"/>
      <w:start w:val="5"/>
    </w:lvl>
  </w:abstractNum>
  <w:abstractNum w:abstractNumId="56">
    <w:nsid w:val="7FFFCA11"/>
    <w:multiLevelType w:val="hybridMultilevel"/>
    <w:lvl w:ilvl="0">
      <w:lvlJc w:val="left"/>
      <w:lvlText w:val="(%1)"/>
      <w:numFmt w:val="lowerLetter"/>
      <w:start w:val="8"/>
    </w:lvl>
  </w:abstractNum>
  <w:abstractNum w:abstractNumId="57">
    <w:nsid w:val="1A27709E"/>
    <w:multiLevelType w:val="hybridMultilevel"/>
    <w:lvl w:ilvl="0">
      <w:lvlJc w:val="left"/>
      <w:lvlText w:val="%1."/>
      <w:numFmt w:val="decimal"/>
      <w:start w:val="6"/>
    </w:lvl>
  </w:abstractNum>
  <w:abstractNum w:abstractNumId="58">
    <w:nsid w:val="71EA1109"/>
    <w:multiLevelType w:val="hybridMultilevel"/>
    <w:lvl w:ilvl="0">
      <w:lvlJc w:val="left"/>
      <w:lvlText w:val="(%1)"/>
      <w:numFmt w:val="lowerLetter"/>
      <w:start w:val="1"/>
    </w:lvl>
  </w:abstractNum>
  <w:abstractNum w:abstractNumId="59">
    <w:nsid w:val="100F59DC"/>
    <w:multiLevelType w:val="hybridMultilevel"/>
    <w:lvl w:ilvl="0">
      <w:lvlJc w:val="left"/>
      <w:lvlText w:val="(%1)"/>
      <w:numFmt w:val="lowerLetter"/>
      <w:start w:val="3"/>
    </w:lvl>
  </w:abstractNum>
  <w:abstractNum w:abstractNumId="60">
    <w:nsid w:val="7FB7E0AA"/>
    <w:multiLevelType w:val="hybridMultilevel"/>
    <w:lvl w:ilvl="0">
      <w:lvlJc w:val="left"/>
      <w:lvlText w:val="%1."/>
      <w:numFmt w:val="decimal"/>
      <w:start w:val="7"/>
    </w:lvl>
    <w:lvl w:ilvl="1">
      <w:lvlJc w:val="left"/>
      <w:lvlText w:val="(%2)"/>
      <w:numFmt w:val="lowerLetter"/>
      <w:start w:val="1"/>
    </w:lvl>
  </w:abstractNum>
  <w:abstractNum w:abstractNumId="61">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2">
    <w:nsid w:val="6F6DD9A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3">
    <w:nsid w:val="94211F2"/>
    <w:multiLevelType w:val="hybridMultilevel"/>
    <w:lvl w:ilvl="0">
      <w:lvlJc w:val="left"/>
      <w:lvlText w:val="%1"/>
      <w:numFmt w:val="decimal"/>
      <w:start w:val="1"/>
    </w:lvl>
    <w:lvl w:ilvl="1">
      <w:lvlJc w:val="left"/>
      <w:lvlText w:val="(%2)"/>
      <w:numFmt w:val="lowerLetter"/>
      <w:start w:val="2"/>
    </w:lvl>
  </w:abstractNum>
  <w:abstractNum w:abstractNumId="64">
    <w:nsid w:val="885E1B"/>
    <w:multiLevelType w:val="hybridMultilevel"/>
    <w:lvl w:ilvl="0">
      <w:lvlJc w:val="left"/>
      <w:lvlText w:val="%1."/>
      <w:numFmt w:val="decimal"/>
      <w:start w:val="9"/>
    </w:lvl>
    <w:lvl w:ilvl="1">
      <w:lvlJc w:val="left"/>
      <w:lvlText w:val="%2"/>
      <w:numFmt w:val="lowerLetter"/>
      <w:start w:val="1"/>
    </w:lvl>
  </w:abstractNum>
  <w:abstractNum w:abstractNumId="65">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7"/>
    </w:lvl>
  </w:abstractNum>
  <w:abstractNum w:abstractNumId="66">
    <w:nsid w:val="4C04A8AF"/>
    <w:multiLevelType w:val="hybridMultilevel"/>
    <w:lvl w:ilvl="0">
      <w:lvlJc w:val="left"/>
      <w:lvlText w:val="%1"/>
      <w:numFmt w:val="lowerLetter"/>
      <w:start w:val="1"/>
    </w:lvl>
    <w:lvl w:ilvl="1">
      <w:lvlJc w:val="left"/>
      <w:lvlText w:val="(%2)"/>
      <w:numFmt w:val="decimal"/>
      <w:start w:val="7"/>
    </w:lvl>
  </w:abstractNum>
  <w:abstractNum w:abstractNumId="67">
    <w:nsid w:val="1716703B"/>
    <w:multiLevelType w:val="hybridMultilevel"/>
    <w:lvl w:ilvl="0">
      <w:lvlJc w:val="left"/>
      <w:lvlText w:val="(%1)"/>
      <w:numFmt w:val="lowerLetter"/>
      <w:start w:val="8"/>
    </w:lvl>
    <w:lvl w:ilvl="1">
      <w:lvlJc w:val="left"/>
      <w:lvlText w:val="%2"/>
      <w:numFmt w:val="decimal"/>
      <w:start w:val="1"/>
    </w:lvl>
  </w:abstractNum>
  <w:abstractNum w:abstractNumId="68">
    <w:nsid w:val="14E17E33"/>
    <w:multiLevelType w:val="hybridMultilevel"/>
    <w:lvl w:ilvl="0">
      <w:lvlJc w:val="left"/>
      <w:lvlText w:val="%1"/>
      <w:numFmt w:val="lowerLetter"/>
      <w:start w:val="1"/>
    </w:lvl>
    <w:lvl w:ilvl="1">
      <w:lvlJc w:val="left"/>
      <w:lvlText w:val="(%2)"/>
      <w:numFmt w:val="lowerRoman"/>
      <w:start w:val="4"/>
    </w:lvl>
  </w:abstractNum>
  <w:abstractNum w:abstractNumId="69">
    <w:nsid w:val="3222E7CD"/>
    <w:multiLevelType w:val="hybridMultilevel"/>
    <w:lvl w:ilvl="0">
      <w:lvlJc w:val="left"/>
      <w:lvlText w:val="%1"/>
      <w:numFmt w:val="lowerLetter"/>
      <w:start w:val="1"/>
    </w:lvl>
    <w:lvl w:ilvl="1">
      <w:lvlJc w:val="left"/>
      <w:lvlText w:val="(%2)"/>
      <w:numFmt w:val="lowerRoman"/>
      <w:start w:val="6"/>
    </w:lvl>
  </w:abstractNum>
  <w:abstractNum w:abstractNumId="70">
    <w:nsid w:val="74DE0EE3"/>
    <w:multiLevelType w:val="hybridMultilevel"/>
    <w:lvl w:ilvl="0">
      <w:lvlJc w:val="left"/>
      <w:lvlText w:val="(%1)"/>
      <w:numFmt w:val="lowerLetter"/>
      <w:start w:val="10"/>
    </w:lvl>
    <w:lvl w:ilvl="1">
      <w:lvlJc w:val="left"/>
      <w:lvlText w:val="(%2)"/>
      <w:numFmt w:val="lowerRoman"/>
      <w:start w:val="1"/>
    </w:lvl>
  </w:abstractNum>
  <w:abstractNum w:abstractNumId="71">
    <w:nsid w:val="68EBC550"/>
    <w:multiLevelType w:val="hybridMultilevel"/>
    <w:lvl w:ilvl="0">
      <w:lvlJc w:val="left"/>
      <w:lvlText w:val="(%1)"/>
      <w:numFmt w:val="lowerRoman"/>
      <w:start w:val="3"/>
    </w:lvl>
  </w:abstractNum>
  <w:abstractNum w:abstractNumId="72">
    <w:nsid w:val="2DF6D648"/>
    <w:multiLevelType w:val="hybridMultilevel"/>
    <w:lvl w:ilvl="0">
      <w:lvlJc w:val="left"/>
      <w:lvlText w:val="(%1)"/>
      <w:numFmt w:val="lowerLetter"/>
      <w:start w:val="11"/>
    </w:lvl>
  </w:abstractNum>
  <w:abstractNum w:abstractNumId="73">
    <w:nsid w:val="46B7D447"/>
    <w:multiLevelType w:val="hybridMultilevel"/>
    <w:lvl w:ilvl="0">
      <w:lvlJc w:val="left"/>
      <w:lvlText w:val="%1"/>
      <w:numFmt w:val="lowerLetter"/>
      <w:start w:val="1"/>
    </w:lvl>
    <w:lvl w:ilvl="1">
      <w:lvlJc w:val="left"/>
      <w:lvlText w:val="(%2)"/>
      <w:numFmt w:val="lowerRoman"/>
      <w:start w:val="1"/>
    </w:lvl>
  </w:abstractNum>
  <w:abstractNum w:abstractNumId="74">
    <w:nsid w:val="4A2AC315"/>
    <w:multiLevelType w:val="hybridMultilevel"/>
    <w:lvl w:ilvl="0">
      <w:lvlJc w:val="left"/>
      <w:lvlText w:val="(%1)"/>
      <w:numFmt w:val="lowerLetter"/>
      <w:start w:val="21"/>
    </w:lvl>
    <w:lvl w:ilvl="1">
      <w:lvlJc w:val="left"/>
      <w:lvlText w:val="(%2)"/>
      <w:numFmt w:val="lowerRoman"/>
      <w:start w:val="1"/>
    </w:lvl>
  </w:abstractNum>
  <w:abstractNum w:abstractNumId="75">
    <w:nsid w:val="39EE015C"/>
    <w:multiLevelType w:val="hybridMultilevel"/>
    <w:lvl w:ilvl="0">
      <w:lvlJc w:val="left"/>
      <w:lvlText w:val="(%1)"/>
      <w:numFmt w:val="lowerLetter"/>
      <w:start w:val="22"/>
    </w:lvl>
  </w:abstractNum>
  <w:abstractNum w:abstractNumId="76">
    <w:nsid w:val="57FC4FBB"/>
    <w:multiLevelType w:val="hybridMultilevel"/>
    <w:lvl w:ilvl="0">
      <w:lvlJc w:val="left"/>
      <w:lvlText w:val="(%1)"/>
      <w:numFmt w:val="lowerLetter"/>
      <w:start w:val="27"/>
    </w:lvl>
  </w:abstractNum>
  <w:abstractNum w:abstractNumId="77">
    <w:nsid w:val="CC1016F"/>
    <w:multiLevelType w:val="hybridMultilevel"/>
    <w:lvl w:ilvl="0">
      <w:lvlJc w:val="left"/>
      <w:lvlText w:val="%1"/>
      <w:numFmt w:val="decimal"/>
      <w:start w:val="1"/>
    </w:lvl>
    <w:lvl w:ilvl="1">
      <w:lvlJc w:val="left"/>
      <w:lvlText w:val="(%2)"/>
      <w:numFmt w:val="lowerLetter"/>
      <w:start w:val="29"/>
    </w:lvl>
    <w:lvl w:ilvl="2">
      <w:lvlJc w:val="left"/>
      <w:lvlText w:val="%3"/>
      <w:numFmt w:val="lowerRoman"/>
      <w:start w:val="1"/>
    </w:lvl>
  </w:abstractNum>
  <w:abstractNum w:abstractNumId="78">
    <w:nsid w:val="43F184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9">
    <w:nsid w:val="60EF011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80">
    <w:nsid w:val="26F324BA"/>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81">
    <w:nsid w:val="7F01579B"/>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82">
    <w:nsid w:val="49DA307D"/>
    <w:multiLevelType w:val="hybridMultilevel"/>
    <w:lvl w:ilvl="0">
      <w:lvlJc w:val="left"/>
      <w:lvlText w:val="%1"/>
      <w:numFmt w:val="lowerLetter"/>
      <w:start w:val="1"/>
    </w:lvl>
    <w:lvl w:ilvl="1">
      <w:lvlJc w:val="left"/>
      <w:lvlText w:val="(%2)"/>
      <w:numFmt w:val="lowerLetter"/>
      <w:start w:val="35"/>
    </w:lvl>
  </w:abstractNum>
  <w:abstractNum w:abstractNumId="83">
    <w:nsid w:val="7055A5F5"/>
    <w:multiLevelType w:val="hybridMultilevel"/>
    <w:lvl w:ilvl="0">
      <w:lvlJc w:val="left"/>
      <w:lvlText w:val="(%1)"/>
      <w:numFmt w:val="lowerLetter"/>
      <w:start w:val="6"/>
    </w:lvl>
    <w:lvl w:ilvl="1">
      <w:lvlJc w:val="left"/>
      <w:lvlText w:val="(%2)"/>
      <w:numFmt w:val="lowerLetter"/>
      <w:start w:val="9"/>
    </w:lvl>
  </w:abstractNum>
  <w:abstractNum w:abstractNumId="84">
    <w:nsid w:val="5FB8370B"/>
    <w:multiLevelType w:val="hybridMultilevel"/>
    <w:lvl w:ilvl="0">
      <w:lvlJc w:val="left"/>
      <w:lvlText w:val="(%1)"/>
      <w:numFmt w:val="lowerRoman"/>
      <w:start w:val="2"/>
    </w:lvl>
  </w:abstractNum>
  <w:abstractNum w:abstractNumId="85">
    <w:nsid w:val="50801EE1"/>
    <w:multiLevelType w:val="hybridMultilevel"/>
    <w:lvl w:ilvl="0">
      <w:lvlJc w:val="left"/>
      <w:lvlText w:val="(%1)"/>
      <w:numFmt w:val="lowerLetter"/>
      <w:start w:val="24"/>
    </w:lvl>
  </w:abstractNum>
  <w:abstractNum w:abstractNumId="86">
    <w:nsid w:val="488AC1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87">
    <w:nsid w:val="5FB8011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8"/>
    </w:lvl>
  </w:abstractNum>
  <w:abstractNum w:abstractNumId="88">
    <w:nsid w:val="6AA78F7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9">
    <w:nsid w:val="7672BD2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0">
    <w:nsid w:val="6FC75AF8"/>
    <w:multiLevelType w:val="hybridMultilevel"/>
    <w:lvl w:ilvl="0">
      <w:lvlJc w:val="left"/>
      <w:lvlText w:val="%1"/>
      <w:numFmt w:val="lowerLetter"/>
      <w:start w:val="1"/>
    </w:lvl>
    <w:lvl w:ilvl="1">
      <w:lvlJc w:val="left"/>
      <w:lvlText w:val="(%2)"/>
      <w:numFmt w:val="lowerRoman"/>
      <w:start w:val="2"/>
    </w:lvl>
  </w:abstractNum>
  <w:abstractNum w:abstractNumId="91">
    <w:nsid w:val="6A5F7029"/>
    <w:multiLevelType w:val="hybridMultilevel"/>
    <w:lvl w:ilvl="0">
      <w:lvlJc w:val="left"/>
      <w:lvlText w:val="(%1)"/>
      <w:numFmt w:val="lowerLetter"/>
      <w:start w:val="6"/>
    </w:lvl>
    <w:lvl w:ilvl="1">
      <w:lvlJc w:val="left"/>
      <w:lvlText w:val="%2"/>
      <w:numFmt w:val="lowerRoman"/>
      <w:start w:val="1"/>
    </w:lvl>
  </w:abstractNum>
  <w:abstractNum w:abstractNumId="92">
    <w:nsid w:val="7D5E18F8"/>
    <w:multiLevelType w:val="hybridMultilevel"/>
    <w:lvl w:ilvl="0">
      <w:lvlJc w:val="left"/>
      <w:lvlText w:val="(%1)"/>
      <w:numFmt w:val="lowerLetter"/>
      <w:start w:val="7"/>
    </w:lvl>
    <w:lvl w:ilvl="1">
      <w:lvlJc w:val="left"/>
      <w:lvlText w:val="(%2)"/>
      <w:numFmt w:val="lowerRoman"/>
      <w:start w:val="1"/>
    </w:lvl>
  </w:abstractNum>
  <w:abstractNum w:abstractNumId="93">
    <w:nsid w:val="5F3534A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4">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7DE6771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6">
    <w:nsid w:val="555C55B5"/>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97">
    <w:nsid w:val="3FA62ACA"/>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98">
    <w:nsid w:val="14FCE74E"/>
    <w:multiLevelType w:val="hybridMultilevel"/>
    <w:lvl w:ilvl="0">
      <w:lvlJc w:val="left"/>
      <w:lvlText w:val="%1."/>
      <w:numFmt w:val="decimal"/>
      <w:start w:val="11"/>
    </w:lvl>
    <w:lvl w:ilvl="1">
      <w:lvlJc w:val="left"/>
      <w:lvlText w:val="(%2)"/>
      <w:numFmt w:val="lowerLetter"/>
      <w:start w:val="1"/>
    </w:lvl>
    <w:lvl w:ilvl="2">
      <w:lvlJc w:val="left"/>
      <w:lvlText w:val="%3"/>
      <w:numFmt w:val="upperLetter"/>
      <w:start w:val="1"/>
    </w:lvl>
  </w:abstractNum>
  <w:abstractNum w:abstractNumId="99">
    <w:nsid w:val="6A3DD3E8"/>
    <w:multiLevelType w:val="hybridMultilevel"/>
    <w:lvl w:ilvl="0">
      <w:lvlJc w:val="left"/>
      <w:lvlText w:val="%1"/>
      <w:numFmt w:val="decimal"/>
      <w:start w:val="1"/>
    </w:lvl>
    <w:lvl w:ilvl="1">
      <w:lvlJc w:val="left"/>
      <w:lvlText w:val="(%2)"/>
      <w:numFmt w:val="lowerLetter"/>
      <w:start w:val="2"/>
    </w:lvl>
  </w:abstractNum>
  <w:abstractNum w:abstractNumId="100">
    <w:nsid w:val="71C91298"/>
    <w:multiLevelType w:val="hybridMultilevel"/>
    <w:lvl w:ilvl="0">
      <w:lvlJc w:val="left"/>
      <w:lvlText w:val="%1."/>
      <w:numFmt w:val="decimal"/>
      <w:start w:val="14"/>
    </w:lvl>
    <w:lvl w:ilvl="1">
      <w:lvlJc w:val="left"/>
      <w:lvlText w:val="(%2)"/>
      <w:numFmt w:val="lowerLetter"/>
      <w:start w:val="1"/>
    </w:lvl>
  </w:abstractNum>
  <w:abstractNum w:abstractNumId="101">
    <w:nsid w:val="9DAF632"/>
    <w:multiLevelType w:val="hybridMultilevel"/>
    <w:lvl w:ilvl="0">
      <w:lvlJc w:val="left"/>
      <w:lvlText w:val="%1"/>
      <w:numFmt w:val="decimal"/>
      <w:start w:val="1"/>
    </w:lvl>
    <w:lvl w:ilvl="1">
      <w:lvlJc w:val="left"/>
      <w:lvlText w:val="(%2)"/>
      <w:numFmt w:val="lowerLetter"/>
      <w:start w:val="2"/>
    </w:lvl>
  </w:abstractNum>
  <w:abstractNum w:abstractNumId="102">
    <w:nsid w:val="53299938"/>
    <w:multiLevelType w:val="hybridMultilevel"/>
    <w:lvl w:ilvl="0">
      <w:lvlJc w:val="left"/>
      <w:lvlText w:val="%1."/>
      <w:numFmt w:val="decimal"/>
      <w:start w:val="18"/>
    </w:lvl>
    <w:lvl w:ilvl="1">
      <w:lvlJc w:val="left"/>
      <w:lvlText w:val="(%2)"/>
      <w:numFmt w:val="lowerLetter"/>
      <w:start w:val="1"/>
    </w:lvl>
  </w:abstractNum>
  <w:abstractNum w:abstractNumId="103">
    <w:nsid w:val="1FBFE8E0"/>
    <w:multiLevelType w:val="hybridMultilevel"/>
    <w:lvl w:ilvl="0">
      <w:lvlJc w:val="left"/>
      <w:lvlText w:val="%1."/>
      <w:numFmt w:val="decimal"/>
      <w:start w:val="19"/>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51" Type="http://schemas.openxmlformats.org/officeDocument/2006/relationships/image" Target="media/image4.png"/><Relationship Id="rId52" Type="http://schemas.openxmlformats.org/officeDocument/2006/relationships/image" Target="media/image5.png"/><Relationship Id="rId53" Type="http://schemas.openxmlformats.org/officeDocument/2006/relationships/image" Target="media/image6.png"/><Relationship Id="rId54" Type="http://schemas.openxmlformats.org/officeDocument/2006/relationships/image" Target="media/image7.png"/><Relationship Id="rId55" Type="http://schemas.openxmlformats.org/officeDocument/2006/relationships/image" Target="media/image8.jpeg"/><Relationship Id="rId56" Type="http://schemas.openxmlformats.org/officeDocument/2006/relationships/image" Target="media/image9.png"/><Relationship Id="rId57" Type="http://schemas.openxmlformats.org/officeDocument/2006/relationships/image" Target="media/image10.png"/><Relationship Id="rId58" Type="http://schemas.openxmlformats.org/officeDocument/2006/relationships/image" Target="media/image11.png"/><Relationship Id="rId59" Type="http://schemas.openxmlformats.org/officeDocument/2006/relationships/image" Target="media/image12.png"/><Relationship Id="rId60" Type="http://schemas.openxmlformats.org/officeDocument/2006/relationships/image" Target="media/image13.png"/><Relationship Id="rId61" Type="http://schemas.openxmlformats.org/officeDocument/2006/relationships/image" Target="media/image14.png"/><Relationship Id="rId62" Type="http://schemas.openxmlformats.org/officeDocument/2006/relationships/image" Target="media/image15.png"/><Relationship Id="rId63" Type="http://schemas.openxmlformats.org/officeDocument/2006/relationships/image" Target="media/image16.png"/><Relationship Id="rId11" Type="http://schemas.openxmlformats.org/officeDocument/2006/relationships/hyperlink" Target="http://www.sec.gov/Archives/edgar/data/1289848/000119312505031189/dex31.htm" TargetMode="External"/><Relationship Id="rId12" Type="http://schemas.openxmlformats.org/officeDocument/2006/relationships/hyperlink" Target="http://www.sec.gov/Archives/edgar/data/1289848/000128984815000017/hurn10262015exh31.htm" TargetMode="External"/><Relationship Id="rId13" Type="http://schemas.openxmlformats.org/officeDocument/2006/relationships/hyperlink" Target="http://www.sec.gov/Archives/edgar/data/1289848/000119312504139238/dex41.htm" TargetMode="External"/><Relationship Id="rId14" Type="http://schemas.openxmlformats.org/officeDocument/2006/relationships/hyperlink" Target="http://www.sec.gov/Archives/edgar/data/1289848/000119312514342969/d789205dex41.htm" TargetMode="External"/><Relationship Id="rId15" Type="http://schemas.openxmlformats.org/officeDocument/2006/relationships/hyperlink" Target="http://www.sec.gov/Archives/edgar/data/1289848/000094018004000001/dex101.htm" TargetMode="External"/><Relationship Id="rId16" Type="http://schemas.openxmlformats.org/officeDocument/2006/relationships/hyperlink" Target="http://www.sec.gov/Archives/edgar/data/1289848/000095012310044504/c57982exv10w1.htm" TargetMode="External"/><Relationship Id="rId17" Type="http://schemas.openxmlformats.org/officeDocument/2006/relationships/hyperlink" Target="http://www.sec.gov/Archives/edgar/data/1289848/000119312509036340/dex1012.htm" TargetMode="External"/><Relationship Id="rId18" Type="http://schemas.openxmlformats.org/officeDocument/2006/relationships/hyperlink" Target="http://www.sec.gov/Archives/edgar/data/1289848/000128984817000003/exh101sma-kelly.htm" TargetMode="External"/><Relationship Id="rId19" Type="http://schemas.openxmlformats.org/officeDocument/2006/relationships/hyperlink" Target="http://www.sec.gov/Archives/edgar/data/1289848/000128984817000003/exh102sma-roth.htm" TargetMode="External"/><Relationship Id="rId20" Type="http://schemas.openxmlformats.org/officeDocument/2006/relationships/hyperlink" Target="http://www.sec.gov/Archives/edgar/data/1289848/000128984817000003/exh103sma-hussey.htm" TargetMode="External"/><Relationship Id="rId21" Type="http://schemas.openxmlformats.org/officeDocument/2006/relationships/hyperlink" Target="http://www.sec.gov/Archives/edgar/data/1289848/000128984817000003/exh104sma-ratekin.htm" TargetMode="External"/><Relationship Id="rId22" Type="http://schemas.openxmlformats.org/officeDocument/2006/relationships/hyperlink" Target="http://www.sec.gov/Archives/edgar/data/1289848/000128984819000036/exh101ratekinagreement.htm" TargetMode="External"/><Relationship Id="rId23" Type="http://schemas.openxmlformats.org/officeDocument/2006/relationships/hyperlink" Target="http://www.sec.gov/Archives/edgar/data/1289848/000119312513069461/d444342dex1017.htm" TargetMode="External"/><Relationship Id="rId24" Type="http://schemas.openxmlformats.org/officeDocument/2006/relationships/hyperlink" Target="http://www.sec.gov/Archives/edgar/data/1289848/000119312513069461/d444342dex1018.htm" TargetMode="External"/><Relationship Id="rId25" Type="http://schemas.openxmlformats.org/officeDocument/2006/relationships/hyperlink" Target="http://www.sec.gov/Archives/edgar/data/1289848/000119312513069461/d444342dex1019.htm" TargetMode="External"/><Relationship Id="rId26" Type="http://schemas.openxmlformats.org/officeDocument/2006/relationships/hyperlink" Target="http://www.sec.gov/Archives/edgar/data/1289848/000119312513003657/d461972dex101.htm" TargetMode="External"/><Relationship Id="rId27" Type="http://schemas.openxmlformats.org/officeDocument/2006/relationships/hyperlink" Target="http://www.sec.gov/Archives/edgar/data/1289848/000128984819000040/exh101-chicagolease6th.htm" TargetMode="External"/><Relationship Id="rId28" Type="http://schemas.openxmlformats.org/officeDocument/2006/relationships/hyperlink" Target="http://www.sec.gov/Archives/edgar/data/1289848/000119312513069461/d444342dex1020.htm" TargetMode="External"/><Relationship Id="rId29" Type="http://schemas.openxmlformats.org/officeDocument/2006/relationships/hyperlink" Target="http://www.sec.gov/Archives/edgar/data/1289848/000119312514333933/d783249dex102.htm" TargetMode="External"/><Relationship Id="rId30" Type="http://schemas.openxmlformats.org/officeDocument/2006/relationships/hyperlink" Target="http://www.sec.gov/Archives/edgar/data/1289848/000119312514333933/d783249dex103.htm" TargetMode="External"/><Relationship Id="rId31" Type="http://schemas.openxmlformats.org/officeDocument/2006/relationships/hyperlink" Target="http://www.sec.gov/Archives/edgar/data/1289848/000119312514333933/d783249dex104.htm" TargetMode="External"/><Relationship Id="rId32" Type="http://schemas.openxmlformats.org/officeDocument/2006/relationships/hyperlink" Target="http://www.sec.gov/Archives/edgar/data/1289848/000119312514333933/d783249dex105.htm" TargetMode="External"/><Relationship Id="rId33" Type="http://schemas.openxmlformats.org/officeDocument/2006/relationships/hyperlink" Target="http://www.sec.gov/Archives/edgar/data/1289848/000119312514342969/d789205dex101.htm" TargetMode="External"/><Relationship Id="rId34" Type="http://schemas.openxmlformats.org/officeDocument/2006/relationships/hyperlink" Target="http://www.sec.gov/Archives/edgar/data/1289848/000119312514342969/d789205dex102.htm" TargetMode="External"/><Relationship Id="rId35" Type="http://schemas.openxmlformats.org/officeDocument/2006/relationships/hyperlink" Target="http://www.sec.gov/Archives/edgar/data/1289848/000119312514342969/d789205dex103.htm" TargetMode="External"/><Relationship Id="rId36" Type="http://schemas.openxmlformats.org/officeDocument/2006/relationships/hyperlink" Target="http://www.sec.gov/Archives/edgar/data/1289848/000119312514342969/d789205dex104.htm" TargetMode="External"/><Relationship Id="rId37" Type="http://schemas.openxmlformats.org/officeDocument/2006/relationships/hyperlink" Target="http://www.sec.gov/Archives/edgar/data/1289848/000119312515060049/d836724dex1031.htm" TargetMode="External"/><Relationship Id="rId38" Type="http://schemas.openxmlformats.org/officeDocument/2006/relationships/hyperlink" Target="http://www.sec.gov/Archives/edgar/data/1289848/000119312515060049/d836724dex1032.htm" TargetMode="External"/><Relationship Id="rId39" Type="http://schemas.openxmlformats.org/officeDocument/2006/relationships/hyperlink" Target="http://www.sec.gov/Archives/edgar/data/1289848/000119312515060049/d836724dex1033.htm" TargetMode="External"/><Relationship Id="rId40" Type="http://schemas.openxmlformats.org/officeDocument/2006/relationships/hyperlink" Target="http://www.sec.gov/Archives/edgar/data/1289848/000119312515060049/d836724dex1034.htm" TargetMode="External"/><Relationship Id="rId41" Type="http://schemas.openxmlformats.org/officeDocument/2006/relationships/hyperlink" Target="http://www.sec.gov/Archives/edgar/data/1289848/000119312515117552/d901811dex101.htm" TargetMode="External"/><Relationship Id="rId42" Type="http://schemas.openxmlformats.org/officeDocument/2006/relationships/hyperlink" Target="http://www.sec.gov/Archives/edgar/data/1289848/000119312515117552/d901811dex102.htm" TargetMode="External"/><Relationship Id="rId43" Type="http://schemas.openxmlformats.org/officeDocument/2006/relationships/hyperlink" Target="http://www.sec.gov/Archives/edgar/data/1289848/000119312515117552/d901811dex103.htm" TargetMode="External"/><Relationship Id="rId44" Type="http://schemas.openxmlformats.org/officeDocument/2006/relationships/hyperlink" Target="http://www.sec.gov/Archives/edgar/data/1289848/000119312515099800/d889462ddef14a.htm#tx889462_34" TargetMode="External"/><Relationship Id="rId45" Type="http://schemas.openxmlformats.org/officeDocument/2006/relationships/hyperlink" Target="http://www.sec.gov/Archives/edgar/data/1289848/000119312517097192/d341022ddef14a.htm" TargetMode="External"/><Relationship Id="rId46" Type="http://schemas.openxmlformats.org/officeDocument/2006/relationships/hyperlink" Target="http://www.sec.gov/Archives/edgar/data/1289848/000119312519083293/d595221ddef14a.htm" TargetMode="External"/><Relationship Id="rId47" Type="http://schemas.openxmlformats.org/officeDocument/2006/relationships/hyperlink" Target="http://www.sec.gov/Archives/edgar/data/1289848/000128984817000017/a8-kcreditagreementamendme.htm" TargetMode="External"/><Relationship Id="rId48" Type="http://schemas.openxmlformats.org/officeDocument/2006/relationships/hyperlink" Target="http://www.sec.gov/Archives/edgar/data/1289848/000128984817000051/exhibit101-amendmentno2tot.htm" TargetMode="External"/><Relationship Id="rId49" Type="http://schemas.openxmlformats.org/officeDocument/2006/relationships/hyperlink" Target="http://www.sec.gov/Archives/edgar/data/1289848/000128984818000015/exh101huronamendmentno3-cr.htm" TargetMode="External"/><Relationship Id="rId50" Type="http://schemas.openxmlformats.org/officeDocument/2006/relationships/hyperlink" Target="http://www.sec.gov/Archives/edgar/data/1289848/000128984819000038/exh101huronamendmentn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2020-02-26T05:17:18Z</dcterms:created>
  <dcterms:modified xsi:type="dcterms:W3CDTF">2020-02-26T05:17:18Z</dcterms:modified>
</cp:coreProperties>
</file>